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ageBreakBefore w:val="0"/>
        <w:wordWrap/>
        <w:bidi w:val="0"/>
        <w:spacing w:line="360" w:lineRule="auto"/>
        <w:ind w:left="0" w:leftChars="0" w:right="0" w:rightChars="0"/>
        <w:jc w:val="center"/>
        <w:rPr>
          <w:rFonts w:hint="default" w:ascii="Times New Roman" w:hAnsi="Times New Roman" w:eastAsia="宋体" w:cs="Times New Roman"/>
          <w:color w:val="auto"/>
          <w:sz w:val="24"/>
          <w:highlight w:val="none"/>
        </w:rPr>
      </w:pPr>
    </w:p>
    <w:p>
      <w:pPr>
        <w:pageBreakBefore w:val="0"/>
        <w:wordWrap/>
        <w:bidi w:val="0"/>
        <w:spacing w:line="360" w:lineRule="auto"/>
        <w:ind w:left="0" w:leftChars="0" w:right="0" w:rightChars="0"/>
        <w:jc w:val="center"/>
        <w:rPr>
          <w:rFonts w:hint="default" w:ascii="Times New Roman" w:hAnsi="Times New Roman" w:eastAsia="宋体" w:cs="Times New Roman"/>
          <w:color w:val="auto"/>
          <w:sz w:val="24"/>
          <w:highlight w:val="none"/>
        </w:rPr>
      </w:pPr>
    </w:p>
    <w:p>
      <w:pPr>
        <w:pageBreakBefore w:val="0"/>
        <w:wordWrap/>
        <w:bidi w:val="0"/>
        <w:spacing w:line="360" w:lineRule="auto"/>
        <w:ind w:left="0" w:leftChars="0" w:right="0" w:rightChars="0"/>
        <w:jc w:val="center"/>
        <w:rPr>
          <w:rFonts w:hint="default" w:ascii="Times New Roman" w:hAnsi="Times New Roman" w:eastAsia="宋体" w:cs="Times New Roman"/>
          <w:b/>
          <w:color w:val="auto"/>
          <w:sz w:val="24"/>
          <w:highlight w:val="none"/>
        </w:rPr>
      </w:pPr>
    </w:p>
    <w:p>
      <w:pPr>
        <w:pageBreakBefore w:val="0"/>
        <w:wordWrap/>
        <w:bidi w:val="0"/>
        <w:spacing w:line="360" w:lineRule="auto"/>
        <w:ind w:left="0" w:leftChars="0" w:right="0" w:rightChars="0"/>
        <w:jc w:val="center"/>
        <w:rPr>
          <w:rFonts w:hint="default" w:ascii="Times New Roman" w:hAnsi="Times New Roman" w:eastAsia="宋体" w:cs="Times New Roman"/>
          <w:b/>
          <w:bCs/>
          <w:color w:val="auto"/>
          <w:sz w:val="36"/>
          <w:szCs w:val="44"/>
          <w:highlight w:val="none"/>
        </w:rPr>
      </w:pPr>
    </w:p>
    <w:p>
      <w:pPr>
        <w:pageBreakBefore w:val="0"/>
        <w:wordWrap/>
        <w:bidi w:val="0"/>
        <w:spacing w:line="360" w:lineRule="auto"/>
        <w:ind w:left="0" w:leftChars="0" w:right="0" w:rightChars="0"/>
        <w:jc w:val="center"/>
        <w:outlineLvl w:val="0"/>
        <w:rPr>
          <w:rFonts w:hint="default" w:ascii="Times New Roman" w:hAnsi="Times New Roman" w:eastAsia="宋体" w:cs="Times New Roman"/>
          <w:b/>
          <w:bCs/>
          <w:color w:val="auto"/>
          <w:sz w:val="36"/>
          <w:szCs w:val="44"/>
          <w:highlight w:val="none"/>
        </w:rPr>
      </w:pPr>
      <w:bookmarkStart w:id="0" w:name="_Toc25523"/>
      <w:bookmarkStart w:id="1" w:name="_Toc232"/>
      <w:bookmarkStart w:id="2" w:name="_Toc18097"/>
      <w:r>
        <w:rPr>
          <w:rFonts w:hint="default" w:ascii="Times New Roman" w:hAnsi="Times New Roman" w:eastAsia="宋体" w:cs="Times New Roman"/>
          <w:b/>
          <w:bCs/>
          <w:color w:val="auto"/>
          <w:sz w:val="36"/>
          <w:szCs w:val="44"/>
          <w:highlight w:val="none"/>
        </w:rPr>
        <w:t>乌拉特前旗西沙德盖钼业有限责任公司</w:t>
      </w:r>
      <w:bookmarkEnd w:id="0"/>
      <w:bookmarkEnd w:id="1"/>
      <w:bookmarkEnd w:id="2"/>
    </w:p>
    <w:p>
      <w:pPr>
        <w:pageBreakBefore w:val="0"/>
        <w:wordWrap/>
        <w:bidi w:val="0"/>
        <w:spacing w:line="360" w:lineRule="auto"/>
        <w:ind w:left="0" w:leftChars="0" w:right="0" w:rightChars="0"/>
        <w:jc w:val="center"/>
        <w:outlineLvl w:val="0"/>
        <w:rPr>
          <w:rFonts w:hint="default" w:ascii="Times New Roman" w:hAnsi="Times New Roman" w:eastAsia="宋体" w:cs="Times New Roman"/>
          <w:b/>
          <w:bCs/>
          <w:color w:val="auto"/>
          <w:sz w:val="36"/>
          <w:szCs w:val="44"/>
          <w:highlight w:val="none"/>
        </w:rPr>
      </w:pPr>
      <w:bookmarkStart w:id="3" w:name="_Toc9308"/>
      <w:bookmarkStart w:id="4" w:name="_Toc1985"/>
      <w:bookmarkStart w:id="5" w:name="_Toc17333"/>
      <w:r>
        <w:rPr>
          <w:rFonts w:hint="default" w:ascii="Times New Roman" w:hAnsi="Times New Roman" w:eastAsia="宋体" w:cs="Times New Roman"/>
          <w:b/>
          <w:bCs/>
          <w:color w:val="auto"/>
          <w:sz w:val="36"/>
          <w:szCs w:val="44"/>
          <w:highlight w:val="none"/>
        </w:rPr>
        <w:t>年处理300万吨钼矿选矿节能技改扩产项目</w:t>
      </w:r>
      <w:bookmarkEnd w:id="3"/>
      <w:bookmarkEnd w:id="4"/>
      <w:bookmarkEnd w:id="5"/>
    </w:p>
    <w:p>
      <w:pPr>
        <w:pageBreakBefore w:val="0"/>
        <w:wordWrap/>
        <w:bidi w:val="0"/>
        <w:spacing w:line="360" w:lineRule="auto"/>
        <w:ind w:left="0" w:leftChars="0" w:right="0" w:rightChars="0"/>
        <w:jc w:val="center"/>
        <w:outlineLvl w:val="0"/>
        <w:rPr>
          <w:rFonts w:hint="default" w:ascii="Times New Roman" w:hAnsi="Times New Roman" w:eastAsia="宋体" w:cs="Times New Roman"/>
          <w:b/>
          <w:bCs/>
          <w:color w:val="auto"/>
          <w:sz w:val="36"/>
          <w:szCs w:val="44"/>
          <w:highlight w:val="none"/>
        </w:rPr>
      </w:pPr>
      <w:bookmarkStart w:id="6" w:name="_Toc27896"/>
      <w:bookmarkStart w:id="7" w:name="_Toc635"/>
      <w:bookmarkStart w:id="8" w:name="_Toc4169"/>
      <w:r>
        <w:rPr>
          <w:rFonts w:hint="default" w:ascii="Times New Roman" w:hAnsi="Times New Roman" w:eastAsia="宋体" w:cs="Times New Roman"/>
          <w:b/>
          <w:bCs/>
          <w:color w:val="auto"/>
          <w:sz w:val="36"/>
          <w:szCs w:val="44"/>
          <w:highlight w:val="none"/>
        </w:rPr>
        <w:t>尾矿库加高扩容工程项目</w:t>
      </w:r>
      <w:bookmarkEnd w:id="6"/>
      <w:bookmarkEnd w:id="7"/>
      <w:bookmarkEnd w:id="8"/>
    </w:p>
    <w:p>
      <w:pPr>
        <w:pageBreakBefore w:val="0"/>
        <w:tabs>
          <w:tab w:val="right" w:pos="8610"/>
        </w:tabs>
        <w:wordWrap/>
        <w:bidi w:val="0"/>
        <w:adjustRightInd w:val="0"/>
        <w:snapToGrid w:val="0"/>
        <w:spacing w:line="360" w:lineRule="auto"/>
        <w:ind w:left="0" w:leftChars="0" w:right="0" w:rightChars="0"/>
        <w:jc w:val="center"/>
        <w:outlineLvl w:val="0"/>
        <w:rPr>
          <w:rFonts w:hint="default" w:ascii="Times New Roman" w:hAnsi="Times New Roman" w:eastAsia="宋体" w:cs="Times New Roman"/>
          <w:b/>
          <w:bCs/>
          <w:snapToGrid w:val="0"/>
          <w:color w:val="auto"/>
          <w:sz w:val="72"/>
          <w:szCs w:val="72"/>
          <w:highlight w:val="none"/>
        </w:rPr>
      </w:pPr>
      <w:bookmarkStart w:id="9" w:name="_Toc30501"/>
      <w:bookmarkStart w:id="10" w:name="_Toc16015"/>
      <w:bookmarkStart w:id="11" w:name="_Toc9068"/>
      <w:r>
        <w:rPr>
          <w:rFonts w:hint="default" w:ascii="Times New Roman" w:hAnsi="Times New Roman" w:eastAsia="宋体" w:cs="Times New Roman"/>
          <w:b/>
          <w:bCs/>
          <w:snapToGrid w:val="0"/>
          <w:color w:val="auto"/>
          <w:sz w:val="72"/>
          <w:szCs w:val="72"/>
          <w:highlight w:val="none"/>
        </w:rPr>
        <w:t>环境影响报告书</w:t>
      </w:r>
      <w:bookmarkEnd w:id="9"/>
      <w:bookmarkEnd w:id="10"/>
      <w:bookmarkEnd w:id="11"/>
    </w:p>
    <w:p>
      <w:pPr>
        <w:pageBreakBefore w:val="0"/>
        <w:wordWrap/>
        <w:bidi w:val="0"/>
        <w:spacing w:line="360" w:lineRule="auto"/>
        <w:ind w:left="0" w:leftChars="0" w:right="0" w:rightChars="0"/>
        <w:jc w:val="center"/>
        <w:rPr>
          <w:rFonts w:hint="default" w:ascii="Times New Roman" w:hAnsi="Times New Roman" w:eastAsia="宋体" w:cs="Times New Roman"/>
          <w:b/>
          <w:bCs/>
          <w:color w:val="auto"/>
          <w:sz w:val="32"/>
          <w:szCs w:val="32"/>
          <w:highlight w:val="none"/>
          <w:lang w:eastAsia="zh-CN"/>
        </w:rPr>
      </w:pPr>
      <w:r>
        <w:rPr>
          <w:rFonts w:hint="default" w:ascii="Times New Roman" w:hAnsi="Times New Roman" w:eastAsia="宋体" w:cs="Times New Roman"/>
          <w:b/>
          <w:bCs/>
          <w:color w:val="auto"/>
          <w:sz w:val="32"/>
          <w:szCs w:val="32"/>
          <w:highlight w:val="none"/>
        </w:rPr>
        <w:t>（</w:t>
      </w:r>
      <w:r>
        <w:rPr>
          <w:rFonts w:hint="default" w:ascii="Times New Roman" w:hAnsi="Times New Roman" w:eastAsia="宋体" w:cs="Times New Roman"/>
          <w:b/>
          <w:bCs/>
          <w:color w:val="auto"/>
          <w:sz w:val="32"/>
          <w:szCs w:val="32"/>
          <w:highlight w:val="none"/>
          <w:lang w:val="en-US" w:eastAsia="zh-CN"/>
        </w:rPr>
        <w:t>报批</w:t>
      </w:r>
      <w:r>
        <w:rPr>
          <w:rFonts w:hint="default" w:ascii="Times New Roman" w:hAnsi="Times New Roman" w:eastAsia="宋体" w:cs="Times New Roman"/>
          <w:b/>
          <w:bCs/>
          <w:color w:val="auto"/>
          <w:sz w:val="32"/>
          <w:szCs w:val="32"/>
          <w:highlight w:val="none"/>
        </w:rPr>
        <w:t>版</w:t>
      </w:r>
      <w:r>
        <w:rPr>
          <w:rFonts w:hint="default" w:ascii="Times New Roman" w:hAnsi="Times New Roman" w:eastAsia="宋体" w:cs="Times New Roman"/>
          <w:b/>
          <w:bCs/>
          <w:color w:val="auto"/>
          <w:sz w:val="32"/>
          <w:szCs w:val="32"/>
          <w:highlight w:val="none"/>
          <w:lang w:eastAsia="zh-CN"/>
        </w:rPr>
        <w:t>）</w:t>
      </w:r>
    </w:p>
    <w:p>
      <w:pPr>
        <w:pageBreakBefore w:val="0"/>
        <w:wordWrap/>
        <w:bidi w:val="0"/>
        <w:spacing w:line="360" w:lineRule="auto"/>
        <w:ind w:left="0" w:leftChars="0" w:right="0" w:rightChars="0"/>
        <w:jc w:val="center"/>
        <w:rPr>
          <w:rFonts w:hint="default" w:ascii="Times New Roman" w:hAnsi="Times New Roman" w:eastAsia="宋体" w:cs="Times New Roman"/>
          <w:color w:val="auto"/>
          <w:sz w:val="24"/>
          <w:highlight w:val="none"/>
        </w:rPr>
      </w:pPr>
    </w:p>
    <w:p>
      <w:pPr>
        <w:pageBreakBefore w:val="0"/>
        <w:wordWrap/>
        <w:bidi w:val="0"/>
        <w:spacing w:line="360" w:lineRule="auto"/>
        <w:ind w:left="0" w:leftChars="0" w:right="0" w:rightChars="0"/>
        <w:jc w:val="center"/>
        <w:rPr>
          <w:rFonts w:hint="default" w:ascii="Times New Roman" w:hAnsi="Times New Roman" w:eastAsia="宋体" w:cs="Times New Roman"/>
          <w:color w:val="auto"/>
          <w:sz w:val="24"/>
          <w:highlight w:val="none"/>
        </w:rPr>
      </w:pPr>
    </w:p>
    <w:p>
      <w:pPr>
        <w:pageBreakBefore w:val="0"/>
        <w:wordWrap/>
        <w:bidi w:val="0"/>
        <w:spacing w:line="360" w:lineRule="auto"/>
        <w:ind w:left="0" w:leftChars="0" w:right="0" w:rightChars="0"/>
        <w:jc w:val="center"/>
        <w:rPr>
          <w:rFonts w:hint="default" w:ascii="Times New Roman" w:hAnsi="Times New Roman" w:eastAsia="宋体" w:cs="Times New Roman"/>
          <w:color w:val="auto"/>
          <w:sz w:val="24"/>
          <w:highlight w:val="none"/>
        </w:rPr>
      </w:pPr>
    </w:p>
    <w:p>
      <w:pPr>
        <w:pageBreakBefore w:val="0"/>
        <w:wordWrap/>
        <w:bidi w:val="0"/>
        <w:spacing w:line="360" w:lineRule="auto"/>
        <w:ind w:left="0" w:leftChars="0" w:right="0" w:rightChars="0"/>
        <w:jc w:val="center"/>
        <w:rPr>
          <w:rFonts w:hint="default" w:ascii="Times New Roman" w:hAnsi="Times New Roman" w:eastAsia="宋体" w:cs="Times New Roman"/>
          <w:color w:val="auto"/>
          <w:sz w:val="24"/>
          <w:highlight w:val="none"/>
        </w:rPr>
      </w:pPr>
    </w:p>
    <w:p>
      <w:pPr>
        <w:pageBreakBefore w:val="0"/>
        <w:wordWrap/>
        <w:bidi w:val="0"/>
        <w:spacing w:line="360" w:lineRule="auto"/>
        <w:ind w:left="0" w:leftChars="0" w:right="0" w:rightChars="0"/>
        <w:jc w:val="center"/>
        <w:rPr>
          <w:rFonts w:hint="default" w:ascii="Times New Roman" w:hAnsi="Times New Roman" w:eastAsia="宋体" w:cs="Times New Roman"/>
          <w:color w:val="auto"/>
          <w:sz w:val="24"/>
          <w:highlight w:val="none"/>
        </w:rPr>
      </w:pPr>
    </w:p>
    <w:p>
      <w:pPr>
        <w:pageBreakBefore w:val="0"/>
        <w:wordWrap/>
        <w:bidi w:val="0"/>
        <w:spacing w:line="360" w:lineRule="auto"/>
        <w:ind w:left="0" w:leftChars="0" w:right="0" w:rightChars="0"/>
        <w:jc w:val="center"/>
        <w:rPr>
          <w:rFonts w:hint="default" w:ascii="Times New Roman" w:hAnsi="Times New Roman" w:eastAsia="宋体" w:cs="Times New Roman"/>
          <w:color w:val="auto"/>
          <w:sz w:val="24"/>
          <w:highlight w:val="none"/>
        </w:rPr>
      </w:pPr>
    </w:p>
    <w:p>
      <w:pPr>
        <w:pageBreakBefore w:val="0"/>
        <w:wordWrap/>
        <w:bidi w:val="0"/>
        <w:spacing w:line="360" w:lineRule="auto"/>
        <w:ind w:left="0" w:leftChars="0" w:right="0" w:rightChars="0"/>
        <w:jc w:val="center"/>
        <w:rPr>
          <w:rFonts w:hint="default" w:ascii="Times New Roman" w:hAnsi="Times New Roman" w:eastAsia="宋体" w:cs="Times New Roman"/>
          <w:color w:val="auto"/>
          <w:sz w:val="24"/>
          <w:highlight w:val="none"/>
        </w:rPr>
      </w:pPr>
    </w:p>
    <w:p>
      <w:pPr>
        <w:pageBreakBefore w:val="0"/>
        <w:wordWrap/>
        <w:bidi w:val="0"/>
        <w:spacing w:line="360" w:lineRule="auto"/>
        <w:ind w:left="0" w:leftChars="0" w:right="0" w:rightChars="0"/>
        <w:jc w:val="center"/>
        <w:rPr>
          <w:rFonts w:hint="default" w:ascii="Times New Roman" w:hAnsi="Times New Roman" w:eastAsia="宋体" w:cs="Times New Roman"/>
          <w:color w:val="auto"/>
          <w:sz w:val="24"/>
          <w:highlight w:val="none"/>
        </w:rPr>
      </w:pPr>
    </w:p>
    <w:p>
      <w:pPr>
        <w:pageBreakBefore w:val="0"/>
        <w:wordWrap/>
        <w:bidi w:val="0"/>
        <w:spacing w:line="360" w:lineRule="auto"/>
        <w:ind w:left="0" w:leftChars="0" w:right="0" w:rightChars="0"/>
        <w:jc w:val="center"/>
        <w:rPr>
          <w:rFonts w:hint="default" w:ascii="Times New Roman" w:hAnsi="Times New Roman" w:eastAsia="宋体" w:cs="Times New Roman"/>
          <w:color w:val="auto"/>
          <w:sz w:val="24"/>
          <w:highlight w:val="none"/>
        </w:rPr>
      </w:pPr>
    </w:p>
    <w:p>
      <w:pPr>
        <w:pageBreakBefore w:val="0"/>
        <w:wordWrap/>
        <w:bidi w:val="0"/>
        <w:spacing w:line="360" w:lineRule="auto"/>
        <w:ind w:left="0" w:leftChars="0" w:right="0" w:rightChars="0"/>
        <w:jc w:val="center"/>
        <w:rPr>
          <w:rFonts w:hint="default" w:ascii="Times New Roman" w:hAnsi="Times New Roman" w:eastAsia="宋体" w:cs="Times New Roman"/>
          <w:color w:val="auto"/>
          <w:sz w:val="24"/>
          <w:highlight w:val="none"/>
        </w:rPr>
      </w:pPr>
    </w:p>
    <w:p>
      <w:pPr>
        <w:pageBreakBefore w:val="0"/>
        <w:wordWrap/>
        <w:bidi w:val="0"/>
        <w:spacing w:line="360" w:lineRule="auto"/>
        <w:ind w:left="0" w:leftChars="0" w:right="0" w:rightChars="0"/>
        <w:jc w:val="center"/>
        <w:rPr>
          <w:rFonts w:hint="default" w:ascii="Times New Roman" w:hAnsi="Times New Roman" w:eastAsia="宋体" w:cs="Times New Roman"/>
          <w:color w:val="auto"/>
          <w:sz w:val="24"/>
          <w:highlight w:val="none"/>
        </w:rPr>
      </w:pPr>
    </w:p>
    <w:p>
      <w:pPr>
        <w:pageBreakBefore w:val="0"/>
        <w:wordWrap/>
        <w:bidi w:val="0"/>
        <w:spacing w:line="360" w:lineRule="auto"/>
        <w:ind w:left="0" w:leftChars="0" w:right="0" w:rightChars="0"/>
        <w:jc w:val="center"/>
        <w:rPr>
          <w:rFonts w:hint="default" w:ascii="Times New Roman" w:hAnsi="Times New Roman" w:eastAsia="宋体" w:cs="Times New Roman"/>
          <w:b/>
          <w:bCs/>
          <w:color w:val="auto"/>
          <w:sz w:val="32"/>
          <w:szCs w:val="32"/>
          <w:highlight w:val="none"/>
        </w:rPr>
      </w:pPr>
    </w:p>
    <w:p>
      <w:pPr>
        <w:pageBreakBefore w:val="0"/>
        <w:wordWrap/>
        <w:bidi w:val="0"/>
        <w:spacing w:line="360" w:lineRule="auto"/>
        <w:ind w:left="0" w:leftChars="0" w:right="0" w:rightChars="0"/>
        <w:jc w:val="center"/>
        <w:outlineLvl w:val="0"/>
        <w:rPr>
          <w:rFonts w:hint="default" w:ascii="Times New Roman" w:hAnsi="Times New Roman" w:eastAsia="宋体" w:cs="Times New Roman"/>
          <w:b/>
          <w:bCs/>
          <w:color w:val="auto"/>
          <w:sz w:val="32"/>
          <w:szCs w:val="32"/>
          <w:highlight w:val="none"/>
        </w:rPr>
      </w:pPr>
      <w:bookmarkStart w:id="12" w:name="_Toc5035"/>
      <w:bookmarkStart w:id="13" w:name="_Toc10835"/>
      <w:bookmarkStart w:id="14" w:name="_Toc20198"/>
      <w:r>
        <w:rPr>
          <w:rFonts w:hint="default" w:ascii="Times New Roman" w:hAnsi="Times New Roman" w:eastAsia="宋体" w:cs="Times New Roman"/>
          <w:b/>
          <w:bCs/>
          <w:color w:val="auto"/>
          <w:sz w:val="32"/>
          <w:szCs w:val="32"/>
          <w:highlight w:val="none"/>
        </w:rPr>
        <w:t>建设单位</w:t>
      </w:r>
      <w:r>
        <w:rPr>
          <w:rFonts w:hint="default" w:ascii="Times New Roman" w:hAnsi="Times New Roman" w:eastAsia="宋体" w:cs="Times New Roman"/>
          <w:b/>
          <w:bCs/>
          <w:color w:val="auto"/>
          <w:sz w:val="32"/>
          <w:szCs w:val="32"/>
          <w:highlight w:val="none"/>
          <w:lang w:eastAsia="zh-CN"/>
        </w:rPr>
        <w:t>：</w:t>
      </w:r>
      <w:r>
        <w:rPr>
          <w:rFonts w:hint="default" w:ascii="Times New Roman" w:hAnsi="Times New Roman" w:eastAsia="宋体" w:cs="Times New Roman"/>
          <w:b/>
          <w:bCs/>
          <w:color w:val="auto"/>
          <w:sz w:val="32"/>
          <w:szCs w:val="32"/>
          <w:highlight w:val="none"/>
        </w:rPr>
        <w:t>乌拉特前旗西沙德盖钼业有限责任公司</w:t>
      </w:r>
      <w:bookmarkEnd w:id="12"/>
      <w:bookmarkEnd w:id="13"/>
      <w:bookmarkEnd w:id="14"/>
    </w:p>
    <w:p>
      <w:pPr>
        <w:pageBreakBefore w:val="0"/>
        <w:wordWrap/>
        <w:bidi w:val="0"/>
        <w:spacing w:line="360" w:lineRule="auto"/>
        <w:ind w:left="0" w:leftChars="0" w:right="0" w:rightChars="0"/>
        <w:jc w:val="center"/>
        <w:outlineLvl w:val="0"/>
        <w:rPr>
          <w:rFonts w:hint="default" w:ascii="Times New Roman" w:hAnsi="Times New Roman" w:eastAsia="宋体" w:cs="Times New Roman"/>
          <w:b/>
          <w:bCs/>
          <w:color w:val="auto"/>
          <w:sz w:val="32"/>
          <w:szCs w:val="32"/>
          <w:highlight w:val="none"/>
        </w:rPr>
      </w:pPr>
      <w:bookmarkStart w:id="15" w:name="_Toc22706"/>
      <w:bookmarkStart w:id="16" w:name="_Toc3153"/>
      <w:bookmarkStart w:id="17" w:name="_Toc31431"/>
      <w:r>
        <w:rPr>
          <w:rFonts w:hint="default" w:ascii="Times New Roman" w:hAnsi="Times New Roman" w:eastAsia="宋体" w:cs="Times New Roman"/>
          <w:b/>
          <w:bCs/>
          <w:color w:val="auto"/>
          <w:sz w:val="32"/>
          <w:szCs w:val="32"/>
          <w:highlight w:val="none"/>
        </w:rPr>
        <w:t>评价单位</w:t>
      </w:r>
      <w:r>
        <w:rPr>
          <w:rFonts w:hint="default" w:ascii="Times New Roman" w:hAnsi="Times New Roman" w:eastAsia="宋体" w:cs="Times New Roman"/>
          <w:b/>
          <w:bCs/>
          <w:color w:val="auto"/>
          <w:sz w:val="32"/>
          <w:szCs w:val="32"/>
          <w:highlight w:val="none"/>
          <w:lang w:eastAsia="zh-CN"/>
        </w:rPr>
        <w:t>：</w:t>
      </w:r>
      <w:r>
        <w:rPr>
          <w:rFonts w:hint="default" w:ascii="Times New Roman" w:hAnsi="Times New Roman" w:eastAsia="宋体" w:cs="Times New Roman"/>
          <w:b/>
          <w:bCs/>
          <w:color w:val="auto"/>
          <w:sz w:val="32"/>
          <w:szCs w:val="32"/>
          <w:highlight w:val="none"/>
        </w:rPr>
        <w:t>内蒙古同人工程技术咨询有限公司</w:t>
      </w:r>
      <w:bookmarkEnd w:id="15"/>
      <w:bookmarkEnd w:id="16"/>
      <w:bookmarkEnd w:id="17"/>
    </w:p>
    <w:p>
      <w:pPr>
        <w:pageBreakBefore w:val="0"/>
        <w:wordWrap/>
        <w:bidi w:val="0"/>
        <w:spacing w:line="360" w:lineRule="auto"/>
        <w:ind w:left="0" w:leftChars="0" w:right="0" w:rightChars="0"/>
        <w:jc w:val="center"/>
        <w:rPr>
          <w:rFonts w:hint="default" w:ascii="Times New Roman" w:hAnsi="Times New Roman" w:eastAsia="宋体" w:cs="Times New Roman"/>
          <w:b/>
          <w:bCs/>
          <w:color w:val="auto"/>
          <w:sz w:val="32"/>
          <w:szCs w:val="32"/>
          <w:highlight w:val="none"/>
        </w:rPr>
      </w:pPr>
      <w:r>
        <w:rPr>
          <w:rFonts w:hint="default" w:ascii="Times New Roman" w:hAnsi="Times New Roman" w:eastAsia="宋体" w:cs="Times New Roman"/>
          <w:b/>
          <w:bCs/>
          <w:color w:val="auto"/>
          <w:sz w:val="32"/>
          <w:szCs w:val="32"/>
          <w:highlight w:val="none"/>
        </w:rPr>
        <w:t>二〇二</w:t>
      </w:r>
      <w:r>
        <w:rPr>
          <w:rFonts w:hint="default" w:ascii="Times New Roman" w:hAnsi="Times New Roman" w:eastAsia="宋体" w:cs="Times New Roman"/>
          <w:b/>
          <w:bCs/>
          <w:color w:val="auto"/>
          <w:sz w:val="32"/>
          <w:szCs w:val="32"/>
          <w:highlight w:val="none"/>
          <w:lang w:val="en-US" w:eastAsia="zh-CN"/>
        </w:rPr>
        <w:t>四</w:t>
      </w:r>
      <w:r>
        <w:rPr>
          <w:rFonts w:hint="default" w:ascii="Times New Roman" w:hAnsi="Times New Roman" w:eastAsia="宋体" w:cs="Times New Roman"/>
          <w:b/>
          <w:bCs/>
          <w:color w:val="auto"/>
          <w:sz w:val="32"/>
          <w:szCs w:val="32"/>
          <w:highlight w:val="none"/>
        </w:rPr>
        <w:t>年</w:t>
      </w:r>
      <w:r>
        <w:rPr>
          <w:rFonts w:hint="default" w:ascii="Times New Roman" w:hAnsi="Times New Roman" w:eastAsia="宋体" w:cs="Times New Roman"/>
          <w:b/>
          <w:bCs/>
          <w:color w:val="auto"/>
          <w:sz w:val="32"/>
          <w:szCs w:val="32"/>
          <w:highlight w:val="none"/>
          <w:lang w:val="en-US" w:eastAsia="zh-CN"/>
        </w:rPr>
        <w:t>三</w:t>
      </w:r>
      <w:r>
        <w:rPr>
          <w:rFonts w:hint="default" w:ascii="Times New Roman" w:hAnsi="Times New Roman" w:eastAsia="宋体" w:cs="Times New Roman"/>
          <w:b/>
          <w:bCs/>
          <w:color w:val="auto"/>
          <w:sz w:val="32"/>
          <w:szCs w:val="32"/>
          <w:highlight w:val="none"/>
        </w:rPr>
        <w:t>月</w:t>
      </w:r>
    </w:p>
    <w:p>
      <w:pPr>
        <w:pageBreakBefore w:val="0"/>
        <w:wordWrap/>
        <w:bidi w:val="0"/>
        <w:spacing w:line="360" w:lineRule="auto"/>
        <w:ind w:left="0" w:leftChars="0" w:right="0" w:rightChars="0"/>
        <w:jc w:val="center"/>
        <w:rPr>
          <w:rFonts w:hint="default" w:ascii="Times New Roman" w:hAnsi="Times New Roman" w:eastAsia="宋体" w:cs="Times New Roman"/>
          <w:b/>
          <w:bCs/>
          <w:color w:val="auto"/>
          <w:sz w:val="32"/>
          <w:szCs w:val="32"/>
          <w:highlight w:val="none"/>
        </w:rPr>
      </w:pPr>
    </w:p>
    <w:p>
      <w:pPr>
        <w:pageBreakBefore w:val="0"/>
        <w:wordWrap/>
        <w:bidi w:val="0"/>
        <w:spacing w:line="360" w:lineRule="auto"/>
        <w:ind w:left="0" w:leftChars="0" w:right="0" w:rightChars="0"/>
        <w:jc w:val="center"/>
        <w:rPr>
          <w:rFonts w:hint="default" w:ascii="Times New Roman" w:hAnsi="Times New Roman" w:eastAsia="宋体" w:cs="Times New Roman"/>
          <w:b/>
          <w:bCs/>
          <w:color w:val="auto"/>
          <w:sz w:val="32"/>
          <w:szCs w:val="32"/>
          <w:highlight w:val="none"/>
        </w:rPr>
        <w:sectPr>
          <w:footerReference r:id="rId6" w:type="first"/>
          <w:footerReference r:id="rId4" w:type="default"/>
          <w:headerReference r:id="rId3" w:type="even"/>
          <w:footerReference r:id="rId5" w:type="even"/>
          <w:type w:val="oddPage"/>
          <w:pgSz w:w="11906" w:h="16838"/>
          <w:pgMar w:top="1440" w:right="1800" w:bottom="1440" w:left="1800" w:header="851" w:footer="851" w:gutter="0"/>
          <w:pgNumType w:fmt="decimal"/>
          <w:cols w:space="720" w:num="1"/>
          <w:docGrid w:linePitch="312" w:charSpace="0"/>
        </w:sectPr>
      </w:pPr>
    </w:p>
    <w:p>
      <w:pPr>
        <w:pageBreakBefore w:val="0"/>
        <w:wordWrap/>
        <w:bidi w:val="0"/>
        <w:spacing w:line="360" w:lineRule="auto"/>
        <w:ind w:left="0" w:leftChars="0" w:right="0" w:rightChars="0" w:firstLine="482" w:firstLineChars="200"/>
        <w:jc w:val="center"/>
        <w:rPr>
          <w:rFonts w:hint="default" w:ascii="Times New Roman" w:hAnsi="Times New Roman" w:eastAsia="宋体" w:cs="Times New Roman"/>
          <w:b/>
          <w:color w:val="auto"/>
          <w:sz w:val="24"/>
          <w:highlight w:val="none"/>
          <w:lang w:eastAsia="zh-CN"/>
        </w:rPr>
      </w:pPr>
    </w:p>
    <w:p>
      <w:pPr>
        <w:pageBreakBefore w:val="0"/>
        <w:wordWrap/>
        <w:bidi w:val="0"/>
        <w:spacing w:line="360" w:lineRule="auto"/>
        <w:ind w:left="0" w:leftChars="0" w:right="0" w:rightChars="0" w:firstLine="482" w:firstLineChars="200"/>
        <w:jc w:val="center"/>
        <w:rPr>
          <w:rFonts w:hint="default" w:ascii="Times New Roman" w:hAnsi="Times New Roman" w:eastAsia="宋体" w:cs="Times New Roman"/>
          <w:b/>
          <w:color w:val="auto"/>
          <w:sz w:val="24"/>
          <w:highlight w:val="none"/>
          <w:lang w:eastAsia="zh-CN"/>
        </w:rPr>
      </w:pPr>
    </w:p>
    <w:p>
      <w:pPr>
        <w:pageBreakBefore w:val="0"/>
        <w:wordWrap/>
        <w:bidi w:val="0"/>
        <w:spacing w:line="360" w:lineRule="auto"/>
        <w:ind w:left="0" w:leftChars="0" w:right="0" w:rightChars="0" w:firstLine="482" w:firstLineChars="200"/>
        <w:jc w:val="center"/>
        <w:rPr>
          <w:rFonts w:hint="default" w:ascii="Times New Roman" w:hAnsi="Times New Roman" w:eastAsia="宋体" w:cs="Times New Roman"/>
          <w:b/>
          <w:color w:val="auto"/>
          <w:sz w:val="24"/>
          <w:highlight w:val="none"/>
          <w:lang w:eastAsia="zh-CN"/>
        </w:rPr>
      </w:pPr>
    </w:p>
    <w:p>
      <w:pPr>
        <w:pageBreakBefore w:val="0"/>
        <w:wordWrap/>
        <w:bidi w:val="0"/>
        <w:spacing w:line="360" w:lineRule="auto"/>
        <w:ind w:left="0" w:leftChars="0" w:right="0" w:rightChars="0" w:firstLine="482" w:firstLineChars="200"/>
        <w:jc w:val="center"/>
        <w:rPr>
          <w:rFonts w:hint="default" w:ascii="Times New Roman" w:hAnsi="Times New Roman" w:eastAsia="宋体" w:cs="Times New Roman"/>
          <w:b/>
          <w:color w:val="auto"/>
          <w:sz w:val="24"/>
          <w:highlight w:val="none"/>
          <w:lang w:eastAsia="zh-CN"/>
        </w:rPr>
      </w:pPr>
    </w:p>
    <w:p>
      <w:pPr>
        <w:pageBreakBefore w:val="0"/>
        <w:wordWrap/>
        <w:bidi w:val="0"/>
        <w:spacing w:line="360" w:lineRule="auto"/>
        <w:ind w:left="0" w:leftChars="0" w:right="0" w:rightChars="0" w:firstLine="482" w:firstLineChars="200"/>
        <w:jc w:val="center"/>
        <w:rPr>
          <w:rFonts w:hint="default" w:ascii="Times New Roman" w:hAnsi="Times New Roman" w:eastAsia="宋体" w:cs="Times New Roman"/>
          <w:b/>
          <w:color w:val="auto"/>
          <w:sz w:val="24"/>
          <w:highlight w:val="none"/>
          <w:lang w:eastAsia="zh-CN"/>
        </w:rPr>
      </w:pPr>
    </w:p>
    <w:p>
      <w:pPr>
        <w:pageBreakBefore w:val="0"/>
        <w:wordWrap/>
        <w:bidi w:val="0"/>
        <w:spacing w:line="360" w:lineRule="auto"/>
        <w:ind w:left="0" w:leftChars="0" w:right="0" w:rightChars="0" w:firstLine="482" w:firstLineChars="200"/>
        <w:jc w:val="center"/>
        <w:rPr>
          <w:rFonts w:hint="default" w:ascii="Times New Roman" w:hAnsi="Times New Roman" w:eastAsia="宋体" w:cs="Times New Roman"/>
          <w:b/>
          <w:color w:val="auto"/>
          <w:sz w:val="24"/>
          <w:highlight w:val="none"/>
          <w:lang w:eastAsia="zh-CN"/>
        </w:rPr>
      </w:pPr>
    </w:p>
    <w:p>
      <w:pPr>
        <w:pageBreakBefore w:val="0"/>
        <w:wordWrap/>
        <w:bidi w:val="0"/>
        <w:spacing w:line="360" w:lineRule="auto"/>
        <w:ind w:left="0" w:leftChars="0" w:right="0" w:rightChars="0" w:firstLine="482" w:firstLineChars="200"/>
        <w:jc w:val="center"/>
        <w:rPr>
          <w:rFonts w:hint="default" w:ascii="Times New Roman" w:hAnsi="Times New Roman" w:eastAsia="宋体" w:cs="Times New Roman"/>
          <w:b/>
          <w:color w:val="auto"/>
          <w:sz w:val="24"/>
          <w:highlight w:val="none"/>
          <w:lang w:eastAsia="zh-CN"/>
        </w:rPr>
      </w:pPr>
    </w:p>
    <w:p>
      <w:pPr>
        <w:pageBreakBefore w:val="0"/>
        <w:wordWrap/>
        <w:bidi w:val="0"/>
        <w:spacing w:line="360" w:lineRule="auto"/>
        <w:ind w:left="0" w:leftChars="0" w:right="0" w:rightChars="0" w:firstLine="482" w:firstLineChars="200"/>
        <w:jc w:val="center"/>
        <w:rPr>
          <w:rFonts w:hint="default" w:ascii="Times New Roman" w:hAnsi="Times New Roman" w:eastAsia="宋体" w:cs="Times New Roman"/>
          <w:b/>
          <w:color w:val="auto"/>
          <w:sz w:val="24"/>
          <w:highlight w:val="none"/>
          <w:lang w:eastAsia="zh-CN"/>
        </w:rPr>
      </w:pPr>
    </w:p>
    <w:p>
      <w:pPr>
        <w:pageBreakBefore w:val="0"/>
        <w:wordWrap/>
        <w:bidi w:val="0"/>
        <w:spacing w:line="360" w:lineRule="auto"/>
        <w:ind w:left="0" w:leftChars="0" w:right="0" w:rightChars="0" w:firstLine="482" w:firstLineChars="200"/>
        <w:jc w:val="center"/>
        <w:rPr>
          <w:rFonts w:hint="default" w:ascii="Times New Roman" w:hAnsi="Times New Roman" w:eastAsia="宋体" w:cs="Times New Roman"/>
          <w:b/>
          <w:color w:val="auto"/>
          <w:sz w:val="24"/>
          <w:highlight w:val="none"/>
          <w:lang w:eastAsia="zh-CN"/>
        </w:rPr>
      </w:pPr>
    </w:p>
    <w:p>
      <w:pPr>
        <w:pageBreakBefore w:val="0"/>
        <w:wordWrap/>
        <w:bidi w:val="0"/>
        <w:spacing w:line="360" w:lineRule="auto"/>
        <w:ind w:left="0" w:leftChars="0" w:right="0" w:rightChars="0" w:firstLine="482" w:firstLineChars="200"/>
        <w:jc w:val="center"/>
        <w:rPr>
          <w:rFonts w:hint="default" w:ascii="Times New Roman" w:hAnsi="Times New Roman" w:eastAsia="宋体" w:cs="Times New Roman"/>
          <w:b/>
          <w:color w:val="auto"/>
          <w:sz w:val="24"/>
          <w:highlight w:val="none"/>
          <w:lang w:eastAsia="zh-CN"/>
        </w:rPr>
      </w:pPr>
    </w:p>
    <w:p>
      <w:pPr>
        <w:pageBreakBefore w:val="0"/>
        <w:wordWrap/>
        <w:bidi w:val="0"/>
        <w:spacing w:line="360" w:lineRule="auto"/>
        <w:ind w:left="0" w:leftChars="0" w:right="0" w:rightChars="0" w:firstLine="482" w:firstLineChars="200"/>
        <w:jc w:val="center"/>
        <w:rPr>
          <w:rFonts w:hint="default" w:ascii="Times New Roman" w:hAnsi="Times New Roman" w:eastAsia="宋体" w:cs="Times New Roman"/>
          <w:b/>
          <w:color w:val="auto"/>
          <w:sz w:val="24"/>
          <w:highlight w:val="none"/>
          <w:lang w:eastAsia="zh-CN"/>
        </w:rPr>
      </w:pPr>
    </w:p>
    <w:p>
      <w:pPr>
        <w:pageBreakBefore w:val="0"/>
        <w:wordWrap/>
        <w:bidi w:val="0"/>
        <w:spacing w:line="360" w:lineRule="auto"/>
        <w:ind w:left="0" w:leftChars="0" w:right="0" w:rightChars="0" w:firstLine="482" w:firstLineChars="200"/>
        <w:jc w:val="center"/>
        <w:rPr>
          <w:rFonts w:hint="default" w:ascii="Times New Roman" w:hAnsi="Times New Roman" w:eastAsia="宋体" w:cs="Times New Roman"/>
          <w:b/>
          <w:color w:val="auto"/>
          <w:sz w:val="24"/>
          <w:highlight w:val="none"/>
          <w:lang w:eastAsia="zh-CN"/>
        </w:rPr>
      </w:pPr>
    </w:p>
    <w:p>
      <w:pPr>
        <w:pageBreakBefore w:val="0"/>
        <w:wordWrap/>
        <w:bidi w:val="0"/>
        <w:spacing w:line="360" w:lineRule="auto"/>
        <w:ind w:left="0" w:leftChars="0" w:right="0" w:rightChars="0" w:firstLine="482" w:firstLineChars="200"/>
        <w:jc w:val="center"/>
        <w:rPr>
          <w:rFonts w:hint="default" w:ascii="Times New Roman" w:hAnsi="Times New Roman" w:eastAsia="宋体" w:cs="Times New Roman"/>
          <w:b/>
          <w:color w:val="auto"/>
          <w:sz w:val="24"/>
          <w:highlight w:val="none"/>
          <w:lang w:eastAsia="zh-CN"/>
        </w:rPr>
      </w:pPr>
    </w:p>
    <w:p>
      <w:pPr>
        <w:pageBreakBefore w:val="0"/>
        <w:wordWrap/>
        <w:bidi w:val="0"/>
        <w:spacing w:line="360" w:lineRule="auto"/>
        <w:ind w:left="0" w:leftChars="0" w:right="0" w:rightChars="0" w:firstLine="482" w:firstLineChars="200"/>
        <w:jc w:val="center"/>
        <w:rPr>
          <w:rFonts w:hint="default" w:ascii="Times New Roman" w:hAnsi="Times New Roman" w:eastAsia="宋体" w:cs="Times New Roman"/>
          <w:b/>
          <w:color w:val="auto"/>
          <w:sz w:val="24"/>
          <w:highlight w:val="none"/>
          <w:lang w:eastAsia="zh-CN"/>
        </w:rPr>
      </w:pPr>
    </w:p>
    <w:p>
      <w:pPr>
        <w:pageBreakBefore w:val="0"/>
        <w:wordWrap/>
        <w:bidi w:val="0"/>
        <w:spacing w:line="360" w:lineRule="auto"/>
        <w:ind w:left="0" w:leftChars="0" w:right="0" w:rightChars="0" w:firstLine="482" w:firstLineChars="200"/>
        <w:jc w:val="center"/>
        <w:rPr>
          <w:rFonts w:hint="default" w:ascii="Times New Roman" w:hAnsi="Times New Roman" w:eastAsia="宋体" w:cs="Times New Roman"/>
          <w:b/>
          <w:color w:val="auto"/>
          <w:sz w:val="24"/>
          <w:highlight w:val="none"/>
          <w:lang w:eastAsia="zh-CN"/>
        </w:rPr>
      </w:pPr>
    </w:p>
    <w:p>
      <w:pPr>
        <w:pageBreakBefore w:val="0"/>
        <w:wordWrap/>
        <w:bidi w:val="0"/>
        <w:spacing w:line="360" w:lineRule="auto"/>
        <w:ind w:left="0" w:leftChars="0" w:right="0" w:rightChars="0" w:firstLine="482" w:firstLineChars="200"/>
        <w:jc w:val="center"/>
        <w:rPr>
          <w:rFonts w:hint="default" w:ascii="Times New Roman" w:hAnsi="Times New Roman" w:eastAsia="宋体" w:cs="Times New Roman"/>
          <w:b/>
          <w:color w:val="auto"/>
          <w:sz w:val="24"/>
          <w:highlight w:val="none"/>
          <w:lang w:eastAsia="zh-CN"/>
        </w:rPr>
      </w:pPr>
    </w:p>
    <w:p>
      <w:pPr>
        <w:pageBreakBefore w:val="0"/>
        <w:wordWrap/>
        <w:bidi w:val="0"/>
        <w:spacing w:line="360" w:lineRule="auto"/>
        <w:ind w:left="0" w:leftChars="0" w:right="0" w:rightChars="0" w:firstLine="482" w:firstLineChars="200"/>
        <w:jc w:val="center"/>
        <w:rPr>
          <w:rFonts w:hint="default" w:ascii="Times New Roman" w:hAnsi="Times New Roman" w:eastAsia="宋体" w:cs="Times New Roman"/>
          <w:b/>
          <w:color w:val="auto"/>
          <w:sz w:val="24"/>
          <w:highlight w:val="none"/>
          <w:lang w:eastAsia="zh-CN"/>
        </w:rPr>
      </w:pPr>
    </w:p>
    <w:p>
      <w:pPr>
        <w:pageBreakBefore w:val="0"/>
        <w:wordWrap/>
        <w:bidi w:val="0"/>
        <w:spacing w:line="360" w:lineRule="auto"/>
        <w:ind w:left="0" w:leftChars="0" w:right="0" w:rightChars="0" w:firstLine="482" w:firstLineChars="200"/>
        <w:jc w:val="center"/>
        <w:rPr>
          <w:rFonts w:hint="default" w:ascii="Times New Roman" w:hAnsi="Times New Roman" w:eastAsia="宋体" w:cs="Times New Roman"/>
          <w:b/>
          <w:color w:val="auto"/>
          <w:sz w:val="24"/>
          <w:highlight w:val="none"/>
          <w:lang w:eastAsia="zh-CN"/>
        </w:rPr>
      </w:pPr>
    </w:p>
    <w:p>
      <w:pPr>
        <w:pageBreakBefore w:val="0"/>
        <w:wordWrap/>
        <w:bidi w:val="0"/>
        <w:spacing w:line="360" w:lineRule="auto"/>
        <w:ind w:left="0" w:leftChars="0" w:right="0" w:rightChars="0" w:firstLine="482" w:firstLineChars="200"/>
        <w:jc w:val="center"/>
        <w:rPr>
          <w:rFonts w:hint="default" w:ascii="Times New Roman" w:hAnsi="Times New Roman" w:eastAsia="宋体" w:cs="Times New Roman"/>
          <w:b/>
          <w:color w:val="auto"/>
          <w:sz w:val="24"/>
          <w:highlight w:val="none"/>
          <w:lang w:eastAsia="zh-CN"/>
        </w:rPr>
      </w:pPr>
    </w:p>
    <w:p>
      <w:pPr>
        <w:pageBreakBefore w:val="0"/>
        <w:wordWrap/>
        <w:bidi w:val="0"/>
        <w:spacing w:line="360" w:lineRule="auto"/>
        <w:ind w:left="0" w:leftChars="0" w:right="0" w:rightChars="0" w:firstLine="482" w:firstLineChars="200"/>
        <w:jc w:val="center"/>
        <w:rPr>
          <w:rFonts w:hint="default" w:ascii="Times New Roman" w:hAnsi="Times New Roman" w:eastAsia="宋体" w:cs="Times New Roman"/>
          <w:b/>
          <w:color w:val="auto"/>
          <w:sz w:val="24"/>
          <w:highlight w:val="none"/>
          <w:lang w:eastAsia="zh-CN"/>
        </w:rPr>
      </w:pPr>
    </w:p>
    <w:p>
      <w:pPr>
        <w:pageBreakBefore w:val="0"/>
        <w:wordWrap/>
        <w:bidi w:val="0"/>
        <w:spacing w:line="360" w:lineRule="auto"/>
        <w:ind w:left="0" w:leftChars="0" w:right="0" w:rightChars="0" w:firstLine="482" w:firstLineChars="200"/>
        <w:jc w:val="center"/>
        <w:rPr>
          <w:rFonts w:hint="default" w:ascii="Times New Roman" w:hAnsi="Times New Roman" w:eastAsia="宋体" w:cs="Times New Roman"/>
          <w:b/>
          <w:color w:val="auto"/>
          <w:sz w:val="24"/>
          <w:highlight w:val="none"/>
          <w:lang w:eastAsia="zh-CN"/>
        </w:rPr>
        <w:sectPr>
          <w:footerReference r:id="rId9" w:type="first"/>
          <w:footerReference r:id="rId7" w:type="default"/>
          <w:footerReference r:id="rId8" w:type="even"/>
          <w:pgSz w:w="11906" w:h="16838"/>
          <w:pgMar w:top="1440" w:right="1800" w:bottom="1440" w:left="1800" w:header="851" w:footer="851" w:gutter="0"/>
          <w:pgNumType w:fmt="decimal"/>
          <w:cols w:space="720" w:num="1"/>
          <w:titlePg/>
          <w:docGrid w:linePitch="312" w:charSpace="0"/>
        </w:sectPr>
      </w:pPr>
    </w:p>
    <w:sdt>
      <w:sdtPr>
        <w:rPr>
          <w:rFonts w:hint="default" w:ascii="Times New Roman" w:hAnsi="Times New Roman" w:eastAsia="宋体" w:cs="Times New Roman"/>
          <w:b/>
          <w:bCs/>
          <w:color w:val="auto"/>
          <w:kern w:val="2"/>
          <w:sz w:val="32"/>
          <w:szCs w:val="40"/>
          <w:lang w:val="en-US" w:eastAsia="zh-CN" w:bidi="ar-SA"/>
        </w:rPr>
        <w:id w:val="147463591"/>
        <w15:color w:val="DBDBDB"/>
        <w:docPartObj>
          <w:docPartGallery w:val="Table of Contents"/>
          <w:docPartUnique/>
        </w:docPartObj>
      </w:sdtPr>
      <w:sdtEndPr>
        <w:rPr>
          <w:rFonts w:hint="default" w:ascii="Times New Roman" w:hAnsi="Times New Roman" w:eastAsia="宋体" w:cs="Times New Roman"/>
          <w:b/>
          <w:bCs/>
          <w:color w:val="auto"/>
          <w:kern w:val="2"/>
          <w:sz w:val="24"/>
          <w:szCs w:val="24"/>
          <w:highlight w:val="none"/>
          <w:lang w:val="en-US" w:eastAsia="zh-CN" w:bidi="ar-SA"/>
        </w:rPr>
      </w:sdtEndPr>
      <w:sdtContent>
        <w:p>
          <w:pPr>
            <w:spacing w:before="0" w:beforeLines="0" w:after="0" w:afterLines="0" w:line="240" w:lineRule="auto"/>
            <w:ind w:left="0" w:leftChars="0" w:right="0" w:rightChars="0" w:firstLine="0" w:firstLineChars="0"/>
            <w:jc w:val="center"/>
            <w:rPr>
              <w:rFonts w:hint="default" w:ascii="Times New Roman" w:hAnsi="Times New Roman" w:eastAsia="宋体" w:cs="Times New Roman"/>
              <w:b/>
              <w:bCs/>
              <w:color w:val="auto"/>
              <w:sz w:val="32"/>
              <w:szCs w:val="40"/>
            </w:rPr>
          </w:pPr>
          <w:r>
            <w:rPr>
              <w:rFonts w:hint="default" w:ascii="Times New Roman" w:hAnsi="Times New Roman" w:eastAsia="宋体" w:cs="Times New Roman"/>
              <w:b/>
              <w:bCs/>
              <w:color w:val="auto"/>
              <w:sz w:val="32"/>
              <w:szCs w:val="40"/>
            </w:rPr>
            <w:t>目录</w:t>
          </w:r>
        </w:p>
        <w:p>
          <w:pPr>
            <w:pStyle w:val="39"/>
            <w:tabs>
              <w:tab w:val="right" w:leader="dot" w:pos="8306"/>
            </w:tabs>
            <w:rPr>
              <w:rFonts w:hint="default" w:ascii="Times New Roman" w:hAnsi="Times New Roman" w:eastAsia="宋体" w:cs="Times New Roman"/>
              <w:color w:val="auto"/>
            </w:rPr>
          </w:pPr>
          <w:r>
            <w:rPr>
              <w:rFonts w:hint="default" w:ascii="Times New Roman" w:hAnsi="Times New Roman" w:eastAsia="宋体" w:cs="Times New Roman"/>
              <w:color w:val="auto"/>
              <w:kern w:val="2"/>
              <w:sz w:val="24"/>
              <w:szCs w:val="24"/>
              <w:highlight w:val="none"/>
              <w:lang w:val="en-US" w:eastAsia="zh-CN" w:bidi="ar-SA"/>
            </w:rPr>
            <w:fldChar w:fldCharType="begin"/>
          </w:r>
          <w:r>
            <w:rPr>
              <w:rFonts w:hint="default" w:ascii="Times New Roman" w:hAnsi="Times New Roman" w:eastAsia="宋体" w:cs="Times New Roman"/>
              <w:color w:val="auto"/>
              <w:kern w:val="2"/>
              <w:sz w:val="24"/>
              <w:szCs w:val="24"/>
              <w:highlight w:val="none"/>
              <w:lang w:val="en-US" w:eastAsia="zh-CN" w:bidi="ar-SA"/>
            </w:rPr>
            <w:instrText xml:space="preserve">TOC \o "1-3" \h \u </w:instrText>
          </w:r>
          <w:r>
            <w:rPr>
              <w:rFonts w:hint="default" w:ascii="Times New Roman" w:hAnsi="Times New Roman" w:eastAsia="宋体" w:cs="Times New Roman"/>
              <w:color w:val="auto"/>
              <w:kern w:val="2"/>
              <w:sz w:val="24"/>
              <w:szCs w:val="24"/>
              <w:highlight w:val="none"/>
              <w:lang w:val="en-US" w:eastAsia="zh-CN" w:bidi="ar-SA"/>
            </w:rPr>
            <w:fldChar w:fldCharType="separate"/>
          </w:r>
        </w:p>
        <w:p>
          <w:pPr>
            <w:pStyle w:val="39"/>
            <w:keepNext w:val="0"/>
            <w:keepLines w:val="0"/>
            <w:pageBreakBefore w:val="0"/>
            <w:widowControl w:val="0"/>
            <w:tabs>
              <w:tab w:val="right" w:leader="dot" w:pos="8306"/>
            </w:tabs>
            <w:kinsoku/>
            <w:wordWrap/>
            <w:overflowPunct/>
            <w:topLinePunct w:val="0"/>
            <w:autoSpaceDE/>
            <w:autoSpaceDN/>
            <w:bidi w:val="0"/>
            <w:adjustRightInd/>
            <w:snapToGrid/>
            <w:spacing w:before="0" w:after="0" w:line="360" w:lineRule="auto"/>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2"/>
              <w:sz w:val="24"/>
              <w:szCs w:val="24"/>
              <w:highlight w:val="none"/>
              <w:lang w:val="en-US" w:eastAsia="zh-CN" w:bidi="ar-SA"/>
            </w:rPr>
            <w:fldChar w:fldCharType="begin"/>
          </w:r>
          <w:r>
            <w:rPr>
              <w:rFonts w:hint="default" w:ascii="Times New Roman" w:hAnsi="Times New Roman" w:eastAsia="宋体" w:cs="Times New Roman"/>
              <w:color w:val="auto"/>
              <w:kern w:val="2"/>
              <w:sz w:val="24"/>
              <w:szCs w:val="24"/>
              <w:highlight w:val="none"/>
              <w:lang w:val="en-US" w:eastAsia="zh-CN" w:bidi="ar-SA"/>
            </w:rPr>
            <w:instrText xml:space="preserve"> HYPERLINK \l _Toc5174 </w:instrText>
          </w:r>
          <w:r>
            <w:rPr>
              <w:rFonts w:hint="default" w:ascii="Times New Roman" w:hAnsi="Times New Roman" w:eastAsia="宋体" w:cs="Times New Roman"/>
              <w:color w:val="auto"/>
              <w:kern w:val="2"/>
              <w:sz w:val="24"/>
              <w:szCs w:val="24"/>
              <w:highlight w:val="none"/>
              <w:lang w:val="en-US" w:eastAsia="zh-CN" w:bidi="ar-SA"/>
            </w:rPr>
            <w:fldChar w:fldCharType="separate"/>
          </w:r>
          <w:r>
            <w:rPr>
              <w:rFonts w:hint="default" w:ascii="Times New Roman" w:hAnsi="Times New Roman" w:eastAsia="宋体" w:cs="Times New Roman"/>
              <w:bCs w:val="0"/>
              <w:color w:val="auto"/>
              <w:sz w:val="24"/>
              <w:szCs w:val="24"/>
              <w:highlight w:val="none"/>
            </w:rPr>
            <w:t>概述</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_Toc5174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kern w:val="2"/>
              <w:sz w:val="24"/>
              <w:szCs w:val="24"/>
              <w:highlight w:val="none"/>
              <w:lang w:val="en-US" w:eastAsia="zh-CN" w:bidi="ar-SA"/>
            </w:rPr>
            <w:fldChar w:fldCharType="end"/>
          </w:r>
        </w:p>
        <w:p>
          <w:pPr>
            <w:pStyle w:val="45"/>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leftChars="0" w:firstLine="0" w:firstLineChars="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2"/>
              <w:sz w:val="24"/>
              <w:szCs w:val="24"/>
              <w:highlight w:val="none"/>
              <w:lang w:val="en-US" w:eastAsia="zh-CN" w:bidi="ar-SA"/>
            </w:rPr>
            <w:fldChar w:fldCharType="begin"/>
          </w:r>
          <w:r>
            <w:rPr>
              <w:rFonts w:hint="default" w:ascii="Times New Roman" w:hAnsi="Times New Roman" w:eastAsia="宋体" w:cs="Times New Roman"/>
              <w:color w:val="auto"/>
              <w:kern w:val="2"/>
              <w:sz w:val="24"/>
              <w:szCs w:val="24"/>
              <w:highlight w:val="none"/>
              <w:lang w:val="en-US" w:eastAsia="zh-CN" w:bidi="ar-SA"/>
            </w:rPr>
            <w:instrText xml:space="preserve"> HYPERLINK \l _Toc6946 </w:instrText>
          </w:r>
          <w:r>
            <w:rPr>
              <w:rFonts w:hint="default" w:ascii="Times New Roman" w:hAnsi="Times New Roman" w:eastAsia="宋体" w:cs="Times New Roman"/>
              <w:color w:val="auto"/>
              <w:kern w:val="2"/>
              <w:sz w:val="24"/>
              <w:szCs w:val="24"/>
              <w:highlight w:val="none"/>
              <w:lang w:val="en-US" w:eastAsia="zh-CN" w:bidi="ar-SA"/>
            </w:rPr>
            <w:fldChar w:fldCharType="separate"/>
          </w:r>
          <w:r>
            <w:rPr>
              <w:rFonts w:hint="default" w:ascii="Times New Roman" w:hAnsi="Times New Roman" w:eastAsia="宋体" w:cs="Times New Roman"/>
              <w:bCs/>
              <w:i w:val="0"/>
              <w:color w:val="auto"/>
              <w:kern w:val="44"/>
              <w:sz w:val="24"/>
              <w:szCs w:val="24"/>
              <w:highlight w:val="none"/>
              <w:lang w:val="en-US" w:eastAsia="zh-CN" w:bidi="ar-SA"/>
            </w:rPr>
            <w:t>1</w:t>
          </w:r>
          <w:r>
            <w:rPr>
              <w:rFonts w:hint="default" w:ascii="Times New Roman" w:hAnsi="Times New Roman" w:eastAsia="宋体" w:cs="Times New Roman"/>
              <w:bCs/>
              <w:color w:val="auto"/>
              <w:sz w:val="24"/>
              <w:szCs w:val="24"/>
              <w:highlight w:val="none"/>
            </w:rPr>
            <w:t>总论</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_Toc6946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16</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kern w:val="2"/>
              <w:sz w:val="24"/>
              <w:szCs w:val="24"/>
              <w:highlight w:val="none"/>
              <w:lang w:val="en-US" w:eastAsia="zh-CN" w:bidi="ar-SA"/>
            </w:rPr>
            <w:fldChar w:fldCharType="end"/>
          </w:r>
        </w:p>
        <w:p>
          <w:pPr>
            <w:pStyle w:val="31"/>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firstLine="440" w:firstLineChars="200"/>
            <w:textAlignment w:val="auto"/>
            <w:rPr>
              <w:rFonts w:hint="default" w:ascii="Times New Roman" w:hAnsi="Times New Roman" w:eastAsia="宋体" w:cs="Times New Roman"/>
              <w:color w:val="auto"/>
              <w:sz w:val="22"/>
              <w:szCs w:val="22"/>
            </w:rPr>
          </w:pPr>
          <w:r>
            <w:rPr>
              <w:rFonts w:hint="default" w:ascii="Times New Roman" w:hAnsi="Times New Roman" w:eastAsia="宋体" w:cs="Times New Roman"/>
              <w:color w:val="auto"/>
              <w:kern w:val="2"/>
              <w:sz w:val="22"/>
              <w:szCs w:val="22"/>
              <w:highlight w:val="none"/>
              <w:lang w:val="en-US" w:eastAsia="zh-CN" w:bidi="ar-SA"/>
            </w:rPr>
            <w:fldChar w:fldCharType="begin"/>
          </w:r>
          <w:r>
            <w:rPr>
              <w:rFonts w:hint="default" w:ascii="Times New Roman" w:hAnsi="Times New Roman" w:eastAsia="宋体" w:cs="Times New Roman"/>
              <w:color w:val="auto"/>
              <w:kern w:val="2"/>
              <w:sz w:val="22"/>
              <w:szCs w:val="22"/>
              <w:highlight w:val="none"/>
              <w:lang w:val="en-US" w:eastAsia="zh-CN" w:bidi="ar-SA"/>
            </w:rPr>
            <w:instrText xml:space="preserve"> HYPERLINK \l _Toc30718 </w:instrText>
          </w:r>
          <w:r>
            <w:rPr>
              <w:rFonts w:hint="default" w:ascii="Times New Roman" w:hAnsi="Times New Roman" w:eastAsia="宋体" w:cs="Times New Roman"/>
              <w:color w:val="auto"/>
              <w:kern w:val="2"/>
              <w:sz w:val="22"/>
              <w:szCs w:val="22"/>
              <w:highlight w:val="none"/>
              <w:lang w:val="en-US" w:eastAsia="zh-CN" w:bidi="ar-SA"/>
            </w:rPr>
            <w:fldChar w:fldCharType="separate"/>
          </w:r>
          <w:r>
            <w:rPr>
              <w:rFonts w:hint="default" w:ascii="Times New Roman" w:hAnsi="Times New Roman" w:eastAsia="宋体" w:cs="Times New Roman"/>
              <w:bCs/>
              <w:i w:val="0"/>
              <w:color w:val="auto"/>
              <w:kern w:val="2"/>
              <w:sz w:val="22"/>
              <w:szCs w:val="22"/>
              <w:highlight w:val="none"/>
              <w:lang w:val="en-US" w:eastAsia="zh-CN" w:bidi="ar-SA"/>
            </w:rPr>
            <w:t>1.1</w:t>
          </w:r>
          <w:r>
            <w:rPr>
              <w:rFonts w:hint="default" w:ascii="Times New Roman" w:hAnsi="Times New Roman" w:eastAsia="宋体" w:cs="Times New Roman"/>
              <w:bCs/>
              <w:color w:val="auto"/>
              <w:sz w:val="22"/>
              <w:szCs w:val="22"/>
              <w:highlight w:val="none"/>
            </w:rPr>
            <w:t>评价目的</w:t>
          </w:r>
          <w:r>
            <w:rPr>
              <w:rFonts w:hint="default" w:ascii="Times New Roman" w:hAnsi="Times New Roman" w:eastAsia="宋体" w:cs="Times New Roman"/>
              <w:color w:val="auto"/>
              <w:sz w:val="22"/>
              <w:szCs w:val="22"/>
            </w:rPr>
            <w:tab/>
          </w:r>
          <w:r>
            <w:rPr>
              <w:rFonts w:hint="default" w:ascii="Times New Roman" w:hAnsi="Times New Roman" w:eastAsia="宋体" w:cs="Times New Roman"/>
              <w:color w:val="auto"/>
              <w:sz w:val="22"/>
              <w:szCs w:val="22"/>
            </w:rPr>
            <w:fldChar w:fldCharType="begin"/>
          </w:r>
          <w:r>
            <w:rPr>
              <w:rFonts w:hint="default" w:ascii="Times New Roman" w:hAnsi="Times New Roman" w:eastAsia="宋体" w:cs="Times New Roman"/>
              <w:color w:val="auto"/>
              <w:sz w:val="22"/>
              <w:szCs w:val="22"/>
            </w:rPr>
            <w:instrText xml:space="preserve"> PAGEREF _Toc30718 \h </w:instrText>
          </w:r>
          <w:r>
            <w:rPr>
              <w:rFonts w:hint="default" w:ascii="Times New Roman" w:hAnsi="Times New Roman" w:eastAsia="宋体" w:cs="Times New Roman"/>
              <w:color w:val="auto"/>
              <w:sz w:val="22"/>
              <w:szCs w:val="22"/>
            </w:rPr>
            <w:fldChar w:fldCharType="separate"/>
          </w:r>
          <w:r>
            <w:rPr>
              <w:rFonts w:hint="default" w:ascii="Times New Roman" w:hAnsi="Times New Roman" w:eastAsia="宋体" w:cs="Times New Roman"/>
              <w:color w:val="auto"/>
              <w:sz w:val="22"/>
              <w:szCs w:val="22"/>
            </w:rPr>
            <w:t>16</w:t>
          </w:r>
          <w:r>
            <w:rPr>
              <w:rFonts w:hint="default" w:ascii="Times New Roman" w:hAnsi="Times New Roman" w:eastAsia="宋体" w:cs="Times New Roman"/>
              <w:color w:val="auto"/>
              <w:sz w:val="22"/>
              <w:szCs w:val="22"/>
            </w:rPr>
            <w:fldChar w:fldCharType="end"/>
          </w:r>
          <w:r>
            <w:rPr>
              <w:rFonts w:hint="default" w:ascii="Times New Roman" w:hAnsi="Times New Roman" w:eastAsia="宋体" w:cs="Times New Roman"/>
              <w:color w:val="auto"/>
              <w:kern w:val="2"/>
              <w:sz w:val="22"/>
              <w:szCs w:val="22"/>
              <w:highlight w:val="none"/>
              <w:lang w:val="en-US" w:eastAsia="zh-CN" w:bidi="ar-SA"/>
            </w:rPr>
            <w:fldChar w:fldCharType="end"/>
          </w:r>
        </w:p>
        <w:p>
          <w:pPr>
            <w:pStyle w:val="31"/>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firstLine="440" w:firstLineChars="200"/>
            <w:textAlignment w:val="auto"/>
            <w:rPr>
              <w:rFonts w:hint="default" w:ascii="Times New Roman" w:hAnsi="Times New Roman" w:eastAsia="宋体" w:cs="Times New Roman"/>
              <w:color w:val="auto"/>
              <w:sz w:val="22"/>
              <w:szCs w:val="22"/>
            </w:rPr>
          </w:pPr>
          <w:r>
            <w:rPr>
              <w:rFonts w:hint="default" w:ascii="Times New Roman" w:hAnsi="Times New Roman" w:eastAsia="宋体" w:cs="Times New Roman"/>
              <w:color w:val="auto"/>
              <w:kern w:val="2"/>
              <w:sz w:val="22"/>
              <w:szCs w:val="22"/>
              <w:highlight w:val="none"/>
              <w:lang w:val="en-US" w:eastAsia="zh-CN" w:bidi="ar-SA"/>
            </w:rPr>
            <w:fldChar w:fldCharType="begin"/>
          </w:r>
          <w:r>
            <w:rPr>
              <w:rFonts w:hint="default" w:ascii="Times New Roman" w:hAnsi="Times New Roman" w:eastAsia="宋体" w:cs="Times New Roman"/>
              <w:color w:val="auto"/>
              <w:kern w:val="2"/>
              <w:sz w:val="22"/>
              <w:szCs w:val="22"/>
              <w:highlight w:val="none"/>
              <w:lang w:val="en-US" w:eastAsia="zh-CN" w:bidi="ar-SA"/>
            </w:rPr>
            <w:instrText xml:space="preserve"> HYPERLINK \l _Toc3871 </w:instrText>
          </w:r>
          <w:r>
            <w:rPr>
              <w:rFonts w:hint="default" w:ascii="Times New Roman" w:hAnsi="Times New Roman" w:eastAsia="宋体" w:cs="Times New Roman"/>
              <w:color w:val="auto"/>
              <w:kern w:val="2"/>
              <w:sz w:val="22"/>
              <w:szCs w:val="22"/>
              <w:highlight w:val="none"/>
              <w:lang w:val="en-US" w:eastAsia="zh-CN" w:bidi="ar-SA"/>
            </w:rPr>
            <w:fldChar w:fldCharType="separate"/>
          </w:r>
          <w:r>
            <w:rPr>
              <w:rFonts w:hint="default" w:ascii="Times New Roman" w:hAnsi="Times New Roman" w:eastAsia="宋体" w:cs="Times New Roman"/>
              <w:bCs/>
              <w:i w:val="0"/>
              <w:color w:val="auto"/>
              <w:kern w:val="2"/>
              <w:sz w:val="22"/>
              <w:szCs w:val="22"/>
              <w:highlight w:val="none"/>
              <w:lang w:val="en-US" w:eastAsia="zh-CN" w:bidi="ar-SA"/>
            </w:rPr>
            <w:t>1.2</w:t>
          </w:r>
          <w:r>
            <w:rPr>
              <w:rFonts w:hint="default" w:ascii="Times New Roman" w:hAnsi="Times New Roman" w:eastAsia="宋体" w:cs="Times New Roman"/>
              <w:bCs/>
              <w:color w:val="auto"/>
              <w:sz w:val="22"/>
              <w:szCs w:val="22"/>
              <w:highlight w:val="none"/>
            </w:rPr>
            <w:t>编制依据</w:t>
          </w:r>
          <w:r>
            <w:rPr>
              <w:rFonts w:hint="default" w:ascii="Times New Roman" w:hAnsi="Times New Roman" w:eastAsia="宋体" w:cs="Times New Roman"/>
              <w:color w:val="auto"/>
              <w:sz w:val="22"/>
              <w:szCs w:val="22"/>
            </w:rPr>
            <w:tab/>
          </w:r>
          <w:r>
            <w:rPr>
              <w:rFonts w:hint="default" w:ascii="Times New Roman" w:hAnsi="Times New Roman" w:eastAsia="宋体" w:cs="Times New Roman"/>
              <w:color w:val="auto"/>
              <w:sz w:val="22"/>
              <w:szCs w:val="22"/>
            </w:rPr>
            <w:fldChar w:fldCharType="begin"/>
          </w:r>
          <w:r>
            <w:rPr>
              <w:rFonts w:hint="default" w:ascii="Times New Roman" w:hAnsi="Times New Roman" w:eastAsia="宋体" w:cs="Times New Roman"/>
              <w:color w:val="auto"/>
              <w:sz w:val="22"/>
              <w:szCs w:val="22"/>
            </w:rPr>
            <w:instrText xml:space="preserve"> PAGEREF _Toc3871 \h </w:instrText>
          </w:r>
          <w:r>
            <w:rPr>
              <w:rFonts w:hint="default" w:ascii="Times New Roman" w:hAnsi="Times New Roman" w:eastAsia="宋体" w:cs="Times New Roman"/>
              <w:color w:val="auto"/>
              <w:sz w:val="22"/>
              <w:szCs w:val="22"/>
            </w:rPr>
            <w:fldChar w:fldCharType="separate"/>
          </w:r>
          <w:r>
            <w:rPr>
              <w:rFonts w:hint="default" w:ascii="Times New Roman" w:hAnsi="Times New Roman" w:eastAsia="宋体" w:cs="Times New Roman"/>
              <w:color w:val="auto"/>
              <w:sz w:val="22"/>
              <w:szCs w:val="22"/>
            </w:rPr>
            <w:t>16</w:t>
          </w:r>
          <w:r>
            <w:rPr>
              <w:rFonts w:hint="default" w:ascii="Times New Roman" w:hAnsi="Times New Roman" w:eastAsia="宋体" w:cs="Times New Roman"/>
              <w:color w:val="auto"/>
              <w:sz w:val="22"/>
              <w:szCs w:val="22"/>
            </w:rPr>
            <w:fldChar w:fldCharType="end"/>
          </w:r>
          <w:r>
            <w:rPr>
              <w:rFonts w:hint="default" w:ascii="Times New Roman" w:hAnsi="Times New Roman" w:eastAsia="宋体" w:cs="Times New Roman"/>
              <w:color w:val="auto"/>
              <w:kern w:val="2"/>
              <w:sz w:val="22"/>
              <w:szCs w:val="22"/>
              <w:highlight w:val="none"/>
              <w:lang w:val="en-US" w:eastAsia="zh-CN" w:bidi="ar-SA"/>
            </w:rPr>
            <w:fldChar w:fldCharType="end"/>
          </w:r>
        </w:p>
        <w:p>
          <w:pPr>
            <w:pStyle w:val="45"/>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firstLine="440" w:firstLineChars="200"/>
            <w:textAlignment w:val="auto"/>
            <w:rPr>
              <w:rFonts w:hint="default" w:ascii="Times New Roman" w:hAnsi="Times New Roman" w:eastAsia="宋体" w:cs="Times New Roman"/>
              <w:color w:val="auto"/>
              <w:sz w:val="22"/>
              <w:szCs w:val="22"/>
            </w:rPr>
          </w:pPr>
          <w:r>
            <w:rPr>
              <w:rFonts w:hint="default" w:ascii="Times New Roman" w:hAnsi="Times New Roman" w:eastAsia="宋体" w:cs="Times New Roman"/>
              <w:color w:val="auto"/>
              <w:kern w:val="2"/>
              <w:sz w:val="22"/>
              <w:szCs w:val="22"/>
              <w:highlight w:val="none"/>
              <w:lang w:val="en-US" w:eastAsia="zh-CN" w:bidi="ar-SA"/>
            </w:rPr>
            <w:fldChar w:fldCharType="begin"/>
          </w:r>
          <w:r>
            <w:rPr>
              <w:rFonts w:hint="default" w:ascii="Times New Roman" w:hAnsi="Times New Roman" w:eastAsia="宋体" w:cs="Times New Roman"/>
              <w:color w:val="auto"/>
              <w:kern w:val="2"/>
              <w:sz w:val="22"/>
              <w:szCs w:val="22"/>
              <w:highlight w:val="none"/>
              <w:lang w:val="en-US" w:eastAsia="zh-CN" w:bidi="ar-SA"/>
            </w:rPr>
            <w:instrText xml:space="preserve"> HYPERLINK \l _Toc19965 </w:instrText>
          </w:r>
          <w:r>
            <w:rPr>
              <w:rFonts w:hint="default" w:ascii="Times New Roman" w:hAnsi="Times New Roman" w:eastAsia="宋体" w:cs="Times New Roman"/>
              <w:color w:val="auto"/>
              <w:kern w:val="2"/>
              <w:sz w:val="22"/>
              <w:szCs w:val="22"/>
              <w:highlight w:val="none"/>
              <w:lang w:val="en-US" w:eastAsia="zh-CN" w:bidi="ar-SA"/>
            </w:rPr>
            <w:fldChar w:fldCharType="separate"/>
          </w:r>
          <w:r>
            <w:rPr>
              <w:rFonts w:hint="default" w:ascii="Times New Roman" w:hAnsi="Times New Roman" w:eastAsia="宋体" w:cs="Times New Roman"/>
              <w:bCs/>
              <w:i w:val="0"/>
              <w:color w:val="auto"/>
              <w:kern w:val="2"/>
              <w:sz w:val="22"/>
              <w:szCs w:val="22"/>
              <w:highlight w:val="none"/>
              <w:lang w:val="en-US" w:eastAsia="zh-CN" w:bidi="ar-SA"/>
            </w:rPr>
            <w:t>1.3</w:t>
          </w:r>
          <w:r>
            <w:rPr>
              <w:rFonts w:hint="default" w:ascii="Times New Roman" w:hAnsi="Times New Roman" w:eastAsia="宋体" w:cs="Times New Roman"/>
              <w:bCs/>
              <w:color w:val="auto"/>
              <w:sz w:val="22"/>
              <w:szCs w:val="22"/>
              <w:highlight w:val="none"/>
            </w:rPr>
            <w:t>环境影响因素识别与筛选</w:t>
          </w:r>
          <w:r>
            <w:rPr>
              <w:rFonts w:hint="default" w:ascii="Times New Roman" w:hAnsi="Times New Roman" w:eastAsia="宋体" w:cs="Times New Roman"/>
              <w:color w:val="auto"/>
              <w:sz w:val="22"/>
              <w:szCs w:val="22"/>
            </w:rPr>
            <w:tab/>
          </w:r>
          <w:r>
            <w:rPr>
              <w:rFonts w:hint="default" w:ascii="Times New Roman" w:hAnsi="Times New Roman" w:eastAsia="宋体" w:cs="Times New Roman"/>
              <w:color w:val="auto"/>
              <w:sz w:val="22"/>
              <w:szCs w:val="22"/>
            </w:rPr>
            <w:fldChar w:fldCharType="begin"/>
          </w:r>
          <w:r>
            <w:rPr>
              <w:rFonts w:hint="default" w:ascii="Times New Roman" w:hAnsi="Times New Roman" w:eastAsia="宋体" w:cs="Times New Roman"/>
              <w:color w:val="auto"/>
              <w:sz w:val="22"/>
              <w:szCs w:val="22"/>
            </w:rPr>
            <w:instrText xml:space="preserve"> PAGEREF _Toc19965 \h </w:instrText>
          </w:r>
          <w:r>
            <w:rPr>
              <w:rFonts w:hint="default" w:ascii="Times New Roman" w:hAnsi="Times New Roman" w:eastAsia="宋体" w:cs="Times New Roman"/>
              <w:color w:val="auto"/>
              <w:sz w:val="22"/>
              <w:szCs w:val="22"/>
            </w:rPr>
            <w:fldChar w:fldCharType="separate"/>
          </w:r>
          <w:r>
            <w:rPr>
              <w:rFonts w:hint="default" w:ascii="Times New Roman" w:hAnsi="Times New Roman" w:eastAsia="宋体" w:cs="Times New Roman"/>
              <w:color w:val="auto"/>
              <w:sz w:val="22"/>
              <w:szCs w:val="22"/>
            </w:rPr>
            <w:t>19</w:t>
          </w:r>
          <w:r>
            <w:rPr>
              <w:rFonts w:hint="default" w:ascii="Times New Roman" w:hAnsi="Times New Roman" w:eastAsia="宋体" w:cs="Times New Roman"/>
              <w:color w:val="auto"/>
              <w:sz w:val="22"/>
              <w:szCs w:val="22"/>
            </w:rPr>
            <w:fldChar w:fldCharType="end"/>
          </w:r>
          <w:r>
            <w:rPr>
              <w:rFonts w:hint="default" w:ascii="Times New Roman" w:hAnsi="Times New Roman" w:eastAsia="宋体" w:cs="Times New Roman"/>
              <w:color w:val="auto"/>
              <w:kern w:val="2"/>
              <w:sz w:val="22"/>
              <w:szCs w:val="22"/>
              <w:highlight w:val="none"/>
              <w:lang w:val="en-US" w:eastAsia="zh-CN" w:bidi="ar-SA"/>
            </w:rPr>
            <w:fldChar w:fldCharType="end"/>
          </w:r>
        </w:p>
        <w:p>
          <w:pPr>
            <w:pStyle w:val="45"/>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firstLine="440" w:firstLineChars="200"/>
            <w:textAlignment w:val="auto"/>
            <w:rPr>
              <w:rFonts w:hint="default" w:ascii="Times New Roman" w:hAnsi="Times New Roman" w:eastAsia="宋体" w:cs="Times New Roman"/>
              <w:color w:val="auto"/>
              <w:sz w:val="22"/>
              <w:szCs w:val="22"/>
            </w:rPr>
          </w:pPr>
          <w:r>
            <w:rPr>
              <w:rFonts w:hint="default" w:ascii="Times New Roman" w:hAnsi="Times New Roman" w:eastAsia="宋体" w:cs="Times New Roman"/>
              <w:color w:val="auto"/>
              <w:kern w:val="2"/>
              <w:sz w:val="22"/>
              <w:szCs w:val="22"/>
              <w:highlight w:val="none"/>
              <w:lang w:val="en-US" w:eastAsia="zh-CN" w:bidi="ar-SA"/>
            </w:rPr>
            <w:fldChar w:fldCharType="begin"/>
          </w:r>
          <w:r>
            <w:rPr>
              <w:rFonts w:hint="default" w:ascii="Times New Roman" w:hAnsi="Times New Roman" w:eastAsia="宋体" w:cs="Times New Roman"/>
              <w:color w:val="auto"/>
              <w:kern w:val="2"/>
              <w:sz w:val="22"/>
              <w:szCs w:val="22"/>
              <w:highlight w:val="none"/>
              <w:lang w:val="en-US" w:eastAsia="zh-CN" w:bidi="ar-SA"/>
            </w:rPr>
            <w:instrText xml:space="preserve"> HYPERLINK \l _Toc28630 </w:instrText>
          </w:r>
          <w:r>
            <w:rPr>
              <w:rFonts w:hint="default" w:ascii="Times New Roman" w:hAnsi="Times New Roman" w:eastAsia="宋体" w:cs="Times New Roman"/>
              <w:color w:val="auto"/>
              <w:kern w:val="2"/>
              <w:sz w:val="22"/>
              <w:szCs w:val="22"/>
              <w:highlight w:val="none"/>
              <w:lang w:val="en-US" w:eastAsia="zh-CN" w:bidi="ar-SA"/>
            </w:rPr>
            <w:fldChar w:fldCharType="separate"/>
          </w:r>
          <w:r>
            <w:rPr>
              <w:rFonts w:hint="default" w:ascii="Times New Roman" w:hAnsi="Times New Roman" w:eastAsia="宋体" w:cs="Times New Roman"/>
              <w:bCs/>
              <w:i w:val="0"/>
              <w:color w:val="auto"/>
              <w:kern w:val="2"/>
              <w:sz w:val="22"/>
              <w:szCs w:val="22"/>
              <w:highlight w:val="none"/>
              <w:lang w:val="en-US" w:eastAsia="zh-CN" w:bidi="ar-SA"/>
            </w:rPr>
            <w:t>1.4</w:t>
          </w:r>
          <w:r>
            <w:rPr>
              <w:rFonts w:hint="default" w:ascii="Times New Roman" w:hAnsi="Times New Roman" w:eastAsia="宋体" w:cs="Times New Roman"/>
              <w:bCs/>
              <w:color w:val="auto"/>
              <w:sz w:val="22"/>
              <w:szCs w:val="22"/>
              <w:highlight w:val="none"/>
            </w:rPr>
            <w:t>评价工作等级及评价范围</w:t>
          </w:r>
          <w:r>
            <w:rPr>
              <w:rFonts w:hint="default" w:ascii="Times New Roman" w:hAnsi="Times New Roman" w:eastAsia="宋体" w:cs="Times New Roman"/>
              <w:color w:val="auto"/>
              <w:sz w:val="22"/>
              <w:szCs w:val="22"/>
            </w:rPr>
            <w:tab/>
          </w:r>
          <w:r>
            <w:rPr>
              <w:rFonts w:hint="default" w:ascii="Times New Roman" w:hAnsi="Times New Roman" w:eastAsia="宋体" w:cs="Times New Roman"/>
              <w:color w:val="auto"/>
              <w:sz w:val="22"/>
              <w:szCs w:val="22"/>
            </w:rPr>
            <w:fldChar w:fldCharType="begin"/>
          </w:r>
          <w:r>
            <w:rPr>
              <w:rFonts w:hint="default" w:ascii="Times New Roman" w:hAnsi="Times New Roman" w:eastAsia="宋体" w:cs="Times New Roman"/>
              <w:color w:val="auto"/>
              <w:sz w:val="22"/>
              <w:szCs w:val="22"/>
            </w:rPr>
            <w:instrText xml:space="preserve"> PAGEREF _Toc28630 \h </w:instrText>
          </w:r>
          <w:r>
            <w:rPr>
              <w:rFonts w:hint="default" w:ascii="Times New Roman" w:hAnsi="Times New Roman" w:eastAsia="宋体" w:cs="Times New Roman"/>
              <w:color w:val="auto"/>
              <w:sz w:val="22"/>
              <w:szCs w:val="22"/>
            </w:rPr>
            <w:fldChar w:fldCharType="separate"/>
          </w:r>
          <w:r>
            <w:rPr>
              <w:rFonts w:hint="default" w:ascii="Times New Roman" w:hAnsi="Times New Roman" w:eastAsia="宋体" w:cs="Times New Roman"/>
              <w:color w:val="auto"/>
              <w:sz w:val="22"/>
              <w:szCs w:val="22"/>
            </w:rPr>
            <w:t>20</w:t>
          </w:r>
          <w:r>
            <w:rPr>
              <w:rFonts w:hint="default" w:ascii="Times New Roman" w:hAnsi="Times New Roman" w:eastAsia="宋体" w:cs="Times New Roman"/>
              <w:color w:val="auto"/>
              <w:sz w:val="22"/>
              <w:szCs w:val="22"/>
            </w:rPr>
            <w:fldChar w:fldCharType="end"/>
          </w:r>
          <w:r>
            <w:rPr>
              <w:rFonts w:hint="default" w:ascii="Times New Roman" w:hAnsi="Times New Roman" w:eastAsia="宋体" w:cs="Times New Roman"/>
              <w:color w:val="auto"/>
              <w:kern w:val="2"/>
              <w:sz w:val="22"/>
              <w:szCs w:val="22"/>
              <w:highlight w:val="none"/>
              <w:lang w:val="en-US" w:eastAsia="zh-CN" w:bidi="ar-SA"/>
            </w:rPr>
            <w:fldChar w:fldCharType="end"/>
          </w:r>
        </w:p>
        <w:p>
          <w:pPr>
            <w:pStyle w:val="45"/>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firstLine="440" w:firstLineChars="200"/>
            <w:textAlignment w:val="auto"/>
            <w:rPr>
              <w:rFonts w:hint="default" w:ascii="Times New Roman" w:hAnsi="Times New Roman" w:eastAsia="宋体" w:cs="Times New Roman"/>
              <w:color w:val="auto"/>
              <w:sz w:val="22"/>
              <w:szCs w:val="22"/>
            </w:rPr>
          </w:pPr>
          <w:r>
            <w:rPr>
              <w:rFonts w:hint="default" w:ascii="Times New Roman" w:hAnsi="Times New Roman" w:eastAsia="宋体" w:cs="Times New Roman"/>
              <w:color w:val="auto"/>
              <w:kern w:val="2"/>
              <w:sz w:val="22"/>
              <w:szCs w:val="22"/>
              <w:highlight w:val="none"/>
              <w:lang w:val="en-US" w:eastAsia="zh-CN" w:bidi="ar-SA"/>
            </w:rPr>
            <w:fldChar w:fldCharType="begin"/>
          </w:r>
          <w:r>
            <w:rPr>
              <w:rFonts w:hint="default" w:ascii="Times New Roman" w:hAnsi="Times New Roman" w:eastAsia="宋体" w:cs="Times New Roman"/>
              <w:color w:val="auto"/>
              <w:kern w:val="2"/>
              <w:sz w:val="22"/>
              <w:szCs w:val="22"/>
              <w:highlight w:val="none"/>
              <w:lang w:val="en-US" w:eastAsia="zh-CN" w:bidi="ar-SA"/>
            </w:rPr>
            <w:instrText xml:space="preserve"> HYPERLINK \l _Toc14644 </w:instrText>
          </w:r>
          <w:r>
            <w:rPr>
              <w:rFonts w:hint="default" w:ascii="Times New Roman" w:hAnsi="Times New Roman" w:eastAsia="宋体" w:cs="Times New Roman"/>
              <w:color w:val="auto"/>
              <w:kern w:val="2"/>
              <w:sz w:val="22"/>
              <w:szCs w:val="22"/>
              <w:highlight w:val="none"/>
              <w:lang w:val="en-US" w:eastAsia="zh-CN" w:bidi="ar-SA"/>
            </w:rPr>
            <w:fldChar w:fldCharType="separate"/>
          </w:r>
          <w:r>
            <w:rPr>
              <w:rFonts w:hint="default" w:ascii="Times New Roman" w:hAnsi="Times New Roman" w:eastAsia="宋体" w:cs="Times New Roman"/>
              <w:bCs/>
              <w:i w:val="0"/>
              <w:color w:val="auto"/>
              <w:kern w:val="2"/>
              <w:sz w:val="22"/>
              <w:szCs w:val="22"/>
              <w:highlight w:val="none"/>
              <w:lang w:val="en-US" w:eastAsia="zh-CN" w:bidi="ar-SA"/>
            </w:rPr>
            <w:t>1.5</w:t>
          </w:r>
          <w:r>
            <w:rPr>
              <w:rFonts w:hint="default" w:ascii="Times New Roman" w:hAnsi="Times New Roman" w:eastAsia="宋体" w:cs="Times New Roman"/>
              <w:bCs/>
              <w:color w:val="auto"/>
              <w:sz w:val="22"/>
              <w:szCs w:val="22"/>
              <w:highlight w:val="none"/>
            </w:rPr>
            <w:t>评价标准</w:t>
          </w:r>
          <w:r>
            <w:rPr>
              <w:rFonts w:hint="default" w:ascii="Times New Roman" w:hAnsi="Times New Roman" w:eastAsia="宋体" w:cs="Times New Roman"/>
              <w:color w:val="auto"/>
              <w:sz w:val="22"/>
              <w:szCs w:val="22"/>
            </w:rPr>
            <w:tab/>
          </w:r>
          <w:r>
            <w:rPr>
              <w:rFonts w:hint="default" w:ascii="Times New Roman" w:hAnsi="Times New Roman" w:eastAsia="宋体" w:cs="Times New Roman"/>
              <w:color w:val="auto"/>
              <w:sz w:val="22"/>
              <w:szCs w:val="22"/>
            </w:rPr>
            <w:fldChar w:fldCharType="begin"/>
          </w:r>
          <w:r>
            <w:rPr>
              <w:rFonts w:hint="default" w:ascii="Times New Roman" w:hAnsi="Times New Roman" w:eastAsia="宋体" w:cs="Times New Roman"/>
              <w:color w:val="auto"/>
              <w:sz w:val="22"/>
              <w:szCs w:val="22"/>
            </w:rPr>
            <w:instrText xml:space="preserve"> PAGEREF _Toc14644 \h </w:instrText>
          </w:r>
          <w:r>
            <w:rPr>
              <w:rFonts w:hint="default" w:ascii="Times New Roman" w:hAnsi="Times New Roman" w:eastAsia="宋体" w:cs="Times New Roman"/>
              <w:color w:val="auto"/>
              <w:sz w:val="22"/>
              <w:szCs w:val="22"/>
            </w:rPr>
            <w:fldChar w:fldCharType="separate"/>
          </w:r>
          <w:r>
            <w:rPr>
              <w:rFonts w:hint="default" w:ascii="Times New Roman" w:hAnsi="Times New Roman" w:eastAsia="宋体" w:cs="Times New Roman"/>
              <w:color w:val="auto"/>
              <w:sz w:val="22"/>
              <w:szCs w:val="22"/>
            </w:rPr>
            <w:t>32</w:t>
          </w:r>
          <w:r>
            <w:rPr>
              <w:rFonts w:hint="default" w:ascii="Times New Roman" w:hAnsi="Times New Roman" w:eastAsia="宋体" w:cs="Times New Roman"/>
              <w:color w:val="auto"/>
              <w:sz w:val="22"/>
              <w:szCs w:val="22"/>
            </w:rPr>
            <w:fldChar w:fldCharType="end"/>
          </w:r>
          <w:r>
            <w:rPr>
              <w:rFonts w:hint="default" w:ascii="Times New Roman" w:hAnsi="Times New Roman" w:eastAsia="宋体" w:cs="Times New Roman"/>
              <w:color w:val="auto"/>
              <w:kern w:val="2"/>
              <w:sz w:val="22"/>
              <w:szCs w:val="22"/>
              <w:highlight w:val="none"/>
              <w:lang w:val="en-US" w:eastAsia="zh-CN" w:bidi="ar-SA"/>
            </w:rPr>
            <w:fldChar w:fldCharType="end"/>
          </w:r>
        </w:p>
        <w:p>
          <w:pPr>
            <w:pStyle w:val="45"/>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firstLine="440" w:firstLineChars="200"/>
            <w:textAlignment w:val="auto"/>
            <w:rPr>
              <w:rFonts w:hint="default" w:ascii="Times New Roman" w:hAnsi="Times New Roman" w:eastAsia="宋体" w:cs="Times New Roman"/>
              <w:color w:val="auto"/>
              <w:sz w:val="22"/>
              <w:szCs w:val="22"/>
            </w:rPr>
          </w:pPr>
          <w:r>
            <w:rPr>
              <w:rFonts w:hint="default" w:ascii="Times New Roman" w:hAnsi="Times New Roman" w:eastAsia="宋体" w:cs="Times New Roman"/>
              <w:color w:val="auto"/>
              <w:kern w:val="2"/>
              <w:sz w:val="22"/>
              <w:szCs w:val="22"/>
              <w:highlight w:val="none"/>
              <w:lang w:val="en-US" w:eastAsia="zh-CN" w:bidi="ar-SA"/>
            </w:rPr>
            <w:fldChar w:fldCharType="begin"/>
          </w:r>
          <w:r>
            <w:rPr>
              <w:rFonts w:hint="default" w:ascii="Times New Roman" w:hAnsi="Times New Roman" w:eastAsia="宋体" w:cs="Times New Roman"/>
              <w:color w:val="auto"/>
              <w:kern w:val="2"/>
              <w:sz w:val="22"/>
              <w:szCs w:val="22"/>
              <w:highlight w:val="none"/>
              <w:lang w:val="en-US" w:eastAsia="zh-CN" w:bidi="ar-SA"/>
            </w:rPr>
            <w:instrText xml:space="preserve"> HYPERLINK \l _Toc3930 </w:instrText>
          </w:r>
          <w:r>
            <w:rPr>
              <w:rFonts w:hint="default" w:ascii="Times New Roman" w:hAnsi="Times New Roman" w:eastAsia="宋体" w:cs="Times New Roman"/>
              <w:color w:val="auto"/>
              <w:kern w:val="2"/>
              <w:sz w:val="22"/>
              <w:szCs w:val="22"/>
              <w:highlight w:val="none"/>
              <w:lang w:val="en-US" w:eastAsia="zh-CN" w:bidi="ar-SA"/>
            </w:rPr>
            <w:fldChar w:fldCharType="separate"/>
          </w:r>
          <w:r>
            <w:rPr>
              <w:rFonts w:hint="default" w:ascii="Times New Roman" w:hAnsi="Times New Roman" w:eastAsia="宋体" w:cs="Times New Roman"/>
              <w:bCs/>
              <w:i w:val="0"/>
              <w:color w:val="auto"/>
              <w:kern w:val="2"/>
              <w:sz w:val="22"/>
              <w:szCs w:val="22"/>
              <w:highlight w:val="none"/>
              <w:lang w:val="en-US" w:eastAsia="zh-CN" w:bidi="ar-SA"/>
            </w:rPr>
            <w:t>1.6</w:t>
          </w:r>
          <w:r>
            <w:rPr>
              <w:rFonts w:hint="default" w:ascii="Times New Roman" w:hAnsi="Times New Roman" w:eastAsia="宋体" w:cs="Times New Roman"/>
              <w:bCs/>
              <w:color w:val="auto"/>
              <w:sz w:val="22"/>
              <w:szCs w:val="22"/>
              <w:highlight w:val="none"/>
            </w:rPr>
            <w:t>环境保护目标</w:t>
          </w:r>
          <w:r>
            <w:rPr>
              <w:rFonts w:hint="default" w:ascii="Times New Roman" w:hAnsi="Times New Roman" w:eastAsia="宋体" w:cs="Times New Roman"/>
              <w:color w:val="auto"/>
              <w:sz w:val="22"/>
              <w:szCs w:val="22"/>
            </w:rPr>
            <w:tab/>
          </w:r>
          <w:r>
            <w:rPr>
              <w:rFonts w:hint="default" w:ascii="Times New Roman" w:hAnsi="Times New Roman" w:eastAsia="宋体" w:cs="Times New Roman"/>
              <w:color w:val="auto"/>
              <w:sz w:val="22"/>
              <w:szCs w:val="22"/>
            </w:rPr>
            <w:fldChar w:fldCharType="begin"/>
          </w:r>
          <w:r>
            <w:rPr>
              <w:rFonts w:hint="default" w:ascii="Times New Roman" w:hAnsi="Times New Roman" w:eastAsia="宋体" w:cs="Times New Roman"/>
              <w:color w:val="auto"/>
              <w:sz w:val="22"/>
              <w:szCs w:val="22"/>
            </w:rPr>
            <w:instrText xml:space="preserve"> PAGEREF _Toc3930 \h </w:instrText>
          </w:r>
          <w:r>
            <w:rPr>
              <w:rFonts w:hint="default" w:ascii="Times New Roman" w:hAnsi="Times New Roman" w:eastAsia="宋体" w:cs="Times New Roman"/>
              <w:color w:val="auto"/>
              <w:sz w:val="22"/>
              <w:szCs w:val="22"/>
            </w:rPr>
            <w:fldChar w:fldCharType="separate"/>
          </w:r>
          <w:r>
            <w:rPr>
              <w:rFonts w:hint="default" w:ascii="Times New Roman" w:hAnsi="Times New Roman" w:eastAsia="宋体" w:cs="Times New Roman"/>
              <w:color w:val="auto"/>
              <w:sz w:val="22"/>
              <w:szCs w:val="22"/>
            </w:rPr>
            <w:t>37</w:t>
          </w:r>
          <w:r>
            <w:rPr>
              <w:rFonts w:hint="default" w:ascii="Times New Roman" w:hAnsi="Times New Roman" w:eastAsia="宋体" w:cs="Times New Roman"/>
              <w:color w:val="auto"/>
              <w:sz w:val="22"/>
              <w:szCs w:val="22"/>
            </w:rPr>
            <w:fldChar w:fldCharType="end"/>
          </w:r>
          <w:r>
            <w:rPr>
              <w:rFonts w:hint="default" w:ascii="Times New Roman" w:hAnsi="Times New Roman" w:eastAsia="宋体" w:cs="Times New Roman"/>
              <w:color w:val="auto"/>
              <w:kern w:val="2"/>
              <w:sz w:val="22"/>
              <w:szCs w:val="22"/>
              <w:highlight w:val="none"/>
              <w:lang w:val="en-US" w:eastAsia="zh-CN" w:bidi="ar-SA"/>
            </w:rPr>
            <w:fldChar w:fldCharType="end"/>
          </w:r>
        </w:p>
        <w:p>
          <w:pPr>
            <w:pStyle w:val="31"/>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leftChars="0" w:firstLine="0" w:firstLineChars="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2"/>
              <w:sz w:val="24"/>
              <w:szCs w:val="24"/>
              <w:highlight w:val="none"/>
              <w:lang w:val="en-US" w:eastAsia="zh-CN" w:bidi="ar-SA"/>
            </w:rPr>
            <w:fldChar w:fldCharType="begin"/>
          </w:r>
          <w:r>
            <w:rPr>
              <w:rFonts w:hint="default" w:ascii="Times New Roman" w:hAnsi="Times New Roman" w:eastAsia="宋体" w:cs="Times New Roman"/>
              <w:color w:val="auto"/>
              <w:kern w:val="2"/>
              <w:sz w:val="24"/>
              <w:szCs w:val="24"/>
              <w:highlight w:val="none"/>
              <w:lang w:val="en-US" w:eastAsia="zh-CN" w:bidi="ar-SA"/>
            </w:rPr>
            <w:instrText xml:space="preserve"> HYPERLINK \l _Toc30070 </w:instrText>
          </w:r>
          <w:r>
            <w:rPr>
              <w:rFonts w:hint="default" w:ascii="Times New Roman" w:hAnsi="Times New Roman" w:eastAsia="宋体" w:cs="Times New Roman"/>
              <w:color w:val="auto"/>
              <w:kern w:val="2"/>
              <w:sz w:val="24"/>
              <w:szCs w:val="24"/>
              <w:highlight w:val="none"/>
              <w:lang w:val="en-US" w:eastAsia="zh-CN" w:bidi="ar-SA"/>
            </w:rPr>
            <w:fldChar w:fldCharType="separate"/>
          </w:r>
          <w:r>
            <w:rPr>
              <w:rFonts w:hint="default" w:ascii="Times New Roman" w:hAnsi="Times New Roman" w:eastAsia="宋体" w:cs="Times New Roman"/>
              <w:bCs w:val="0"/>
              <w:i w:val="0"/>
              <w:color w:val="auto"/>
              <w:kern w:val="44"/>
              <w:sz w:val="24"/>
              <w:szCs w:val="24"/>
              <w:highlight w:val="none"/>
              <w:lang w:val="en-US" w:eastAsia="zh-CN" w:bidi="ar-SA"/>
            </w:rPr>
            <w:t>2工程</w:t>
          </w:r>
          <w:r>
            <w:rPr>
              <w:rFonts w:hint="default" w:ascii="Times New Roman" w:hAnsi="Times New Roman" w:eastAsia="宋体" w:cs="Times New Roman"/>
              <w:bCs w:val="0"/>
              <w:color w:val="auto"/>
              <w:sz w:val="24"/>
              <w:szCs w:val="24"/>
              <w:highlight w:val="none"/>
            </w:rPr>
            <w:t>概况</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_Toc30070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45</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kern w:val="2"/>
              <w:sz w:val="24"/>
              <w:szCs w:val="24"/>
              <w:highlight w:val="none"/>
              <w:lang w:val="en-US" w:eastAsia="zh-CN" w:bidi="ar-SA"/>
            </w:rPr>
            <w:fldChar w:fldCharType="end"/>
          </w:r>
        </w:p>
        <w:p>
          <w:pPr>
            <w:pStyle w:val="45"/>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firstLine="440" w:firstLineChars="200"/>
            <w:textAlignment w:val="auto"/>
            <w:rPr>
              <w:rFonts w:hint="default" w:ascii="Times New Roman" w:hAnsi="Times New Roman" w:eastAsia="宋体" w:cs="Times New Roman"/>
              <w:color w:val="auto"/>
              <w:sz w:val="22"/>
              <w:szCs w:val="22"/>
            </w:rPr>
          </w:pPr>
          <w:r>
            <w:rPr>
              <w:rFonts w:hint="default" w:ascii="Times New Roman" w:hAnsi="Times New Roman" w:eastAsia="宋体" w:cs="Times New Roman"/>
              <w:color w:val="auto"/>
              <w:kern w:val="2"/>
              <w:sz w:val="22"/>
              <w:szCs w:val="22"/>
              <w:highlight w:val="none"/>
              <w:lang w:val="en-US" w:eastAsia="zh-CN" w:bidi="ar-SA"/>
            </w:rPr>
            <w:fldChar w:fldCharType="begin"/>
          </w:r>
          <w:r>
            <w:rPr>
              <w:rFonts w:hint="default" w:ascii="Times New Roman" w:hAnsi="Times New Roman" w:eastAsia="宋体" w:cs="Times New Roman"/>
              <w:color w:val="auto"/>
              <w:kern w:val="2"/>
              <w:sz w:val="22"/>
              <w:szCs w:val="22"/>
              <w:highlight w:val="none"/>
              <w:lang w:val="en-US" w:eastAsia="zh-CN" w:bidi="ar-SA"/>
            </w:rPr>
            <w:instrText xml:space="preserve"> HYPERLINK \l _Toc8810 </w:instrText>
          </w:r>
          <w:r>
            <w:rPr>
              <w:rFonts w:hint="default" w:ascii="Times New Roman" w:hAnsi="Times New Roman" w:eastAsia="宋体" w:cs="Times New Roman"/>
              <w:color w:val="auto"/>
              <w:kern w:val="2"/>
              <w:sz w:val="22"/>
              <w:szCs w:val="22"/>
              <w:highlight w:val="none"/>
              <w:lang w:val="en-US" w:eastAsia="zh-CN" w:bidi="ar-SA"/>
            </w:rPr>
            <w:fldChar w:fldCharType="separate"/>
          </w:r>
          <w:r>
            <w:rPr>
              <w:rFonts w:hint="default" w:ascii="Times New Roman" w:hAnsi="Times New Roman" w:eastAsia="宋体" w:cs="Times New Roman"/>
              <w:bCs w:val="0"/>
              <w:i w:val="0"/>
              <w:color w:val="auto"/>
              <w:kern w:val="2"/>
              <w:sz w:val="22"/>
              <w:szCs w:val="22"/>
              <w:highlight w:val="none"/>
              <w:lang w:val="en-US" w:eastAsia="zh-CN" w:bidi="ar-SA"/>
            </w:rPr>
            <w:t>2.1</w:t>
          </w:r>
          <w:r>
            <w:rPr>
              <w:rFonts w:hint="default" w:ascii="Times New Roman" w:hAnsi="Times New Roman" w:eastAsia="宋体" w:cs="Times New Roman"/>
              <w:bCs w:val="0"/>
              <w:color w:val="auto"/>
              <w:sz w:val="22"/>
              <w:szCs w:val="22"/>
              <w:highlight w:val="none"/>
            </w:rPr>
            <w:t>公司概况</w:t>
          </w:r>
          <w:r>
            <w:rPr>
              <w:rFonts w:hint="default" w:ascii="Times New Roman" w:hAnsi="Times New Roman" w:eastAsia="宋体" w:cs="Times New Roman"/>
              <w:color w:val="auto"/>
              <w:sz w:val="22"/>
              <w:szCs w:val="22"/>
            </w:rPr>
            <w:tab/>
          </w:r>
          <w:r>
            <w:rPr>
              <w:rFonts w:hint="default" w:ascii="Times New Roman" w:hAnsi="Times New Roman" w:eastAsia="宋体" w:cs="Times New Roman"/>
              <w:color w:val="auto"/>
              <w:sz w:val="22"/>
              <w:szCs w:val="22"/>
            </w:rPr>
            <w:fldChar w:fldCharType="begin"/>
          </w:r>
          <w:r>
            <w:rPr>
              <w:rFonts w:hint="default" w:ascii="Times New Roman" w:hAnsi="Times New Roman" w:eastAsia="宋体" w:cs="Times New Roman"/>
              <w:color w:val="auto"/>
              <w:sz w:val="22"/>
              <w:szCs w:val="22"/>
            </w:rPr>
            <w:instrText xml:space="preserve"> PAGEREF _Toc8810 \h </w:instrText>
          </w:r>
          <w:r>
            <w:rPr>
              <w:rFonts w:hint="default" w:ascii="Times New Roman" w:hAnsi="Times New Roman" w:eastAsia="宋体" w:cs="Times New Roman"/>
              <w:color w:val="auto"/>
              <w:sz w:val="22"/>
              <w:szCs w:val="22"/>
            </w:rPr>
            <w:fldChar w:fldCharType="separate"/>
          </w:r>
          <w:r>
            <w:rPr>
              <w:rFonts w:hint="default" w:ascii="Times New Roman" w:hAnsi="Times New Roman" w:eastAsia="宋体" w:cs="Times New Roman"/>
              <w:color w:val="auto"/>
              <w:sz w:val="22"/>
              <w:szCs w:val="22"/>
            </w:rPr>
            <w:t>45</w:t>
          </w:r>
          <w:r>
            <w:rPr>
              <w:rFonts w:hint="default" w:ascii="Times New Roman" w:hAnsi="Times New Roman" w:eastAsia="宋体" w:cs="Times New Roman"/>
              <w:color w:val="auto"/>
              <w:sz w:val="22"/>
              <w:szCs w:val="22"/>
            </w:rPr>
            <w:fldChar w:fldCharType="end"/>
          </w:r>
          <w:r>
            <w:rPr>
              <w:rFonts w:hint="default" w:ascii="Times New Roman" w:hAnsi="Times New Roman" w:eastAsia="宋体" w:cs="Times New Roman"/>
              <w:color w:val="auto"/>
              <w:kern w:val="2"/>
              <w:sz w:val="22"/>
              <w:szCs w:val="22"/>
              <w:highlight w:val="none"/>
              <w:lang w:val="en-US" w:eastAsia="zh-CN" w:bidi="ar-SA"/>
            </w:rPr>
            <w:fldChar w:fldCharType="end"/>
          </w:r>
        </w:p>
        <w:p>
          <w:pPr>
            <w:pStyle w:val="45"/>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firstLine="440" w:firstLineChars="200"/>
            <w:textAlignment w:val="auto"/>
            <w:rPr>
              <w:rFonts w:hint="default" w:ascii="Times New Roman" w:hAnsi="Times New Roman" w:eastAsia="宋体" w:cs="Times New Roman"/>
              <w:color w:val="auto"/>
              <w:sz w:val="22"/>
              <w:szCs w:val="22"/>
            </w:rPr>
          </w:pPr>
          <w:r>
            <w:rPr>
              <w:rFonts w:hint="default" w:ascii="Times New Roman" w:hAnsi="Times New Roman" w:eastAsia="宋体" w:cs="Times New Roman"/>
              <w:color w:val="auto"/>
              <w:kern w:val="2"/>
              <w:sz w:val="22"/>
              <w:szCs w:val="22"/>
              <w:highlight w:val="none"/>
              <w:lang w:val="en-US" w:eastAsia="zh-CN" w:bidi="ar-SA"/>
            </w:rPr>
            <w:fldChar w:fldCharType="begin"/>
          </w:r>
          <w:r>
            <w:rPr>
              <w:rFonts w:hint="default" w:ascii="Times New Roman" w:hAnsi="Times New Roman" w:eastAsia="宋体" w:cs="Times New Roman"/>
              <w:color w:val="auto"/>
              <w:kern w:val="2"/>
              <w:sz w:val="22"/>
              <w:szCs w:val="22"/>
              <w:highlight w:val="none"/>
              <w:lang w:val="en-US" w:eastAsia="zh-CN" w:bidi="ar-SA"/>
            </w:rPr>
            <w:instrText xml:space="preserve"> HYPERLINK \l _Toc28327 </w:instrText>
          </w:r>
          <w:r>
            <w:rPr>
              <w:rFonts w:hint="default" w:ascii="Times New Roman" w:hAnsi="Times New Roman" w:eastAsia="宋体" w:cs="Times New Roman"/>
              <w:color w:val="auto"/>
              <w:kern w:val="2"/>
              <w:sz w:val="22"/>
              <w:szCs w:val="22"/>
              <w:highlight w:val="none"/>
              <w:lang w:val="en-US" w:eastAsia="zh-CN" w:bidi="ar-SA"/>
            </w:rPr>
            <w:fldChar w:fldCharType="separate"/>
          </w:r>
          <w:r>
            <w:rPr>
              <w:rFonts w:hint="default" w:ascii="Times New Roman" w:hAnsi="Times New Roman" w:eastAsia="宋体" w:cs="Times New Roman"/>
              <w:bCs/>
              <w:i w:val="0"/>
              <w:color w:val="auto"/>
              <w:kern w:val="2"/>
              <w:sz w:val="22"/>
              <w:szCs w:val="22"/>
              <w:highlight w:val="none"/>
              <w:lang w:val="en-US" w:eastAsia="zh-CN" w:bidi="ar-SA"/>
            </w:rPr>
            <w:t>2.2</w:t>
          </w:r>
          <w:r>
            <w:rPr>
              <w:rFonts w:hint="default" w:ascii="Times New Roman" w:hAnsi="Times New Roman" w:eastAsia="宋体" w:cs="Times New Roman"/>
              <w:bCs/>
              <w:color w:val="auto"/>
              <w:sz w:val="22"/>
              <w:szCs w:val="22"/>
              <w:highlight w:val="none"/>
            </w:rPr>
            <w:t>现有尾矿库工程概况</w:t>
          </w:r>
          <w:r>
            <w:rPr>
              <w:rFonts w:hint="default" w:ascii="Times New Roman" w:hAnsi="Times New Roman" w:eastAsia="宋体" w:cs="Times New Roman"/>
              <w:color w:val="auto"/>
              <w:sz w:val="22"/>
              <w:szCs w:val="22"/>
            </w:rPr>
            <w:tab/>
          </w:r>
          <w:r>
            <w:rPr>
              <w:rFonts w:hint="default" w:ascii="Times New Roman" w:hAnsi="Times New Roman" w:eastAsia="宋体" w:cs="Times New Roman"/>
              <w:color w:val="auto"/>
              <w:sz w:val="22"/>
              <w:szCs w:val="22"/>
            </w:rPr>
            <w:fldChar w:fldCharType="begin"/>
          </w:r>
          <w:r>
            <w:rPr>
              <w:rFonts w:hint="default" w:ascii="Times New Roman" w:hAnsi="Times New Roman" w:eastAsia="宋体" w:cs="Times New Roman"/>
              <w:color w:val="auto"/>
              <w:sz w:val="22"/>
              <w:szCs w:val="22"/>
            </w:rPr>
            <w:instrText xml:space="preserve"> PAGEREF _Toc28327 \h </w:instrText>
          </w:r>
          <w:r>
            <w:rPr>
              <w:rFonts w:hint="default" w:ascii="Times New Roman" w:hAnsi="Times New Roman" w:eastAsia="宋体" w:cs="Times New Roman"/>
              <w:color w:val="auto"/>
              <w:sz w:val="22"/>
              <w:szCs w:val="22"/>
            </w:rPr>
            <w:fldChar w:fldCharType="separate"/>
          </w:r>
          <w:r>
            <w:rPr>
              <w:rFonts w:hint="default" w:ascii="Times New Roman" w:hAnsi="Times New Roman" w:eastAsia="宋体" w:cs="Times New Roman"/>
              <w:color w:val="auto"/>
              <w:sz w:val="22"/>
              <w:szCs w:val="22"/>
            </w:rPr>
            <w:t>46</w:t>
          </w:r>
          <w:r>
            <w:rPr>
              <w:rFonts w:hint="default" w:ascii="Times New Roman" w:hAnsi="Times New Roman" w:eastAsia="宋体" w:cs="Times New Roman"/>
              <w:color w:val="auto"/>
              <w:sz w:val="22"/>
              <w:szCs w:val="22"/>
            </w:rPr>
            <w:fldChar w:fldCharType="end"/>
          </w:r>
          <w:r>
            <w:rPr>
              <w:rFonts w:hint="default" w:ascii="Times New Roman" w:hAnsi="Times New Roman" w:eastAsia="宋体" w:cs="Times New Roman"/>
              <w:color w:val="auto"/>
              <w:kern w:val="2"/>
              <w:sz w:val="22"/>
              <w:szCs w:val="22"/>
              <w:highlight w:val="none"/>
              <w:lang w:val="en-US" w:eastAsia="zh-CN" w:bidi="ar-SA"/>
            </w:rPr>
            <w:fldChar w:fldCharType="end"/>
          </w:r>
        </w:p>
        <w:p>
          <w:pPr>
            <w:pStyle w:val="31"/>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firstLine="440" w:firstLineChars="200"/>
            <w:textAlignment w:val="auto"/>
            <w:rPr>
              <w:rFonts w:hint="default" w:ascii="Times New Roman" w:hAnsi="Times New Roman" w:eastAsia="宋体" w:cs="Times New Roman"/>
              <w:color w:val="auto"/>
              <w:sz w:val="22"/>
              <w:szCs w:val="22"/>
            </w:rPr>
          </w:pPr>
          <w:r>
            <w:rPr>
              <w:rFonts w:hint="default" w:ascii="Times New Roman" w:hAnsi="Times New Roman" w:eastAsia="宋体" w:cs="Times New Roman"/>
              <w:color w:val="auto"/>
              <w:kern w:val="2"/>
              <w:sz w:val="22"/>
              <w:szCs w:val="22"/>
              <w:highlight w:val="none"/>
              <w:lang w:val="en-US" w:eastAsia="zh-CN" w:bidi="ar-SA"/>
            </w:rPr>
            <w:fldChar w:fldCharType="begin"/>
          </w:r>
          <w:r>
            <w:rPr>
              <w:rFonts w:hint="default" w:ascii="Times New Roman" w:hAnsi="Times New Roman" w:eastAsia="宋体" w:cs="Times New Roman"/>
              <w:color w:val="auto"/>
              <w:kern w:val="2"/>
              <w:sz w:val="22"/>
              <w:szCs w:val="22"/>
              <w:highlight w:val="none"/>
              <w:lang w:val="en-US" w:eastAsia="zh-CN" w:bidi="ar-SA"/>
            </w:rPr>
            <w:instrText xml:space="preserve"> HYPERLINK \l _Toc9234 </w:instrText>
          </w:r>
          <w:r>
            <w:rPr>
              <w:rFonts w:hint="default" w:ascii="Times New Roman" w:hAnsi="Times New Roman" w:eastAsia="宋体" w:cs="Times New Roman"/>
              <w:color w:val="auto"/>
              <w:kern w:val="2"/>
              <w:sz w:val="22"/>
              <w:szCs w:val="22"/>
              <w:highlight w:val="none"/>
              <w:lang w:val="en-US" w:eastAsia="zh-CN" w:bidi="ar-SA"/>
            </w:rPr>
            <w:fldChar w:fldCharType="separate"/>
          </w:r>
          <w:r>
            <w:rPr>
              <w:rFonts w:hint="default" w:ascii="Times New Roman" w:hAnsi="Times New Roman" w:eastAsia="宋体" w:cs="Times New Roman"/>
              <w:bCs/>
              <w:i w:val="0"/>
              <w:color w:val="auto"/>
              <w:kern w:val="2"/>
              <w:sz w:val="22"/>
              <w:szCs w:val="22"/>
              <w:highlight w:val="none"/>
              <w:lang w:val="en-US" w:eastAsia="zh-CN" w:bidi="ar-SA"/>
            </w:rPr>
            <w:t>2.3</w:t>
          </w:r>
          <w:r>
            <w:rPr>
              <w:rFonts w:hint="default" w:ascii="Times New Roman" w:hAnsi="Times New Roman" w:eastAsia="宋体" w:cs="Times New Roman"/>
              <w:bCs/>
              <w:color w:val="auto"/>
              <w:sz w:val="22"/>
              <w:szCs w:val="22"/>
              <w:highlight w:val="none"/>
            </w:rPr>
            <w:t>扩建工程</w:t>
          </w:r>
          <w:r>
            <w:rPr>
              <w:rFonts w:hint="default" w:ascii="Times New Roman" w:hAnsi="Times New Roman" w:eastAsia="宋体" w:cs="Times New Roman"/>
              <w:bCs/>
              <w:color w:val="auto"/>
              <w:sz w:val="22"/>
              <w:szCs w:val="22"/>
              <w:highlight w:val="none"/>
              <w:lang w:eastAsia="zh-CN"/>
            </w:rPr>
            <w:t>概况</w:t>
          </w:r>
          <w:r>
            <w:rPr>
              <w:rFonts w:hint="default" w:ascii="Times New Roman" w:hAnsi="Times New Roman" w:eastAsia="宋体" w:cs="Times New Roman"/>
              <w:color w:val="auto"/>
              <w:sz w:val="22"/>
              <w:szCs w:val="22"/>
            </w:rPr>
            <w:tab/>
          </w:r>
          <w:r>
            <w:rPr>
              <w:rFonts w:hint="default" w:ascii="Times New Roman" w:hAnsi="Times New Roman" w:eastAsia="宋体" w:cs="Times New Roman"/>
              <w:color w:val="auto"/>
              <w:sz w:val="22"/>
              <w:szCs w:val="22"/>
            </w:rPr>
            <w:fldChar w:fldCharType="begin"/>
          </w:r>
          <w:r>
            <w:rPr>
              <w:rFonts w:hint="default" w:ascii="Times New Roman" w:hAnsi="Times New Roman" w:eastAsia="宋体" w:cs="Times New Roman"/>
              <w:color w:val="auto"/>
              <w:sz w:val="22"/>
              <w:szCs w:val="22"/>
            </w:rPr>
            <w:instrText xml:space="preserve"> PAGEREF _Toc9234 \h </w:instrText>
          </w:r>
          <w:r>
            <w:rPr>
              <w:rFonts w:hint="default" w:ascii="Times New Roman" w:hAnsi="Times New Roman" w:eastAsia="宋体" w:cs="Times New Roman"/>
              <w:color w:val="auto"/>
              <w:sz w:val="22"/>
              <w:szCs w:val="22"/>
            </w:rPr>
            <w:fldChar w:fldCharType="separate"/>
          </w:r>
          <w:r>
            <w:rPr>
              <w:rFonts w:hint="default" w:ascii="Times New Roman" w:hAnsi="Times New Roman" w:eastAsia="宋体" w:cs="Times New Roman"/>
              <w:color w:val="auto"/>
              <w:sz w:val="22"/>
              <w:szCs w:val="22"/>
            </w:rPr>
            <w:t>56</w:t>
          </w:r>
          <w:r>
            <w:rPr>
              <w:rFonts w:hint="default" w:ascii="Times New Roman" w:hAnsi="Times New Roman" w:eastAsia="宋体" w:cs="Times New Roman"/>
              <w:color w:val="auto"/>
              <w:sz w:val="22"/>
              <w:szCs w:val="22"/>
            </w:rPr>
            <w:fldChar w:fldCharType="end"/>
          </w:r>
          <w:r>
            <w:rPr>
              <w:rFonts w:hint="default" w:ascii="Times New Roman" w:hAnsi="Times New Roman" w:eastAsia="宋体" w:cs="Times New Roman"/>
              <w:color w:val="auto"/>
              <w:kern w:val="2"/>
              <w:sz w:val="22"/>
              <w:szCs w:val="22"/>
              <w:highlight w:val="none"/>
              <w:lang w:val="en-US" w:eastAsia="zh-CN" w:bidi="ar-SA"/>
            </w:rPr>
            <w:fldChar w:fldCharType="end"/>
          </w:r>
        </w:p>
        <w:p>
          <w:pPr>
            <w:pStyle w:val="31"/>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leftChars="0" w:firstLine="0" w:firstLineChars="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2"/>
              <w:sz w:val="24"/>
              <w:szCs w:val="24"/>
              <w:highlight w:val="none"/>
              <w:lang w:val="en-US" w:eastAsia="zh-CN" w:bidi="ar-SA"/>
            </w:rPr>
            <w:fldChar w:fldCharType="begin"/>
          </w:r>
          <w:r>
            <w:rPr>
              <w:rFonts w:hint="default" w:ascii="Times New Roman" w:hAnsi="Times New Roman" w:eastAsia="宋体" w:cs="Times New Roman"/>
              <w:color w:val="auto"/>
              <w:kern w:val="2"/>
              <w:sz w:val="24"/>
              <w:szCs w:val="24"/>
              <w:highlight w:val="none"/>
              <w:lang w:val="en-US" w:eastAsia="zh-CN" w:bidi="ar-SA"/>
            </w:rPr>
            <w:instrText xml:space="preserve"> HYPERLINK \l _Toc17658 </w:instrText>
          </w:r>
          <w:r>
            <w:rPr>
              <w:rFonts w:hint="default" w:ascii="Times New Roman" w:hAnsi="Times New Roman" w:eastAsia="宋体" w:cs="Times New Roman"/>
              <w:color w:val="auto"/>
              <w:kern w:val="2"/>
              <w:sz w:val="24"/>
              <w:szCs w:val="24"/>
              <w:highlight w:val="none"/>
              <w:lang w:val="en-US" w:eastAsia="zh-CN" w:bidi="ar-SA"/>
            </w:rPr>
            <w:fldChar w:fldCharType="separate"/>
          </w:r>
          <w:r>
            <w:rPr>
              <w:rFonts w:hint="default" w:ascii="Times New Roman" w:hAnsi="Times New Roman" w:eastAsia="宋体" w:cs="Times New Roman"/>
              <w:bCs w:val="0"/>
              <w:i w:val="0"/>
              <w:color w:val="auto"/>
              <w:kern w:val="44"/>
              <w:sz w:val="24"/>
              <w:szCs w:val="24"/>
              <w:highlight w:val="none"/>
              <w:lang w:val="en-US" w:eastAsia="zh-CN" w:bidi="ar-SA"/>
            </w:rPr>
            <w:t>3</w:t>
          </w:r>
          <w:r>
            <w:rPr>
              <w:rFonts w:hint="default" w:ascii="Times New Roman" w:hAnsi="Times New Roman" w:eastAsia="宋体" w:cs="Times New Roman"/>
              <w:bCs w:val="0"/>
              <w:color w:val="auto"/>
              <w:sz w:val="24"/>
              <w:szCs w:val="24"/>
              <w:highlight w:val="none"/>
            </w:rPr>
            <w:t>工程分析</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_Toc17658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98</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kern w:val="2"/>
              <w:sz w:val="24"/>
              <w:szCs w:val="24"/>
              <w:highlight w:val="none"/>
              <w:lang w:val="en-US" w:eastAsia="zh-CN" w:bidi="ar-SA"/>
            </w:rPr>
            <w:fldChar w:fldCharType="end"/>
          </w:r>
        </w:p>
        <w:p>
          <w:pPr>
            <w:pStyle w:val="45"/>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firstLine="440" w:firstLineChars="200"/>
            <w:textAlignment w:val="auto"/>
            <w:rPr>
              <w:rFonts w:hint="default" w:ascii="Times New Roman" w:hAnsi="Times New Roman" w:eastAsia="宋体" w:cs="Times New Roman"/>
              <w:color w:val="auto"/>
              <w:sz w:val="22"/>
              <w:szCs w:val="22"/>
            </w:rPr>
          </w:pPr>
          <w:r>
            <w:rPr>
              <w:rFonts w:hint="default" w:ascii="Times New Roman" w:hAnsi="Times New Roman" w:eastAsia="宋体" w:cs="Times New Roman"/>
              <w:color w:val="auto"/>
              <w:kern w:val="2"/>
              <w:sz w:val="22"/>
              <w:szCs w:val="22"/>
              <w:highlight w:val="none"/>
              <w:lang w:val="en-US" w:eastAsia="zh-CN" w:bidi="ar-SA"/>
            </w:rPr>
            <w:fldChar w:fldCharType="begin"/>
          </w:r>
          <w:r>
            <w:rPr>
              <w:rFonts w:hint="default" w:ascii="Times New Roman" w:hAnsi="Times New Roman" w:eastAsia="宋体" w:cs="Times New Roman"/>
              <w:color w:val="auto"/>
              <w:kern w:val="2"/>
              <w:sz w:val="22"/>
              <w:szCs w:val="22"/>
              <w:highlight w:val="none"/>
              <w:lang w:val="en-US" w:eastAsia="zh-CN" w:bidi="ar-SA"/>
            </w:rPr>
            <w:instrText xml:space="preserve"> HYPERLINK \l _Toc20860 </w:instrText>
          </w:r>
          <w:r>
            <w:rPr>
              <w:rFonts w:hint="default" w:ascii="Times New Roman" w:hAnsi="Times New Roman" w:eastAsia="宋体" w:cs="Times New Roman"/>
              <w:color w:val="auto"/>
              <w:kern w:val="2"/>
              <w:sz w:val="22"/>
              <w:szCs w:val="22"/>
              <w:highlight w:val="none"/>
              <w:lang w:val="en-US" w:eastAsia="zh-CN" w:bidi="ar-SA"/>
            </w:rPr>
            <w:fldChar w:fldCharType="separate"/>
          </w:r>
          <w:r>
            <w:rPr>
              <w:rFonts w:hint="default" w:ascii="Times New Roman" w:hAnsi="Times New Roman" w:eastAsia="宋体" w:cs="Times New Roman"/>
              <w:bCs/>
              <w:i w:val="0"/>
              <w:color w:val="auto"/>
              <w:kern w:val="2"/>
              <w:sz w:val="22"/>
              <w:szCs w:val="22"/>
              <w:highlight w:val="none"/>
              <w:lang w:val="en-US" w:eastAsia="zh-CN" w:bidi="ar-SA"/>
            </w:rPr>
            <w:t>3.1</w:t>
          </w:r>
          <w:r>
            <w:rPr>
              <w:rFonts w:hint="default" w:ascii="Times New Roman" w:hAnsi="Times New Roman" w:eastAsia="宋体" w:cs="Times New Roman"/>
              <w:bCs/>
              <w:color w:val="auto"/>
              <w:sz w:val="22"/>
              <w:szCs w:val="22"/>
              <w:highlight w:val="none"/>
            </w:rPr>
            <w:t>工艺流程</w:t>
          </w:r>
          <w:r>
            <w:rPr>
              <w:rFonts w:hint="default" w:ascii="Times New Roman" w:hAnsi="Times New Roman" w:eastAsia="宋体" w:cs="Times New Roman"/>
              <w:color w:val="auto"/>
              <w:sz w:val="22"/>
              <w:szCs w:val="22"/>
            </w:rPr>
            <w:tab/>
          </w:r>
          <w:r>
            <w:rPr>
              <w:rFonts w:hint="default" w:ascii="Times New Roman" w:hAnsi="Times New Roman" w:eastAsia="宋体" w:cs="Times New Roman"/>
              <w:color w:val="auto"/>
              <w:sz w:val="22"/>
              <w:szCs w:val="22"/>
            </w:rPr>
            <w:fldChar w:fldCharType="begin"/>
          </w:r>
          <w:r>
            <w:rPr>
              <w:rFonts w:hint="default" w:ascii="Times New Roman" w:hAnsi="Times New Roman" w:eastAsia="宋体" w:cs="Times New Roman"/>
              <w:color w:val="auto"/>
              <w:sz w:val="22"/>
              <w:szCs w:val="22"/>
            </w:rPr>
            <w:instrText xml:space="preserve"> PAGEREF _Toc20860 \h </w:instrText>
          </w:r>
          <w:r>
            <w:rPr>
              <w:rFonts w:hint="default" w:ascii="Times New Roman" w:hAnsi="Times New Roman" w:eastAsia="宋体" w:cs="Times New Roman"/>
              <w:color w:val="auto"/>
              <w:sz w:val="22"/>
              <w:szCs w:val="22"/>
            </w:rPr>
            <w:fldChar w:fldCharType="separate"/>
          </w:r>
          <w:r>
            <w:rPr>
              <w:rFonts w:hint="default" w:ascii="Times New Roman" w:hAnsi="Times New Roman" w:eastAsia="宋体" w:cs="Times New Roman"/>
              <w:color w:val="auto"/>
              <w:sz w:val="22"/>
              <w:szCs w:val="22"/>
            </w:rPr>
            <w:t>98</w:t>
          </w:r>
          <w:r>
            <w:rPr>
              <w:rFonts w:hint="default" w:ascii="Times New Roman" w:hAnsi="Times New Roman" w:eastAsia="宋体" w:cs="Times New Roman"/>
              <w:color w:val="auto"/>
              <w:sz w:val="22"/>
              <w:szCs w:val="22"/>
            </w:rPr>
            <w:fldChar w:fldCharType="end"/>
          </w:r>
          <w:r>
            <w:rPr>
              <w:rFonts w:hint="default" w:ascii="Times New Roman" w:hAnsi="Times New Roman" w:eastAsia="宋体" w:cs="Times New Roman"/>
              <w:color w:val="auto"/>
              <w:kern w:val="2"/>
              <w:sz w:val="22"/>
              <w:szCs w:val="22"/>
              <w:highlight w:val="none"/>
              <w:lang w:val="en-US" w:eastAsia="zh-CN" w:bidi="ar-SA"/>
            </w:rPr>
            <w:fldChar w:fldCharType="end"/>
          </w:r>
        </w:p>
        <w:p>
          <w:pPr>
            <w:pStyle w:val="45"/>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firstLine="440" w:firstLineChars="200"/>
            <w:textAlignment w:val="auto"/>
            <w:rPr>
              <w:rFonts w:hint="default" w:ascii="Times New Roman" w:hAnsi="Times New Roman" w:eastAsia="宋体" w:cs="Times New Roman"/>
              <w:color w:val="auto"/>
              <w:sz w:val="22"/>
              <w:szCs w:val="22"/>
            </w:rPr>
          </w:pPr>
          <w:r>
            <w:rPr>
              <w:rFonts w:hint="default" w:ascii="Times New Roman" w:hAnsi="Times New Roman" w:eastAsia="宋体" w:cs="Times New Roman"/>
              <w:color w:val="auto"/>
              <w:kern w:val="2"/>
              <w:sz w:val="22"/>
              <w:szCs w:val="22"/>
              <w:highlight w:val="none"/>
              <w:lang w:val="en-US" w:eastAsia="zh-CN" w:bidi="ar-SA"/>
            </w:rPr>
            <w:fldChar w:fldCharType="begin"/>
          </w:r>
          <w:r>
            <w:rPr>
              <w:rFonts w:hint="default" w:ascii="Times New Roman" w:hAnsi="Times New Roman" w:eastAsia="宋体" w:cs="Times New Roman"/>
              <w:color w:val="auto"/>
              <w:kern w:val="2"/>
              <w:sz w:val="22"/>
              <w:szCs w:val="22"/>
              <w:highlight w:val="none"/>
              <w:lang w:val="en-US" w:eastAsia="zh-CN" w:bidi="ar-SA"/>
            </w:rPr>
            <w:instrText xml:space="preserve"> HYPERLINK \l _Toc18913 </w:instrText>
          </w:r>
          <w:r>
            <w:rPr>
              <w:rFonts w:hint="default" w:ascii="Times New Roman" w:hAnsi="Times New Roman" w:eastAsia="宋体" w:cs="Times New Roman"/>
              <w:color w:val="auto"/>
              <w:kern w:val="2"/>
              <w:sz w:val="22"/>
              <w:szCs w:val="22"/>
              <w:highlight w:val="none"/>
              <w:lang w:val="en-US" w:eastAsia="zh-CN" w:bidi="ar-SA"/>
            </w:rPr>
            <w:fldChar w:fldCharType="separate"/>
          </w:r>
          <w:r>
            <w:rPr>
              <w:rFonts w:hint="default" w:ascii="Times New Roman" w:hAnsi="Times New Roman" w:eastAsia="宋体" w:cs="Times New Roman"/>
              <w:bCs/>
              <w:i w:val="0"/>
              <w:color w:val="auto"/>
              <w:kern w:val="2"/>
              <w:sz w:val="22"/>
              <w:szCs w:val="22"/>
              <w:highlight w:val="none"/>
              <w:lang w:val="en-US" w:eastAsia="zh-CN" w:bidi="ar-SA"/>
            </w:rPr>
            <w:t>3.2</w:t>
          </w:r>
          <w:r>
            <w:rPr>
              <w:rFonts w:hint="default" w:ascii="Times New Roman" w:hAnsi="Times New Roman" w:eastAsia="宋体" w:cs="Times New Roman"/>
              <w:bCs/>
              <w:color w:val="auto"/>
              <w:sz w:val="22"/>
              <w:szCs w:val="22"/>
              <w:highlight w:val="none"/>
              <w:lang w:eastAsia="zh-CN"/>
            </w:rPr>
            <w:t>运营</w:t>
          </w:r>
          <w:r>
            <w:rPr>
              <w:rFonts w:hint="default" w:ascii="Times New Roman" w:hAnsi="Times New Roman" w:eastAsia="宋体" w:cs="Times New Roman"/>
              <w:bCs/>
              <w:color w:val="auto"/>
              <w:sz w:val="22"/>
              <w:szCs w:val="22"/>
              <w:highlight w:val="none"/>
            </w:rPr>
            <w:t>期污染源分析</w:t>
          </w:r>
          <w:r>
            <w:rPr>
              <w:rFonts w:hint="default" w:ascii="Times New Roman" w:hAnsi="Times New Roman" w:eastAsia="宋体" w:cs="Times New Roman"/>
              <w:color w:val="auto"/>
              <w:sz w:val="22"/>
              <w:szCs w:val="22"/>
            </w:rPr>
            <w:tab/>
          </w:r>
          <w:r>
            <w:rPr>
              <w:rFonts w:hint="default" w:ascii="Times New Roman" w:hAnsi="Times New Roman" w:eastAsia="宋体" w:cs="Times New Roman"/>
              <w:color w:val="auto"/>
              <w:sz w:val="22"/>
              <w:szCs w:val="22"/>
            </w:rPr>
            <w:fldChar w:fldCharType="begin"/>
          </w:r>
          <w:r>
            <w:rPr>
              <w:rFonts w:hint="default" w:ascii="Times New Roman" w:hAnsi="Times New Roman" w:eastAsia="宋体" w:cs="Times New Roman"/>
              <w:color w:val="auto"/>
              <w:sz w:val="22"/>
              <w:szCs w:val="22"/>
            </w:rPr>
            <w:instrText xml:space="preserve"> PAGEREF _Toc18913 \h </w:instrText>
          </w:r>
          <w:r>
            <w:rPr>
              <w:rFonts w:hint="default" w:ascii="Times New Roman" w:hAnsi="Times New Roman" w:eastAsia="宋体" w:cs="Times New Roman"/>
              <w:color w:val="auto"/>
              <w:sz w:val="22"/>
              <w:szCs w:val="22"/>
            </w:rPr>
            <w:fldChar w:fldCharType="separate"/>
          </w:r>
          <w:r>
            <w:rPr>
              <w:rFonts w:hint="default" w:ascii="Times New Roman" w:hAnsi="Times New Roman" w:eastAsia="宋体" w:cs="Times New Roman"/>
              <w:color w:val="auto"/>
              <w:sz w:val="22"/>
              <w:szCs w:val="22"/>
            </w:rPr>
            <w:t>98</w:t>
          </w:r>
          <w:r>
            <w:rPr>
              <w:rFonts w:hint="default" w:ascii="Times New Roman" w:hAnsi="Times New Roman" w:eastAsia="宋体" w:cs="Times New Roman"/>
              <w:color w:val="auto"/>
              <w:sz w:val="22"/>
              <w:szCs w:val="22"/>
            </w:rPr>
            <w:fldChar w:fldCharType="end"/>
          </w:r>
          <w:r>
            <w:rPr>
              <w:rFonts w:hint="default" w:ascii="Times New Roman" w:hAnsi="Times New Roman" w:eastAsia="宋体" w:cs="Times New Roman"/>
              <w:color w:val="auto"/>
              <w:kern w:val="2"/>
              <w:sz w:val="22"/>
              <w:szCs w:val="22"/>
              <w:highlight w:val="none"/>
              <w:lang w:val="en-US" w:eastAsia="zh-CN" w:bidi="ar-SA"/>
            </w:rPr>
            <w:fldChar w:fldCharType="end"/>
          </w:r>
        </w:p>
        <w:p>
          <w:pPr>
            <w:pStyle w:val="45"/>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firstLine="440" w:firstLineChars="200"/>
            <w:textAlignment w:val="auto"/>
            <w:rPr>
              <w:rFonts w:hint="default" w:ascii="Times New Roman" w:hAnsi="Times New Roman" w:eastAsia="宋体" w:cs="Times New Roman"/>
              <w:color w:val="auto"/>
              <w:sz w:val="22"/>
              <w:szCs w:val="22"/>
            </w:rPr>
          </w:pPr>
          <w:r>
            <w:rPr>
              <w:rFonts w:hint="default" w:ascii="Times New Roman" w:hAnsi="Times New Roman" w:eastAsia="宋体" w:cs="Times New Roman"/>
              <w:color w:val="auto"/>
              <w:kern w:val="2"/>
              <w:sz w:val="22"/>
              <w:szCs w:val="22"/>
              <w:highlight w:val="none"/>
              <w:lang w:val="en-US" w:eastAsia="zh-CN" w:bidi="ar-SA"/>
            </w:rPr>
            <w:fldChar w:fldCharType="begin"/>
          </w:r>
          <w:r>
            <w:rPr>
              <w:rFonts w:hint="default" w:ascii="Times New Roman" w:hAnsi="Times New Roman" w:eastAsia="宋体" w:cs="Times New Roman"/>
              <w:color w:val="auto"/>
              <w:kern w:val="2"/>
              <w:sz w:val="22"/>
              <w:szCs w:val="22"/>
              <w:highlight w:val="none"/>
              <w:lang w:val="en-US" w:eastAsia="zh-CN" w:bidi="ar-SA"/>
            </w:rPr>
            <w:instrText xml:space="preserve"> HYPERLINK \l _Toc4577 </w:instrText>
          </w:r>
          <w:r>
            <w:rPr>
              <w:rFonts w:hint="default" w:ascii="Times New Roman" w:hAnsi="Times New Roman" w:eastAsia="宋体" w:cs="Times New Roman"/>
              <w:color w:val="auto"/>
              <w:kern w:val="2"/>
              <w:sz w:val="22"/>
              <w:szCs w:val="22"/>
              <w:highlight w:val="none"/>
              <w:lang w:val="en-US" w:eastAsia="zh-CN" w:bidi="ar-SA"/>
            </w:rPr>
            <w:fldChar w:fldCharType="separate"/>
          </w:r>
          <w:r>
            <w:rPr>
              <w:rFonts w:hint="default" w:ascii="Times New Roman" w:hAnsi="Times New Roman" w:eastAsia="宋体" w:cs="Times New Roman"/>
              <w:bCs/>
              <w:i w:val="0"/>
              <w:color w:val="auto"/>
              <w:kern w:val="2"/>
              <w:sz w:val="22"/>
              <w:szCs w:val="22"/>
              <w:highlight w:val="none"/>
              <w:lang w:val="en-US" w:eastAsia="zh-CN" w:bidi="ar-SA"/>
            </w:rPr>
            <w:t>3.3</w:t>
          </w:r>
          <w:r>
            <w:rPr>
              <w:rFonts w:hint="default" w:ascii="Times New Roman" w:hAnsi="Times New Roman" w:eastAsia="宋体" w:cs="Times New Roman"/>
              <w:bCs/>
              <w:color w:val="auto"/>
              <w:sz w:val="22"/>
              <w:szCs w:val="22"/>
              <w:highlight w:val="none"/>
            </w:rPr>
            <w:t>污染物排放情况汇总</w:t>
          </w:r>
          <w:r>
            <w:rPr>
              <w:rFonts w:hint="default" w:ascii="Times New Roman" w:hAnsi="Times New Roman" w:eastAsia="宋体" w:cs="Times New Roman"/>
              <w:color w:val="auto"/>
              <w:sz w:val="22"/>
              <w:szCs w:val="22"/>
            </w:rPr>
            <w:tab/>
          </w:r>
          <w:r>
            <w:rPr>
              <w:rFonts w:hint="default" w:ascii="Times New Roman" w:hAnsi="Times New Roman" w:eastAsia="宋体" w:cs="Times New Roman"/>
              <w:color w:val="auto"/>
              <w:sz w:val="22"/>
              <w:szCs w:val="22"/>
            </w:rPr>
            <w:fldChar w:fldCharType="begin"/>
          </w:r>
          <w:r>
            <w:rPr>
              <w:rFonts w:hint="default" w:ascii="Times New Roman" w:hAnsi="Times New Roman" w:eastAsia="宋体" w:cs="Times New Roman"/>
              <w:color w:val="auto"/>
              <w:sz w:val="22"/>
              <w:szCs w:val="22"/>
            </w:rPr>
            <w:instrText xml:space="preserve"> PAGEREF _Toc4577 \h </w:instrText>
          </w:r>
          <w:r>
            <w:rPr>
              <w:rFonts w:hint="default" w:ascii="Times New Roman" w:hAnsi="Times New Roman" w:eastAsia="宋体" w:cs="Times New Roman"/>
              <w:color w:val="auto"/>
              <w:sz w:val="22"/>
              <w:szCs w:val="22"/>
            </w:rPr>
            <w:fldChar w:fldCharType="separate"/>
          </w:r>
          <w:r>
            <w:rPr>
              <w:rFonts w:hint="default" w:ascii="Times New Roman" w:hAnsi="Times New Roman" w:eastAsia="宋体" w:cs="Times New Roman"/>
              <w:color w:val="auto"/>
              <w:sz w:val="22"/>
              <w:szCs w:val="22"/>
            </w:rPr>
            <w:t>102</w:t>
          </w:r>
          <w:r>
            <w:rPr>
              <w:rFonts w:hint="default" w:ascii="Times New Roman" w:hAnsi="Times New Roman" w:eastAsia="宋体" w:cs="Times New Roman"/>
              <w:color w:val="auto"/>
              <w:sz w:val="22"/>
              <w:szCs w:val="22"/>
            </w:rPr>
            <w:fldChar w:fldCharType="end"/>
          </w:r>
          <w:r>
            <w:rPr>
              <w:rFonts w:hint="default" w:ascii="Times New Roman" w:hAnsi="Times New Roman" w:eastAsia="宋体" w:cs="Times New Roman"/>
              <w:color w:val="auto"/>
              <w:kern w:val="2"/>
              <w:sz w:val="22"/>
              <w:szCs w:val="22"/>
              <w:highlight w:val="none"/>
              <w:lang w:val="en-US" w:eastAsia="zh-CN" w:bidi="ar-SA"/>
            </w:rPr>
            <w:fldChar w:fldCharType="end"/>
          </w:r>
        </w:p>
        <w:p>
          <w:pPr>
            <w:pStyle w:val="45"/>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firstLine="440" w:firstLineChars="200"/>
            <w:textAlignment w:val="auto"/>
            <w:rPr>
              <w:rFonts w:hint="default" w:ascii="Times New Roman" w:hAnsi="Times New Roman" w:eastAsia="宋体" w:cs="Times New Roman"/>
              <w:color w:val="auto"/>
              <w:sz w:val="22"/>
              <w:szCs w:val="22"/>
            </w:rPr>
          </w:pPr>
          <w:r>
            <w:rPr>
              <w:rFonts w:hint="default" w:ascii="Times New Roman" w:hAnsi="Times New Roman" w:eastAsia="宋体" w:cs="Times New Roman"/>
              <w:color w:val="auto"/>
              <w:kern w:val="2"/>
              <w:sz w:val="22"/>
              <w:szCs w:val="22"/>
              <w:highlight w:val="none"/>
              <w:lang w:val="en-US" w:eastAsia="zh-CN" w:bidi="ar-SA"/>
            </w:rPr>
            <w:fldChar w:fldCharType="begin"/>
          </w:r>
          <w:r>
            <w:rPr>
              <w:rFonts w:hint="default" w:ascii="Times New Roman" w:hAnsi="Times New Roman" w:eastAsia="宋体" w:cs="Times New Roman"/>
              <w:color w:val="auto"/>
              <w:kern w:val="2"/>
              <w:sz w:val="22"/>
              <w:szCs w:val="22"/>
              <w:highlight w:val="none"/>
              <w:lang w:val="en-US" w:eastAsia="zh-CN" w:bidi="ar-SA"/>
            </w:rPr>
            <w:instrText xml:space="preserve"> HYPERLINK \l _Toc2746 </w:instrText>
          </w:r>
          <w:r>
            <w:rPr>
              <w:rFonts w:hint="default" w:ascii="Times New Roman" w:hAnsi="Times New Roman" w:eastAsia="宋体" w:cs="Times New Roman"/>
              <w:color w:val="auto"/>
              <w:kern w:val="2"/>
              <w:sz w:val="22"/>
              <w:szCs w:val="22"/>
              <w:highlight w:val="none"/>
              <w:lang w:val="en-US" w:eastAsia="zh-CN" w:bidi="ar-SA"/>
            </w:rPr>
            <w:fldChar w:fldCharType="separate"/>
          </w:r>
          <w:r>
            <w:rPr>
              <w:rFonts w:hint="default" w:ascii="Times New Roman" w:hAnsi="Times New Roman" w:eastAsia="宋体" w:cs="Times New Roman"/>
              <w:bCs/>
              <w:i w:val="0"/>
              <w:color w:val="auto"/>
              <w:kern w:val="2"/>
              <w:sz w:val="22"/>
              <w:szCs w:val="22"/>
              <w:highlight w:val="none"/>
              <w:lang w:val="en-US" w:eastAsia="zh-CN" w:bidi="ar-SA"/>
            </w:rPr>
            <w:t>3.4</w:t>
          </w:r>
          <w:r>
            <w:rPr>
              <w:rFonts w:hint="default" w:ascii="Times New Roman" w:hAnsi="Times New Roman" w:eastAsia="宋体" w:cs="Times New Roman"/>
              <w:bCs/>
              <w:color w:val="auto"/>
              <w:sz w:val="22"/>
              <w:szCs w:val="22"/>
              <w:highlight w:val="none"/>
            </w:rPr>
            <w:t>本项目扩建</w:t>
          </w:r>
          <w:r>
            <w:rPr>
              <w:rFonts w:hint="default" w:ascii="Times New Roman" w:hAnsi="Times New Roman" w:eastAsia="宋体" w:cs="Times New Roman"/>
              <w:bCs/>
              <w:color w:val="auto"/>
              <w:sz w:val="22"/>
              <w:szCs w:val="22"/>
              <w:highlight w:val="none"/>
              <w:lang w:eastAsia="zh-CN"/>
            </w:rPr>
            <w:t>前</w:t>
          </w:r>
          <w:r>
            <w:rPr>
              <w:rFonts w:hint="default" w:ascii="Times New Roman" w:hAnsi="Times New Roman" w:eastAsia="宋体" w:cs="Times New Roman"/>
              <w:bCs/>
              <w:color w:val="auto"/>
              <w:sz w:val="22"/>
              <w:szCs w:val="22"/>
              <w:highlight w:val="none"/>
            </w:rPr>
            <w:t>后污染物排放“三本账”</w:t>
          </w:r>
          <w:r>
            <w:rPr>
              <w:rFonts w:hint="default" w:ascii="Times New Roman" w:hAnsi="Times New Roman" w:eastAsia="宋体" w:cs="Times New Roman"/>
              <w:color w:val="auto"/>
              <w:sz w:val="22"/>
              <w:szCs w:val="22"/>
            </w:rPr>
            <w:tab/>
          </w:r>
          <w:r>
            <w:rPr>
              <w:rFonts w:hint="default" w:ascii="Times New Roman" w:hAnsi="Times New Roman" w:eastAsia="宋体" w:cs="Times New Roman"/>
              <w:color w:val="auto"/>
              <w:sz w:val="22"/>
              <w:szCs w:val="22"/>
            </w:rPr>
            <w:fldChar w:fldCharType="begin"/>
          </w:r>
          <w:r>
            <w:rPr>
              <w:rFonts w:hint="default" w:ascii="Times New Roman" w:hAnsi="Times New Roman" w:eastAsia="宋体" w:cs="Times New Roman"/>
              <w:color w:val="auto"/>
              <w:sz w:val="22"/>
              <w:szCs w:val="22"/>
            </w:rPr>
            <w:instrText xml:space="preserve"> PAGEREF _Toc2746 \h </w:instrText>
          </w:r>
          <w:r>
            <w:rPr>
              <w:rFonts w:hint="default" w:ascii="Times New Roman" w:hAnsi="Times New Roman" w:eastAsia="宋体" w:cs="Times New Roman"/>
              <w:color w:val="auto"/>
              <w:sz w:val="22"/>
              <w:szCs w:val="22"/>
            </w:rPr>
            <w:fldChar w:fldCharType="separate"/>
          </w:r>
          <w:r>
            <w:rPr>
              <w:rFonts w:hint="default" w:ascii="Times New Roman" w:hAnsi="Times New Roman" w:eastAsia="宋体" w:cs="Times New Roman"/>
              <w:color w:val="auto"/>
              <w:sz w:val="22"/>
              <w:szCs w:val="22"/>
            </w:rPr>
            <w:t>103</w:t>
          </w:r>
          <w:r>
            <w:rPr>
              <w:rFonts w:hint="default" w:ascii="Times New Roman" w:hAnsi="Times New Roman" w:eastAsia="宋体" w:cs="Times New Roman"/>
              <w:color w:val="auto"/>
              <w:sz w:val="22"/>
              <w:szCs w:val="22"/>
            </w:rPr>
            <w:fldChar w:fldCharType="end"/>
          </w:r>
          <w:r>
            <w:rPr>
              <w:rFonts w:hint="default" w:ascii="Times New Roman" w:hAnsi="Times New Roman" w:eastAsia="宋体" w:cs="Times New Roman"/>
              <w:color w:val="auto"/>
              <w:kern w:val="2"/>
              <w:sz w:val="22"/>
              <w:szCs w:val="22"/>
              <w:highlight w:val="none"/>
              <w:lang w:val="en-US" w:eastAsia="zh-CN" w:bidi="ar-SA"/>
            </w:rPr>
            <w:fldChar w:fldCharType="end"/>
          </w:r>
        </w:p>
        <w:p>
          <w:pPr>
            <w:pStyle w:val="31"/>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leftChars="0" w:firstLine="0" w:firstLineChars="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2"/>
              <w:sz w:val="24"/>
              <w:szCs w:val="24"/>
              <w:highlight w:val="none"/>
              <w:lang w:val="en-US" w:eastAsia="zh-CN" w:bidi="ar-SA"/>
            </w:rPr>
            <w:fldChar w:fldCharType="begin"/>
          </w:r>
          <w:r>
            <w:rPr>
              <w:rFonts w:hint="default" w:ascii="Times New Roman" w:hAnsi="Times New Roman" w:eastAsia="宋体" w:cs="Times New Roman"/>
              <w:color w:val="auto"/>
              <w:kern w:val="2"/>
              <w:sz w:val="24"/>
              <w:szCs w:val="24"/>
              <w:highlight w:val="none"/>
              <w:lang w:val="en-US" w:eastAsia="zh-CN" w:bidi="ar-SA"/>
            </w:rPr>
            <w:instrText xml:space="preserve"> HYPERLINK \l _Toc2289 </w:instrText>
          </w:r>
          <w:r>
            <w:rPr>
              <w:rFonts w:hint="default" w:ascii="Times New Roman" w:hAnsi="Times New Roman" w:eastAsia="宋体" w:cs="Times New Roman"/>
              <w:color w:val="auto"/>
              <w:kern w:val="2"/>
              <w:sz w:val="24"/>
              <w:szCs w:val="24"/>
              <w:highlight w:val="none"/>
              <w:lang w:val="en-US" w:eastAsia="zh-CN" w:bidi="ar-SA"/>
            </w:rPr>
            <w:fldChar w:fldCharType="separate"/>
          </w:r>
          <w:r>
            <w:rPr>
              <w:rFonts w:hint="default" w:ascii="Times New Roman" w:hAnsi="Times New Roman" w:eastAsia="宋体" w:cs="Times New Roman"/>
              <w:bCs w:val="0"/>
              <w:i w:val="0"/>
              <w:color w:val="auto"/>
              <w:kern w:val="44"/>
              <w:sz w:val="24"/>
              <w:szCs w:val="24"/>
              <w:highlight w:val="none"/>
              <w:lang w:val="en-US" w:eastAsia="zh-CN" w:bidi="ar-SA"/>
            </w:rPr>
            <w:t>4</w:t>
          </w:r>
          <w:r>
            <w:rPr>
              <w:rFonts w:hint="default" w:ascii="Times New Roman" w:hAnsi="Times New Roman" w:eastAsia="宋体" w:cs="Times New Roman"/>
              <w:bCs w:val="0"/>
              <w:color w:val="auto"/>
              <w:sz w:val="24"/>
              <w:szCs w:val="24"/>
              <w:highlight w:val="none"/>
            </w:rPr>
            <w:t>环境概况</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_Toc2289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104</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kern w:val="2"/>
              <w:sz w:val="24"/>
              <w:szCs w:val="24"/>
              <w:highlight w:val="none"/>
              <w:lang w:val="en-US" w:eastAsia="zh-CN" w:bidi="ar-SA"/>
            </w:rPr>
            <w:fldChar w:fldCharType="end"/>
          </w:r>
        </w:p>
        <w:p>
          <w:pPr>
            <w:pStyle w:val="45"/>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firstLine="440" w:firstLineChars="200"/>
            <w:textAlignment w:val="auto"/>
            <w:rPr>
              <w:rFonts w:hint="default" w:ascii="Times New Roman" w:hAnsi="Times New Roman" w:eastAsia="宋体" w:cs="Times New Roman"/>
              <w:color w:val="auto"/>
              <w:sz w:val="22"/>
              <w:szCs w:val="22"/>
            </w:rPr>
          </w:pPr>
          <w:r>
            <w:rPr>
              <w:rFonts w:hint="default" w:ascii="Times New Roman" w:hAnsi="Times New Roman" w:eastAsia="宋体" w:cs="Times New Roman"/>
              <w:color w:val="auto"/>
              <w:kern w:val="2"/>
              <w:sz w:val="22"/>
              <w:szCs w:val="22"/>
              <w:highlight w:val="none"/>
              <w:lang w:val="en-US" w:eastAsia="zh-CN" w:bidi="ar-SA"/>
            </w:rPr>
            <w:fldChar w:fldCharType="begin"/>
          </w:r>
          <w:r>
            <w:rPr>
              <w:rFonts w:hint="default" w:ascii="Times New Roman" w:hAnsi="Times New Roman" w:eastAsia="宋体" w:cs="Times New Roman"/>
              <w:color w:val="auto"/>
              <w:kern w:val="2"/>
              <w:sz w:val="22"/>
              <w:szCs w:val="22"/>
              <w:highlight w:val="none"/>
              <w:lang w:val="en-US" w:eastAsia="zh-CN" w:bidi="ar-SA"/>
            </w:rPr>
            <w:instrText xml:space="preserve"> HYPERLINK \l _Toc20859 </w:instrText>
          </w:r>
          <w:r>
            <w:rPr>
              <w:rFonts w:hint="default" w:ascii="Times New Roman" w:hAnsi="Times New Roman" w:eastAsia="宋体" w:cs="Times New Roman"/>
              <w:color w:val="auto"/>
              <w:kern w:val="2"/>
              <w:sz w:val="22"/>
              <w:szCs w:val="22"/>
              <w:highlight w:val="none"/>
              <w:lang w:val="en-US" w:eastAsia="zh-CN" w:bidi="ar-SA"/>
            </w:rPr>
            <w:fldChar w:fldCharType="separate"/>
          </w:r>
          <w:r>
            <w:rPr>
              <w:rFonts w:hint="default" w:ascii="Times New Roman" w:hAnsi="Times New Roman" w:eastAsia="宋体" w:cs="Times New Roman"/>
              <w:bCs/>
              <w:i w:val="0"/>
              <w:color w:val="auto"/>
              <w:kern w:val="2"/>
              <w:sz w:val="22"/>
              <w:szCs w:val="22"/>
              <w:highlight w:val="none"/>
              <w:lang w:val="en-US" w:eastAsia="zh-CN" w:bidi="ar-SA"/>
            </w:rPr>
            <w:t>4.1地理位置</w:t>
          </w:r>
          <w:r>
            <w:rPr>
              <w:rFonts w:hint="default" w:ascii="Times New Roman" w:hAnsi="Times New Roman" w:eastAsia="宋体" w:cs="Times New Roman"/>
              <w:color w:val="auto"/>
              <w:sz w:val="22"/>
              <w:szCs w:val="22"/>
            </w:rPr>
            <w:tab/>
          </w:r>
          <w:r>
            <w:rPr>
              <w:rFonts w:hint="default" w:ascii="Times New Roman" w:hAnsi="Times New Roman" w:eastAsia="宋体" w:cs="Times New Roman"/>
              <w:color w:val="auto"/>
              <w:sz w:val="22"/>
              <w:szCs w:val="22"/>
            </w:rPr>
            <w:fldChar w:fldCharType="begin"/>
          </w:r>
          <w:r>
            <w:rPr>
              <w:rFonts w:hint="default" w:ascii="Times New Roman" w:hAnsi="Times New Roman" w:eastAsia="宋体" w:cs="Times New Roman"/>
              <w:color w:val="auto"/>
              <w:sz w:val="22"/>
              <w:szCs w:val="22"/>
            </w:rPr>
            <w:instrText xml:space="preserve"> PAGEREF _Toc20859 \h </w:instrText>
          </w:r>
          <w:r>
            <w:rPr>
              <w:rFonts w:hint="default" w:ascii="Times New Roman" w:hAnsi="Times New Roman" w:eastAsia="宋体" w:cs="Times New Roman"/>
              <w:color w:val="auto"/>
              <w:sz w:val="22"/>
              <w:szCs w:val="22"/>
            </w:rPr>
            <w:fldChar w:fldCharType="separate"/>
          </w:r>
          <w:r>
            <w:rPr>
              <w:rFonts w:hint="default" w:ascii="Times New Roman" w:hAnsi="Times New Roman" w:eastAsia="宋体" w:cs="Times New Roman"/>
              <w:color w:val="auto"/>
              <w:sz w:val="22"/>
              <w:szCs w:val="22"/>
            </w:rPr>
            <w:t>104</w:t>
          </w:r>
          <w:r>
            <w:rPr>
              <w:rFonts w:hint="default" w:ascii="Times New Roman" w:hAnsi="Times New Roman" w:eastAsia="宋体" w:cs="Times New Roman"/>
              <w:color w:val="auto"/>
              <w:sz w:val="22"/>
              <w:szCs w:val="22"/>
            </w:rPr>
            <w:fldChar w:fldCharType="end"/>
          </w:r>
          <w:r>
            <w:rPr>
              <w:rFonts w:hint="default" w:ascii="Times New Roman" w:hAnsi="Times New Roman" w:eastAsia="宋体" w:cs="Times New Roman"/>
              <w:color w:val="auto"/>
              <w:kern w:val="2"/>
              <w:sz w:val="22"/>
              <w:szCs w:val="22"/>
              <w:highlight w:val="none"/>
              <w:lang w:val="en-US" w:eastAsia="zh-CN" w:bidi="ar-SA"/>
            </w:rPr>
            <w:fldChar w:fldCharType="end"/>
          </w:r>
        </w:p>
        <w:p>
          <w:pPr>
            <w:pStyle w:val="45"/>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firstLine="440" w:firstLineChars="200"/>
            <w:textAlignment w:val="auto"/>
            <w:rPr>
              <w:rFonts w:hint="default" w:ascii="Times New Roman" w:hAnsi="Times New Roman" w:eastAsia="宋体" w:cs="Times New Roman"/>
              <w:color w:val="auto"/>
              <w:sz w:val="22"/>
              <w:szCs w:val="22"/>
            </w:rPr>
          </w:pPr>
          <w:r>
            <w:rPr>
              <w:rFonts w:hint="default" w:ascii="Times New Roman" w:hAnsi="Times New Roman" w:eastAsia="宋体" w:cs="Times New Roman"/>
              <w:color w:val="auto"/>
              <w:kern w:val="2"/>
              <w:sz w:val="22"/>
              <w:szCs w:val="22"/>
              <w:highlight w:val="none"/>
              <w:lang w:val="en-US" w:eastAsia="zh-CN" w:bidi="ar-SA"/>
            </w:rPr>
            <w:fldChar w:fldCharType="begin"/>
          </w:r>
          <w:r>
            <w:rPr>
              <w:rFonts w:hint="default" w:ascii="Times New Roman" w:hAnsi="Times New Roman" w:eastAsia="宋体" w:cs="Times New Roman"/>
              <w:color w:val="auto"/>
              <w:kern w:val="2"/>
              <w:sz w:val="22"/>
              <w:szCs w:val="22"/>
              <w:highlight w:val="none"/>
              <w:lang w:val="en-US" w:eastAsia="zh-CN" w:bidi="ar-SA"/>
            </w:rPr>
            <w:instrText xml:space="preserve"> HYPERLINK \l _Toc30210 </w:instrText>
          </w:r>
          <w:r>
            <w:rPr>
              <w:rFonts w:hint="default" w:ascii="Times New Roman" w:hAnsi="Times New Roman" w:eastAsia="宋体" w:cs="Times New Roman"/>
              <w:color w:val="auto"/>
              <w:kern w:val="2"/>
              <w:sz w:val="22"/>
              <w:szCs w:val="22"/>
              <w:highlight w:val="none"/>
              <w:lang w:val="en-US" w:eastAsia="zh-CN" w:bidi="ar-SA"/>
            </w:rPr>
            <w:fldChar w:fldCharType="separate"/>
          </w:r>
          <w:r>
            <w:rPr>
              <w:rFonts w:hint="default" w:ascii="Times New Roman" w:hAnsi="Times New Roman" w:eastAsia="宋体" w:cs="Times New Roman"/>
              <w:bCs/>
              <w:i w:val="0"/>
              <w:color w:val="auto"/>
              <w:kern w:val="2"/>
              <w:sz w:val="22"/>
              <w:szCs w:val="22"/>
              <w:highlight w:val="none"/>
              <w:lang w:val="en-US" w:eastAsia="zh-CN" w:bidi="ar-SA"/>
            </w:rPr>
            <w:t>4.2地形地貌</w:t>
          </w:r>
          <w:r>
            <w:rPr>
              <w:rFonts w:hint="default" w:ascii="Times New Roman" w:hAnsi="Times New Roman" w:eastAsia="宋体" w:cs="Times New Roman"/>
              <w:color w:val="auto"/>
              <w:sz w:val="22"/>
              <w:szCs w:val="22"/>
            </w:rPr>
            <w:tab/>
          </w:r>
          <w:r>
            <w:rPr>
              <w:rFonts w:hint="default" w:ascii="Times New Roman" w:hAnsi="Times New Roman" w:eastAsia="宋体" w:cs="Times New Roman"/>
              <w:color w:val="auto"/>
              <w:sz w:val="22"/>
              <w:szCs w:val="22"/>
            </w:rPr>
            <w:fldChar w:fldCharType="begin"/>
          </w:r>
          <w:r>
            <w:rPr>
              <w:rFonts w:hint="default" w:ascii="Times New Roman" w:hAnsi="Times New Roman" w:eastAsia="宋体" w:cs="Times New Roman"/>
              <w:color w:val="auto"/>
              <w:sz w:val="22"/>
              <w:szCs w:val="22"/>
            </w:rPr>
            <w:instrText xml:space="preserve"> PAGEREF _Toc30210 \h </w:instrText>
          </w:r>
          <w:r>
            <w:rPr>
              <w:rFonts w:hint="default" w:ascii="Times New Roman" w:hAnsi="Times New Roman" w:eastAsia="宋体" w:cs="Times New Roman"/>
              <w:color w:val="auto"/>
              <w:sz w:val="22"/>
              <w:szCs w:val="22"/>
            </w:rPr>
            <w:fldChar w:fldCharType="separate"/>
          </w:r>
          <w:r>
            <w:rPr>
              <w:rFonts w:hint="default" w:ascii="Times New Roman" w:hAnsi="Times New Roman" w:eastAsia="宋体" w:cs="Times New Roman"/>
              <w:color w:val="auto"/>
              <w:sz w:val="22"/>
              <w:szCs w:val="22"/>
            </w:rPr>
            <w:t>104</w:t>
          </w:r>
          <w:r>
            <w:rPr>
              <w:rFonts w:hint="default" w:ascii="Times New Roman" w:hAnsi="Times New Roman" w:eastAsia="宋体" w:cs="Times New Roman"/>
              <w:color w:val="auto"/>
              <w:sz w:val="22"/>
              <w:szCs w:val="22"/>
            </w:rPr>
            <w:fldChar w:fldCharType="end"/>
          </w:r>
          <w:r>
            <w:rPr>
              <w:rFonts w:hint="default" w:ascii="Times New Roman" w:hAnsi="Times New Roman" w:eastAsia="宋体" w:cs="Times New Roman"/>
              <w:color w:val="auto"/>
              <w:kern w:val="2"/>
              <w:sz w:val="22"/>
              <w:szCs w:val="22"/>
              <w:highlight w:val="none"/>
              <w:lang w:val="en-US" w:eastAsia="zh-CN" w:bidi="ar-SA"/>
            </w:rPr>
            <w:fldChar w:fldCharType="end"/>
          </w:r>
        </w:p>
        <w:p>
          <w:pPr>
            <w:pStyle w:val="45"/>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firstLine="440" w:firstLineChars="200"/>
            <w:textAlignment w:val="auto"/>
            <w:rPr>
              <w:rFonts w:hint="default" w:ascii="Times New Roman" w:hAnsi="Times New Roman" w:eastAsia="宋体" w:cs="Times New Roman"/>
              <w:color w:val="auto"/>
              <w:sz w:val="22"/>
              <w:szCs w:val="22"/>
            </w:rPr>
          </w:pPr>
          <w:r>
            <w:rPr>
              <w:rFonts w:hint="default" w:ascii="Times New Roman" w:hAnsi="Times New Roman" w:eastAsia="宋体" w:cs="Times New Roman"/>
              <w:color w:val="auto"/>
              <w:kern w:val="2"/>
              <w:sz w:val="22"/>
              <w:szCs w:val="22"/>
              <w:highlight w:val="none"/>
              <w:lang w:val="en-US" w:eastAsia="zh-CN" w:bidi="ar-SA"/>
            </w:rPr>
            <w:fldChar w:fldCharType="begin"/>
          </w:r>
          <w:r>
            <w:rPr>
              <w:rFonts w:hint="default" w:ascii="Times New Roman" w:hAnsi="Times New Roman" w:eastAsia="宋体" w:cs="Times New Roman"/>
              <w:color w:val="auto"/>
              <w:kern w:val="2"/>
              <w:sz w:val="22"/>
              <w:szCs w:val="22"/>
              <w:highlight w:val="none"/>
              <w:lang w:val="en-US" w:eastAsia="zh-CN" w:bidi="ar-SA"/>
            </w:rPr>
            <w:instrText xml:space="preserve"> HYPERLINK \l _Toc30443 </w:instrText>
          </w:r>
          <w:r>
            <w:rPr>
              <w:rFonts w:hint="default" w:ascii="Times New Roman" w:hAnsi="Times New Roman" w:eastAsia="宋体" w:cs="Times New Roman"/>
              <w:color w:val="auto"/>
              <w:kern w:val="2"/>
              <w:sz w:val="22"/>
              <w:szCs w:val="22"/>
              <w:highlight w:val="none"/>
              <w:lang w:val="en-US" w:eastAsia="zh-CN" w:bidi="ar-SA"/>
            </w:rPr>
            <w:fldChar w:fldCharType="separate"/>
          </w:r>
          <w:r>
            <w:rPr>
              <w:rFonts w:hint="default" w:ascii="Times New Roman" w:hAnsi="Times New Roman" w:eastAsia="宋体" w:cs="Times New Roman"/>
              <w:bCs/>
              <w:i w:val="0"/>
              <w:color w:val="auto"/>
              <w:kern w:val="2"/>
              <w:sz w:val="22"/>
              <w:szCs w:val="22"/>
              <w:highlight w:val="none"/>
              <w:lang w:val="en-US" w:eastAsia="zh-CN" w:bidi="ar-SA"/>
            </w:rPr>
            <w:t>4.3气候气象</w:t>
          </w:r>
          <w:r>
            <w:rPr>
              <w:rFonts w:hint="default" w:ascii="Times New Roman" w:hAnsi="Times New Roman" w:eastAsia="宋体" w:cs="Times New Roman"/>
              <w:color w:val="auto"/>
              <w:sz w:val="22"/>
              <w:szCs w:val="22"/>
            </w:rPr>
            <w:tab/>
          </w:r>
          <w:r>
            <w:rPr>
              <w:rFonts w:hint="default" w:ascii="Times New Roman" w:hAnsi="Times New Roman" w:eastAsia="宋体" w:cs="Times New Roman"/>
              <w:color w:val="auto"/>
              <w:sz w:val="22"/>
              <w:szCs w:val="22"/>
            </w:rPr>
            <w:fldChar w:fldCharType="begin"/>
          </w:r>
          <w:r>
            <w:rPr>
              <w:rFonts w:hint="default" w:ascii="Times New Roman" w:hAnsi="Times New Roman" w:eastAsia="宋体" w:cs="Times New Roman"/>
              <w:color w:val="auto"/>
              <w:sz w:val="22"/>
              <w:szCs w:val="22"/>
            </w:rPr>
            <w:instrText xml:space="preserve"> PAGEREF _Toc30443 \h </w:instrText>
          </w:r>
          <w:r>
            <w:rPr>
              <w:rFonts w:hint="default" w:ascii="Times New Roman" w:hAnsi="Times New Roman" w:eastAsia="宋体" w:cs="Times New Roman"/>
              <w:color w:val="auto"/>
              <w:sz w:val="22"/>
              <w:szCs w:val="22"/>
            </w:rPr>
            <w:fldChar w:fldCharType="separate"/>
          </w:r>
          <w:r>
            <w:rPr>
              <w:rFonts w:hint="default" w:ascii="Times New Roman" w:hAnsi="Times New Roman" w:eastAsia="宋体" w:cs="Times New Roman"/>
              <w:color w:val="auto"/>
              <w:sz w:val="22"/>
              <w:szCs w:val="22"/>
            </w:rPr>
            <w:t>104</w:t>
          </w:r>
          <w:r>
            <w:rPr>
              <w:rFonts w:hint="default" w:ascii="Times New Roman" w:hAnsi="Times New Roman" w:eastAsia="宋体" w:cs="Times New Roman"/>
              <w:color w:val="auto"/>
              <w:sz w:val="22"/>
              <w:szCs w:val="22"/>
            </w:rPr>
            <w:fldChar w:fldCharType="end"/>
          </w:r>
          <w:r>
            <w:rPr>
              <w:rFonts w:hint="default" w:ascii="Times New Roman" w:hAnsi="Times New Roman" w:eastAsia="宋体" w:cs="Times New Roman"/>
              <w:color w:val="auto"/>
              <w:kern w:val="2"/>
              <w:sz w:val="22"/>
              <w:szCs w:val="22"/>
              <w:highlight w:val="none"/>
              <w:lang w:val="en-US" w:eastAsia="zh-CN" w:bidi="ar-SA"/>
            </w:rPr>
            <w:fldChar w:fldCharType="end"/>
          </w:r>
        </w:p>
        <w:p>
          <w:pPr>
            <w:pStyle w:val="45"/>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firstLine="440" w:firstLineChars="200"/>
            <w:textAlignment w:val="auto"/>
            <w:rPr>
              <w:rFonts w:hint="default" w:ascii="Times New Roman" w:hAnsi="Times New Roman" w:eastAsia="宋体" w:cs="Times New Roman"/>
              <w:color w:val="auto"/>
              <w:sz w:val="22"/>
              <w:szCs w:val="22"/>
            </w:rPr>
          </w:pPr>
          <w:r>
            <w:rPr>
              <w:rFonts w:hint="default" w:ascii="Times New Roman" w:hAnsi="Times New Roman" w:eastAsia="宋体" w:cs="Times New Roman"/>
              <w:color w:val="auto"/>
              <w:kern w:val="2"/>
              <w:sz w:val="22"/>
              <w:szCs w:val="22"/>
              <w:highlight w:val="none"/>
              <w:lang w:val="en-US" w:eastAsia="zh-CN" w:bidi="ar-SA"/>
            </w:rPr>
            <w:fldChar w:fldCharType="begin"/>
          </w:r>
          <w:r>
            <w:rPr>
              <w:rFonts w:hint="default" w:ascii="Times New Roman" w:hAnsi="Times New Roman" w:eastAsia="宋体" w:cs="Times New Roman"/>
              <w:color w:val="auto"/>
              <w:kern w:val="2"/>
              <w:sz w:val="22"/>
              <w:szCs w:val="22"/>
              <w:highlight w:val="none"/>
              <w:lang w:val="en-US" w:eastAsia="zh-CN" w:bidi="ar-SA"/>
            </w:rPr>
            <w:instrText xml:space="preserve"> HYPERLINK \l _Toc11746 </w:instrText>
          </w:r>
          <w:r>
            <w:rPr>
              <w:rFonts w:hint="default" w:ascii="Times New Roman" w:hAnsi="Times New Roman" w:eastAsia="宋体" w:cs="Times New Roman"/>
              <w:color w:val="auto"/>
              <w:kern w:val="2"/>
              <w:sz w:val="22"/>
              <w:szCs w:val="22"/>
              <w:highlight w:val="none"/>
              <w:lang w:val="en-US" w:eastAsia="zh-CN" w:bidi="ar-SA"/>
            </w:rPr>
            <w:fldChar w:fldCharType="separate"/>
          </w:r>
          <w:r>
            <w:rPr>
              <w:rFonts w:hint="default" w:ascii="Times New Roman" w:hAnsi="Times New Roman" w:eastAsia="宋体" w:cs="Times New Roman"/>
              <w:bCs/>
              <w:i w:val="0"/>
              <w:color w:val="auto"/>
              <w:kern w:val="2"/>
              <w:sz w:val="22"/>
              <w:szCs w:val="22"/>
              <w:highlight w:val="none"/>
              <w:lang w:val="en-US" w:eastAsia="zh-CN" w:bidi="ar-SA"/>
            </w:rPr>
            <w:t>4.4地表水系及河流</w:t>
          </w:r>
          <w:r>
            <w:rPr>
              <w:rFonts w:hint="default" w:ascii="Times New Roman" w:hAnsi="Times New Roman" w:eastAsia="宋体" w:cs="Times New Roman"/>
              <w:color w:val="auto"/>
              <w:sz w:val="22"/>
              <w:szCs w:val="22"/>
            </w:rPr>
            <w:tab/>
          </w:r>
          <w:r>
            <w:rPr>
              <w:rFonts w:hint="default" w:ascii="Times New Roman" w:hAnsi="Times New Roman" w:eastAsia="宋体" w:cs="Times New Roman"/>
              <w:color w:val="auto"/>
              <w:sz w:val="22"/>
              <w:szCs w:val="22"/>
            </w:rPr>
            <w:fldChar w:fldCharType="begin"/>
          </w:r>
          <w:r>
            <w:rPr>
              <w:rFonts w:hint="default" w:ascii="Times New Roman" w:hAnsi="Times New Roman" w:eastAsia="宋体" w:cs="Times New Roman"/>
              <w:color w:val="auto"/>
              <w:sz w:val="22"/>
              <w:szCs w:val="22"/>
            </w:rPr>
            <w:instrText xml:space="preserve"> PAGEREF _Toc11746 \h </w:instrText>
          </w:r>
          <w:r>
            <w:rPr>
              <w:rFonts w:hint="default" w:ascii="Times New Roman" w:hAnsi="Times New Roman" w:eastAsia="宋体" w:cs="Times New Roman"/>
              <w:color w:val="auto"/>
              <w:sz w:val="22"/>
              <w:szCs w:val="22"/>
            </w:rPr>
            <w:fldChar w:fldCharType="separate"/>
          </w:r>
          <w:r>
            <w:rPr>
              <w:rFonts w:hint="default" w:ascii="Times New Roman" w:hAnsi="Times New Roman" w:eastAsia="宋体" w:cs="Times New Roman"/>
              <w:color w:val="auto"/>
              <w:sz w:val="22"/>
              <w:szCs w:val="22"/>
            </w:rPr>
            <w:t>105</w:t>
          </w:r>
          <w:r>
            <w:rPr>
              <w:rFonts w:hint="default" w:ascii="Times New Roman" w:hAnsi="Times New Roman" w:eastAsia="宋体" w:cs="Times New Roman"/>
              <w:color w:val="auto"/>
              <w:sz w:val="22"/>
              <w:szCs w:val="22"/>
            </w:rPr>
            <w:fldChar w:fldCharType="end"/>
          </w:r>
          <w:r>
            <w:rPr>
              <w:rFonts w:hint="default" w:ascii="Times New Roman" w:hAnsi="Times New Roman" w:eastAsia="宋体" w:cs="Times New Roman"/>
              <w:color w:val="auto"/>
              <w:kern w:val="2"/>
              <w:sz w:val="22"/>
              <w:szCs w:val="22"/>
              <w:highlight w:val="none"/>
              <w:lang w:val="en-US" w:eastAsia="zh-CN" w:bidi="ar-SA"/>
            </w:rPr>
            <w:fldChar w:fldCharType="end"/>
          </w:r>
        </w:p>
        <w:p>
          <w:pPr>
            <w:pStyle w:val="45"/>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firstLine="440" w:firstLineChars="200"/>
            <w:textAlignment w:val="auto"/>
            <w:rPr>
              <w:rFonts w:hint="default" w:ascii="Times New Roman" w:hAnsi="Times New Roman" w:eastAsia="宋体" w:cs="Times New Roman"/>
              <w:color w:val="auto"/>
              <w:sz w:val="22"/>
              <w:szCs w:val="22"/>
            </w:rPr>
          </w:pPr>
          <w:r>
            <w:rPr>
              <w:rFonts w:hint="default" w:ascii="Times New Roman" w:hAnsi="Times New Roman" w:eastAsia="宋体" w:cs="Times New Roman"/>
              <w:color w:val="auto"/>
              <w:kern w:val="2"/>
              <w:sz w:val="22"/>
              <w:szCs w:val="22"/>
              <w:highlight w:val="none"/>
              <w:lang w:val="en-US" w:eastAsia="zh-CN" w:bidi="ar-SA"/>
            </w:rPr>
            <w:fldChar w:fldCharType="begin"/>
          </w:r>
          <w:r>
            <w:rPr>
              <w:rFonts w:hint="default" w:ascii="Times New Roman" w:hAnsi="Times New Roman" w:eastAsia="宋体" w:cs="Times New Roman"/>
              <w:color w:val="auto"/>
              <w:kern w:val="2"/>
              <w:sz w:val="22"/>
              <w:szCs w:val="22"/>
              <w:highlight w:val="none"/>
              <w:lang w:val="en-US" w:eastAsia="zh-CN" w:bidi="ar-SA"/>
            </w:rPr>
            <w:instrText xml:space="preserve"> HYPERLINK \l _Toc3160 </w:instrText>
          </w:r>
          <w:r>
            <w:rPr>
              <w:rFonts w:hint="default" w:ascii="Times New Roman" w:hAnsi="Times New Roman" w:eastAsia="宋体" w:cs="Times New Roman"/>
              <w:color w:val="auto"/>
              <w:kern w:val="2"/>
              <w:sz w:val="22"/>
              <w:szCs w:val="22"/>
              <w:highlight w:val="none"/>
              <w:lang w:val="en-US" w:eastAsia="zh-CN" w:bidi="ar-SA"/>
            </w:rPr>
            <w:fldChar w:fldCharType="separate"/>
          </w:r>
          <w:r>
            <w:rPr>
              <w:rFonts w:hint="default" w:ascii="Times New Roman" w:hAnsi="Times New Roman" w:eastAsia="宋体" w:cs="Times New Roman"/>
              <w:bCs/>
              <w:i w:val="0"/>
              <w:color w:val="auto"/>
              <w:kern w:val="2"/>
              <w:sz w:val="22"/>
              <w:szCs w:val="22"/>
              <w:highlight w:val="none"/>
              <w:lang w:val="en-US" w:eastAsia="zh-CN" w:bidi="ar-SA"/>
            </w:rPr>
            <w:t>4.5水文地质</w:t>
          </w:r>
          <w:r>
            <w:rPr>
              <w:rFonts w:hint="default" w:ascii="Times New Roman" w:hAnsi="Times New Roman" w:eastAsia="宋体" w:cs="Times New Roman"/>
              <w:color w:val="auto"/>
              <w:sz w:val="22"/>
              <w:szCs w:val="22"/>
            </w:rPr>
            <w:tab/>
          </w:r>
          <w:r>
            <w:rPr>
              <w:rFonts w:hint="default" w:ascii="Times New Roman" w:hAnsi="Times New Roman" w:eastAsia="宋体" w:cs="Times New Roman"/>
              <w:color w:val="auto"/>
              <w:sz w:val="22"/>
              <w:szCs w:val="22"/>
            </w:rPr>
            <w:fldChar w:fldCharType="begin"/>
          </w:r>
          <w:r>
            <w:rPr>
              <w:rFonts w:hint="default" w:ascii="Times New Roman" w:hAnsi="Times New Roman" w:eastAsia="宋体" w:cs="Times New Roman"/>
              <w:color w:val="auto"/>
              <w:sz w:val="22"/>
              <w:szCs w:val="22"/>
            </w:rPr>
            <w:instrText xml:space="preserve"> PAGEREF _Toc3160 \h </w:instrText>
          </w:r>
          <w:r>
            <w:rPr>
              <w:rFonts w:hint="default" w:ascii="Times New Roman" w:hAnsi="Times New Roman" w:eastAsia="宋体" w:cs="Times New Roman"/>
              <w:color w:val="auto"/>
              <w:sz w:val="22"/>
              <w:szCs w:val="22"/>
            </w:rPr>
            <w:fldChar w:fldCharType="separate"/>
          </w:r>
          <w:r>
            <w:rPr>
              <w:rFonts w:hint="default" w:ascii="Times New Roman" w:hAnsi="Times New Roman" w:eastAsia="宋体" w:cs="Times New Roman"/>
              <w:color w:val="auto"/>
              <w:sz w:val="22"/>
              <w:szCs w:val="22"/>
            </w:rPr>
            <w:t>105</w:t>
          </w:r>
          <w:r>
            <w:rPr>
              <w:rFonts w:hint="default" w:ascii="Times New Roman" w:hAnsi="Times New Roman" w:eastAsia="宋体" w:cs="Times New Roman"/>
              <w:color w:val="auto"/>
              <w:sz w:val="22"/>
              <w:szCs w:val="22"/>
            </w:rPr>
            <w:fldChar w:fldCharType="end"/>
          </w:r>
          <w:r>
            <w:rPr>
              <w:rFonts w:hint="default" w:ascii="Times New Roman" w:hAnsi="Times New Roman" w:eastAsia="宋体" w:cs="Times New Roman"/>
              <w:color w:val="auto"/>
              <w:kern w:val="2"/>
              <w:sz w:val="22"/>
              <w:szCs w:val="22"/>
              <w:highlight w:val="none"/>
              <w:lang w:val="en-US" w:eastAsia="zh-CN" w:bidi="ar-SA"/>
            </w:rPr>
            <w:fldChar w:fldCharType="end"/>
          </w:r>
        </w:p>
        <w:p>
          <w:pPr>
            <w:pStyle w:val="45"/>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firstLine="440" w:firstLineChars="200"/>
            <w:textAlignment w:val="auto"/>
            <w:rPr>
              <w:rFonts w:hint="default" w:ascii="Times New Roman" w:hAnsi="Times New Roman" w:eastAsia="宋体" w:cs="Times New Roman"/>
              <w:color w:val="auto"/>
              <w:sz w:val="22"/>
              <w:szCs w:val="22"/>
            </w:rPr>
          </w:pPr>
          <w:r>
            <w:rPr>
              <w:rFonts w:hint="default" w:ascii="Times New Roman" w:hAnsi="Times New Roman" w:eastAsia="宋体" w:cs="Times New Roman"/>
              <w:color w:val="auto"/>
              <w:kern w:val="2"/>
              <w:sz w:val="22"/>
              <w:szCs w:val="22"/>
              <w:highlight w:val="none"/>
              <w:lang w:val="en-US" w:eastAsia="zh-CN" w:bidi="ar-SA"/>
            </w:rPr>
            <w:fldChar w:fldCharType="begin"/>
          </w:r>
          <w:r>
            <w:rPr>
              <w:rFonts w:hint="default" w:ascii="Times New Roman" w:hAnsi="Times New Roman" w:eastAsia="宋体" w:cs="Times New Roman"/>
              <w:color w:val="auto"/>
              <w:kern w:val="2"/>
              <w:sz w:val="22"/>
              <w:szCs w:val="22"/>
              <w:highlight w:val="none"/>
              <w:lang w:val="en-US" w:eastAsia="zh-CN" w:bidi="ar-SA"/>
            </w:rPr>
            <w:instrText xml:space="preserve"> HYPERLINK \l _Toc5523 </w:instrText>
          </w:r>
          <w:r>
            <w:rPr>
              <w:rFonts w:hint="default" w:ascii="Times New Roman" w:hAnsi="Times New Roman" w:eastAsia="宋体" w:cs="Times New Roman"/>
              <w:color w:val="auto"/>
              <w:kern w:val="2"/>
              <w:sz w:val="22"/>
              <w:szCs w:val="22"/>
              <w:highlight w:val="none"/>
              <w:lang w:val="en-US" w:eastAsia="zh-CN" w:bidi="ar-SA"/>
            </w:rPr>
            <w:fldChar w:fldCharType="separate"/>
          </w:r>
          <w:r>
            <w:rPr>
              <w:rFonts w:hint="default" w:ascii="Times New Roman" w:hAnsi="Times New Roman" w:eastAsia="宋体" w:cs="Times New Roman"/>
              <w:bCs/>
              <w:i w:val="0"/>
              <w:color w:val="auto"/>
              <w:kern w:val="2"/>
              <w:sz w:val="22"/>
              <w:szCs w:val="22"/>
              <w:highlight w:val="none"/>
              <w:lang w:val="en-US" w:eastAsia="zh-CN" w:bidi="ar-SA"/>
            </w:rPr>
            <w:t>4.6自然生态概况</w:t>
          </w:r>
          <w:r>
            <w:rPr>
              <w:rFonts w:hint="default" w:ascii="Times New Roman" w:hAnsi="Times New Roman" w:eastAsia="宋体" w:cs="Times New Roman"/>
              <w:color w:val="auto"/>
              <w:sz w:val="22"/>
              <w:szCs w:val="22"/>
            </w:rPr>
            <w:tab/>
          </w:r>
          <w:r>
            <w:rPr>
              <w:rFonts w:hint="default" w:ascii="Times New Roman" w:hAnsi="Times New Roman" w:eastAsia="宋体" w:cs="Times New Roman"/>
              <w:color w:val="auto"/>
              <w:sz w:val="22"/>
              <w:szCs w:val="22"/>
            </w:rPr>
            <w:fldChar w:fldCharType="begin"/>
          </w:r>
          <w:r>
            <w:rPr>
              <w:rFonts w:hint="default" w:ascii="Times New Roman" w:hAnsi="Times New Roman" w:eastAsia="宋体" w:cs="Times New Roman"/>
              <w:color w:val="auto"/>
              <w:sz w:val="22"/>
              <w:szCs w:val="22"/>
            </w:rPr>
            <w:instrText xml:space="preserve"> PAGEREF _Toc5523 \h </w:instrText>
          </w:r>
          <w:r>
            <w:rPr>
              <w:rFonts w:hint="default" w:ascii="Times New Roman" w:hAnsi="Times New Roman" w:eastAsia="宋体" w:cs="Times New Roman"/>
              <w:color w:val="auto"/>
              <w:sz w:val="22"/>
              <w:szCs w:val="22"/>
            </w:rPr>
            <w:fldChar w:fldCharType="separate"/>
          </w:r>
          <w:r>
            <w:rPr>
              <w:rFonts w:hint="default" w:ascii="Times New Roman" w:hAnsi="Times New Roman" w:eastAsia="宋体" w:cs="Times New Roman"/>
              <w:color w:val="auto"/>
              <w:sz w:val="22"/>
              <w:szCs w:val="22"/>
            </w:rPr>
            <w:t>106</w:t>
          </w:r>
          <w:r>
            <w:rPr>
              <w:rFonts w:hint="default" w:ascii="Times New Roman" w:hAnsi="Times New Roman" w:eastAsia="宋体" w:cs="Times New Roman"/>
              <w:color w:val="auto"/>
              <w:sz w:val="22"/>
              <w:szCs w:val="22"/>
            </w:rPr>
            <w:fldChar w:fldCharType="end"/>
          </w:r>
          <w:r>
            <w:rPr>
              <w:rFonts w:hint="default" w:ascii="Times New Roman" w:hAnsi="Times New Roman" w:eastAsia="宋体" w:cs="Times New Roman"/>
              <w:color w:val="auto"/>
              <w:kern w:val="2"/>
              <w:sz w:val="22"/>
              <w:szCs w:val="22"/>
              <w:highlight w:val="none"/>
              <w:lang w:val="en-US" w:eastAsia="zh-CN" w:bidi="ar-SA"/>
            </w:rPr>
            <w:fldChar w:fldCharType="end"/>
          </w:r>
        </w:p>
        <w:p>
          <w:pPr>
            <w:pStyle w:val="45"/>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leftChars="0" w:firstLine="0" w:firstLineChars="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2"/>
              <w:sz w:val="24"/>
              <w:szCs w:val="24"/>
              <w:highlight w:val="none"/>
              <w:lang w:val="en-US" w:eastAsia="zh-CN" w:bidi="ar-SA"/>
            </w:rPr>
            <w:fldChar w:fldCharType="begin"/>
          </w:r>
          <w:r>
            <w:rPr>
              <w:rFonts w:hint="default" w:ascii="Times New Roman" w:hAnsi="Times New Roman" w:eastAsia="宋体" w:cs="Times New Roman"/>
              <w:color w:val="auto"/>
              <w:kern w:val="2"/>
              <w:sz w:val="24"/>
              <w:szCs w:val="24"/>
              <w:highlight w:val="none"/>
              <w:lang w:val="en-US" w:eastAsia="zh-CN" w:bidi="ar-SA"/>
            </w:rPr>
            <w:instrText xml:space="preserve"> HYPERLINK \l _Toc29424 </w:instrText>
          </w:r>
          <w:r>
            <w:rPr>
              <w:rFonts w:hint="default" w:ascii="Times New Roman" w:hAnsi="Times New Roman" w:eastAsia="宋体" w:cs="Times New Roman"/>
              <w:color w:val="auto"/>
              <w:kern w:val="2"/>
              <w:sz w:val="24"/>
              <w:szCs w:val="24"/>
              <w:highlight w:val="none"/>
              <w:lang w:val="en-US" w:eastAsia="zh-CN" w:bidi="ar-SA"/>
            </w:rPr>
            <w:fldChar w:fldCharType="separate"/>
          </w:r>
          <w:r>
            <w:rPr>
              <w:rFonts w:hint="default" w:ascii="Times New Roman" w:hAnsi="Times New Roman" w:eastAsia="宋体" w:cs="Times New Roman"/>
              <w:bCs/>
              <w:i w:val="0"/>
              <w:color w:val="auto"/>
              <w:kern w:val="44"/>
              <w:sz w:val="24"/>
              <w:szCs w:val="24"/>
              <w:highlight w:val="none"/>
              <w:lang w:val="en-US" w:eastAsia="zh-CN" w:bidi="ar-SA"/>
            </w:rPr>
            <w:t>5</w:t>
          </w:r>
          <w:r>
            <w:rPr>
              <w:rFonts w:hint="default" w:ascii="Times New Roman" w:hAnsi="Times New Roman" w:eastAsia="宋体" w:cs="Times New Roman"/>
              <w:bCs/>
              <w:color w:val="auto"/>
              <w:sz w:val="24"/>
              <w:szCs w:val="24"/>
              <w:highlight w:val="none"/>
            </w:rPr>
            <w:t>环境质量现状</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_Toc29424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108</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kern w:val="2"/>
              <w:sz w:val="24"/>
              <w:szCs w:val="24"/>
              <w:highlight w:val="none"/>
              <w:lang w:val="en-US" w:eastAsia="zh-CN" w:bidi="ar-SA"/>
            </w:rPr>
            <w:fldChar w:fldCharType="end"/>
          </w:r>
        </w:p>
        <w:p>
          <w:pPr>
            <w:pStyle w:val="31"/>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firstLine="440" w:firstLineChars="200"/>
            <w:textAlignment w:val="auto"/>
            <w:rPr>
              <w:rFonts w:hint="default" w:ascii="Times New Roman" w:hAnsi="Times New Roman" w:eastAsia="宋体" w:cs="Times New Roman"/>
              <w:color w:val="auto"/>
              <w:sz w:val="22"/>
              <w:szCs w:val="22"/>
            </w:rPr>
          </w:pPr>
          <w:r>
            <w:rPr>
              <w:rFonts w:hint="default" w:ascii="Times New Roman" w:hAnsi="Times New Roman" w:eastAsia="宋体" w:cs="Times New Roman"/>
              <w:color w:val="auto"/>
              <w:kern w:val="2"/>
              <w:sz w:val="22"/>
              <w:szCs w:val="22"/>
              <w:highlight w:val="none"/>
              <w:lang w:val="en-US" w:eastAsia="zh-CN" w:bidi="ar-SA"/>
            </w:rPr>
            <w:fldChar w:fldCharType="begin"/>
          </w:r>
          <w:r>
            <w:rPr>
              <w:rFonts w:hint="default" w:ascii="Times New Roman" w:hAnsi="Times New Roman" w:eastAsia="宋体" w:cs="Times New Roman"/>
              <w:color w:val="auto"/>
              <w:kern w:val="2"/>
              <w:sz w:val="22"/>
              <w:szCs w:val="22"/>
              <w:highlight w:val="none"/>
              <w:lang w:val="en-US" w:eastAsia="zh-CN" w:bidi="ar-SA"/>
            </w:rPr>
            <w:instrText xml:space="preserve"> HYPERLINK \l _Toc28204 </w:instrText>
          </w:r>
          <w:r>
            <w:rPr>
              <w:rFonts w:hint="default" w:ascii="Times New Roman" w:hAnsi="Times New Roman" w:eastAsia="宋体" w:cs="Times New Roman"/>
              <w:color w:val="auto"/>
              <w:kern w:val="2"/>
              <w:sz w:val="22"/>
              <w:szCs w:val="22"/>
              <w:highlight w:val="none"/>
              <w:lang w:val="en-US" w:eastAsia="zh-CN" w:bidi="ar-SA"/>
            </w:rPr>
            <w:fldChar w:fldCharType="separate"/>
          </w:r>
          <w:r>
            <w:rPr>
              <w:rFonts w:hint="default" w:ascii="Times New Roman" w:hAnsi="Times New Roman" w:eastAsia="宋体" w:cs="Times New Roman"/>
              <w:bCs/>
              <w:i w:val="0"/>
              <w:color w:val="auto"/>
              <w:kern w:val="2"/>
              <w:sz w:val="22"/>
              <w:szCs w:val="22"/>
              <w:highlight w:val="none"/>
              <w:lang w:val="en-US" w:eastAsia="zh-CN" w:bidi="ar-SA"/>
            </w:rPr>
            <w:t>5.1</w:t>
          </w:r>
          <w:r>
            <w:rPr>
              <w:rFonts w:hint="default" w:ascii="Times New Roman" w:hAnsi="Times New Roman" w:eastAsia="宋体" w:cs="Times New Roman"/>
              <w:bCs/>
              <w:color w:val="auto"/>
              <w:sz w:val="22"/>
              <w:szCs w:val="22"/>
              <w:highlight w:val="none"/>
            </w:rPr>
            <w:t>大气环境质量现状监测与评价</w:t>
          </w:r>
          <w:r>
            <w:rPr>
              <w:rFonts w:hint="default" w:ascii="Times New Roman" w:hAnsi="Times New Roman" w:eastAsia="宋体" w:cs="Times New Roman"/>
              <w:color w:val="auto"/>
              <w:sz w:val="22"/>
              <w:szCs w:val="22"/>
            </w:rPr>
            <w:tab/>
          </w:r>
          <w:r>
            <w:rPr>
              <w:rFonts w:hint="default" w:ascii="Times New Roman" w:hAnsi="Times New Roman" w:eastAsia="宋体" w:cs="Times New Roman"/>
              <w:color w:val="auto"/>
              <w:sz w:val="22"/>
              <w:szCs w:val="22"/>
            </w:rPr>
            <w:fldChar w:fldCharType="begin"/>
          </w:r>
          <w:r>
            <w:rPr>
              <w:rFonts w:hint="default" w:ascii="Times New Roman" w:hAnsi="Times New Roman" w:eastAsia="宋体" w:cs="Times New Roman"/>
              <w:color w:val="auto"/>
              <w:sz w:val="22"/>
              <w:szCs w:val="22"/>
            </w:rPr>
            <w:instrText xml:space="preserve"> PAGEREF _Toc28204 \h </w:instrText>
          </w:r>
          <w:r>
            <w:rPr>
              <w:rFonts w:hint="default" w:ascii="Times New Roman" w:hAnsi="Times New Roman" w:eastAsia="宋体" w:cs="Times New Roman"/>
              <w:color w:val="auto"/>
              <w:sz w:val="22"/>
              <w:szCs w:val="22"/>
            </w:rPr>
            <w:fldChar w:fldCharType="separate"/>
          </w:r>
          <w:r>
            <w:rPr>
              <w:rFonts w:hint="default" w:ascii="Times New Roman" w:hAnsi="Times New Roman" w:eastAsia="宋体" w:cs="Times New Roman"/>
              <w:color w:val="auto"/>
              <w:sz w:val="22"/>
              <w:szCs w:val="22"/>
            </w:rPr>
            <w:t>108</w:t>
          </w:r>
          <w:r>
            <w:rPr>
              <w:rFonts w:hint="default" w:ascii="Times New Roman" w:hAnsi="Times New Roman" w:eastAsia="宋体" w:cs="Times New Roman"/>
              <w:color w:val="auto"/>
              <w:sz w:val="22"/>
              <w:szCs w:val="22"/>
            </w:rPr>
            <w:fldChar w:fldCharType="end"/>
          </w:r>
          <w:r>
            <w:rPr>
              <w:rFonts w:hint="default" w:ascii="Times New Roman" w:hAnsi="Times New Roman" w:eastAsia="宋体" w:cs="Times New Roman"/>
              <w:color w:val="auto"/>
              <w:kern w:val="2"/>
              <w:sz w:val="22"/>
              <w:szCs w:val="22"/>
              <w:highlight w:val="none"/>
              <w:lang w:val="en-US" w:eastAsia="zh-CN" w:bidi="ar-SA"/>
            </w:rPr>
            <w:fldChar w:fldCharType="end"/>
          </w:r>
        </w:p>
        <w:p>
          <w:pPr>
            <w:pStyle w:val="31"/>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firstLine="440" w:firstLineChars="200"/>
            <w:textAlignment w:val="auto"/>
            <w:rPr>
              <w:rFonts w:hint="default" w:ascii="Times New Roman" w:hAnsi="Times New Roman" w:eastAsia="宋体" w:cs="Times New Roman"/>
              <w:color w:val="auto"/>
              <w:sz w:val="22"/>
              <w:szCs w:val="22"/>
            </w:rPr>
          </w:pPr>
          <w:r>
            <w:rPr>
              <w:rFonts w:hint="default" w:ascii="Times New Roman" w:hAnsi="Times New Roman" w:eastAsia="宋体" w:cs="Times New Roman"/>
              <w:color w:val="auto"/>
              <w:kern w:val="2"/>
              <w:sz w:val="22"/>
              <w:szCs w:val="22"/>
              <w:highlight w:val="none"/>
              <w:lang w:val="en-US" w:eastAsia="zh-CN" w:bidi="ar-SA"/>
            </w:rPr>
            <w:fldChar w:fldCharType="begin"/>
          </w:r>
          <w:r>
            <w:rPr>
              <w:rFonts w:hint="default" w:ascii="Times New Roman" w:hAnsi="Times New Roman" w:eastAsia="宋体" w:cs="Times New Roman"/>
              <w:color w:val="auto"/>
              <w:kern w:val="2"/>
              <w:sz w:val="22"/>
              <w:szCs w:val="22"/>
              <w:highlight w:val="none"/>
              <w:lang w:val="en-US" w:eastAsia="zh-CN" w:bidi="ar-SA"/>
            </w:rPr>
            <w:instrText xml:space="preserve"> HYPERLINK \l _Toc11334 </w:instrText>
          </w:r>
          <w:r>
            <w:rPr>
              <w:rFonts w:hint="default" w:ascii="Times New Roman" w:hAnsi="Times New Roman" w:eastAsia="宋体" w:cs="Times New Roman"/>
              <w:color w:val="auto"/>
              <w:kern w:val="2"/>
              <w:sz w:val="22"/>
              <w:szCs w:val="22"/>
              <w:highlight w:val="none"/>
              <w:lang w:val="en-US" w:eastAsia="zh-CN" w:bidi="ar-SA"/>
            </w:rPr>
            <w:fldChar w:fldCharType="separate"/>
          </w:r>
          <w:r>
            <w:rPr>
              <w:rFonts w:hint="default" w:ascii="Times New Roman" w:hAnsi="Times New Roman" w:eastAsia="宋体" w:cs="Times New Roman"/>
              <w:bCs/>
              <w:i w:val="0"/>
              <w:color w:val="auto"/>
              <w:kern w:val="2"/>
              <w:sz w:val="22"/>
              <w:szCs w:val="22"/>
              <w:highlight w:val="none"/>
              <w:lang w:val="en-US" w:eastAsia="zh-CN" w:bidi="ar-SA"/>
            </w:rPr>
            <w:t>5.2</w:t>
          </w:r>
          <w:r>
            <w:rPr>
              <w:rFonts w:hint="default" w:ascii="Times New Roman" w:hAnsi="Times New Roman" w:eastAsia="宋体" w:cs="Times New Roman"/>
              <w:bCs/>
              <w:color w:val="auto"/>
              <w:sz w:val="22"/>
              <w:szCs w:val="22"/>
              <w:highlight w:val="none"/>
            </w:rPr>
            <w:t>声环境质量现状监测与评价</w:t>
          </w:r>
          <w:r>
            <w:rPr>
              <w:rFonts w:hint="default" w:ascii="Times New Roman" w:hAnsi="Times New Roman" w:eastAsia="宋体" w:cs="Times New Roman"/>
              <w:color w:val="auto"/>
              <w:sz w:val="22"/>
              <w:szCs w:val="22"/>
            </w:rPr>
            <w:tab/>
          </w:r>
          <w:r>
            <w:rPr>
              <w:rFonts w:hint="default" w:ascii="Times New Roman" w:hAnsi="Times New Roman" w:eastAsia="宋体" w:cs="Times New Roman"/>
              <w:color w:val="auto"/>
              <w:sz w:val="22"/>
              <w:szCs w:val="22"/>
            </w:rPr>
            <w:fldChar w:fldCharType="begin"/>
          </w:r>
          <w:r>
            <w:rPr>
              <w:rFonts w:hint="default" w:ascii="Times New Roman" w:hAnsi="Times New Roman" w:eastAsia="宋体" w:cs="Times New Roman"/>
              <w:color w:val="auto"/>
              <w:sz w:val="22"/>
              <w:szCs w:val="22"/>
            </w:rPr>
            <w:instrText xml:space="preserve"> PAGEREF _Toc11334 \h </w:instrText>
          </w:r>
          <w:r>
            <w:rPr>
              <w:rFonts w:hint="default" w:ascii="Times New Roman" w:hAnsi="Times New Roman" w:eastAsia="宋体" w:cs="Times New Roman"/>
              <w:color w:val="auto"/>
              <w:sz w:val="22"/>
              <w:szCs w:val="22"/>
            </w:rPr>
            <w:fldChar w:fldCharType="separate"/>
          </w:r>
          <w:r>
            <w:rPr>
              <w:rFonts w:hint="default" w:ascii="Times New Roman" w:hAnsi="Times New Roman" w:eastAsia="宋体" w:cs="Times New Roman"/>
              <w:color w:val="auto"/>
              <w:sz w:val="22"/>
              <w:szCs w:val="22"/>
            </w:rPr>
            <w:t>109</w:t>
          </w:r>
          <w:r>
            <w:rPr>
              <w:rFonts w:hint="default" w:ascii="Times New Roman" w:hAnsi="Times New Roman" w:eastAsia="宋体" w:cs="Times New Roman"/>
              <w:color w:val="auto"/>
              <w:sz w:val="22"/>
              <w:szCs w:val="22"/>
            </w:rPr>
            <w:fldChar w:fldCharType="end"/>
          </w:r>
          <w:r>
            <w:rPr>
              <w:rFonts w:hint="default" w:ascii="Times New Roman" w:hAnsi="Times New Roman" w:eastAsia="宋体" w:cs="Times New Roman"/>
              <w:color w:val="auto"/>
              <w:kern w:val="2"/>
              <w:sz w:val="22"/>
              <w:szCs w:val="22"/>
              <w:highlight w:val="none"/>
              <w:lang w:val="en-US" w:eastAsia="zh-CN" w:bidi="ar-SA"/>
            </w:rPr>
            <w:fldChar w:fldCharType="end"/>
          </w:r>
        </w:p>
        <w:p>
          <w:pPr>
            <w:pStyle w:val="31"/>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firstLine="440" w:firstLineChars="200"/>
            <w:textAlignment w:val="auto"/>
            <w:rPr>
              <w:rFonts w:hint="default" w:ascii="Times New Roman" w:hAnsi="Times New Roman" w:eastAsia="宋体" w:cs="Times New Roman"/>
              <w:color w:val="auto"/>
              <w:sz w:val="22"/>
              <w:szCs w:val="22"/>
            </w:rPr>
          </w:pPr>
          <w:r>
            <w:rPr>
              <w:rFonts w:hint="default" w:ascii="Times New Roman" w:hAnsi="Times New Roman" w:eastAsia="宋体" w:cs="Times New Roman"/>
              <w:color w:val="auto"/>
              <w:kern w:val="2"/>
              <w:sz w:val="22"/>
              <w:szCs w:val="22"/>
              <w:highlight w:val="none"/>
              <w:lang w:val="en-US" w:eastAsia="zh-CN" w:bidi="ar-SA"/>
            </w:rPr>
            <w:fldChar w:fldCharType="begin"/>
          </w:r>
          <w:r>
            <w:rPr>
              <w:rFonts w:hint="default" w:ascii="Times New Roman" w:hAnsi="Times New Roman" w:eastAsia="宋体" w:cs="Times New Roman"/>
              <w:color w:val="auto"/>
              <w:kern w:val="2"/>
              <w:sz w:val="22"/>
              <w:szCs w:val="22"/>
              <w:highlight w:val="none"/>
              <w:lang w:val="en-US" w:eastAsia="zh-CN" w:bidi="ar-SA"/>
            </w:rPr>
            <w:instrText xml:space="preserve"> HYPERLINK \l _Toc19370 </w:instrText>
          </w:r>
          <w:r>
            <w:rPr>
              <w:rFonts w:hint="default" w:ascii="Times New Roman" w:hAnsi="Times New Roman" w:eastAsia="宋体" w:cs="Times New Roman"/>
              <w:color w:val="auto"/>
              <w:kern w:val="2"/>
              <w:sz w:val="22"/>
              <w:szCs w:val="22"/>
              <w:highlight w:val="none"/>
              <w:lang w:val="en-US" w:eastAsia="zh-CN" w:bidi="ar-SA"/>
            </w:rPr>
            <w:fldChar w:fldCharType="separate"/>
          </w:r>
          <w:r>
            <w:rPr>
              <w:rFonts w:hint="default" w:ascii="Times New Roman" w:hAnsi="Times New Roman" w:eastAsia="宋体" w:cs="Times New Roman"/>
              <w:bCs/>
              <w:i w:val="0"/>
              <w:color w:val="auto"/>
              <w:kern w:val="2"/>
              <w:sz w:val="22"/>
              <w:szCs w:val="22"/>
              <w:highlight w:val="none"/>
              <w:lang w:val="en-US" w:eastAsia="zh-CN" w:bidi="ar-SA"/>
            </w:rPr>
            <w:t>5.3</w:t>
          </w:r>
          <w:r>
            <w:rPr>
              <w:rFonts w:hint="default" w:ascii="Times New Roman" w:hAnsi="Times New Roman" w:eastAsia="宋体" w:cs="Times New Roman"/>
              <w:bCs/>
              <w:color w:val="auto"/>
              <w:sz w:val="22"/>
              <w:szCs w:val="22"/>
              <w:highlight w:val="none"/>
            </w:rPr>
            <w:t>地下水环境质量现状监测与评价</w:t>
          </w:r>
          <w:r>
            <w:rPr>
              <w:rFonts w:hint="default" w:ascii="Times New Roman" w:hAnsi="Times New Roman" w:eastAsia="宋体" w:cs="Times New Roman"/>
              <w:color w:val="auto"/>
              <w:sz w:val="22"/>
              <w:szCs w:val="22"/>
            </w:rPr>
            <w:tab/>
          </w:r>
          <w:r>
            <w:rPr>
              <w:rFonts w:hint="default" w:ascii="Times New Roman" w:hAnsi="Times New Roman" w:eastAsia="宋体" w:cs="Times New Roman"/>
              <w:color w:val="auto"/>
              <w:sz w:val="22"/>
              <w:szCs w:val="22"/>
            </w:rPr>
            <w:fldChar w:fldCharType="begin"/>
          </w:r>
          <w:r>
            <w:rPr>
              <w:rFonts w:hint="default" w:ascii="Times New Roman" w:hAnsi="Times New Roman" w:eastAsia="宋体" w:cs="Times New Roman"/>
              <w:color w:val="auto"/>
              <w:sz w:val="22"/>
              <w:szCs w:val="22"/>
            </w:rPr>
            <w:instrText xml:space="preserve"> PAGEREF _Toc19370 \h </w:instrText>
          </w:r>
          <w:r>
            <w:rPr>
              <w:rFonts w:hint="default" w:ascii="Times New Roman" w:hAnsi="Times New Roman" w:eastAsia="宋体" w:cs="Times New Roman"/>
              <w:color w:val="auto"/>
              <w:sz w:val="22"/>
              <w:szCs w:val="22"/>
            </w:rPr>
            <w:fldChar w:fldCharType="separate"/>
          </w:r>
          <w:r>
            <w:rPr>
              <w:rFonts w:hint="default" w:ascii="Times New Roman" w:hAnsi="Times New Roman" w:eastAsia="宋体" w:cs="Times New Roman"/>
              <w:color w:val="auto"/>
              <w:sz w:val="22"/>
              <w:szCs w:val="22"/>
            </w:rPr>
            <w:t>110</w:t>
          </w:r>
          <w:r>
            <w:rPr>
              <w:rFonts w:hint="default" w:ascii="Times New Roman" w:hAnsi="Times New Roman" w:eastAsia="宋体" w:cs="Times New Roman"/>
              <w:color w:val="auto"/>
              <w:sz w:val="22"/>
              <w:szCs w:val="22"/>
            </w:rPr>
            <w:fldChar w:fldCharType="end"/>
          </w:r>
          <w:r>
            <w:rPr>
              <w:rFonts w:hint="default" w:ascii="Times New Roman" w:hAnsi="Times New Roman" w:eastAsia="宋体" w:cs="Times New Roman"/>
              <w:color w:val="auto"/>
              <w:kern w:val="2"/>
              <w:sz w:val="22"/>
              <w:szCs w:val="22"/>
              <w:highlight w:val="none"/>
              <w:lang w:val="en-US" w:eastAsia="zh-CN" w:bidi="ar-SA"/>
            </w:rPr>
            <w:fldChar w:fldCharType="end"/>
          </w:r>
        </w:p>
        <w:p>
          <w:pPr>
            <w:pStyle w:val="45"/>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firstLine="440" w:firstLineChars="200"/>
            <w:textAlignment w:val="auto"/>
            <w:rPr>
              <w:rFonts w:hint="default" w:ascii="Times New Roman" w:hAnsi="Times New Roman" w:eastAsia="宋体" w:cs="Times New Roman"/>
              <w:color w:val="auto"/>
              <w:sz w:val="22"/>
              <w:szCs w:val="22"/>
            </w:rPr>
          </w:pPr>
          <w:r>
            <w:rPr>
              <w:rFonts w:hint="default" w:ascii="Times New Roman" w:hAnsi="Times New Roman" w:eastAsia="宋体" w:cs="Times New Roman"/>
              <w:color w:val="auto"/>
              <w:kern w:val="2"/>
              <w:sz w:val="22"/>
              <w:szCs w:val="22"/>
              <w:highlight w:val="none"/>
              <w:lang w:val="en-US" w:eastAsia="zh-CN" w:bidi="ar-SA"/>
            </w:rPr>
            <w:fldChar w:fldCharType="begin"/>
          </w:r>
          <w:r>
            <w:rPr>
              <w:rFonts w:hint="default" w:ascii="Times New Roman" w:hAnsi="Times New Roman" w:eastAsia="宋体" w:cs="Times New Roman"/>
              <w:color w:val="auto"/>
              <w:kern w:val="2"/>
              <w:sz w:val="22"/>
              <w:szCs w:val="22"/>
              <w:highlight w:val="none"/>
              <w:lang w:val="en-US" w:eastAsia="zh-CN" w:bidi="ar-SA"/>
            </w:rPr>
            <w:instrText xml:space="preserve"> HYPERLINK \l _Toc10780 </w:instrText>
          </w:r>
          <w:r>
            <w:rPr>
              <w:rFonts w:hint="default" w:ascii="Times New Roman" w:hAnsi="Times New Roman" w:eastAsia="宋体" w:cs="Times New Roman"/>
              <w:color w:val="auto"/>
              <w:kern w:val="2"/>
              <w:sz w:val="22"/>
              <w:szCs w:val="22"/>
              <w:highlight w:val="none"/>
              <w:lang w:val="en-US" w:eastAsia="zh-CN" w:bidi="ar-SA"/>
            </w:rPr>
            <w:fldChar w:fldCharType="separate"/>
          </w:r>
          <w:r>
            <w:rPr>
              <w:rFonts w:hint="default" w:ascii="Times New Roman" w:hAnsi="Times New Roman" w:eastAsia="宋体" w:cs="Times New Roman"/>
              <w:bCs w:val="0"/>
              <w:i w:val="0"/>
              <w:color w:val="auto"/>
              <w:kern w:val="2"/>
              <w:sz w:val="22"/>
              <w:szCs w:val="22"/>
              <w:highlight w:val="none"/>
              <w:lang w:val="en-US" w:eastAsia="zh-CN" w:bidi="ar-SA"/>
            </w:rPr>
            <w:t>5.4</w:t>
          </w:r>
          <w:r>
            <w:rPr>
              <w:rFonts w:hint="default" w:ascii="Times New Roman" w:hAnsi="Times New Roman" w:eastAsia="宋体" w:cs="Times New Roman"/>
              <w:bCs w:val="0"/>
              <w:color w:val="auto"/>
              <w:sz w:val="22"/>
              <w:szCs w:val="22"/>
              <w:highlight w:val="none"/>
            </w:rPr>
            <w:t>土壤环境质量现状监测与评价</w:t>
          </w:r>
          <w:r>
            <w:rPr>
              <w:rFonts w:hint="default" w:ascii="Times New Roman" w:hAnsi="Times New Roman" w:eastAsia="宋体" w:cs="Times New Roman"/>
              <w:color w:val="auto"/>
              <w:sz w:val="22"/>
              <w:szCs w:val="22"/>
            </w:rPr>
            <w:tab/>
          </w:r>
          <w:r>
            <w:rPr>
              <w:rFonts w:hint="default" w:ascii="Times New Roman" w:hAnsi="Times New Roman" w:eastAsia="宋体" w:cs="Times New Roman"/>
              <w:color w:val="auto"/>
              <w:sz w:val="22"/>
              <w:szCs w:val="22"/>
            </w:rPr>
            <w:fldChar w:fldCharType="begin"/>
          </w:r>
          <w:r>
            <w:rPr>
              <w:rFonts w:hint="default" w:ascii="Times New Roman" w:hAnsi="Times New Roman" w:eastAsia="宋体" w:cs="Times New Roman"/>
              <w:color w:val="auto"/>
              <w:sz w:val="22"/>
              <w:szCs w:val="22"/>
            </w:rPr>
            <w:instrText xml:space="preserve"> PAGEREF _Toc10780 \h </w:instrText>
          </w:r>
          <w:r>
            <w:rPr>
              <w:rFonts w:hint="default" w:ascii="Times New Roman" w:hAnsi="Times New Roman" w:eastAsia="宋体" w:cs="Times New Roman"/>
              <w:color w:val="auto"/>
              <w:sz w:val="22"/>
              <w:szCs w:val="22"/>
            </w:rPr>
            <w:fldChar w:fldCharType="separate"/>
          </w:r>
          <w:r>
            <w:rPr>
              <w:rFonts w:hint="default" w:ascii="Times New Roman" w:hAnsi="Times New Roman" w:eastAsia="宋体" w:cs="Times New Roman"/>
              <w:color w:val="auto"/>
              <w:sz w:val="22"/>
              <w:szCs w:val="22"/>
            </w:rPr>
            <w:t>117</w:t>
          </w:r>
          <w:r>
            <w:rPr>
              <w:rFonts w:hint="default" w:ascii="Times New Roman" w:hAnsi="Times New Roman" w:eastAsia="宋体" w:cs="Times New Roman"/>
              <w:color w:val="auto"/>
              <w:sz w:val="22"/>
              <w:szCs w:val="22"/>
            </w:rPr>
            <w:fldChar w:fldCharType="end"/>
          </w:r>
          <w:r>
            <w:rPr>
              <w:rFonts w:hint="default" w:ascii="Times New Roman" w:hAnsi="Times New Roman" w:eastAsia="宋体" w:cs="Times New Roman"/>
              <w:color w:val="auto"/>
              <w:kern w:val="2"/>
              <w:sz w:val="22"/>
              <w:szCs w:val="22"/>
              <w:highlight w:val="none"/>
              <w:lang w:val="en-US" w:eastAsia="zh-CN" w:bidi="ar-SA"/>
            </w:rPr>
            <w:fldChar w:fldCharType="end"/>
          </w:r>
        </w:p>
        <w:p>
          <w:pPr>
            <w:pStyle w:val="45"/>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firstLine="440" w:firstLineChars="200"/>
            <w:textAlignment w:val="auto"/>
            <w:rPr>
              <w:rFonts w:hint="default" w:ascii="Times New Roman" w:hAnsi="Times New Roman" w:eastAsia="宋体" w:cs="Times New Roman"/>
              <w:color w:val="auto"/>
              <w:sz w:val="22"/>
              <w:szCs w:val="22"/>
            </w:rPr>
          </w:pPr>
          <w:r>
            <w:rPr>
              <w:rFonts w:hint="default" w:ascii="Times New Roman" w:hAnsi="Times New Roman" w:eastAsia="宋体" w:cs="Times New Roman"/>
              <w:color w:val="auto"/>
              <w:kern w:val="2"/>
              <w:sz w:val="22"/>
              <w:szCs w:val="22"/>
              <w:highlight w:val="none"/>
              <w:lang w:val="en-US" w:eastAsia="zh-CN" w:bidi="ar-SA"/>
            </w:rPr>
            <w:fldChar w:fldCharType="begin"/>
          </w:r>
          <w:r>
            <w:rPr>
              <w:rFonts w:hint="default" w:ascii="Times New Roman" w:hAnsi="Times New Roman" w:eastAsia="宋体" w:cs="Times New Roman"/>
              <w:color w:val="auto"/>
              <w:kern w:val="2"/>
              <w:sz w:val="22"/>
              <w:szCs w:val="22"/>
              <w:highlight w:val="none"/>
              <w:lang w:val="en-US" w:eastAsia="zh-CN" w:bidi="ar-SA"/>
            </w:rPr>
            <w:instrText xml:space="preserve"> HYPERLINK \l _Toc22101 </w:instrText>
          </w:r>
          <w:r>
            <w:rPr>
              <w:rFonts w:hint="default" w:ascii="Times New Roman" w:hAnsi="Times New Roman" w:eastAsia="宋体" w:cs="Times New Roman"/>
              <w:color w:val="auto"/>
              <w:kern w:val="2"/>
              <w:sz w:val="22"/>
              <w:szCs w:val="22"/>
              <w:highlight w:val="none"/>
              <w:lang w:val="en-US" w:eastAsia="zh-CN" w:bidi="ar-SA"/>
            </w:rPr>
            <w:fldChar w:fldCharType="separate"/>
          </w:r>
          <w:r>
            <w:rPr>
              <w:rFonts w:hint="default" w:ascii="Times New Roman" w:hAnsi="Times New Roman" w:eastAsia="宋体" w:cs="Times New Roman"/>
              <w:bCs w:val="0"/>
              <w:color w:val="auto"/>
              <w:sz w:val="22"/>
              <w:szCs w:val="22"/>
              <w:highlight w:val="none"/>
              <w:lang w:val="en-US" w:eastAsia="zh-CN"/>
            </w:rPr>
            <w:t>5.5</w:t>
          </w:r>
          <w:r>
            <w:rPr>
              <w:rFonts w:hint="default" w:ascii="Times New Roman" w:hAnsi="Times New Roman" w:eastAsia="宋体" w:cs="Times New Roman"/>
              <w:bCs w:val="0"/>
              <w:color w:val="auto"/>
              <w:sz w:val="22"/>
              <w:szCs w:val="22"/>
              <w:highlight w:val="none"/>
            </w:rPr>
            <w:t>生态环境现状调查与评价</w:t>
          </w:r>
          <w:r>
            <w:rPr>
              <w:rFonts w:hint="default" w:ascii="Times New Roman" w:hAnsi="Times New Roman" w:eastAsia="宋体" w:cs="Times New Roman"/>
              <w:color w:val="auto"/>
              <w:sz w:val="22"/>
              <w:szCs w:val="22"/>
            </w:rPr>
            <w:tab/>
          </w:r>
          <w:r>
            <w:rPr>
              <w:rFonts w:hint="default" w:ascii="Times New Roman" w:hAnsi="Times New Roman" w:eastAsia="宋体" w:cs="Times New Roman"/>
              <w:color w:val="auto"/>
              <w:sz w:val="22"/>
              <w:szCs w:val="22"/>
            </w:rPr>
            <w:fldChar w:fldCharType="begin"/>
          </w:r>
          <w:r>
            <w:rPr>
              <w:rFonts w:hint="default" w:ascii="Times New Roman" w:hAnsi="Times New Roman" w:eastAsia="宋体" w:cs="Times New Roman"/>
              <w:color w:val="auto"/>
              <w:sz w:val="22"/>
              <w:szCs w:val="22"/>
            </w:rPr>
            <w:instrText xml:space="preserve"> PAGEREF _Toc22101 \h </w:instrText>
          </w:r>
          <w:r>
            <w:rPr>
              <w:rFonts w:hint="default" w:ascii="Times New Roman" w:hAnsi="Times New Roman" w:eastAsia="宋体" w:cs="Times New Roman"/>
              <w:color w:val="auto"/>
              <w:sz w:val="22"/>
              <w:szCs w:val="22"/>
            </w:rPr>
            <w:fldChar w:fldCharType="separate"/>
          </w:r>
          <w:r>
            <w:rPr>
              <w:rFonts w:hint="default" w:ascii="Times New Roman" w:hAnsi="Times New Roman" w:eastAsia="宋体" w:cs="Times New Roman"/>
              <w:color w:val="auto"/>
              <w:sz w:val="22"/>
              <w:szCs w:val="22"/>
            </w:rPr>
            <w:t>127</w:t>
          </w:r>
          <w:r>
            <w:rPr>
              <w:rFonts w:hint="default" w:ascii="Times New Roman" w:hAnsi="Times New Roman" w:eastAsia="宋体" w:cs="Times New Roman"/>
              <w:color w:val="auto"/>
              <w:sz w:val="22"/>
              <w:szCs w:val="22"/>
            </w:rPr>
            <w:fldChar w:fldCharType="end"/>
          </w:r>
          <w:r>
            <w:rPr>
              <w:rFonts w:hint="default" w:ascii="Times New Roman" w:hAnsi="Times New Roman" w:eastAsia="宋体" w:cs="Times New Roman"/>
              <w:color w:val="auto"/>
              <w:kern w:val="2"/>
              <w:sz w:val="22"/>
              <w:szCs w:val="22"/>
              <w:highlight w:val="none"/>
              <w:lang w:val="en-US" w:eastAsia="zh-CN" w:bidi="ar-SA"/>
            </w:rPr>
            <w:fldChar w:fldCharType="end"/>
          </w:r>
        </w:p>
        <w:p>
          <w:pPr>
            <w:pStyle w:val="31"/>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leftChars="0" w:firstLine="0" w:firstLineChars="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2"/>
              <w:sz w:val="24"/>
              <w:szCs w:val="24"/>
              <w:highlight w:val="none"/>
              <w:lang w:val="en-US" w:eastAsia="zh-CN" w:bidi="ar-SA"/>
            </w:rPr>
            <w:fldChar w:fldCharType="begin"/>
          </w:r>
          <w:r>
            <w:rPr>
              <w:rFonts w:hint="default" w:ascii="Times New Roman" w:hAnsi="Times New Roman" w:eastAsia="宋体" w:cs="Times New Roman"/>
              <w:color w:val="auto"/>
              <w:kern w:val="2"/>
              <w:sz w:val="24"/>
              <w:szCs w:val="24"/>
              <w:highlight w:val="none"/>
              <w:lang w:val="en-US" w:eastAsia="zh-CN" w:bidi="ar-SA"/>
            </w:rPr>
            <w:instrText xml:space="preserve"> HYPERLINK \l _Toc23398 </w:instrText>
          </w:r>
          <w:r>
            <w:rPr>
              <w:rFonts w:hint="default" w:ascii="Times New Roman" w:hAnsi="Times New Roman" w:eastAsia="宋体" w:cs="Times New Roman"/>
              <w:color w:val="auto"/>
              <w:kern w:val="2"/>
              <w:sz w:val="24"/>
              <w:szCs w:val="24"/>
              <w:highlight w:val="none"/>
              <w:lang w:val="en-US" w:eastAsia="zh-CN" w:bidi="ar-SA"/>
            </w:rPr>
            <w:fldChar w:fldCharType="separate"/>
          </w:r>
          <w:r>
            <w:rPr>
              <w:rFonts w:hint="default" w:ascii="Times New Roman" w:hAnsi="Times New Roman" w:eastAsia="宋体" w:cs="Times New Roman"/>
              <w:bCs/>
              <w:i w:val="0"/>
              <w:color w:val="auto"/>
              <w:kern w:val="44"/>
              <w:sz w:val="24"/>
              <w:szCs w:val="24"/>
              <w:highlight w:val="none"/>
              <w:lang w:val="en-US" w:eastAsia="zh-CN" w:bidi="ar-SA"/>
            </w:rPr>
            <w:t>6</w:t>
          </w:r>
          <w:r>
            <w:rPr>
              <w:rFonts w:hint="default" w:ascii="Times New Roman" w:hAnsi="Times New Roman" w:eastAsia="宋体" w:cs="Times New Roman"/>
              <w:bCs/>
              <w:color w:val="auto"/>
              <w:sz w:val="24"/>
              <w:szCs w:val="24"/>
              <w:highlight w:val="none"/>
            </w:rPr>
            <w:t>施工期环境影响与评价</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_Toc23398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133</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kern w:val="2"/>
              <w:sz w:val="24"/>
              <w:szCs w:val="24"/>
              <w:highlight w:val="none"/>
              <w:lang w:val="en-US" w:eastAsia="zh-CN" w:bidi="ar-SA"/>
            </w:rPr>
            <w:fldChar w:fldCharType="end"/>
          </w:r>
        </w:p>
        <w:p>
          <w:pPr>
            <w:pStyle w:val="45"/>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firstLine="440" w:firstLineChars="200"/>
            <w:textAlignment w:val="auto"/>
            <w:rPr>
              <w:rFonts w:hint="default" w:ascii="Times New Roman" w:hAnsi="Times New Roman" w:eastAsia="宋体" w:cs="Times New Roman"/>
              <w:color w:val="auto"/>
              <w:sz w:val="22"/>
              <w:szCs w:val="22"/>
            </w:rPr>
          </w:pPr>
          <w:r>
            <w:rPr>
              <w:rFonts w:hint="default" w:ascii="Times New Roman" w:hAnsi="Times New Roman" w:eastAsia="宋体" w:cs="Times New Roman"/>
              <w:color w:val="auto"/>
              <w:kern w:val="2"/>
              <w:sz w:val="22"/>
              <w:szCs w:val="22"/>
              <w:highlight w:val="none"/>
              <w:lang w:val="en-US" w:eastAsia="zh-CN" w:bidi="ar-SA"/>
            </w:rPr>
            <w:fldChar w:fldCharType="begin"/>
          </w:r>
          <w:r>
            <w:rPr>
              <w:rFonts w:hint="default" w:ascii="Times New Roman" w:hAnsi="Times New Roman" w:eastAsia="宋体" w:cs="Times New Roman"/>
              <w:color w:val="auto"/>
              <w:kern w:val="2"/>
              <w:sz w:val="22"/>
              <w:szCs w:val="22"/>
              <w:highlight w:val="none"/>
              <w:lang w:val="en-US" w:eastAsia="zh-CN" w:bidi="ar-SA"/>
            </w:rPr>
            <w:instrText xml:space="preserve"> HYPERLINK \l _Toc5909 </w:instrText>
          </w:r>
          <w:r>
            <w:rPr>
              <w:rFonts w:hint="default" w:ascii="Times New Roman" w:hAnsi="Times New Roman" w:eastAsia="宋体" w:cs="Times New Roman"/>
              <w:color w:val="auto"/>
              <w:kern w:val="2"/>
              <w:sz w:val="22"/>
              <w:szCs w:val="22"/>
              <w:highlight w:val="none"/>
              <w:lang w:val="en-US" w:eastAsia="zh-CN" w:bidi="ar-SA"/>
            </w:rPr>
            <w:fldChar w:fldCharType="separate"/>
          </w:r>
          <w:r>
            <w:rPr>
              <w:rFonts w:hint="default" w:ascii="Times New Roman" w:hAnsi="Times New Roman" w:eastAsia="宋体" w:cs="Times New Roman"/>
              <w:bCs/>
              <w:i w:val="0"/>
              <w:color w:val="auto"/>
              <w:kern w:val="2"/>
              <w:sz w:val="22"/>
              <w:szCs w:val="22"/>
              <w:highlight w:val="none"/>
              <w:lang w:val="en-US" w:eastAsia="zh-CN" w:bidi="ar-SA"/>
            </w:rPr>
            <w:t>6.1</w:t>
          </w:r>
          <w:r>
            <w:rPr>
              <w:rFonts w:hint="default" w:ascii="Times New Roman" w:hAnsi="Times New Roman" w:eastAsia="宋体" w:cs="Times New Roman"/>
              <w:bCs/>
              <w:color w:val="auto"/>
              <w:sz w:val="22"/>
              <w:szCs w:val="22"/>
              <w:highlight w:val="none"/>
            </w:rPr>
            <w:t>环境空气影响分析</w:t>
          </w:r>
          <w:r>
            <w:rPr>
              <w:rFonts w:hint="default" w:ascii="Times New Roman" w:hAnsi="Times New Roman" w:eastAsia="宋体" w:cs="Times New Roman"/>
              <w:color w:val="auto"/>
              <w:sz w:val="22"/>
              <w:szCs w:val="22"/>
            </w:rPr>
            <w:tab/>
          </w:r>
          <w:r>
            <w:rPr>
              <w:rFonts w:hint="default" w:ascii="Times New Roman" w:hAnsi="Times New Roman" w:eastAsia="宋体" w:cs="Times New Roman"/>
              <w:color w:val="auto"/>
              <w:sz w:val="22"/>
              <w:szCs w:val="22"/>
            </w:rPr>
            <w:fldChar w:fldCharType="begin"/>
          </w:r>
          <w:r>
            <w:rPr>
              <w:rFonts w:hint="default" w:ascii="Times New Roman" w:hAnsi="Times New Roman" w:eastAsia="宋体" w:cs="Times New Roman"/>
              <w:color w:val="auto"/>
              <w:sz w:val="22"/>
              <w:szCs w:val="22"/>
            </w:rPr>
            <w:instrText xml:space="preserve"> PAGEREF _Toc5909 \h </w:instrText>
          </w:r>
          <w:r>
            <w:rPr>
              <w:rFonts w:hint="default" w:ascii="Times New Roman" w:hAnsi="Times New Roman" w:eastAsia="宋体" w:cs="Times New Roman"/>
              <w:color w:val="auto"/>
              <w:sz w:val="22"/>
              <w:szCs w:val="22"/>
            </w:rPr>
            <w:fldChar w:fldCharType="separate"/>
          </w:r>
          <w:r>
            <w:rPr>
              <w:rFonts w:hint="default" w:ascii="Times New Roman" w:hAnsi="Times New Roman" w:eastAsia="宋体" w:cs="Times New Roman"/>
              <w:color w:val="auto"/>
              <w:sz w:val="22"/>
              <w:szCs w:val="22"/>
            </w:rPr>
            <w:t>133</w:t>
          </w:r>
          <w:r>
            <w:rPr>
              <w:rFonts w:hint="default" w:ascii="Times New Roman" w:hAnsi="Times New Roman" w:eastAsia="宋体" w:cs="Times New Roman"/>
              <w:color w:val="auto"/>
              <w:sz w:val="22"/>
              <w:szCs w:val="22"/>
            </w:rPr>
            <w:fldChar w:fldCharType="end"/>
          </w:r>
          <w:r>
            <w:rPr>
              <w:rFonts w:hint="default" w:ascii="Times New Roman" w:hAnsi="Times New Roman" w:eastAsia="宋体" w:cs="Times New Roman"/>
              <w:color w:val="auto"/>
              <w:kern w:val="2"/>
              <w:sz w:val="22"/>
              <w:szCs w:val="22"/>
              <w:highlight w:val="none"/>
              <w:lang w:val="en-US" w:eastAsia="zh-CN" w:bidi="ar-SA"/>
            </w:rPr>
            <w:fldChar w:fldCharType="end"/>
          </w:r>
        </w:p>
        <w:p>
          <w:pPr>
            <w:pStyle w:val="45"/>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firstLine="440" w:firstLineChars="200"/>
            <w:textAlignment w:val="auto"/>
            <w:rPr>
              <w:rFonts w:hint="default" w:ascii="Times New Roman" w:hAnsi="Times New Roman" w:eastAsia="宋体" w:cs="Times New Roman"/>
              <w:color w:val="auto"/>
              <w:sz w:val="22"/>
              <w:szCs w:val="22"/>
            </w:rPr>
          </w:pPr>
          <w:r>
            <w:rPr>
              <w:rFonts w:hint="default" w:ascii="Times New Roman" w:hAnsi="Times New Roman" w:eastAsia="宋体" w:cs="Times New Roman"/>
              <w:color w:val="auto"/>
              <w:kern w:val="2"/>
              <w:sz w:val="22"/>
              <w:szCs w:val="22"/>
              <w:highlight w:val="none"/>
              <w:lang w:val="en-US" w:eastAsia="zh-CN" w:bidi="ar-SA"/>
            </w:rPr>
            <w:fldChar w:fldCharType="begin"/>
          </w:r>
          <w:r>
            <w:rPr>
              <w:rFonts w:hint="default" w:ascii="Times New Roman" w:hAnsi="Times New Roman" w:eastAsia="宋体" w:cs="Times New Roman"/>
              <w:color w:val="auto"/>
              <w:kern w:val="2"/>
              <w:sz w:val="22"/>
              <w:szCs w:val="22"/>
              <w:highlight w:val="none"/>
              <w:lang w:val="en-US" w:eastAsia="zh-CN" w:bidi="ar-SA"/>
            </w:rPr>
            <w:instrText xml:space="preserve"> HYPERLINK \l _Toc18110 </w:instrText>
          </w:r>
          <w:r>
            <w:rPr>
              <w:rFonts w:hint="default" w:ascii="Times New Roman" w:hAnsi="Times New Roman" w:eastAsia="宋体" w:cs="Times New Roman"/>
              <w:color w:val="auto"/>
              <w:kern w:val="2"/>
              <w:sz w:val="22"/>
              <w:szCs w:val="22"/>
              <w:highlight w:val="none"/>
              <w:lang w:val="en-US" w:eastAsia="zh-CN" w:bidi="ar-SA"/>
            </w:rPr>
            <w:fldChar w:fldCharType="separate"/>
          </w:r>
          <w:r>
            <w:rPr>
              <w:rFonts w:hint="default" w:ascii="Times New Roman" w:hAnsi="Times New Roman" w:eastAsia="宋体" w:cs="Times New Roman"/>
              <w:bCs/>
              <w:i w:val="0"/>
              <w:color w:val="auto"/>
              <w:kern w:val="2"/>
              <w:sz w:val="22"/>
              <w:szCs w:val="22"/>
              <w:highlight w:val="none"/>
              <w:lang w:val="en-US" w:eastAsia="zh-CN" w:bidi="ar-SA"/>
            </w:rPr>
            <w:t>6.2</w:t>
          </w:r>
          <w:r>
            <w:rPr>
              <w:rFonts w:hint="default" w:ascii="Times New Roman" w:hAnsi="Times New Roman" w:eastAsia="宋体" w:cs="Times New Roman"/>
              <w:bCs/>
              <w:color w:val="auto"/>
              <w:sz w:val="22"/>
              <w:szCs w:val="22"/>
              <w:highlight w:val="none"/>
            </w:rPr>
            <w:t>水环境影响分析</w:t>
          </w:r>
          <w:r>
            <w:rPr>
              <w:rFonts w:hint="default" w:ascii="Times New Roman" w:hAnsi="Times New Roman" w:eastAsia="宋体" w:cs="Times New Roman"/>
              <w:color w:val="auto"/>
              <w:sz w:val="22"/>
              <w:szCs w:val="22"/>
            </w:rPr>
            <w:tab/>
          </w:r>
          <w:r>
            <w:rPr>
              <w:rFonts w:hint="default" w:ascii="Times New Roman" w:hAnsi="Times New Roman" w:eastAsia="宋体" w:cs="Times New Roman"/>
              <w:color w:val="auto"/>
              <w:sz w:val="22"/>
              <w:szCs w:val="22"/>
            </w:rPr>
            <w:fldChar w:fldCharType="begin"/>
          </w:r>
          <w:r>
            <w:rPr>
              <w:rFonts w:hint="default" w:ascii="Times New Roman" w:hAnsi="Times New Roman" w:eastAsia="宋体" w:cs="Times New Roman"/>
              <w:color w:val="auto"/>
              <w:sz w:val="22"/>
              <w:szCs w:val="22"/>
            </w:rPr>
            <w:instrText xml:space="preserve"> PAGEREF _Toc18110 \h </w:instrText>
          </w:r>
          <w:r>
            <w:rPr>
              <w:rFonts w:hint="default" w:ascii="Times New Roman" w:hAnsi="Times New Roman" w:eastAsia="宋体" w:cs="Times New Roman"/>
              <w:color w:val="auto"/>
              <w:sz w:val="22"/>
              <w:szCs w:val="22"/>
            </w:rPr>
            <w:fldChar w:fldCharType="separate"/>
          </w:r>
          <w:r>
            <w:rPr>
              <w:rFonts w:hint="default" w:ascii="Times New Roman" w:hAnsi="Times New Roman" w:eastAsia="宋体" w:cs="Times New Roman"/>
              <w:color w:val="auto"/>
              <w:sz w:val="22"/>
              <w:szCs w:val="22"/>
            </w:rPr>
            <w:t>133</w:t>
          </w:r>
          <w:r>
            <w:rPr>
              <w:rFonts w:hint="default" w:ascii="Times New Roman" w:hAnsi="Times New Roman" w:eastAsia="宋体" w:cs="Times New Roman"/>
              <w:color w:val="auto"/>
              <w:sz w:val="22"/>
              <w:szCs w:val="22"/>
            </w:rPr>
            <w:fldChar w:fldCharType="end"/>
          </w:r>
          <w:r>
            <w:rPr>
              <w:rFonts w:hint="default" w:ascii="Times New Roman" w:hAnsi="Times New Roman" w:eastAsia="宋体" w:cs="Times New Roman"/>
              <w:color w:val="auto"/>
              <w:kern w:val="2"/>
              <w:sz w:val="22"/>
              <w:szCs w:val="22"/>
              <w:highlight w:val="none"/>
              <w:lang w:val="en-US" w:eastAsia="zh-CN" w:bidi="ar-SA"/>
            </w:rPr>
            <w:fldChar w:fldCharType="end"/>
          </w:r>
        </w:p>
        <w:p>
          <w:pPr>
            <w:pStyle w:val="45"/>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firstLine="440" w:firstLineChars="200"/>
            <w:textAlignment w:val="auto"/>
            <w:rPr>
              <w:rFonts w:hint="default" w:ascii="Times New Roman" w:hAnsi="Times New Roman" w:eastAsia="宋体" w:cs="Times New Roman"/>
              <w:color w:val="auto"/>
              <w:sz w:val="22"/>
              <w:szCs w:val="22"/>
            </w:rPr>
          </w:pPr>
          <w:r>
            <w:rPr>
              <w:rFonts w:hint="default" w:ascii="Times New Roman" w:hAnsi="Times New Roman" w:eastAsia="宋体" w:cs="Times New Roman"/>
              <w:color w:val="auto"/>
              <w:kern w:val="2"/>
              <w:sz w:val="22"/>
              <w:szCs w:val="22"/>
              <w:highlight w:val="none"/>
              <w:lang w:val="en-US" w:eastAsia="zh-CN" w:bidi="ar-SA"/>
            </w:rPr>
            <w:fldChar w:fldCharType="begin"/>
          </w:r>
          <w:r>
            <w:rPr>
              <w:rFonts w:hint="default" w:ascii="Times New Roman" w:hAnsi="Times New Roman" w:eastAsia="宋体" w:cs="Times New Roman"/>
              <w:color w:val="auto"/>
              <w:kern w:val="2"/>
              <w:sz w:val="22"/>
              <w:szCs w:val="22"/>
              <w:highlight w:val="none"/>
              <w:lang w:val="en-US" w:eastAsia="zh-CN" w:bidi="ar-SA"/>
            </w:rPr>
            <w:instrText xml:space="preserve"> HYPERLINK \l _Toc5781 </w:instrText>
          </w:r>
          <w:r>
            <w:rPr>
              <w:rFonts w:hint="default" w:ascii="Times New Roman" w:hAnsi="Times New Roman" w:eastAsia="宋体" w:cs="Times New Roman"/>
              <w:color w:val="auto"/>
              <w:kern w:val="2"/>
              <w:sz w:val="22"/>
              <w:szCs w:val="22"/>
              <w:highlight w:val="none"/>
              <w:lang w:val="en-US" w:eastAsia="zh-CN" w:bidi="ar-SA"/>
            </w:rPr>
            <w:fldChar w:fldCharType="separate"/>
          </w:r>
          <w:r>
            <w:rPr>
              <w:rFonts w:hint="default" w:ascii="Times New Roman" w:hAnsi="Times New Roman" w:eastAsia="宋体" w:cs="Times New Roman"/>
              <w:bCs/>
              <w:i w:val="0"/>
              <w:color w:val="auto"/>
              <w:kern w:val="2"/>
              <w:sz w:val="22"/>
              <w:szCs w:val="22"/>
              <w:highlight w:val="none"/>
              <w:lang w:val="en-US" w:eastAsia="zh-CN" w:bidi="ar-SA"/>
            </w:rPr>
            <w:t>6.3</w:t>
          </w:r>
          <w:r>
            <w:rPr>
              <w:rFonts w:hint="default" w:ascii="Times New Roman" w:hAnsi="Times New Roman" w:eastAsia="宋体" w:cs="Times New Roman"/>
              <w:bCs/>
              <w:color w:val="auto"/>
              <w:sz w:val="22"/>
              <w:szCs w:val="22"/>
              <w:highlight w:val="none"/>
            </w:rPr>
            <w:t>声环境影响分析</w:t>
          </w:r>
          <w:r>
            <w:rPr>
              <w:rFonts w:hint="default" w:ascii="Times New Roman" w:hAnsi="Times New Roman" w:eastAsia="宋体" w:cs="Times New Roman"/>
              <w:color w:val="auto"/>
              <w:sz w:val="22"/>
              <w:szCs w:val="22"/>
            </w:rPr>
            <w:tab/>
          </w:r>
          <w:r>
            <w:rPr>
              <w:rFonts w:hint="default" w:ascii="Times New Roman" w:hAnsi="Times New Roman" w:eastAsia="宋体" w:cs="Times New Roman"/>
              <w:color w:val="auto"/>
              <w:sz w:val="22"/>
              <w:szCs w:val="22"/>
            </w:rPr>
            <w:fldChar w:fldCharType="begin"/>
          </w:r>
          <w:r>
            <w:rPr>
              <w:rFonts w:hint="default" w:ascii="Times New Roman" w:hAnsi="Times New Roman" w:eastAsia="宋体" w:cs="Times New Roman"/>
              <w:color w:val="auto"/>
              <w:sz w:val="22"/>
              <w:szCs w:val="22"/>
            </w:rPr>
            <w:instrText xml:space="preserve"> PAGEREF _Toc5781 \h </w:instrText>
          </w:r>
          <w:r>
            <w:rPr>
              <w:rFonts w:hint="default" w:ascii="Times New Roman" w:hAnsi="Times New Roman" w:eastAsia="宋体" w:cs="Times New Roman"/>
              <w:color w:val="auto"/>
              <w:sz w:val="22"/>
              <w:szCs w:val="22"/>
            </w:rPr>
            <w:fldChar w:fldCharType="separate"/>
          </w:r>
          <w:r>
            <w:rPr>
              <w:rFonts w:hint="default" w:ascii="Times New Roman" w:hAnsi="Times New Roman" w:eastAsia="宋体" w:cs="Times New Roman"/>
              <w:color w:val="auto"/>
              <w:sz w:val="22"/>
              <w:szCs w:val="22"/>
            </w:rPr>
            <w:t>134</w:t>
          </w:r>
          <w:r>
            <w:rPr>
              <w:rFonts w:hint="default" w:ascii="Times New Roman" w:hAnsi="Times New Roman" w:eastAsia="宋体" w:cs="Times New Roman"/>
              <w:color w:val="auto"/>
              <w:sz w:val="22"/>
              <w:szCs w:val="22"/>
            </w:rPr>
            <w:fldChar w:fldCharType="end"/>
          </w:r>
          <w:r>
            <w:rPr>
              <w:rFonts w:hint="default" w:ascii="Times New Roman" w:hAnsi="Times New Roman" w:eastAsia="宋体" w:cs="Times New Roman"/>
              <w:color w:val="auto"/>
              <w:kern w:val="2"/>
              <w:sz w:val="22"/>
              <w:szCs w:val="22"/>
              <w:highlight w:val="none"/>
              <w:lang w:val="en-US" w:eastAsia="zh-CN" w:bidi="ar-SA"/>
            </w:rPr>
            <w:fldChar w:fldCharType="end"/>
          </w:r>
        </w:p>
        <w:p>
          <w:pPr>
            <w:pStyle w:val="45"/>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firstLine="440" w:firstLineChars="200"/>
            <w:textAlignment w:val="auto"/>
            <w:rPr>
              <w:rFonts w:hint="default" w:ascii="Times New Roman" w:hAnsi="Times New Roman" w:eastAsia="宋体" w:cs="Times New Roman"/>
              <w:color w:val="auto"/>
              <w:sz w:val="22"/>
              <w:szCs w:val="22"/>
            </w:rPr>
          </w:pPr>
          <w:r>
            <w:rPr>
              <w:rFonts w:hint="default" w:ascii="Times New Roman" w:hAnsi="Times New Roman" w:eastAsia="宋体" w:cs="Times New Roman"/>
              <w:color w:val="auto"/>
              <w:kern w:val="2"/>
              <w:sz w:val="22"/>
              <w:szCs w:val="22"/>
              <w:highlight w:val="none"/>
              <w:lang w:val="en-US" w:eastAsia="zh-CN" w:bidi="ar-SA"/>
            </w:rPr>
            <w:fldChar w:fldCharType="begin"/>
          </w:r>
          <w:r>
            <w:rPr>
              <w:rFonts w:hint="default" w:ascii="Times New Roman" w:hAnsi="Times New Roman" w:eastAsia="宋体" w:cs="Times New Roman"/>
              <w:color w:val="auto"/>
              <w:kern w:val="2"/>
              <w:sz w:val="22"/>
              <w:szCs w:val="22"/>
              <w:highlight w:val="none"/>
              <w:lang w:val="en-US" w:eastAsia="zh-CN" w:bidi="ar-SA"/>
            </w:rPr>
            <w:instrText xml:space="preserve"> HYPERLINK \l _Toc6820 </w:instrText>
          </w:r>
          <w:r>
            <w:rPr>
              <w:rFonts w:hint="default" w:ascii="Times New Roman" w:hAnsi="Times New Roman" w:eastAsia="宋体" w:cs="Times New Roman"/>
              <w:color w:val="auto"/>
              <w:kern w:val="2"/>
              <w:sz w:val="22"/>
              <w:szCs w:val="22"/>
              <w:highlight w:val="none"/>
              <w:lang w:val="en-US" w:eastAsia="zh-CN" w:bidi="ar-SA"/>
            </w:rPr>
            <w:fldChar w:fldCharType="separate"/>
          </w:r>
          <w:r>
            <w:rPr>
              <w:rFonts w:hint="default" w:ascii="Times New Roman" w:hAnsi="Times New Roman" w:eastAsia="宋体" w:cs="Times New Roman"/>
              <w:bCs/>
              <w:i w:val="0"/>
              <w:color w:val="auto"/>
              <w:kern w:val="2"/>
              <w:sz w:val="22"/>
              <w:szCs w:val="22"/>
              <w:highlight w:val="none"/>
              <w:lang w:val="en-US" w:eastAsia="zh-CN" w:bidi="ar-SA"/>
            </w:rPr>
            <w:t>6.4</w:t>
          </w:r>
          <w:r>
            <w:rPr>
              <w:rFonts w:hint="default" w:ascii="Times New Roman" w:hAnsi="Times New Roman" w:eastAsia="宋体" w:cs="Times New Roman"/>
              <w:bCs/>
              <w:color w:val="auto"/>
              <w:sz w:val="22"/>
              <w:szCs w:val="22"/>
              <w:highlight w:val="none"/>
            </w:rPr>
            <w:t>固体废物影响分析</w:t>
          </w:r>
          <w:r>
            <w:rPr>
              <w:rFonts w:hint="default" w:ascii="Times New Roman" w:hAnsi="Times New Roman" w:eastAsia="宋体" w:cs="Times New Roman"/>
              <w:color w:val="auto"/>
              <w:sz w:val="22"/>
              <w:szCs w:val="22"/>
            </w:rPr>
            <w:tab/>
          </w:r>
          <w:r>
            <w:rPr>
              <w:rFonts w:hint="default" w:ascii="Times New Roman" w:hAnsi="Times New Roman" w:eastAsia="宋体" w:cs="Times New Roman"/>
              <w:color w:val="auto"/>
              <w:sz w:val="22"/>
              <w:szCs w:val="22"/>
            </w:rPr>
            <w:fldChar w:fldCharType="begin"/>
          </w:r>
          <w:r>
            <w:rPr>
              <w:rFonts w:hint="default" w:ascii="Times New Roman" w:hAnsi="Times New Roman" w:eastAsia="宋体" w:cs="Times New Roman"/>
              <w:color w:val="auto"/>
              <w:sz w:val="22"/>
              <w:szCs w:val="22"/>
            </w:rPr>
            <w:instrText xml:space="preserve"> PAGEREF _Toc6820 \h </w:instrText>
          </w:r>
          <w:r>
            <w:rPr>
              <w:rFonts w:hint="default" w:ascii="Times New Roman" w:hAnsi="Times New Roman" w:eastAsia="宋体" w:cs="Times New Roman"/>
              <w:color w:val="auto"/>
              <w:sz w:val="22"/>
              <w:szCs w:val="22"/>
            </w:rPr>
            <w:fldChar w:fldCharType="separate"/>
          </w:r>
          <w:r>
            <w:rPr>
              <w:rFonts w:hint="default" w:ascii="Times New Roman" w:hAnsi="Times New Roman" w:eastAsia="宋体" w:cs="Times New Roman"/>
              <w:color w:val="auto"/>
              <w:sz w:val="22"/>
              <w:szCs w:val="22"/>
            </w:rPr>
            <w:t>134</w:t>
          </w:r>
          <w:r>
            <w:rPr>
              <w:rFonts w:hint="default" w:ascii="Times New Roman" w:hAnsi="Times New Roman" w:eastAsia="宋体" w:cs="Times New Roman"/>
              <w:color w:val="auto"/>
              <w:sz w:val="22"/>
              <w:szCs w:val="22"/>
            </w:rPr>
            <w:fldChar w:fldCharType="end"/>
          </w:r>
          <w:r>
            <w:rPr>
              <w:rFonts w:hint="default" w:ascii="Times New Roman" w:hAnsi="Times New Roman" w:eastAsia="宋体" w:cs="Times New Roman"/>
              <w:color w:val="auto"/>
              <w:kern w:val="2"/>
              <w:sz w:val="22"/>
              <w:szCs w:val="22"/>
              <w:highlight w:val="none"/>
              <w:lang w:val="en-US" w:eastAsia="zh-CN" w:bidi="ar-SA"/>
            </w:rPr>
            <w:fldChar w:fldCharType="end"/>
          </w:r>
        </w:p>
        <w:p>
          <w:pPr>
            <w:pStyle w:val="45"/>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firstLine="440" w:firstLineChars="200"/>
            <w:textAlignment w:val="auto"/>
            <w:rPr>
              <w:rFonts w:hint="default" w:ascii="Times New Roman" w:hAnsi="Times New Roman" w:eastAsia="宋体" w:cs="Times New Roman"/>
              <w:color w:val="auto"/>
              <w:sz w:val="22"/>
              <w:szCs w:val="22"/>
            </w:rPr>
          </w:pPr>
          <w:r>
            <w:rPr>
              <w:rFonts w:hint="default" w:ascii="Times New Roman" w:hAnsi="Times New Roman" w:eastAsia="宋体" w:cs="Times New Roman"/>
              <w:color w:val="auto"/>
              <w:kern w:val="2"/>
              <w:sz w:val="22"/>
              <w:szCs w:val="22"/>
              <w:highlight w:val="none"/>
              <w:lang w:val="en-US" w:eastAsia="zh-CN" w:bidi="ar-SA"/>
            </w:rPr>
            <w:fldChar w:fldCharType="begin"/>
          </w:r>
          <w:r>
            <w:rPr>
              <w:rFonts w:hint="default" w:ascii="Times New Roman" w:hAnsi="Times New Roman" w:eastAsia="宋体" w:cs="Times New Roman"/>
              <w:color w:val="auto"/>
              <w:kern w:val="2"/>
              <w:sz w:val="22"/>
              <w:szCs w:val="22"/>
              <w:highlight w:val="none"/>
              <w:lang w:val="en-US" w:eastAsia="zh-CN" w:bidi="ar-SA"/>
            </w:rPr>
            <w:instrText xml:space="preserve"> HYPERLINK \l _Toc20930 </w:instrText>
          </w:r>
          <w:r>
            <w:rPr>
              <w:rFonts w:hint="default" w:ascii="Times New Roman" w:hAnsi="Times New Roman" w:eastAsia="宋体" w:cs="Times New Roman"/>
              <w:color w:val="auto"/>
              <w:kern w:val="2"/>
              <w:sz w:val="22"/>
              <w:szCs w:val="22"/>
              <w:highlight w:val="none"/>
              <w:lang w:val="en-US" w:eastAsia="zh-CN" w:bidi="ar-SA"/>
            </w:rPr>
            <w:fldChar w:fldCharType="separate"/>
          </w:r>
          <w:r>
            <w:rPr>
              <w:rFonts w:hint="default" w:ascii="Times New Roman" w:hAnsi="Times New Roman" w:eastAsia="宋体" w:cs="Times New Roman"/>
              <w:bCs/>
              <w:i w:val="0"/>
              <w:color w:val="auto"/>
              <w:kern w:val="2"/>
              <w:sz w:val="22"/>
              <w:szCs w:val="22"/>
              <w:highlight w:val="none"/>
              <w:lang w:val="en-US" w:eastAsia="zh-CN" w:bidi="ar-SA"/>
            </w:rPr>
            <w:t>6.5</w:t>
          </w:r>
          <w:r>
            <w:rPr>
              <w:rFonts w:hint="default" w:ascii="Times New Roman" w:hAnsi="Times New Roman" w:eastAsia="宋体" w:cs="Times New Roman"/>
              <w:bCs/>
              <w:color w:val="auto"/>
              <w:sz w:val="22"/>
              <w:szCs w:val="22"/>
              <w:highlight w:val="none"/>
            </w:rPr>
            <w:t>生态影响分析</w:t>
          </w:r>
          <w:r>
            <w:rPr>
              <w:rFonts w:hint="default" w:ascii="Times New Roman" w:hAnsi="Times New Roman" w:eastAsia="宋体" w:cs="Times New Roman"/>
              <w:color w:val="auto"/>
              <w:sz w:val="22"/>
              <w:szCs w:val="22"/>
            </w:rPr>
            <w:tab/>
          </w:r>
          <w:r>
            <w:rPr>
              <w:rFonts w:hint="default" w:ascii="Times New Roman" w:hAnsi="Times New Roman" w:eastAsia="宋体" w:cs="Times New Roman"/>
              <w:color w:val="auto"/>
              <w:sz w:val="22"/>
              <w:szCs w:val="22"/>
            </w:rPr>
            <w:fldChar w:fldCharType="begin"/>
          </w:r>
          <w:r>
            <w:rPr>
              <w:rFonts w:hint="default" w:ascii="Times New Roman" w:hAnsi="Times New Roman" w:eastAsia="宋体" w:cs="Times New Roman"/>
              <w:color w:val="auto"/>
              <w:sz w:val="22"/>
              <w:szCs w:val="22"/>
            </w:rPr>
            <w:instrText xml:space="preserve"> PAGEREF _Toc20930 \h </w:instrText>
          </w:r>
          <w:r>
            <w:rPr>
              <w:rFonts w:hint="default" w:ascii="Times New Roman" w:hAnsi="Times New Roman" w:eastAsia="宋体" w:cs="Times New Roman"/>
              <w:color w:val="auto"/>
              <w:sz w:val="22"/>
              <w:szCs w:val="22"/>
            </w:rPr>
            <w:fldChar w:fldCharType="separate"/>
          </w:r>
          <w:r>
            <w:rPr>
              <w:rFonts w:hint="default" w:ascii="Times New Roman" w:hAnsi="Times New Roman" w:eastAsia="宋体" w:cs="Times New Roman"/>
              <w:color w:val="auto"/>
              <w:sz w:val="22"/>
              <w:szCs w:val="22"/>
            </w:rPr>
            <w:t>135</w:t>
          </w:r>
          <w:r>
            <w:rPr>
              <w:rFonts w:hint="default" w:ascii="Times New Roman" w:hAnsi="Times New Roman" w:eastAsia="宋体" w:cs="Times New Roman"/>
              <w:color w:val="auto"/>
              <w:sz w:val="22"/>
              <w:szCs w:val="22"/>
            </w:rPr>
            <w:fldChar w:fldCharType="end"/>
          </w:r>
          <w:r>
            <w:rPr>
              <w:rFonts w:hint="default" w:ascii="Times New Roman" w:hAnsi="Times New Roman" w:eastAsia="宋体" w:cs="Times New Roman"/>
              <w:color w:val="auto"/>
              <w:kern w:val="2"/>
              <w:sz w:val="22"/>
              <w:szCs w:val="22"/>
              <w:highlight w:val="none"/>
              <w:lang w:val="en-US" w:eastAsia="zh-CN" w:bidi="ar-SA"/>
            </w:rPr>
            <w:fldChar w:fldCharType="end"/>
          </w:r>
        </w:p>
        <w:p>
          <w:pPr>
            <w:pStyle w:val="45"/>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leftChars="0" w:firstLine="0" w:firstLineChars="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2"/>
              <w:sz w:val="24"/>
              <w:szCs w:val="24"/>
              <w:highlight w:val="none"/>
              <w:lang w:val="en-US" w:eastAsia="zh-CN" w:bidi="ar-SA"/>
            </w:rPr>
            <w:fldChar w:fldCharType="begin"/>
          </w:r>
          <w:r>
            <w:rPr>
              <w:rFonts w:hint="default" w:ascii="Times New Roman" w:hAnsi="Times New Roman" w:eastAsia="宋体" w:cs="Times New Roman"/>
              <w:color w:val="auto"/>
              <w:kern w:val="2"/>
              <w:sz w:val="24"/>
              <w:szCs w:val="24"/>
              <w:highlight w:val="none"/>
              <w:lang w:val="en-US" w:eastAsia="zh-CN" w:bidi="ar-SA"/>
            </w:rPr>
            <w:instrText xml:space="preserve"> HYPERLINK \l _Toc1894 </w:instrText>
          </w:r>
          <w:r>
            <w:rPr>
              <w:rFonts w:hint="default" w:ascii="Times New Roman" w:hAnsi="Times New Roman" w:eastAsia="宋体" w:cs="Times New Roman"/>
              <w:color w:val="auto"/>
              <w:kern w:val="2"/>
              <w:sz w:val="24"/>
              <w:szCs w:val="24"/>
              <w:highlight w:val="none"/>
              <w:lang w:val="en-US" w:eastAsia="zh-CN" w:bidi="ar-SA"/>
            </w:rPr>
            <w:fldChar w:fldCharType="separate"/>
          </w:r>
          <w:r>
            <w:rPr>
              <w:rFonts w:hint="default" w:ascii="Times New Roman" w:hAnsi="Times New Roman" w:eastAsia="宋体" w:cs="Times New Roman"/>
              <w:bCs/>
              <w:i w:val="0"/>
              <w:color w:val="auto"/>
              <w:kern w:val="44"/>
              <w:sz w:val="24"/>
              <w:szCs w:val="24"/>
              <w:highlight w:val="none"/>
              <w:lang w:val="en-US" w:eastAsia="zh-CN" w:bidi="ar-SA"/>
            </w:rPr>
            <w:t>7</w:t>
          </w:r>
          <w:r>
            <w:rPr>
              <w:rFonts w:hint="default" w:ascii="Times New Roman" w:hAnsi="Times New Roman" w:eastAsia="宋体" w:cs="Times New Roman"/>
              <w:bCs/>
              <w:color w:val="auto"/>
              <w:sz w:val="24"/>
              <w:szCs w:val="24"/>
              <w:highlight w:val="none"/>
            </w:rPr>
            <w:t>运</w:t>
          </w:r>
          <w:r>
            <w:rPr>
              <w:rFonts w:hint="default" w:ascii="Times New Roman" w:hAnsi="Times New Roman" w:eastAsia="宋体" w:cs="Times New Roman"/>
              <w:bCs/>
              <w:color w:val="auto"/>
              <w:sz w:val="24"/>
              <w:szCs w:val="24"/>
              <w:highlight w:val="none"/>
              <w:lang w:eastAsia="zh-CN"/>
            </w:rPr>
            <w:t>营</w:t>
          </w:r>
          <w:r>
            <w:rPr>
              <w:rFonts w:hint="default" w:ascii="Times New Roman" w:hAnsi="Times New Roman" w:eastAsia="宋体" w:cs="Times New Roman"/>
              <w:bCs/>
              <w:color w:val="auto"/>
              <w:sz w:val="24"/>
              <w:szCs w:val="24"/>
              <w:highlight w:val="none"/>
            </w:rPr>
            <w:t>期环境影响预测与评价</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_Toc1894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136</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kern w:val="2"/>
              <w:sz w:val="24"/>
              <w:szCs w:val="24"/>
              <w:highlight w:val="none"/>
              <w:lang w:val="en-US" w:eastAsia="zh-CN" w:bidi="ar-SA"/>
            </w:rPr>
            <w:fldChar w:fldCharType="end"/>
          </w:r>
        </w:p>
        <w:p>
          <w:pPr>
            <w:pStyle w:val="31"/>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firstLine="440" w:firstLineChars="200"/>
            <w:textAlignment w:val="auto"/>
            <w:rPr>
              <w:rFonts w:hint="default" w:ascii="Times New Roman" w:hAnsi="Times New Roman" w:eastAsia="宋体" w:cs="Times New Roman"/>
              <w:color w:val="auto"/>
              <w:sz w:val="22"/>
              <w:szCs w:val="22"/>
            </w:rPr>
          </w:pPr>
          <w:r>
            <w:rPr>
              <w:rFonts w:hint="default" w:ascii="Times New Roman" w:hAnsi="Times New Roman" w:eastAsia="宋体" w:cs="Times New Roman"/>
              <w:color w:val="auto"/>
              <w:kern w:val="2"/>
              <w:sz w:val="22"/>
              <w:szCs w:val="22"/>
              <w:highlight w:val="none"/>
              <w:lang w:val="en-US" w:eastAsia="zh-CN" w:bidi="ar-SA"/>
            </w:rPr>
            <w:fldChar w:fldCharType="begin"/>
          </w:r>
          <w:r>
            <w:rPr>
              <w:rFonts w:hint="default" w:ascii="Times New Roman" w:hAnsi="Times New Roman" w:eastAsia="宋体" w:cs="Times New Roman"/>
              <w:color w:val="auto"/>
              <w:kern w:val="2"/>
              <w:sz w:val="22"/>
              <w:szCs w:val="22"/>
              <w:highlight w:val="none"/>
              <w:lang w:val="en-US" w:eastAsia="zh-CN" w:bidi="ar-SA"/>
            </w:rPr>
            <w:instrText xml:space="preserve"> HYPERLINK \l _Toc14526 </w:instrText>
          </w:r>
          <w:r>
            <w:rPr>
              <w:rFonts w:hint="default" w:ascii="Times New Roman" w:hAnsi="Times New Roman" w:eastAsia="宋体" w:cs="Times New Roman"/>
              <w:color w:val="auto"/>
              <w:kern w:val="2"/>
              <w:sz w:val="22"/>
              <w:szCs w:val="22"/>
              <w:highlight w:val="none"/>
              <w:lang w:val="en-US" w:eastAsia="zh-CN" w:bidi="ar-SA"/>
            </w:rPr>
            <w:fldChar w:fldCharType="separate"/>
          </w:r>
          <w:r>
            <w:rPr>
              <w:rFonts w:hint="default" w:ascii="Times New Roman" w:hAnsi="Times New Roman" w:eastAsia="宋体" w:cs="Times New Roman"/>
              <w:bCs/>
              <w:i w:val="0"/>
              <w:color w:val="auto"/>
              <w:kern w:val="2"/>
              <w:sz w:val="22"/>
              <w:szCs w:val="22"/>
              <w:highlight w:val="none"/>
              <w:lang w:val="en-US" w:eastAsia="zh-CN" w:bidi="ar-SA"/>
            </w:rPr>
            <w:t>7.1</w:t>
          </w:r>
          <w:r>
            <w:rPr>
              <w:rFonts w:hint="default" w:ascii="Times New Roman" w:hAnsi="Times New Roman" w:eastAsia="宋体" w:cs="Times New Roman"/>
              <w:bCs/>
              <w:color w:val="auto"/>
              <w:sz w:val="22"/>
              <w:szCs w:val="22"/>
              <w:highlight w:val="none"/>
            </w:rPr>
            <w:t>区域气象特征</w:t>
          </w:r>
          <w:r>
            <w:rPr>
              <w:rFonts w:hint="default" w:ascii="Times New Roman" w:hAnsi="Times New Roman" w:eastAsia="宋体" w:cs="Times New Roman"/>
              <w:color w:val="auto"/>
              <w:sz w:val="22"/>
              <w:szCs w:val="22"/>
            </w:rPr>
            <w:tab/>
          </w:r>
          <w:r>
            <w:rPr>
              <w:rFonts w:hint="default" w:ascii="Times New Roman" w:hAnsi="Times New Roman" w:eastAsia="宋体" w:cs="Times New Roman"/>
              <w:color w:val="auto"/>
              <w:sz w:val="22"/>
              <w:szCs w:val="22"/>
            </w:rPr>
            <w:fldChar w:fldCharType="begin"/>
          </w:r>
          <w:r>
            <w:rPr>
              <w:rFonts w:hint="default" w:ascii="Times New Roman" w:hAnsi="Times New Roman" w:eastAsia="宋体" w:cs="Times New Roman"/>
              <w:color w:val="auto"/>
              <w:sz w:val="22"/>
              <w:szCs w:val="22"/>
            </w:rPr>
            <w:instrText xml:space="preserve"> PAGEREF _Toc14526 \h </w:instrText>
          </w:r>
          <w:r>
            <w:rPr>
              <w:rFonts w:hint="default" w:ascii="Times New Roman" w:hAnsi="Times New Roman" w:eastAsia="宋体" w:cs="Times New Roman"/>
              <w:color w:val="auto"/>
              <w:sz w:val="22"/>
              <w:szCs w:val="22"/>
            </w:rPr>
            <w:fldChar w:fldCharType="separate"/>
          </w:r>
          <w:r>
            <w:rPr>
              <w:rFonts w:hint="default" w:ascii="Times New Roman" w:hAnsi="Times New Roman" w:eastAsia="宋体" w:cs="Times New Roman"/>
              <w:color w:val="auto"/>
              <w:sz w:val="22"/>
              <w:szCs w:val="22"/>
            </w:rPr>
            <w:t>136</w:t>
          </w:r>
          <w:r>
            <w:rPr>
              <w:rFonts w:hint="default" w:ascii="Times New Roman" w:hAnsi="Times New Roman" w:eastAsia="宋体" w:cs="Times New Roman"/>
              <w:color w:val="auto"/>
              <w:sz w:val="22"/>
              <w:szCs w:val="22"/>
            </w:rPr>
            <w:fldChar w:fldCharType="end"/>
          </w:r>
          <w:r>
            <w:rPr>
              <w:rFonts w:hint="default" w:ascii="Times New Roman" w:hAnsi="Times New Roman" w:eastAsia="宋体" w:cs="Times New Roman"/>
              <w:color w:val="auto"/>
              <w:kern w:val="2"/>
              <w:sz w:val="22"/>
              <w:szCs w:val="22"/>
              <w:highlight w:val="none"/>
              <w:lang w:val="en-US" w:eastAsia="zh-CN" w:bidi="ar-SA"/>
            </w:rPr>
            <w:fldChar w:fldCharType="end"/>
          </w:r>
        </w:p>
        <w:p>
          <w:pPr>
            <w:pStyle w:val="31"/>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firstLine="440" w:firstLineChars="200"/>
            <w:textAlignment w:val="auto"/>
            <w:rPr>
              <w:rFonts w:hint="default" w:ascii="Times New Roman" w:hAnsi="Times New Roman" w:eastAsia="宋体" w:cs="Times New Roman"/>
              <w:color w:val="auto"/>
              <w:sz w:val="22"/>
              <w:szCs w:val="22"/>
            </w:rPr>
          </w:pPr>
          <w:r>
            <w:rPr>
              <w:rFonts w:hint="default" w:ascii="Times New Roman" w:hAnsi="Times New Roman" w:eastAsia="宋体" w:cs="Times New Roman"/>
              <w:color w:val="auto"/>
              <w:kern w:val="2"/>
              <w:sz w:val="22"/>
              <w:szCs w:val="22"/>
              <w:highlight w:val="none"/>
              <w:lang w:val="en-US" w:eastAsia="zh-CN" w:bidi="ar-SA"/>
            </w:rPr>
            <w:fldChar w:fldCharType="begin"/>
          </w:r>
          <w:r>
            <w:rPr>
              <w:rFonts w:hint="default" w:ascii="Times New Roman" w:hAnsi="Times New Roman" w:eastAsia="宋体" w:cs="Times New Roman"/>
              <w:color w:val="auto"/>
              <w:kern w:val="2"/>
              <w:sz w:val="22"/>
              <w:szCs w:val="22"/>
              <w:highlight w:val="none"/>
              <w:lang w:val="en-US" w:eastAsia="zh-CN" w:bidi="ar-SA"/>
            </w:rPr>
            <w:instrText xml:space="preserve"> HYPERLINK \l _Toc26912 </w:instrText>
          </w:r>
          <w:r>
            <w:rPr>
              <w:rFonts w:hint="default" w:ascii="Times New Roman" w:hAnsi="Times New Roman" w:eastAsia="宋体" w:cs="Times New Roman"/>
              <w:color w:val="auto"/>
              <w:kern w:val="2"/>
              <w:sz w:val="22"/>
              <w:szCs w:val="22"/>
              <w:highlight w:val="none"/>
              <w:lang w:val="en-US" w:eastAsia="zh-CN" w:bidi="ar-SA"/>
            </w:rPr>
            <w:fldChar w:fldCharType="separate"/>
          </w:r>
          <w:r>
            <w:rPr>
              <w:rFonts w:hint="default" w:ascii="Times New Roman" w:hAnsi="Times New Roman" w:eastAsia="宋体" w:cs="Times New Roman"/>
              <w:bCs w:val="0"/>
              <w:i w:val="0"/>
              <w:color w:val="auto"/>
              <w:kern w:val="2"/>
              <w:sz w:val="22"/>
              <w:szCs w:val="22"/>
              <w:highlight w:val="none"/>
              <w:lang w:val="en-US" w:eastAsia="zh-CN" w:bidi="ar-SA"/>
            </w:rPr>
            <w:t>7.2</w:t>
          </w:r>
          <w:r>
            <w:rPr>
              <w:rFonts w:hint="default" w:ascii="Times New Roman" w:hAnsi="Times New Roman" w:eastAsia="宋体" w:cs="Times New Roman"/>
              <w:bCs w:val="0"/>
              <w:color w:val="auto"/>
              <w:sz w:val="22"/>
              <w:szCs w:val="22"/>
              <w:highlight w:val="none"/>
            </w:rPr>
            <w:t>大气环境影响预测及评价</w:t>
          </w:r>
          <w:r>
            <w:rPr>
              <w:rFonts w:hint="default" w:ascii="Times New Roman" w:hAnsi="Times New Roman" w:eastAsia="宋体" w:cs="Times New Roman"/>
              <w:color w:val="auto"/>
              <w:sz w:val="22"/>
              <w:szCs w:val="22"/>
            </w:rPr>
            <w:tab/>
          </w:r>
          <w:r>
            <w:rPr>
              <w:rFonts w:hint="default" w:ascii="Times New Roman" w:hAnsi="Times New Roman" w:eastAsia="宋体" w:cs="Times New Roman"/>
              <w:color w:val="auto"/>
              <w:sz w:val="22"/>
              <w:szCs w:val="22"/>
            </w:rPr>
            <w:fldChar w:fldCharType="begin"/>
          </w:r>
          <w:r>
            <w:rPr>
              <w:rFonts w:hint="default" w:ascii="Times New Roman" w:hAnsi="Times New Roman" w:eastAsia="宋体" w:cs="Times New Roman"/>
              <w:color w:val="auto"/>
              <w:sz w:val="22"/>
              <w:szCs w:val="22"/>
            </w:rPr>
            <w:instrText xml:space="preserve"> PAGEREF _Toc26912 \h </w:instrText>
          </w:r>
          <w:r>
            <w:rPr>
              <w:rFonts w:hint="default" w:ascii="Times New Roman" w:hAnsi="Times New Roman" w:eastAsia="宋体" w:cs="Times New Roman"/>
              <w:color w:val="auto"/>
              <w:sz w:val="22"/>
              <w:szCs w:val="22"/>
            </w:rPr>
            <w:fldChar w:fldCharType="separate"/>
          </w:r>
          <w:r>
            <w:rPr>
              <w:rFonts w:hint="default" w:ascii="Times New Roman" w:hAnsi="Times New Roman" w:eastAsia="宋体" w:cs="Times New Roman"/>
              <w:color w:val="auto"/>
              <w:sz w:val="22"/>
              <w:szCs w:val="22"/>
            </w:rPr>
            <w:t>140</w:t>
          </w:r>
          <w:r>
            <w:rPr>
              <w:rFonts w:hint="default" w:ascii="Times New Roman" w:hAnsi="Times New Roman" w:eastAsia="宋体" w:cs="Times New Roman"/>
              <w:color w:val="auto"/>
              <w:sz w:val="22"/>
              <w:szCs w:val="22"/>
            </w:rPr>
            <w:fldChar w:fldCharType="end"/>
          </w:r>
          <w:r>
            <w:rPr>
              <w:rFonts w:hint="default" w:ascii="Times New Roman" w:hAnsi="Times New Roman" w:eastAsia="宋体" w:cs="Times New Roman"/>
              <w:color w:val="auto"/>
              <w:kern w:val="2"/>
              <w:sz w:val="22"/>
              <w:szCs w:val="22"/>
              <w:highlight w:val="none"/>
              <w:lang w:val="en-US" w:eastAsia="zh-CN" w:bidi="ar-SA"/>
            </w:rPr>
            <w:fldChar w:fldCharType="end"/>
          </w:r>
        </w:p>
        <w:p>
          <w:pPr>
            <w:pStyle w:val="31"/>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firstLine="440" w:firstLineChars="200"/>
            <w:textAlignment w:val="auto"/>
            <w:rPr>
              <w:rFonts w:hint="default" w:ascii="Times New Roman" w:hAnsi="Times New Roman" w:eastAsia="宋体" w:cs="Times New Roman"/>
              <w:color w:val="auto"/>
              <w:sz w:val="22"/>
              <w:szCs w:val="22"/>
            </w:rPr>
          </w:pPr>
          <w:r>
            <w:rPr>
              <w:rFonts w:hint="default" w:ascii="Times New Roman" w:hAnsi="Times New Roman" w:eastAsia="宋体" w:cs="Times New Roman"/>
              <w:color w:val="auto"/>
              <w:kern w:val="2"/>
              <w:sz w:val="22"/>
              <w:szCs w:val="22"/>
              <w:highlight w:val="none"/>
              <w:lang w:val="en-US" w:eastAsia="zh-CN" w:bidi="ar-SA"/>
            </w:rPr>
            <w:fldChar w:fldCharType="begin"/>
          </w:r>
          <w:r>
            <w:rPr>
              <w:rFonts w:hint="default" w:ascii="Times New Roman" w:hAnsi="Times New Roman" w:eastAsia="宋体" w:cs="Times New Roman"/>
              <w:color w:val="auto"/>
              <w:kern w:val="2"/>
              <w:sz w:val="22"/>
              <w:szCs w:val="22"/>
              <w:highlight w:val="none"/>
              <w:lang w:val="en-US" w:eastAsia="zh-CN" w:bidi="ar-SA"/>
            </w:rPr>
            <w:instrText xml:space="preserve"> HYPERLINK \l _Toc9178 </w:instrText>
          </w:r>
          <w:r>
            <w:rPr>
              <w:rFonts w:hint="default" w:ascii="Times New Roman" w:hAnsi="Times New Roman" w:eastAsia="宋体" w:cs="Times New Roman"/>
              <w:color w:val="auto"/>
              <w:kern w:val="2"/>
              <w:sz w:val="22"/>
              <w:szCs w:val="22"/>
              <w:highlight w:val="none"/>
              <w:lang w:val="en-US" w:eastAsia="zh-CN" w:bidi="ar-SA"/>
            </w:rPr>
            <w:fldChar w:fldCharType="separate"/>
          </w:r>
          <w:r>
            <w:rPr>
              <w:rFonts w:hint="default" w:ascii="Times New Roman" w:hAnsi="Times New Roman" w:eastAsia="宋体" w:cs="Times New Roman"/>
              <w:bCs w:val="0"/>
              <w:i w:val="0"/>
              <w:color w:val="auto"/>
              <w:kern w:val="2"/>
              <w:sz w:val="22"/>
              <w:szCs w:val="22"/>
              <w:highlight w:val="none"/>
              <w:lang w:val="en-US" w:eastAsia="zh-CN" w:bidi="ar-SA"/>
            </w:rPr>
            <w:t>7.3</w:t>
          </w:r>
          <w:r>
            <w:rPr>
              <w:rFonts w:hint="default" w:ascii="Times New Roman" w:hAnsi="Times New Roman" w:eastAsia="宋体" w:cs="Times New Roman"/>
              <w:bCs w:val="0"/>
              <w:color w:val="auto"/>
              <w:sz w:val="22"/>
              <w:szCs w:val="22"/>
              <w:highlight w:val="none"/>
            </w:rPr>
            <w:t>废水排放影响分析</w:t>
          </w:r>
          <w:r>
            <w:rPr>
              <w:rFonts w:hint="default" w:ascii="Times New Roman" w:hAnsi="Times New Roman" w:eastAsia="宋体" w:cs="Times New Roman"/>
              <w:color w:val="auto"/>
              <w:sz w:val="22"/>
              <w:szCs w:val="22"/>
            </w:rPr>
            <w:tab/>
          </w:r>
          <w:r>
            <w:rPr>
              <w:rFonts w:hint="default" w:ascii="Times New Roman" w:hAnsi="Times New Roman" w:eastAsia="宋体" w:cs="Times New Roman"/>
              <w:color w:val="auto"/>
              <w:sz w:val="22"/>
              <w:szCs w:val="22"/>
            </w:rPr>
            <w:fldChar w:fldCharType="begin"/>
          </w:r>
          <w:r>
            <w:rPr>
              <w:rFonts w:hint="default" w:ascii="Times New Roman" w:hAnsi="Times New Roman" w:eastAsia="宋体" w:cs="Times New Roman"/>
              <w:color w:val="auto"/>
              <w:sz w:val="22"/>
              <w:szCs w:val="22"/>
            </w:rPr>
            <w:instrText xml:space="preserve"> PAGEREF _Toc9178 \h </w:instrText>
          </w:r>
          <w:r>
            <w:rPr>
              <w:rFonts w:hint="default" w:ascii="Times New Roman" w:hAnsi="Times New Roman" w:eastAsia="宋体" w:cs="Times New Roman"/>
              <w:color w:val="auto"/>
              <w:sz w:val="22"/>
              <w:szCs w:val="22"/>
            </w:rPr>
            <w:fldChar w:fldCharType="separate"/>
          </w:r>
          <w:r>
            <w:rPr>
              <w:rFonts w:hint="default" w:ascii="Times New Roman" w:hAnsi="Times New Roman" w:eastAsia="宋体" w:cs="Times New Roman"/>
              <w:color w:val="auto"/>
              <w:sz w:val="22"/>
              <w:szCs w:val="22"/>
            </w:rPr>
            <w:t>144</w:t>
          </w:r>
          <w:r>
            <w:rPr>
              <w:rFonts w:hint="default" w:ascii="Times New Roman" w:hAnsi="Times New Roman" w:eastAsia="宋体" w:cs="Times New Roman"/>
              <w:color w:val="auto"/>
              <w:sz w:val="22"/>
              <w:szCs w:val="22"/>
            </w:rPr>
            <w:fldChar w:fldCharType="end"/>
          </w:r>
          <w:r>
            <w:rPr>
              <w:rFonts w:hint="default" w:ascii="Times New Roman" w:hAnsi="Times New Roman" w:eastAsia="宋体" w:cs="Times New Roman"/>
              <w:color w:val="auto"/>
              <w:kern w:val="2"/>
              <w:sz w:val="22"/>
              <w:szCs w:val="22"/>
              <w:highlight w:val="none"/>
              <w:lang w:val="en-US" w:eastAsia="zh-CN" w:bidi="ar-SA"/>
            </w:rPr>
            <w:fldChar w:fldCharType="end"/>
          </w:r>
        </w:p>
        <w:p>
          <w:pPr>
            <w:pStyle w:val="31"/>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firstLine="440" w:firstLineChars="200"/>
            <w:textAlignment w:val="auto"/>
            <w:rPr>
              <w:rFonts w:hint="default" w:ascii="Times New Roman" w:hAnsi="Times New Roman" w:eastAsia="宋体" w:cs="Times New Roman"/>
              <w:color w:val="auto"/>
              <w:sz w:val="22"/>
              <w:szCs w:val="22"/>
            </w:rPr>
          </w:pPr>
          <w:r>
            <w:rPr>
              <w:rFonts w:hint="default" w:ascii="Times New Roman" w:hAnsi="Times New Roman" w:eastAsia="宋体" w:cs="Times New Roman"/>
              <w:color w:val="auto"/>
              <w:kern w:val="2"/>
              <w:sz w:val="22"/>
              <w:szCs w:val="22"/>
              <w:highlight w:val="none"/>
              <w:lang w:val="en-US" w:eastAsia="zh-CN" w:bidi="ar-SA"/>
            </w:rPr>
            <w:fldChar w:fldCharType="begin"/>
          </w:r>
          <w:r>
            <w:rPr>
              <w:rFonts w:hint="default" w:ascii="Times New Roman" w:hAnsi="Times New Roman" w:eastAsia="宋体" w:cs="Times New Roman"/>
              <w:color w:val="auto"/>
              <w:kern w:val="2"/>
              <w:sz w:val="22"/>
              <w:szCs w:val="22"/>
              <w:highlight w:val="none"/>
              <w:lang w:val="en-US" w:eastAsia="zh-CN" w:bidi="ar-SA"/>
            </w:rPr>
            <w:instrText xml:space="preserve"> HYPERLINK \l _Toc17819 </w:instrText>
          </w:r>
          <w:r>
            <w:rPr>
              <w:rFonts w:hint="default" w:ascii="Times New Roman" w:hAnsi="Times New Roman" w:eastAsia="宋体" w:cs="Times New Roman"/>
              <w:color w:val="auto"/>
              <w:kern w:val="2"/>
              <w:sz w:val="22"/>
              <w:szCs w:val="22"/>
              <w:highlight w:val="none"/>
              <w:lang w:val="en-US" w:eastAsia="zh-CN" w:bidi="ar-SA"/>
            </w:rPr>
            <w:fldChar w:fldCharType="separate"/>
          </w:r>
          <w:r>
            <w:rPr>
              <w:rFonts w:hint="default" w:ascii="Times New Roman" w:hAnsi="Times New Roman" w:eastAsia="宋体" w:cs="Times New Roman"/>
              <w:bCs w:val="0"/>
              <w:i w:val="0"/>
              <w:color w:val="auto"/>
              <w:kern w:val="2"/>
              <w:sz w:val="22"/>
              <w:szCs w:val="22"/>
              <w:highlight w:val="none"/>
              <w:lang w:val="en-US" w:eastAsia="zh-CN" w:bidi="ar-SA"/>
            </w:rPr>
            <w:t>7.4</w:t>
          </w:r>
          <w:r>
            <w:rPr>
              <w:rFonts w:hint="default" w:ascii="Times New Roman" w:hAnsi="Times New Roman" w:eastAsia="宋体" w:cs="Times New Roman"/>
              <w:bCs w:val="0"/>
              <w:color w:val="auto"/>
              <w:sz w:val="22"/>
              <w:szCs w:val="22"/>
              <w:highlight w:val="none"/>
            </w:rPr>
            <w:t>地下水环境影响分析</w:t>
          </w:r>
          <w:r>
            <w:rPr>
              <w:rFonts w:hint="default" w:ascii="Times New Roman" w:hAnsi="Times New Roman" w:eastAsia="宋体" w:cs="Times New Roman"/>
              <w:color w:val="auto"/>
              <w:sz w:val="22"/>
              <w:szCs w:val="22"/>
            </w:rPr>
            <w:tab/>
          </w:r>
          <w:r>
            <w:rPr>
              <w:rFonts w:hint="default" w:ascii="Times New Roman" w:hAnsi="Times New Roman" w:eastAsia="宋体" w:cs="Times New Roman"/>
              <w:color w:val="auto"/>
              <w:sz w:val="22"/>
              <w:szCs w:val="22"/>
            </w:rPr>
            <w:fldChar w:fldCharType="begin"/>
          </w:r>
          <w:r>
            <w:rPr>
              <w:rFonts w:hint="default" w:ascii="Times New Roman" w:hAnsi="Times New Roman" w:eastAsia="宋体" w:cs="Times New Roman"/>
              <w:color w:val="auto"/>
              <w:sz w:val="22"/>
              <w:szCs w:val="22"/>
            </w:rPr>
            <w:instrText xml:space="preserve"> PAGEREF _Toc17819 \h </w:instrText>
          </w:r>
          <w:r>
            <w:rPr>
              <w:rFonts w:hint="default" w:ascii="Times New Roman" w:hAnsi="Times New Roman" w:eastAsia="宋体" w:cs="Times New Roman"/>
              <w:color w:val="auto"/>
              <w:sz w:val="22"/>
              <w:szCs w:val="22"/>
            </w:rPr>
            <w:fldChar w:fldCharType="separate"/>
          </w:r>
          <w:r>
            <w:rPr>
              <w:rFonts w:hint="default" w:ascii="Times New Roman" w:hAnsi="Times New Roman" w:eastAsia="宋体" w:cs="Times New Roman"/>
              <w:color w:val="auto"/>
              <w:sz w:val="22"/>
              <w:szCs w:val="22"/>
            </w:rPr>
            <w:t>144</w:t>
          </w:r>
          <w:r>
            <w:rPr>
              <w:rFonts w:hint="default" w:ascii="Times New Roman" w:hAnsi="Times New Roman" w:eastAsia="宋体" w:cs="Times New Roman"/>
              <w:color w:val="auto"/>
              <w:sz w:val="22"/>
              <w:szCs w:val="22"/>
            </w:rPr>
            <w:fldChar w:fldCharType="end"/>
          </w:r>
          <w:r>
            <w:rPr>
              <w:rFonts w:hint="default" w:ascii="Times New Roman" w:hAnsi="Times New Roman" w:eastAsia="宋体" w:cs="Times New Roman"/>
              <w:color w:val="auto"/>
              <w:kern w:val="2"/>
              <w:sz w:val="22"/>
              <w:szCs w:val="22"/>
              <w:highlight w:val="none"/>
              <w:lang w:val="en-US" w:eastAsia="zh-CN" w:bidi="ar-SA"/>
            </w:rPr>
            <w:fldChar w:fldCharType="end"/>
          </w:r>
        </w:p>
        <w:p>
          <w:pPr>
            <w:pStyle w:val="45"/>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firstLine="440" w:firstLineChars="200"/>
            <w:textAlignment w:val="auto"/>
            <w:rPr>
              <w:rFonts w:hint="default" w:ascii="Times New Roman" w:hAnsi="Times New Roman" w:eastAsia="宋体" w:cs="Times New Roman"/>
              <w:color w:val="auto"/>
              <w:sz w:val="22"/>
              <w:szCs w:val="22"/>
            </w:rPr>
          </w:pPr>
          <w:r>
            <w:rPr>
              <w:rFonts w:hint="default" w:ascii="Times New Roman" w:hAnsi="Times New Roman" w:eastAsia="宋体" w:cs="Times New Roman"/>
              <w:color w:val="auto"/>
              <w:kern w:val="2"/>
              <w:sz w:val="22"/>
              <w:szCs w:val="22"/>
              <w:highlight w:val="none"/>
              <w:lang w:val="en-US" w:eastAsia="zh-CN" w:bidi="ar-SA"/>
            </w:rPr>
            <w:fldChar w:fldCharType="begin"/>
          </w:r>
          <w:r>
            <w:rPr>
              <w:rFonts w:hint="default" w:ascii="Times New Roman" w:hAnsi="Times New Roman" w:eastAsia="宋体" w:cs="Times New Roman"/>
              <w:color w:val="auto"/>
              <w:kern w:val="2"/>
              <w:sz w:val="22"/>
              <w:szCs w:val="22"/>
              <w:highlight w:val="none"/>
              <w:lang w:val="en-US" w:eastAsia="zh-CN" w:bidi="ar-SA"/>
            </w:rPr>
            <w:instrText xml:space="preserve"> HYPERLINK \l _Toc12172 </w:instrText>
          </w:r>
          <w:r>
            <w:rPr>
              <w:rFonts w:hint="default" w:ascii="Times New Roman" w:hAnsi="Times New Roman" w:eastAsia="宋体" w:cs="Times New Roman"/>
              <w:color w:val="auto"/>
              <w:kern w:val="2"/>
              <w:sz w:val="22"/>
              <w:szCs w:val="22"/>
              <w:highlight w:val="none"/>
              <w:lang w:val="en-US" w:eastAsia="zh-CN" w:bidi="ar-SA"/>
            </w:rPr>
            <w:fldChar w:fldCharType="separate"/>
          </w:r>
          <w:r>
            <w:rPr>
              <w:rFonts w:hint="default" w:ascii="Times New Roman" w:hAnsi="Times New Roman" w:eastAsia="宋体" w:cs="Times New Roman"/>
              <w:bCs/>
              <w:i w:val="0"/>
              <w:color w:val="auto"/>
              <w:kern w:val="2"/>
              <w:sz w:val="22"/>
              <w:szCs w:val="22"/>
              <w:highlight w:val="none"/>
              <w:lang w:val="en-US" w:eastAsia="zh-CN" w:bidi="ar-SA"/>
            </w:rPr>
            <w:t>7.5</w:t>
          </w:r>
          <w:r>
            <w:rPr>
              <w:rFonts w:hint="default" w:ascii="Times New Roman" w:hAnsi="Times New Roman" w:eastAsia="宋体" w:cs="Times New Roman"/>
              <w:bCs/>
              <w:color w:val="auto"/>
              <w:sz w:val="22"/>
              <w:szCs w:val="22"/>
              <w:highlight w:val="none"/>
            </w:rPr>
            <w:t>噪声环境影响分析</w:t>
          </w:r>
          <w:r>
            <w:rPr>
              <w:rFonts w:hint="default" w:ascii="Times New Roman" w:hAnsi="Times New Roman" w:eastAsia="宋体" w:cs="Times New Roman"/>
              <w:color w:val="auto"/>
              <w:sz w:val="22"/>
              <w:szCs w:val="22"/>
            </w:rPr>
            <w:tab/>
          </w:r>
          <w:r>
            <w:rPr>
              <w:rFonts w:hint="default" w:ascii="Times New Roman" w:hAnsi="Times New Roman" w:eastAsia="宋体" w:cs="Times New Roman"/>
              <w:color w:val="auto"/>
              <w:sz w:val="22"/>
              <w:szCs w:val="22"/>
            </w:rPr>
            <w:fldChar w:fldCharType="begin"/>
          </w:r>
          <w:r>
            <w:rPr>
              <w:rFonts w:hint="default" w:ascii="Times New Roman" w:hAnsi="Times New Roman" w:eastAsia="宋体" w:cs="Times New Roman"/>
              <w:color w:val="auto"/>
              <w:sz w:val="22"/>
              <w:szCs w:val="22"/>
            </w:rPr>
            <w:instrText xml:space="preserve"> PAGEREF _Toc12172 \h </w:instrText>
          </w:r>
          <w:r>
            <w:rPr>
              <w:rFonts w:hint="default" w:ascii="Times New Roman" w:hAnsi="Times New Roman" w:eastAsia="宋体" w:cs="Times New Roman"/>
              <w:color w:val="auto"/>
              <w:sz w:val="22"/>
              <w:szCs w:val="22"/>
            </w:rPr>
            <w:fldChar w:fldCharType="separate"/>
          </w:r>
          <w:r>
            <w:rPr>
              <w:rFonts w:hint="default" w:ascii="Times New Roman" w:hAnsi="Times New Roman" w:eastAsia="宋体" w:cs="Times New Roman"/>
              <w:color w:val="auto"/>
              <w:sz w:val="22"/>
              <w:szCs w:val="22"/>
            </w:rPr>
            <w:t>167</w:t>
          </w:r>
          <w:r>
            <w:rPr>
              <w:rFonts w:hint="default" w:ascii="Times New Roman" w:hAnsi="Times New Roman" w:eastAsia="宋体" w:cs="Times New Roman"/>
              <w:color w:val="auto"/>
              <w:sz w:val="22"/>
              <w:szCs w:val="22"/>
            </w:rPr>
            <w:fldChar w:fldCharType="end"/>
          </w:r>
          <w:r>
            <w:rPr>
              <w:rFonts w:hint="default" w:ascii="Times New Roman" w:hAnsi="Times New Roman" w:eastAsia="宋体" w:cs="Times New Roman"/>
              <w:color w:val="auto"/>
              <w:kern w:val="2"/>
              <w:sz w:val="22"/>
              <w:szCs w:val="22"/>
              <w:highlight w:val="none"/>
              <w:lang w:val="en-US" w:eastAsia="zh-CN" w:bidi="ar-SA"/>
            </w:rPr>
            <w:fldChar w:fldCharType="end"/>
          </w:r>
        </w:p>
        <w:p>
          <w:pPr>
            <w:pStyle w:val="45"/>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firstLine="440" w:firstLineChars="200"/>
            <w:textAlignment w:val="auto"/>
            <w:rPr>
              <w:rFonts w:hint="default" w:ascii="Times New Roman" w:hAnsi="Times New Roman" w:eastAsia="宋体" w:cs="Times New Roman"/>
              <w:color w:val="auto"/>
              <w:sz w:val="22"/>
              <w:szCs w:val="22"/>
            </w:rPr>
          </w:pPr>
          <w:r>
            <w:rPr>
              <w:rFonts w:hint="default" w:ascii="Times New Roman" w:hAnsi="Times New Roman" w:eastAsia="宋体" w:cs="Times New Roman"/>
              <w:color w:val="auto"/>
              <w:kern w:val="2"/>
              <w:sz w:val="22"/>
              <w:szCs w:val="22"/>
              <w:highlight w:val="none"/>
              <w:lang w:val="en-US" w:eastAsia="zh-CN" w:bidi="ar-SA"/>
            </w:rPr>
            <w:fldChar w:fldCharType="begin"/>
          </w:r>
          <w:r>
            <w:rPr>
              <w:rFonts w:hint="default" w:ascii="Times New Roman" w:hAnsi="Times New Roman" w:eastAsia="宋体" w:cs="Times New Roman"/>
              <w:color w:val="auto"/>
              <w:kern w:val="2"/>
              <w:sz w:val="22"/>
              <w:szCs w:val="22"/>
              <w:highlight w:val="none"/>
              <w:lang w:val="en-US" w:eastAsia="zh-CN" w:bidi="ar-SA"/>
            </w:rPr>
            <w:instrText xml:space="preserve"> HYPERLINK \l _Toc30000 </w:instrText>
          </w:r>
          <w:r>
            <w:rPr>
              <w:rFonts w:hint="default" w:ascii="Times New Roman" w:hAnsi="Times New Roman" w:eastAsia="宋体" w:cs="Times New Roman"/>
              <w:color w:val="auto"/>
              <w:kern w:val="2"/>
              <w:sz w:val="22"/>
              <w:szCs w:val="22"/>
              <w:highlight w:val="none"/>
              <w:lang w:val="en-US" w:eastAsia="zh-CN" w:bidi="ar-SA"/>
            </w:rPr>
            <w:fldChar w:fldCharType="separate"/>
          </w:r>
          <w:r>
            <w:rPr>
              <w:rFonts w:hint="default" w:ascii="Times New Roman" w:hAnsi="Times New Roman" w:eastAsia="宋体" w:cs="Times New Roman"/>
              <w:bCs/>
              <w:i w:val="0"/>
              <w:color w:val="auto"/>
              <w:kern w:val="2"/>
              <w:sz w:val="22"/>
              <w:szCs w:val="22"/>
              <w:highlight w:val="none"/>
              <w:lang w:val="en-US" w:eastAsia="zh-CN" w:bidi="ar-SA"/>
            </w:rPr>
            <w:t>7.6</w:t>
          </w:r>
          <w:r>
            <w:rPr>
              <w:rFonts w:hint="default" w:ascii="Times New Roman" w:hAnsi="Times New Roman" w:eastAsia="宋体" w:cs="Times New Roman"/>
              <w:bCs/>
              <w:color w:val="auto"/>
              <w:sz w:val="22"/>
              <w:szCs w:val="22"/>
              <w:highlight w:val="none"/>
            </w:rPr>
            <w:t>固体废物影响分析</w:t>
          </w:r>
          <w:r>
            <w:rPr>
              <w:rFonts w:hint="default" w:ascii="Times New Roman" w:hAnsi="Times New Roman" w:eastAsia="宋体" w:cs="Times New Roman"/>
              <w:color w:val="auto"/>
              <w:sz w:val="22"/>
              <w:szCs w:val="22"/>
            </w:rPr>
            <w:tab/>
          </w:r>
          <w:r>
            <w:rPr>
              <w:rFonts w:hint="default" w:ascii="Times New Roman" w:hAnsi="Times New Roman" w:eastAsia="宋体" w:cs="Times New Roman"/>
              <w:color w:val="auto"/>
              <w:sz w:val="22"/>
              <w:szCs w:val="22"/>
            </w:rPr>
            <w:fldChar w:fldCharType="begin"/>
          </w:r>
          <w:r>
            <w:rPr>
              <w:rFonts w:hint="default" w:ascii="Times New Roman" w:hAnsi="Times New Roman" w:eastAsia="宋体" w:cs="Times New Roman"/>
              <w:color w:val="auto"/>
              <w:sz w:val="22"/>
              <w:szCs w:val="22"/>
            </w:rPr>
            <w:instrText xml:space="preserve"> PAGEREF _Toc30000 \h </w:instrText>
          </w:r>
          <w:r>
            <w:rPr>
              <w:rFonts w:hint="default" w:ascii="Times New Roman" w:hAnsi="Times New Roman" w:eastAsia="宋体" w:cs="Times New Roman"/>
              <w:color w:val="auto"/>
              <w:sz w:val="22"/>
              <w:szCs w:val="22"/>
            </w:rPr>
            <w:fldChar w:fldCharType="separate"/>
          </w:r>
          <w:r>
            <w:rPr>
              <w:rFonts w:hint="default" w:ascii="Times New Roman" w:hAnsi="Times New Roman" w:eastAsia="宋体" w:cs="Times New Roman"/>
              <w:color w:val="auto"/>
              <w:sz w:val="22"/>
              <w:szCs w:val="22"/>
            </w:rPr>
            <w:t>170</w:t>
          </w:r>
          <w:r>
            <w:rPr>
              <w:rFonts w:hint="default" w:ascii="Times New Roman" w:hAnsi="Times New Roman" w:eastAsia="宋体" w:cs="Times New Roman"/>
              <w:color w:val="auto"/>
              <w:sz w:val="22"/>
              <w:szCs w:val="22"/>
            </w:rPr>
            <w:fldChar w:fldCharType="end"/>
          </w:r>
          <w:r>
            <w:rPr>
              <w:rFonts w:hint="default" w:ascii="Times New Roman" w:hAnsi="Times New Roman" w:eastAsia="宋体" w:cs="Times New Roman"/>
              <w:color w:val="auto"/>
              <w:kern w:val="2"/>
              <w:sz w:val="22"/>
              <w:szCs w:val="22"/>
              <w:highlight w:val="none"/>
              <w:lang w:val="en-US" w:eastAsia="zh-CN" w:bidi="ar-SA"/>
            </w:rPr>
            <w:fldChar w:fldCharType="end"/>
          </w:r>
        </w:p>
        <w:p>
          <w:pPr>
            <w:pStyle w:val="45"/>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firstLine="440" w:firstLineChars="200"/>
            <w:textAlignment w:val="auto"/>
            <w:rPr>
              <w:rFonts w:hint="default" w:ascii="Times New Roman" w:hAnsi="Times New Roman" w:eastAsia="宋体" w:cs="Times New Roman"/>
              <w:color w:val="auto"/>
              <w:sz w:val="22"/>
              <w:szCs w:val="22"/>
            </w:rPr>
          </w:pPr>
          <w:r>
            <w:rPr>
              <w:rFonts w:hint="default" w:ascii="Times New Roman" w:hAnsi="Times New Roman" w:eastAsia="宋体" w:cs="Times New Roman"/>
              <w:color w:val="auto"/>
              <w:kern w:val="2"/>
              <w:sz w:val="22"/>
              <w:szCs w:val="22"/>
              <w:highlight w:val="none"/>
              <w:lang w:val="en-US" w:eastAsia="zh-CN" w:bidi="ar-SA"/>
            </w:rPr>
            <w:fldChar w:fldCharType="begin"/>
          </w:r>
          <w:r>
            <w:rPr>
              <w:rFonts w:hint="default" w:ascii="Times New Roman" w:hAnsi="Times New Roman" w:eastAsia="宋体" w:cs="Times New Roman"/>
              <w:color w:val="auto"/>
              <w:kern w:val="2"/>
              <w:sz w:val="22"/>
              <w:szCs w:val="22"/>
              <w:highlight w:val="none"/>
              <w:lang w:val="en-US" w:eastAsia="zh-CN" w:bidi="ar-SA"/>
            </w:rPr>
            <w:instrText xml:space="preserve"> HYPERLINK \l _Toc18487 </w:instrText>
          </w:r>
          <w:r>
            <w:rPr>
              <w:rFonts w:hint="default" w:ascii="Times New Roman" w:hAnsi="Times New Roman" w:eastAsia="宋体" w:cs="Times New Roman"/>
              <w:color w:val="auto"/>
              <w:kern w:val="2"/>
              <w:sz w:val="22"/>
              <w:szCs w:val="22"/>
              <w:highlight w:val="none"/>
              <w:lang w:val="en-US" w:eastAsia="zh-CN" w:bidi="ar-SA"/>
            </w:rPr>
            <w:fldChar w:fldCharType="separate"/>
          </w:r>
          <w:r>
            <w:rPr>
              <w:rFonts w:hint="default" w:ascii="Times New Roman" w:hAnsi="Times New Roman" w:eastAsia="宋体" w:cs="Times New Roman"/>
              <w:bCs/>
              <w:i w:val="0"/>
              <w:color w:val="auto"/>
              <w:kern w:val="2"/>
              <w:sz w:val="22"/>
              <w:szCs w:val="22"/>
              <w:highlight w:val="none"/>
              <w:lang w:val="en-US" w:eastAsia="zh-CN" w:bidi="ar-SA"/>
            </w:rPr>
            <w:t>7.7</w:t>
          </w:r>
          <w:r>
            <w:rPr>
              <w:rFonts w:hint="default" w:ascii="Times New Roman" w:hAnsi="Times New Roman" w:eastAsia="宋体" w:cs="Times New Roman"/>
              <w:bCs/>
              <w:color w:val="auto"/>
              <w:sz w:val="22"/>
              <w:szCs w:val="22"/>
              <w:highlight w:val="none"/>
            </w:rPr>
            <w:t>土壤环境影响分析</w:t>
          </w:r>
          <w:r>
            <w:rPr>
              <w:rFonts w:hint="default" w:ascii="Times New Roman" w:hAnsi="Times New Roman" w:eastAsia="宋体" w:cs="Times New Roman"/>
              <w:color w:val="auto"/>
              <w:sz w:val="22"/>
              <w:szCs w:val="22"/>
            </w:rPr>
            <w:tab/>
          </w:r>
          <w:r>
            <w:rPr>
              <w:rFonts w:hint="default" w:ascii="Times New Roman" w:hAnsi="Times New Roman" w:eastAsia="宋体" w:cs="Times New Roman"/>
              <w:color w:val="auto"/>
              <w:sz w:val="22"/>
              <w:szCs w:val="22"/>
            </w:rPr>
            <w:fldChar w:fldCharType="begin"/>
          </w:r>
          <w:r>
            <w:rPr>
              <w:rFonts w:hint="default" w:ascii="Times New Roman" w:hAnsi="Times New Roman" w:eastAsia="宋体" w:cs="Times New Roman"/>
              <w:color w:val="auto"/>
              <w:sz w:val="22"/>
              <w:szCs w:val="22"/>
            </w:rPr>
            <w:instrText xml:space="preserve"> PAGEREF _Toc18487 \h </w:instrText>
          </w:r>
          <w:r>
            <w:rPr>
              <w:rFonts w:hint="default" w:ascii="Times New Roman" w:hAnsi="Times New Roman" w:eastAsia="宋体" w:cs="Times New Roman"/>
              <w:color w:val="auto"/>
              <w:sz w:val="22"/>
              <w:szCs w:val="22"/>
            </w:rPr>
            <w:fldChar w:fldCharType="separate"/>
          </w:r>
          <w:r>
            <w:rPr>
              <w:rFonts w:hint="default" w:ascii="Times New Roman" w:hAnsi="Times New Roman" w:eastAsia="宋体" w:cs="Times New Roman"/>
              <w:color w:val="auto"/>
              <w:sz w:val="22"/>
              <w:szCs w:val="22"/>
            </w:rPr>
            <w:t>170</w:t>
          </w:r>
          <w:r>
            <w:rPr>
              <w:rFonts w:hint="default" w:ascii="Times New Roman" w:hAnsi="Times New Roman" w:eastAsia="宋体" w:cs="Times New Roman"/>
              <w:color w:val="auto"/>
              <w:sz w:val="22"/>
              <w:szCs w:val="22"/>
            </w:rPr>
            <w:fldChar w:fldCharType="end"/>
          </w:r>
          <w:r>
            <w:rPr>
              <w:rFonts w:hint="default" w:ascii="Times New Roman" w:hAnsi="Times New Roman" w:eastAsia="宋体" w:cs="Times New Roman"/>
              <w:color w:val="auto"/>
              <w:kern w:val="2"/>
              <w:sz w:val="22"/>
              <w:szCs w:val="22"/>
              <w:highlight w:val="none"/>
              <w:lang w:val="en-US" w:eastAsia="zh-CN" w:bidi="ar-SA"/>
            </w:rPr>
            <w:fldChar w:fldCharType="end"/>
          </w:r>
        </w:p>
        <w:p>
          <w:pPr>
            <w:pStyle w:val="45"/>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firstLine="440" w:firstLineChars="200"/>
            <w:textAlignment w:val="auto"/>
            <w:rPr>
              <w:rFonts w:hint="default" w:ascii="Times New Roman" w:hAnsi="Times New Roman" w:eastAsia="宋体" w:cs="Times New Roman"/>
              <w:color w:val="auto"/>
              <w:sz w:val="22"/>
              <w:szCs w:val="22"/>
            </w:rPr>
          </w:pPr>
          <w:r>
            <w:rPr>
              <w:rFonts w:hint="default" w:ascii="Times New Roman" w:hAnsi="Times New Roman" w:eastAsia="宋体" w:cs="Times New Roman"/>
              <w:color w:val="auto"/>
              <w:kern w:val="2"/>
              <w:sz w:val="22"/>
              <w:szCs w:val="22"/>
              <w:highlight w:val="none"/>
              <w:lang w:val="en-US" w:eastAsia="zh-CN" w:bidi="ar-SA"/>
            </w:rPr>
            <w:fldChar w:fldCharType="begin"/>
          </w:r>
          <w:r>
            <w:rPr>
              <w:rFonts w:hint="default" w:ascii="Times New Roman" w:hAnsi="Times New Roman" w:eastAsia="宋体" w:cs="Times New Roman"/>
              <w:color w:val="auto"/>
              <w:kern w:val="2"/>
              <w:sz w:val="22"/>
              <w:szCs w:val="22"/>
              <w:highlight w:val="none"/>
              <w:lang w:val="en-US" w:eastAsia="zh-CN" w:bidi="ar-SA"/>
            </w:rPr>
            <w:instrText xml:space="preserve"> HYPERLINK \l _Toc12603 </w:instrText>
          </w:r>
          <w:r>
            <w:rPr>
              <w:rFonts w:hint="default" w:ascii="Times New Roman" w:hAnsi="Times New Roman" w:eastAsia="宋体" w:cs="Times New Roman"/>
              <w:color w:val="auto"/>
              <w:kern w:val="2"/>
              <w:sz w:val="22"/>
              <w:szCs w:val="22"/>
              <w:highlight w:val="none"/>
              <w:lang w:val="en-US" w:eastAsia="zh-CN" w:bidi="ar-SA"/>
            </w:rPr>
            <w:fldChar w:fldCharType="separate"/>
          </w:r>
          <w:r>
            <w:rPr>
              <w:rFonts w:hint="default" w:ascii="Times New Roman" w:hAnsi="Times New Roman" w:eastAsia="宋体" w:cs="Times New Roman"/>
              <w:bCs w:val="0"/>
              <w:i w:val="0"/>
              <w:color w:val="auto"/>
              <w:kern w:val="2"/>
              <w:sz w:val="22"/>
              <w:szCs w:val="22"/>
              <w:highlight w:val="none"/>
              <w:lang w:val="en-US" w:eastAsia="zh-CN" w:bidi="ar-SA"/>
            </w:rPr>
            <w:t>7.8</w:t>
          </w:r>
          <w:r>
            <w:rPr>
              <w:rFonts w:hint="default" w:ascii="Times New Roman" w:hAnsi="Times New Roman" w:eastAsia="宋体" w:cs="Times New Roman"/>
              <w:bCs w:val="0"/>
              <w:color w:val="auto"/>
              <w:sz w:val="22"/>
              <w:szCs w:val="22"/>
              <w:highlight w:val="none"/>
            </w:rPr>
            <w:t>生态环境影响分析</w:t>
          </w:r>
          <w:r>
            <w:rPr>
              <w:rFonts w:hint="default" w:ascii="Times New Roman" w:hAnsi="Times New Roman" w:eastAsia="宋体" w:cs="Times New Roman"/>
              <w:color w:val="auto"/>
              <w:sz w:val="22"/>
              <w:szCs w:val="22"/>
            </w:rPr>
            <w:tab/>
          </w:r>
          <w:r>
            <w:rPr>
              <w:rFonts w:hint="default" w:ascii="Times New Roman" w:hAnsi="Times New Roman" w:eastAsia="宋体" w:cs="Times New Roman"/>
              <w:color w:val="auto"/>
              <w:sz w:val="22"/>
              <w:szCs w:val="22"/>
            </w:rPr>
            <w:fldChar w:fldCharType="begin"/>
          </w:r>
          <w:r>
            <w:rPr>
              <w:rFonts w:hint="default" w:ascii="Times New Roman" w:hAnsi="Times New Roman" w:eastAsia="宋体" w:cs="Times New Roman"/>
              <w:color w:val="auto"/>
              <w:sz w:val="22"/>
              <w:szCs w:val="22"/>
            </w:rPr>
            <w:instrText xml:space="preserve"> PAGEREF _Toc12603 \h </w:instrText>
          </w:r>
          <w:r>
            <w:rPr>
              <w:rFonts w:hint="default" w:ascii="Times New Roman" w:hAnsi="Times New Roman" w:eastAsia="宋体" w:cs="Times New Roman"/>
              <w:color w:val="auto"/>
              <w:sz w:val="22"/>
              <w:szCs w:val="22"/>
            </w:rPr>
            <w:fldChar w:fldCharType="separate"/>
          </w:r>
          <w:r>
            <w:rPr>
              <w:rFonts w:hint="default" w:ascii="Times New Roman" w:hAnsi="Times New Roman" w:eastAsia="宋体" w:cs="Times New Roman"/>
              <w:color w:val="auto"/>
              <w:sz w:val="22"/>
              <w:szCs w:val="22"/>
            </w:rPr>
            <w:t>172</w:t>
          </w:r>
          <w:r>
            <w:rPr>
              <w:rFonts w:hint="default" w:ascii="Times New Roman" w:hAnsi="Times New Roman" w:eastAsia="宋体" w:cs="Times New Roman"/>
              <w:color w:val="auto"/>
              <w:sz w:val="22"/>
              <w:szCs w:val="22"/>
            </w:rPr>
            <w:fldChar w:fldCharType="end"/>
          </w:r>
          <w:r>
            <w:rPr>
              <w:rFonts w:hint="default" w:ascii="Times New Roman" w:hAnsi="Times New Roman" w:eastAsia="宋体" w:cs="Times New Roman"/>
              <w:color w:val="auto"/>
              <w:kern w:val="2"/>
              <w:sz w:val="22"/>
              <w:szCs w:val="22"/>
              <w:highlight w:val="none"/>
              <w:lang w:val="en-US" w:eastAsia="zh-CN" w:bidi="ar-SA"/>
            </w:rPr>
            <w:fldChar w:fldCharType="end"/>
          </w:r>
        </w:p>
        <w:p>
          <w:pPr>
            <w:pStyle w:val="45"/>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leftChars="0" w:firstLine="0" w:firstLineChars="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2"/>
              <w:sz w:val="24"/>
              <w:szCs w:val="24"/>
              <w:highlight w:val="none"/>
              <w:lang w:val="en-US" w:eastAsia="zh-CN" w:bidi="ar-SA"/>
            </w:rPr>
            <w:fldChar w:fldCharType="begin"/>
          </w:r>
          <w:r>
            <w:rPr>
              <w:rFonts w:hint="default" w:ascii="Times New Roman" w:hAnsi="Times New Roman" w:eastAsia="宋体" w:cs="Times New Roman"/>
              <w:color w:val="auto"/>
              <w:kern w:val="2"/>
              <w:sz w:val="24"/>
              <w:szCs w:val="24"/>
              <w:highlight w:val="none"/>
              <w:lang w:val="en-US" w:eastAsia="zh-CN" w:bidi="ar-SA"/>
            </w:rPr>
            <w:instrText xml:space="preserve"> HYPERLINK \l _Toc6868 </w:instrText>
          </w:r>
          <w:r>
            <w:rPr>
              <w:rFonts w:hint="default" w:ascii="Times New Roman" w:hAnsi="Times New Roman" w:eastAsia="宋体" w:cs="Times New Roman"/>
              <w:color w:val="auto"/>
              <w:kern w:val="2"/>
              <w:sz w:val="24"/>
              <w:szCs w:val="24"/>
              <w:highlight w:val="none"/>
              <w:lang w:val="en-US" w:eastAsia="zh-CN" w:bidi="ar-SA"/>
            </w:rPr>
            <w:fldChar w:fldCharType="separate"/>
          </w:r>
          <w:r>
            <w:rPr>
              <w:rFonts w:hint="default" w:ascii="Times New Roman" w:hAnsi="Times New Roman" w:eastAsia="宋体" w:cs="Times New Roman"/>
              <w:bCs/>
              <w:i w:val="0"/>
              <w:color w:val="auto"/>
              <w:kern w:val="44"/>
              <w:sz w:val="24"/>
              <w:szCs w:val="24"/>
              <w:highlight w:val="none"/>
              <w:lang w:val="en-US" w:eastAsia="zh-CN" w:bidi="ar-SA"/>
            </w:rPr>
            <w:t>8</w:t>
          </w:r>
          <w:r>
            <w:rPr>
              <w:rFonts w:hint="default" w:ascii="Times New Roman" w:hAnsi="Times New Roman" w:eastAsia="宋体" w:cs="Times New Roman"/>
              <w:bCs/>
              <w:color w:val="auto"/>
              <w:sz w:val="24"/>
              <w:szCs w:val="24"/>
              <w:highlight w:val="none"/>
            </w:rPr>
            <w:t>环境风险影响分析</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_Toc6868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175</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kern w:val="2"/>
              <w:sz w:val="24"/>
              <w:szCs w:val="24"/>
              <w:highlight w:val="none"/>
              <w:lang w:val="en-US" w:eastAsia="zh-CN" w:bidi="ar-SA"/>
            </w:rPr>
            <w:fldChar w:fldCharType="end"/>
          </w:r>
        </w:p>
        <w:p>
          <w:pPr>
            <w:pStyle w:val="31"/>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firstLine="440" w:firstLineChars="200"/>
            <w:textAlignment w:val="auto"/>
            <w:rPr>
              <w:rFonts w:hint="default" w:ascii="Times New Roman" w:hAnsi="Times New Roman" w:eastAsia="宋体" w:cs="Times New Roman"/>
              <w:color w:val="auto"/>
              <w:sz w:val="22"/>
              <w:szCs w:val="22"/>
            </w:rPr>
          </w:pPr>
          <w:r>
            <w:rPr>
              <w:rFonts w:hint="default" w:ascii="Times New Roman" w:hAnsi="Times New Roman" w:eastAsia="宋体" w:cs="Times New Roman"/>
              <w:color w:val="auto"/>
              <w:kern w:val="2"/>
              <w:sz w:val="22"/>
              <w:szCs w:val="22"/>
              <w:highlight w:val="none"/>
              <w:lang w:val="en-US" w:eastAsia="zh-CN" w:bidi="ar-SA"/>
            </w:rPr>
            <w:fldChar w:fldCharType="begin"/>
          </w:r>
          <w:r>
            <w:rPr>
              <w:rFonts w:hint="default" w:ascii="Times New Roman" w:hAnsi="Times New Roman" w:eastAsia="宋体" w:cs="Times New Roman"/>
              <w:color w:val="auto"/>
              <w:kern w:val="2"/>
              <w:sz w:val="22"/>
              <w:szCs w:val="22"/>
              <w:highlight w:val="none"/>
              <w:lang w:val="en-US" w:eastAsia="zh-CN" w:bidi="ar-SA"/>
            </w:rPr>
            <w:instrText xml:space="preserve"> HYPERLINK \l _Toc304 </w:instrText>
          </w:r>
          <w:r>
            <w:rPr>
              <w:rFonts w:hint="default" w:ascii="Times New Roman" w:hAnsi="Times New Roman" w:eastAsia="宋体" w:cs="Times New Roman"/>
              <w:color w:val="auto"/>
              <w:kern w:val="2"/>
              <w:sz w:val="22"/>
              <w:szCs w:val="22"/>
              <w:highlight w:val="none"/>
              <w:lang w:val="en-US" w:eastAsia="zh-CN" w:bidi="ar-SA"/>
            </w:rPr>
            <w:fldChar w:fldCharType="separate"/>
          </w:r>
          <w:r>
            <w:rPr>
              <w:rFonts w:hint="default" w:ascii="Times New Roman" w:hAnsi="Times New Roman" w:eastAsia="宋体" w:cs="Times New Roman"/>
              <w:bCs/>
              <w:i w:val="0"/>
              <w:color w:val="auto"/>
              <w:kern w:val="2"/>
              <w:sz w:val="22"/>
              <w:szCs w:val="22"/>
              <w:highlight w:val="none"/>
              <w:lang w:val="en-US" w:eastAsia="zh-CN" w:bidi="ar-SA"/>
            </w:rPr>
            <w:t>8.1</w:t>
          </w:r>
          <w:r>
            <w:rPr>
              <w:rFonts w:hint="default" w:ascii="Times New Roman" w:hAnsi="Times New Roman" w:eastAsia="宋体" w:cs="Times New Roman"/>
              <w:bCs/>
              <w:color w:val="auto"/>
              <w:sz w:val="22"/>
              <w:szCs w:val="22"/>
              <w:highlight w:val="none"/>
            </w:rPr>
            <w:t>资料准备与环境风险识别</w:t>
          </w:r>
          <w:r>
            <w:rPr>
              <w:rFonts w:hint="default" w:ascii="Times New Roman" w:hAnsi="Times New Roman" w:eastAsia="宋体" w:cs="Times New Roman"/>
              <w:color w:val="auto"/>
              <w:sz w:val="22"/>
              <w:szCs w:val="22"/>
            </w:rPr>
            <w:tab/>
          </w:r>
          <w:r>
            <w:rPr>
              <w:rFonts w:hint="default" w:ascii="Times New Roman" w:hAnsi="Times New Roman" w:eastAsia="宋体" w:cs="Times New Roman"/>
              <w:color w:val="auto"/>
              <w:sz w:val="22"/>
              <w:szCs w:val="22"/>
            </w:rPr>
            <w:fldChar w:fldCharType="begin"/>
          </w:r>
          <w:r>
            <w:rPr>
              <w:rFonts w:hint="default" w:ascii="Times New Roman" w:hAnsi="Times New Roman" w:eastAsia="宋体" w:cs="Times New Roman"/>
              <w:color w:val="auto"/>
              <w:sz w:val="22"/>
              <w:szCs w:val="22"/>
            </w:rPr>
            <w:instrText xml:space="preserve"> PAGEREF _Toc304 \h </w:instrText>
          </w:r>
          <w:r>
            <w:rPr>
              <w:rFonts w:hint="default" w:ascii="Times New Roman" w:hAnsi="Times New Roman" w:eastAsia="宋体" w:cs="Times New Roman"/>
              <w:color w:val="auto"/>
              <w:sz w:val="22"/>
              <w:szCs w:val="22"/>
            </w:rPr>
            <w:fldChar w:fldCharType="separate"/>
          </w:r>
          <w:r>
            <w:rPr>
              <w:rFonts w:hint="default" w:ascii="Times New Roman" w:hAnsi="Times New Roman" w:eastAsia="宋体" w:cs="Times New Roman"/>
              <w:color w:val="auto"/>
              <w:sz w:val="22"/>
              <w:szCs w:val="22"/>
            </w:rPr>
            <w:t>175</w:t>
          </w:r>
          <w:r>
            <w:rPr>
              <w:rFonts w:hint="default" w:ascii="Times New Roman" w:hAnsi="Times New Roman" w:eastAsia="宋体" w:cs="Times New Roman"/>
              <w:color w:val="auto"/>
              <w:sz w:val="22"/>
              <w:szCs w:val="22"/>
            </w:rPr>
            <w:fldChar w:fldCharType="end"/>
          </w:r>
          <w:r>
            <w:rPr>
              <w:rFonts w:hint="default" w:ascii="Times New Roman" w:hAnsi="Times New Roman" w:eastAsia="宋体" w:cs="Times New Roman"/>
              <w:color w:val="auto"/>
              <w:kern w:val="2"/>
              <w:sz w:val="22"/>
              <w:szCs w:val="22"/>
              <w:highlight w:val="none"/>
              <w:lang w:val="en-US" w:eastAsia="zh-CN" w:bidi="ar-SA"/>
            </w:rPr>
            <w:fldChar w:fldCharType="end"/>
          </w:r>
        </w:p>
        <w:p>
          <w:pPr>
            <w:pStyle w:val="45"/>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firstLine="440" w:firstLineChars="200"/>
            <w:textAlignment w:val="auto"/>
            <w:rPr>
              <w:rFonts w:hint="default" w:ascii="Times New Roman" w:hAnsi="Times New Roman" w:eastAsia="宋体" w:cs="Times New Roman"/>
              <w:color w:val="auto"/>
              <w:sz w:val="22"/>
              <w:szCs w:val="22"/>
            </w:rPr>
          </w:pPr>
          <w:r>
            <w:rPr>
              <w:rFonts w:hint="default" w:ascii="Times New Roman" w:hAnsi="Times New Roman" w:eastAsia="宋体" w:cs="Times New Roman"/>
              <w:color w:val="auto"/>
              <w:kern w:val="2"/>
              <w:sz w:val="22"/>
              <w:szCs w:val="22"/>
              <w:highlight w:val="none"/>
              <w:lang w:val="en-US" w:eastAsia="zh-CN" w:bidi="ar-SA"/>
            </w:rPr>
            <w:fldChar w:fldCharType="begin"/>
          </w:r>
          <w:r>
            <w:rPr>
              <w:rFonts w:hint="default" w:ascii="Times New Roman" w:hAnsi="Times New Roman" w:eastAsia="宋体" w:cs="Times New Roman"/>
              <w:color w:val="auto"/>
              <w:kern w:val="2"/>
              <w:sz w:val="22"/>
              <w:szCs w:val="22"/>
              <w:highlight w:val="none"/>
              <w:lang w:val="en-US" w:eastAsia="zh-CN" w:bidi="ar-SA"/>
            </w:rPr>
            <w:instrText xml:space="preserve"> HYPERLINK \l _Toc32161 </w:instrText>
          </w:r>
          <w:r>
            <w:rPr>
              <w:rFonts w:hint="default" w:ascii="Times New Roman" w:hAnsi="Times New Roman" w:eastAsia="宋体" w:cs="Times New Roman"/>
              <w:color w:val="auto"/>
              <w:kern w:val="2"/>
              <w:sz w:val="22"/>
              <w:szCs w:val="22"/>
              <w:highlight w:val="none"/>
              <w:lang w:val="en-US" w:eastAsia="zh-CN" w:bidi="ar-SA"/>
            </w:rPr>
            <w:fldChar w:fldCharType="separate"/>
          </w:r>
          <w:r>
            <w:rPr>
              <w:rFonts w:hint="default" w:ascii="Times New Roman" w:hAnsi="Times New Roman" w:eastAsia="宋体" w:cs="Times New Roman"/>
              <w:bCs w:val="0"/>
              <w:i w:val="0"/>
              <w:color w:val="auto"/>
              <w:kern w:val="2"/>
              <w:sz w:val="22"/>
              <w:szCs w:val="22"/>
              <w:highlight w:val="none"/>
              <w:lang w:val="en-US" w:eastAsia="zh-CN" w:bidi="ar-SA"/>
            </w:rPr>
            <w:t>8.2</w:t>
          </w:r>
          <w:r>
            <w:rPr>
              <w:rFonts w:hint="default" w:ascii="Times New Roman" w:hAnsi="Times New Roman" w:eastAsia="宋体" w:cs="Times New Roman"/>
              <w:bCs w:val="0"/>
              <w:color w:val="auto"/>
              <w:sz w:val="22"/>
              <w:szCs w:val="22"/>
              <w:highlight w:val="none"/>
            </w:rPr>
            <w:t>环境风险评估</w:t>
          </w:r>
          <w:r>
            <w:rPr>
              <w:rFonts w:hint="default" w:ascii="Times New Roman" w:hAnsi="Times New Roman" w:eastAsia="宋体" w:cs="Times New Roman"/>
              <w:color w:val="auto"/>
              <w:sz w:val="22"/>
              <w:szCs w:val="22"/>
            </w:rPr>
            <w:tab/>
          </w:r>
          <w:r>
            <w:rPr>
              <w:rFonts w:hint="default" w:ascii="Times New Roman" w:hAnsi="Times New Roman" w:eastAsia="宋体" w:cs="Times New Roman"/>
              <w:color w:val="auto"/>
              <w:sz w:val="22"/>
              <w:szCs w:val="22"/>
            </w:rPr>
            <w:fldChar w:fldCharType="begin"/>
          </w:r>
          <w:r>
            <w:rPr>
              <w:rFonts w:hint="default" w:ascii="Times New Roman" w:hAnsi="Times New Roman" w:eastAsia="宋体" w:cs="Times New Roman"/>
              <w:color w:val="auto"/>
              <w:sz w:val="22"/>
              <w:szCs w:val="22"/>
            </w:rPr>
            <w:instrText xml:space="preserve"> PAGEREF _Toc32161 \h </w:instrText>
          </w:r>
          <w:r>
            <w:rPr>
              <w:rFonts w:hint="default" w:ascii="Times New Roman" w:hAnsi="Times New Roman" w:eastAsia="宋体" w:cs="Times New Roman"/>
              <w:color w:val="auto"/>
              <w:sz w:val="22"/>
              <w:szCs w:val="22"/>
            </w:rPr>
            <w:fldChar w:fldCharType="separate"/>
          </w:r>
          <w:r>
            <w:rPr>
              <w:rFonts w:hint="default" w:ascii="Times New Roman" w:hAnsi="Times New Roman" w:eastAsia="宋体" w:cs="Times New Roman"/>
              <w:color w:val="auto"/>
              <w:sz w:val="22"/>
              <w:szCs w:val="22"/>
            </w:rPr>
            <w:t>180</w:t>
          </w:r>
          <w:r>
            <w:rPr>
              <w:rFonts w:hint="default" w:ascii="Times New Roman" w:hAnsi="Times New Roman" w:eastAsia="宋体" w:cs="Times New Roman"/>
              <w:color w:val="auto"/>
              <w:sz w:val="22"/>
              <w:szCs w:val="22"/>
            </w:rPr>
            <w:fldChar w:fldCharType="end"/>
          </w:r>
          <w:r>
            <w:rPr>
              <w:rFonts w:hint="default" w:ascii="Times New Roman" w:hAnsi="Times New Roman" w:eastAsia="宋体" w:cs="Times New Roman"/>
              <w:color w:val="auto"/>
              <w:kern w:val="2"/>
              <w:sz w:val="22"/>
              <w:szCs w:val="22"/>
              <w:highlight w:val="none"/>
              <w:lang w:val="en-US" w:eastAsia="zh-CN" w:bidi="ar-SA"/>
            </w:rPr>
            <w:fldChar w:fldCharType="end"/>
          </w:r>
        </w:p>
        <w:p>
          <w:pPr>
            <w:pStyle w:val="45"/>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firstLine="440" w:firstLineChars="200"/>
            <w:textAlignment w:val="auto"/>
            <w:rPr>
              <w:rFonts w:hint="default" w:ascii="Times New Roman" w:hAnsi="Times New Roman" w:eastAsia="宋体" w:cs="Times New Roman"/>
              <w:color w:val="auto"/>
              <w:sz w:val="22"/>
              <w:szCs w:val="22"/>
            </w:rPr>
          </w:pPr>
          <w:r>
            <w:rPr>
              <w:rFonts w:hint="default" w:ascii="Times New Roman" w:hAnsi="Times New Roman" w:eastAsia="宋体" w:cs="Times New Roman"/>
              <w:color w:val="auto"/>
              <w:kern w:val="2"/>
              <w:sz w:val="22"/>
              <w:szCs w:val="22"/>
              <w:highlight w:val="none"/>
              <w:lang w:val="en-US" w:eastAsia="zh-CN" w:bidi="ar-SA"/>
            </w:rPr>
            <w:fldChar w:fldCharType="begin"/>
          </w:r>
          <w:r>
            <w:rPr>
              <w:rFonts w:hint="default" w:ascii="Times New Roman" w:hAnsi="Times New Roman" w:eastAsia="宋体" w:cs="Times New Roman"/>
              <w:color w:val="auto"/>
              <w:kern w:val="2"/>
              <w:sz w:val="22"/>
              <w:szCs w:val="22"/>
              <w:highlight w:val="none"/>
              <w:lang w:val="en-US" w:eastAsia="zh-CN" w:bidi="ar-SA"/>
            </w:rPr>
            <w:instrText xml:space="preserve"> HYPERLINK \l _Toc2754 </w:instrText>
          </w:r>
          <w:r>
            <w:rPr>
              <w:rFonts w:hint="default" w:ascii="Times New Roman" w:hAnsi="Times New Roman" w:eastAsia="宋体" w:cs="Times New Roman"/>
              <w:color w:val="auto"/>
              <w:kern w:val="2"/>
              <w:sz w:val="22"/>
              <w:szCs w:val="22"/>
              <w:highlight w:val="none"/>
              <w:lang w:val="en-US" w:eastAsia="zh-CN" w:bidi="ar-SA"/>
            </w:rPr>
            <w:fldChar w:fldCharType="separate"/>
          </w:r>
          <w:r>
            <w:rPr>
              <w:rFonts w:hint="default" w:ascii="Times New Roman" w:hAnsi="Times New Roman" w:eastAsia="宋体" w:cs="Times New Roman"/>
              <w:bCs/>
              <w:i w:val="0"/>
              <w:color w:val="auto"/>
              <w:kern w:val="2"/>
              <w:sz w:val="22"/>
              <w:szCs w:val="22"/>
              <w:highlight w:val="none"/>
              <w:lang w:val="en-US" w:eastAsia="zh-CN" w:bidi="ar-SA"/>
            </w:rPr>
            <w:t>8.3</w:t>
          </w:r>
          <w:r>
            <w:rPr>
              <w:rFonts w:hint="default" w:ascii="Times New Roman" w:hAnsi="Times New Roman" w:eastAsia="宋体" w:cs="Times New Roman"/>
              <w:bCs/>
              <w:color w:val="auto"/>
              <w:sz w:val="22"/>
              <w:szCs w:val="22"/>
              <w:highlight w:val="none"/>
            </w:rPr>
            <w:t>环境风险分析</w:t>
          </w:r>
          <w:r>
            <w:rPr>
              <w:rFonts w:hint="default" w:ascii="Times New Roman" w:hAnsi="Times New Roman" w:eastAsia="宋体" w:cs="Times New Roman"/>
              <w:color w:val="auto"/>
              <w:sz w:val="22"/>
              <w:szCs w:val="22"/>
            </w:rPr>
            <w:tab/>
          </w:r>
          <w:r>
            <w:rPr>
              <w:rFonts w:hint="default" w:ascii="Times New Roman" w:hAnsi="Times New Roman" w:eastAsia="宋体" w:cs="Times New Roman"/>
              <w:color w:val="auto"/>
              <w:sz w:val="22"/>
              <w:szCs w:val="22"/>
            </w:rPr>
            <w:fldChar w:fldCharType="begin"/>
          </w:r>
          <w:r>
            <w:rPr>
              <w:rFonts w:hint="default" w:ascii="Times New Roman" w:hAnsi="Times New Roman" w:eastAsia="宋体" w:cs="Times New Roman"/>
              <w:color w:val="auto"/>
              <w:sz w:val="22"/>
              <w:szCs w:val="22"/>
            </w:rPr>
            <w:instrText xml:space="preserve"> PAGEREF _Toc2754 \h </w:instrText>
          </w:r>
          <w:r>
            <w:rPr>
              <w:rFonts w:hint="default" w:ascii="Times New Roman" w:hAnsi="Times New Roman" w:eastAsia="宋体" w:cs="Times New Roman"/>
              <w:color w:val="auto"/>
              <w:sz w:val="22"/>
              <w:szCs w:val="22"/>
            </w:rPr>
            <w:fldChar w:fldCharType="separate"/>
          </w:r>
          <w:r>
            <w:rPr>
              <w:rFonts w:hint="default" w:ascii="Times New Roman" w:hAnsi="Times New Roman" w:eastAsia="宋体" w:cs="Times New Roman"/>
              <w:color w:val="auto"/>
              <w:sz w:val="22"/>
              <w:szCs w:val="22"/>
            </w:rPr>
            <w:t>181</w:t>
          </w:r>
          <w:r>
            <w:rPr>
              <w:rFonts w:hint="default" w:ascii="Times New Roman" w:hAnsi="Times New Roman" w:eastAsia="宋体" w:cs="Times New Roman"/>
              <w:color w:val="auto"/>
              <w:sz w:val="22"/>
              <w:szCs w:val="22"/>
            </w:rPr>
            <w:fldChar w:fldCharType="end"/>
          </w:r>
          <w:r>
            <w:rPr>
              <w:rFonts w:hint="default" w:ascii="Times New Roman" w:hAnsi="Times New Roman" w:eastAsia="宋体" w:cs="Times New Roman"/>
              <w:color w:val="auto"/>
              <w:kern w:val="2"/>
              <w:sz w:val="22"/>
              <w:szCs w:val="22"/>
              <w:highlight w:val="none"/>
              <w:lang w:val="en-US" w:eastAsia="zh-CN" w:bidi="ar-SA"/>
            </w:rPr>
            <w:fldChar w:fldCharType="end"/>
          </w:r>
        </w:p>
        <w:p>
          <w:pPr>
            <w:pStyle w:val="31"/>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firstLine="440" w:firstLineChars="200"/>
            <w:textAlignment w:val="auto"/>
            <w:rPr>
              <w:rFonts w:hint="default" w:ascii="Times New Roman" w:hAnsi="Times New Roman" w:eastAsia="宋体" w:cs="Times New Roman"/>
              <w:color w:val="auto"/>
              <w:sz w:val="22"/>
              <w:szCs w:val="22"/>
            </w:rPr>
          </w:pPr>
          <w:r>
            <w:rPr>
              <w:rFonts w:hint="default" w:ascii="Times New Roman" w:hAnsi="Times New Roman" w:eastAsia="宋体" w:cs="Times New Roman"/>
              <w:color w:val="auto"/>
              <w:kern w:val="2"/>
              <w:sz w:val="22"/>
              <w:szCs w:val="22"/>
              <w:highlight w:val="none"/>
              <w:lang w:val="en-US" w:eastAsia="zh-CN" w:bidi="ar-SA"/>
            </w:rPr>
            <w:fldChar w:fldCharType="begin"/>
          </w:r>
          <w:r>
            <w:rPr>
              <w:rFonts w:hint="default" w:ascii="Times New Roman" w:hAnsi="Times New Roman" w:eastAsia="宋体" w:cs="Times New Roman"/>
              <w:color w:val="auto"/>
              <w:kern w:val="2"/>
              <w:sz w:val="22"/>
              <w:szCs w:val="22"/>
              <w:highlight w:val="none"/>
              <w:lang w:val="en-US" w:eastAsia="zh-CN" w:bidi="ar-SA"/>
            </w:rPr>
            <w:instrText xml:space="preserve"> HYPERLINK \l _Toc21888 </w:instrText>
          </w:r>
          <w:r>
            <w:rPr>
              <w:rFonts w:hint="default" w:ascii="Times New Roman" w:hAnsi="Times New Roman" w:eastAsia="宋体" w:cs="Times New Roman"/>
              <w:color w:val="auto"/>
              <w:kern w:val="2"/>
              <w:sz w:val="22"/>
              <w:szCs w:val="22"/>
              <w:highlight w:val="none"/>
              <w:lang w:val="en-US" w:eastAsia="zh-CN" w:bidi="ar-SA"/>
            </w:rPr>
            <w:fldChar w:fldCharType="separate"/>
          </w:r>
          <w:r>
            <w:rPr>
              <w:rFonts w:hint="default" w:ascii="Times New Roman" w:hAnsi="Times New Roman" w:eastAsia="宋体" w:cs="Times New Roman"/>
              <w:bCs/>
              <w:i w:val="0"/>
              <w:color w:val="auto"/>
              <w:kern w:val="2"/>
              <w:sz w:val="22"/>
              <w:szCs w:val="22"/>
              <w:highlight w:val="none"/>
              <w:lang w:val="en-US" w:eastAsia="zh-CN" w:bidi="ar-SA"/>
            </w:rPr>
            <w:t>8.4</w:t>
          </w:r>
          <w:r>
            <w:rPr>
              <w:rFonts w:hint="default" w:ascii="Times New Roman" w:hAnsi="Times New Roman" w:eastAsia="宋体" w:cs="Times New Roman"/>
              <w:bCs/>
              <w:color w:val="auto"/>
              <w:sz w:val="22"/>
              <w:szCs w:val="22"/>
              <w:highlight w:val="none"/>
            </w:rPr>
            <w:t>事故影响分析</w:t>
          </w:r>
          <w:r>
            <w:rPr>
              <w:rFonts w:hint="default" w:ascii="Times New Roman" w:hAnsi="Times New Roman" w:eastAsia="宋体" w:cs="Times New Roman"/>
              <w:color w:val="auto"/>
              <w:sz w:val="22"/>
              <w:szCs w:val="22"/>
            </w:rPr>
            <w:tab/>
          </w:r>
          <w:r>
            <w:rPr>
              <w:rFonts w:hint="default" w:ascii="Times New Roman" w:hAnsi="Times New Roman" w:eastAsia="宋体" w:cs="Times New Roman"/>
              <w:color w:val="auto"/>
              <w:sz w:val="22"/>
              <w:szCs w:val="22"/>
            </w:rPr>
            <w:fldChar w:fldCharType="begin"/>
          </w:r>
          <w:r>
            <w:rPr>
              <w:rFonts w:hint="default" w:ascii="Times New Roman" w:hAnsi="Times New Roman" w:eastAsia="宋体" w:cs="Times New Roman"/>
              <w:color w:val="auto"/>
              <w:sz w:val="22"/>
              <w:szCs w:val="22"/>
            </w:rPr>
            <w:instrText xml:space="preserve"> PAGEREF _Toc21888 \h </w:instrText>
          </w:r>
          <w:r>
            <w:rPr>
              <w:rFonts w:hint="default" w:ascii="Times New Roman" w:hAnsi="Times New Roman" w:eastAsia="宋体" w:cs="Times New Roman"/>
              <w:color w:val="auto"/>
              <w:sz w:val="22"/>
              <w:szCs w:val="22"/>
            </w:rPr>
            <w:fldChar w:fldCharType="separate"/>
          </w:r>
          <w:r>
            <w:rPr>
              <w:rFonts w:hint="default" w:ascii="Times New Roman" w:hAnsi="Times New Roman" w:eastAsia="宋体" w:cs="Times New Roman"/>
              <w:color w:val="auto"/>
              <w:sz w:val="22"/>
              <w:szCs w:val="22"/>
            </w:rPr>
            <w:t>183</w:t>
          </w:r>
          <w:r>
            <w:rPr>
              <w:rFonts w:hint="default" w:ascii="Times New Roman" w:hAnsi="Times New Roman" w:eastAsia="宋体" w:cs="Times New Roman"/>
              <w:color w:val="auto"/>
              <w:sz w:val="22"/>
              <w:szCs w:val="22"/>
            </w:rPr>
            <w:fldChar w:fldCharType="end"/>
          </w:r>
          <w:r>
            <w:rPr>
              <w:rFonts w:hint="default" w:ascii="Times New Roman" w:hAnsi="Times New Roman" w:eastAsia="宋体" w:cs="Times New Roman"/>
              <w:color w:val="auto"/>
              <w:kern w:val="2"/>
              <w:sz w:val="22"/>
              <w:szCs w:val="22"/>
              <w:highlight w:val="none"/>
              <w:lang w:val="en-US" w:eastAsia="zh-CN" w:bidi="ar-SA"/>
            </w:rPr>
            <w:fldChar w:fldCharType="end"/>
          </w:r>
        </w:p>
        <w:p>
          <w:pPr>
            <w:pStyle w:val="45"/>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firstLine="440" w:firstLineChars="200"/>
            <w:textAlignment w:val="auto"/>
            <w:rPr>
              <w:rFonts w:hint="default" w:ascii="Times New Roman" w:hAnsi="Times New Roman" w:eastAsia="宋体" w:cs="Times New Roman"/>
              <w:color w:val="auto"/>
              <w:sz w:val="22"/>
              <w:szCs w:val="22"/>
            </w:rPr>
          </w:pPr>
          <w:r>
            <w:rPr>
              <w:rFonts w:hint="default" w:ascii="Times New Roman" w:hAnsi="Times New Roman" w:eastAsia="宋体" w:cs="Times New Roman"/>
              <w:color w:val="auto"/>
              <w:kern w:val="2"/>
              <w:sz w:val="22"/>
              <w:szCs w:val="22"/>
              <w:highlight w:val="none"/>
              <w:lang w:val="en-US" w:eastAsia="zh-CN" w:bidi="ar-SA"/>
            </w:rPr>
            <w:fldChar w:fldCharType="begin"/>
          </w:r>
          <w:r>
            <w:rPr>
              <w:rFonts w:hint="default" w:ascii="Times New Roman" w:hAnsi="Times New Roman" w:eastAsia="宋体" w:cs="Times New Roman"/>
              <w:color w:val="auto"/>
              <w:kern w:val="2"/>
              <w:sz w:val="22"/>
              <w:szCs w:val="22"/>
              <w:highlight w:val="none"/>
              <w:lang w:val="en-US" w:eastAsia="zh-CN" w:bidi="ar-SA"/>
            </w:rPr>
            <w:instrText xml:space="preserve"> HYPERLINK \l _Toc20705 </w:instrText>
          </w:r>
          <w:r>
            <w:rPr>
              <w:rFonts w:hint="default" w:ascii="Times New Roman" w:hAnsi="Times New Roman" w:eastAsia="宋体" w:cs="Times New Roman"/>
              <w:color w:val="auto"/>
              <w:kern w:val="2"/>
              <w:sz w:val="22"/>
              <w:szCs w:val="22"/>
              <w:highlight w:val="none"/>
              <w:lang w:val="en-US" w:eastAsia="zh-CN" w:bidi="ar-SA"/>
            </w:rPr>
            <w:fldChar w:fldCharType="separate"/>
          </w:r>
          <w:r>
            <w:rPr>
              <w:rFonts w:hint="default" w:ascii="Times New Roman" w:hAnsi="Times New Roman" w:eastAsia="宋体" w:cs="Times New Roman"/>
              <w:bCs/>
              <w:i w:val="0"/>
              <w:color w:val="auto"/>
              <w:kern w:val="2"/>
              <w:sz w:val="22"/>
              <w:szCs w:val="22"/>
              <w:highlight w:val="none"/>
              <w:lang w:val="en-US" w:eastAsia="zh-CN" w:bidi="ar-SA"/>
            </w:rPr>
            <w:t>8.5</w:t>
          </w:r>
          <w:r>
            <w:rPr>
              <w:rFonts w:hint="default" w:ascii="Times New Roman" w:hAnsi="Times New Roman" w:eastAsia="宋体" w:cs="Times New Roman"/>
              <w:bCs/>
              <w:color w:val="auto"/>
              <w:sz w:val="22"/>
              <w:szCs w:val="22"/>
              <w:highlight w:val="none"/>
            </w:rPr>
            <w:t>环境风险防治措施</w:t>
          </w:r>
          <w:r>
            <w:rPr>
              <w:rFonts w:hint="default" w:ascii="Times New Roman" w:hAnsi="Times New Roman" w:eastAsia="宋体" w:cs="Times New Roman"/>
              <w:color w:val="auto"/>
              <w:sz w:val="22"/>
              <w:szCs w:val="22"/>
            </w:rPr>
            <w:tab/>
          </w:r>
          <w:r>
            <w:rPr>
              <w:rFonts w:hint="default" w:ascii="Times New Roman" w:hAnsi="Times New Roman" w:eastAsia="宋体" w:cs="Times New Roman"/>
              <w:color w:val="auto"/>
              <w:sz w:val="22"/>
              <w:szCs w:val="22"/>
            </w:rPr>
            <w:fldChar w:fldCharType="begin"/>
          </w:r>
          <w:r>
            <w:rPr>
              <w:rFonts w:hint="default" w:ascii="Times New Roman" w:hAnsi="Times New Roman" w:eastAsia="宋体" w:cs="Times New Roman"/>
              <w:color w:val="auto"/>
              <w:sz w:val="22"/>
              <w:szCs w:val="22"/>
            </w:rPr>
            <w:instrText xml:space="preserve"> PAGEREF _Toc20705 \h </w:instrText>
          </w:r>
          <w:r>
            <w:rPr>
              <w:rFonts w:hint="default" w:ascii="Times New Roman" w:hAnsi="Times New Roman" w:eastAsia="宋体" w:cs="Times New Roman"/>
              <w:color w:val="auto"/>
              <w:sz w:val="22"/>
              <w:szCs w:val="22"/>
            </w:rPr>
            <w:fldChar w:fldCharType="separate"/>
          </w:r>
          <w:r>
            <w:rPr>
              <w:rFonts w:hint="default" w:ascii="Times New Roman" w:hAnsi="Times New Roman" w:eastAsia="宋体" w:cs="Times New Roman"/>
              <w:color w:val="auto"/>
              <w:sz w:val="22"/>
              <w:szCs w:val="22"/>
            </w:rPr>
            <w:t>188</w:t>
          </w:r>
          <w:r>
            <w:rPr>
              <w:rFonts w:hint="default" w:ascii="Times New Roman" w:hAnsi="Times New Roman" w:eastAsia="宋体" w:cs="Times New Roman"/>
              <w:color w:val="auto"/>
              <w:sz w:val="22"/>
              <w:szCs w:val="22"/>
            </w:rPr>
            <w:fldChar w:fldCharType="end"/>
          </w:r>
          <w:r>
            <w:rPr>
              <w:rFonts w:hint="default" w:ascii="Times New Roman" w:hAnsi="Times New Roman" w:eastAsia="宋体" w:cs="Times New Roman"/>
              <w:color w:val="auto"/>
              <w:kern w:val="2"/>
              <w:sz w:val="22"/>
              <w:szCs w:val="22"/>
              <w:highlight w:val="none"/>
              <w:lang w:val="en-US" w:eastAsia="zh-CN" w:bidi="ar-SA"/>
            </w:rPr>
            <w:fldChar w:fldCharType="end"/>
          </w:r>
        </w:p>
        <w:p>
          <w:pPr>
            <w:pStyle w:val="45"/>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firstLine="440" w:firstLineChars="200"/>
            <w:textAlignment w:val="auto"/>
            <w:rPr>
              <w:rFonts w:hint="default" w:ascii="Times New Roman" w:hAnsi="Times New Roman" w:eastAsia="宋体" w:cs="Times New Roman"/>
              <w:color w:val="auto"/>
              <w:sz w:val="22"/>
              <w:szCs w:val="22"/>
            </w:rPr>
          </w:pPr>
          <w:r>
            <w:rPr>
              <w:rFonts w:hint="default" w:ascii="Times New Roman" w:hAnsi="Times New Roman" w:eastAsia="宋体" w:cs="Times New Roman"/>
              <w:color w:val="auto"/>
              <w:kern w:val="2"/>
              <w:sz w:val="22"/>
              <w:szCs w:val="22"/>
              <w:highlight w:val="none"/>
              <w:lang w:val="en-US" w:eastAsia="zh-CN" w:bidi="ar-SA"/>
            </w:rPr>
            <w:fldChar w:fldCharType="begin"/>
          </w:r>
          <w:r>
            <w:rPr>
              <w:rFonts w:hint="default" w:ascii="Times New Roman" w:hAnsi="Times New Roman" w:eastAsia="宋体" w:cs="Times New Roman"/>
              <w:color w:val="auto"/>
              <w:kern w:val="2"/>
              <w:sz w:val="22"/>
              <w:szCs w:val="22"/>
              <w:highlight w:val="none"/>
              <w:lang w:val="en-US" w:eastAsia="zh-CN" w:bidi="ar-SA"/>
            </w:rPr>
            <w:instrText xml:space="preserve"> HYPERLINK \l _Toc1699 </w:instrText>
          </w:r>
          <w:r>
            <w:rPr>
              <w:rFonts w:hint="default" w:ascii="Times New Roman" w:hAnsi="Times New Roman" w:eastAsia="宋体" w:cs="Times New Roman"/>
              <w:color w:val="auto"/>
              <w:kern w:val="2"/>
              <w:sz w:val="22"/>
              <w:szCs w:val="22"/>
              <w:highlight w:val="none"/>
              <w:lang w:val="en-US" w:eastAsia="zh-CN" w:bidi="ar-SA"/>
            </w:rPr>
            <w:fldChar w:fldCharType="separate"/>
          </w:r>
          <w:r>
            <w:rPr>
              <w:rFonts w:hint="default" w:ascii="Times New Roman" w:hAnsi="Times New Roman" w:eastAsia="宋体" w:cs="Times New Roman"/>
              <w:bCs/>
              <w:i w:val="0"/>
              <w:color w:val="auto"/>
              <w:kern w:val="2"/>
              <w:sz w:val="22"/>
              <w:szCs w:val="22"/>
              <w:highlight w:val="none"/>
              <w:lang w:val="en-US" w:eastAsia="zh-CN" w:bidi="ar-SA"/>
            </w:rPr>
            <w:t>8.6</w:t>
          </w:r>
          <w:r>
            <w:rPr>
              <w:rFonts w:hint="default" w:ascii="Times New Roman" w:hAnsi="Times New Roman" w:eastAsia="宋体" w:cs="Times New Roman"/>
              <w:bCs/>
              <w:color w:val="auto"/>
              <w:sz w:val="22"/>
              <w:szCs w:val="22"/>
              <w:highlight w:val="none"/>
            </w:rPr>
            <w:t>应急预案</w:t>
          </w:r>
          <w:r>
            <w:rPr>
              <w:rFonts w:hint="default" w:ascii="Times New Roman" w:hAnsi="Times New Roman" w:eastAsia="宋体" w:cs="Times New Roman"/>
              <w:color w:val="auto"/>
              <w:sz w:val="22"/>
              <w:szCs w:val="22"/>
            </w:rPr>
            <w:tab/>
          </w:r>
          <w:r>
            <w:rPr>
              <w:rFonts w:hint="default" w:ascii="Times New Roman" w:hAnsi="Times New Roman" w:eastAsia="宋体" w:cs="Times New Roman"/>
              <w:color w:val="auto"/>
              <w:sz w:val="22"/>
              <w:szCs w:val="22"/>
            </w:rPr>
            <w:fldChar w:fldCharType="begin"/>
          </w:r>
          <w:r>
            <w:rPr>
              <w:rFonts w:hint="default" w:ascii="Times New Roman" w:hAnsi="Times New Roman" w:eastAsia="宋体" w:cs="Times New Roman"/>
              <w:color w:val="auto"/>
              <w:sz w:val="22"/>
              <w:szCs w:val="22"/>
            </w:rPr>
            <w:instrText xml:space="preserve"> PAGEREF _Toc1699 \h </w:instrText>
          </w:r>
          <w:r>
            <w:rPr>
              <w:rFonts w:hint="default" w:ascii="Times New Roman" w:hAnsi="Times New Roman" w:eastAsia="宋体" w:cs="Times New Roman"/>
              <w:color w:val="auto"/>
              <w:sz w:val="22"/>
              <w:szCs w:val="22"/>
            </w:rPr>
            <w:fldChar w:fldCharType="separate"/>
          </w:r>
          <w:r>
            <w:rPr>
              <w:rFonts w:hint="default" w:ascii="Times New Roman" w:hAnsi="Times New Roman" w:eastAsia="宋体" w:cs="Times New Roman"/>
              <w:color w:val="auto"/>
              <w:sz w:val="22"/>
              <w:szCs w:val="22"/>
            </w:rPr>
            <w:t>190</w:t>
          </w:r>
          <w:r>
            <w:rPr>
              <w:rFonts w:hint="default" w:ascii="Times New Roman" w:hAnsi="Times New Roman" w:eastAsia="宋体" w:cs="Times New Roman"/>
              <w:color w:val="auto"/>
              <w:sz w:val="22"/>
              <w:szCs w:val="22"/>
            </w:rPr>
            <w:fldChar w:fldCharType="end"/>
          </w:r>
          <w:r>
            <w:rPr>
              <w:rFonts w:hint="default" w:ascii="Times New Roman" w:hAnsi="Times New Roman" w:eastAsia="宋体" w:cs="Times New Roman"/>
              <w:color w:val="auto"/>
              <w:kern w:val="2"/>
              <w:sz w:val="22"/>
              <w:szCs w:val="22"/>
              <w:highlight w:val="none"/>
              <w:lang w:val="en-US" w:eastAsia="zh-CN" w:bidi="ar-SA"/>
            </w:rPr>
            <w:fldChar w:fldCharType="end"/>
          </w:r>
        </w:p>
        <w:p>
          <w:pPr>
            <w:pStyle w:val="31"/>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firstLine="440" w:firstLineChars="200"/>
            <w:textAlignment w:val="auto"/>
            <w:rPr>
              <w:rFonts w:hint="default" w:ascii="Times New Roman" w:hAnsi="Times New Roman" w:eastAsia="宋体" w:cs="Times New Roman"/>
              <w:color w:val="auto"/>
              <w:sz w:val="22"/>
              <w:szCs w:val="22"/>
            </w:rPr>
          </w:pPr>
          <w:r>
            <w:rPr>
              <w:rFonts w:hint="default" w:ascii="Times New Roman" w:hAnsi="Times New Roman" w:eastAsia="宋体" w:cs="Times New Roman"/>
              <w:color w:val="auto"/>
              <w:kern w:val="2"/>
              <w:sz w:val="22"/>
              <w:szCs w:val="22"/>
              <w:highlight w:val="none"/>
              <w:lang w:val="en-US" w:eastAsia="zh-CN" w:bidi="ar-SA"/>
            </w:rPr>
            <w:fldChar w:fldCharType="begin"/>
          </w:r>
          <w:r>
            <w:rPr>
              <w:rFonts w:hint="default" w:ascii="Times New Roman" w:hAnsi="Times New Roman" w:eastAsia="宋体" w:cs="Times New Roman"/>
              <w:color w:val="auto"/>
              <w:kern w:val="2"/>
              <w:sz w:val="22"/>
              <w:szCs w:val="22"/>
              <w:highlight w:val="none"/>
              <w:lang w:val="en-US" w:eastAsia="zh-CN" w:bidi="ar-SA"/>
            </w:rPr>
            <w:instrText xml:space="preserve"> HYPERLINK \l _Toc15464 </w:instrText>
          </w:r>
          <w:r>
            <w:rPr>
              <w:rFonts w:hint="default" w:ascii="Times New Roman" w:hAnsi="Times New Roman" w:eastAsia="宋体" w:cs="Times New Roman"/>
              <w:color w:val="auto"/>
              <w:kern w:val="2"/>
              <w:sz w:val="22"/>
              <w:szCs w:val="22"/>
              <w:highlight w:val="none"/>
              <w:lang w:val="en-US" w:eastAsia="zh-CN" w:bidi="ar-SA"/>
            </w:rPr>
            <w:fldChar w:fldCharType="separate"/>
          </w:r>
          <w:r>
            <w:rPr>
              <w:rFonts w:hint="default" w:ascii="Times New Roman" w:hAnsi="Times New Roman" w:eastAsia="宋体" w:cs="Times New Roman"/>
              <w:bCs/>
              <w:i w:val="0"/>
              <w:color w:val="auto"/>
              <w:kern w:val="2"/>
              <w:sz w:val="22"/>
              <w:szCs w:val="22"/>
              <w:highlight w:val="none"/>
              <w:lang w:val="en-US" w:eastAsia="zh-CN" w:bidi="ar-SA"/>
            </w:rPr>
            <w:t>8.7</w:t>
          </w:r>
          <w:r>
            <w:rPr>
              <w:rFonts w:hint="default" w:ascii="Times New Roman" w:hAnsi="Times New Roman" w:eastAsia="宋体" w:cs="Times New Roman"/>
              <w:bCs/>
              <w:color w:val="auto"/>
              <w:sz w:val="22"/>
              <w:szCs w:val="22"/>
              <w:highlight w:val="none"/>
            </w:rPr>
            <w:t>环境风险评价小结</w:t>
          </w:r>
          <w:r>
            <w:rPr>
              <w:rFonts w:hint="default" w:ascii="Times New Roman" w:hAnsi="Times New Roman" w:eastAsia="宋体" w:cs="Times New Roman"/>
              <w:color w:val="auto"/>
              <w:sz w:val="22"/>
              <w:szCs w:val="22"/>
            </w:rPr>
            <w:tab/>
          </w:r>
          <w:r>
            <w:rPr>
              <w:rFonts w:hint="default" w:ascii="Times New Roman" w:hAnsi="Times New Roman" w:eastAsia="宋体" w:cs="Times New Roman"/>
              <w:color w:val="auto"/>
              <w:sz w:val="22"/>
              <w:szCs w:val="22"/>
            </w:rPr>
            <w:fldChar w:fldCharType="begin"/>
          </w:r>
          <w:r>
            <w:rPr>
              <w:rFonts w:hint="default" w:ascii="Times New Roman" w:hAnsi="Times New Roman" w:eastAsia="宋体" w:cs="Times New Roman"/>
              <w:color w:val="auto"/>
              <w:sz w:val="22"/>
              <w:szCs w:val="22"/>
            </w:rPr>
            <w:instrText xml:space="preserve"> PAGEREF _Toc15464 \h </w:instrText>
          </w:r>
          <w:r>
            <w:rPr>
              <w:rFonts w:hint="default" w:ascii="Times New Roman" w:hAnsi="Times New Roman" w:eastAsia="宋体" w:cs="Times New Roman"/>
              <w:color w:val="auto"/>
              <w:sz w:val="22"/>
              <w:szCs w:val="22"/>
            </w:rPr>
            <w:fldChar w:fldCharType="separate"/>
          </w:r>
          <w:r>
            <w:rPr>
              <w:rFonts w:hint="default" w:ascii="Times New Roman" w:hAnsi="Times New Roman" w:eastAsia="宋体" w:cs="Times New Roman"/>
              <w:color w:val="auto"/>
              <w:sz w:val="22"/>
              <w:szCs w:val="22"/>
            </w:rPr>
            <w:t>194</w:t>
          </w:r>
          <w:r>
            <w:rPr>
              <w:rFonts w:hint="default" w:ascii="Times New Roman" w:hAnsi="Times New Roman" w:eastAsia="宋体" w:cs="Times New Roman"/>
              <w:color w:val="auto"/>
              <w:sz w:val="22"/>
              <w:szCs w:val="22"/>
            </w:rPr>
            <w:fldChar w:fldCharType="end"/>
          </w:r>
          <w:r>
            <w:rPr>
              <w:rFonts w:hint="default" w:ascii="Times New Roman" w:hAnsi="Times New Roman" w:eastAsia="宋体" w:cs="Times New Roman"/>
              <w:color w:val="auto"/>
              <w:kern w:val="2"/>
              <w:sz w:val="22"/>
              <w:szCs w:val="22"/>
              <w:highlight w:val="none"/>
              <w:lang w:val="en-US" w:eastAsia="zh-CN" w:bidi="ar-SA"/>
            </w:rPr>
            <w:fldChar w:fldCharType="end"/>
          </w:r>
        </w:p>
        <w:p>
          <w:pPr>
            <w:pStyle w:val="45"/>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leftChars="0" w:firstLine="0" w:firstLineChars="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2"/>
              <w:sz w:val="24"/>
              <w:szCs w:val="24"/>
              <w:highlight w:val="none"/>
              <w:lang w:val="en-US" w:eastAsia="zh-CN" w:bidi="ar-SA"/>
            </w:rPr>
            <w:fldChar w:fldCharType="begin"/>
          </w:r>
          <w:r>
            <w:rPr>
              <w:rFonts w:hint="default" w:ascii="Times New Roman" w:hAnsi="Times New Roman" w:eastAsia="宋体" w:cs="Times New Roman"/>
              <w:color w:val="auto"/>
              <w:kern w:val="2"/>
              <w:sz w:val="24"/>
              <w:szCs w:val="24"/>
              <w:highlight w:val="none"/>
              <w:lang w:val="en-US" w:eastAsia="zh-CN" w:bidi="ar-SA"/>
            </w:rPr>
            <w:instrText xml:space="preserve"> HYPERLINK \l _Toc2164 </w:instrText>
          </w:r>
          <w:r>
            <w:rPr>
              <w:rFonts w:hint="default" w:ascii="Times New Roman" w:hAnsi="Times New Roman" w:eastAsia="宋体" w:cs="Times New Roman"/>
              <w:color w:val="auto"/>
              <w:kern w:val="2"/>
              <w:sz w:val="24"/>
              <w:szCs w:val="24"/>
              <w:highlight w:val="none"/>
              <w:lang w:val="en-US" w:eastAsia="zh-CN" w:bidi="ar-SA"/>
            </w:rPr>
            <w:fldChar w:fldCharType="separate"/>
          </w:r>
          <w:r>
            <w:rPr>
              <w:rFonts w:hint="default" w:ascii="Times New Roman" w:hAnsi="Times New Roman" w:eastAsia="宋体" w:cs="Times New Roman"/>
              <w:bCs/>
              <w:i w:val="0"/>
              <w:color w:val="auto"/>
              <w:kern w:val="44"/>
              <w:sz w:val="24"/>
              <w:szCs w:val="24"/>
              <w:highlight w:val="none"/>
              <w:lang w:val="en-US" w:eastAsia="zh-CN" w:bidi="ar-SA"/>
            </w:rPr>
            <w:t>9</w:t>
          </w:r>
          <w:r>
            <w:rPr>
              <w:rFonts w:hint="default" w:ascii="Times New Roman" w:hAnsi="Times New Roman" w:eastAsia="宋体" w:cs="Times New Roman"/>
              <w:bCs/>
              <w:color w:val="auto"/>
              <w:sz w:val="24"/>
              <w:szCs w:val="24"/>
              <w:highlight w:val="none"/>
            </w:rPr>
            <w:t>环保措施及其可行性分析</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_Toc2164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195</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kern w:val="2"/>
              <w:sz w:val="24"/>
              <w:szCs w:val="24"/>
              <w:highlight w:val="none"/>
              <w:lang w:val="en-US" w:eastAsia="zh-CN" w:bidi="ar-SA"/>
            </w:rPr>
            <w:fldChar w:fldCharType="end"/>
          </w:r>
        </w:p>
        <w:p>
          <w:pPr>
            <w:pStyle w:val="31"/>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firstLine="440" w:firstLineChars="200"/>
            <w:textAlignment w:val="auto"/>
            <w:rPr>
              <w:rFonts w:hint="default" w:ascii="Times New Roman" w:hAnsi="Times New Roman" w:eastAsia="宋体" w:cs="Times New Roman"/>
              <w:color w:val="auto"/>
              <w:sz w:val="22"/>
              <w:szCs w:val="22"/>
            </w:rPr>
          </w:pPr>
          <w:r>
            <w:rPr>
              <w:rFonts w:hint="default" w:ascii="Times New Roman" w:hAnsi="Times New Roman" w:eastAsia="宋体" w:cs="Times New Roman"/>
              <w:color w:val="auto"/>
              <w:kern w:val="2"/>
              <w:sz w:val="22"/>
              <w:szCs w:val="22"/>
              <w:highlight w:val="none"/>
              <w:lang w:val="en-US" w:eastAsia="zh-CN" w:bidi="ar-SA"/>
            </w:rPr>
            <w:fldChar w:fldCharType="begin"/>
          </w:r>
          <w:r>
            <w:rPr>
              <w:rFonts w:hint="default" w:ascii="Times New Roman" w:hAnsi="Times New Roman" w:eastAsia="宋体" w:cs="Times New Roman"/>
              <w:color w:val="auto"/>
              <w:kern w:val="2"/>
              <w:sz w:val="22"/>
              <w:szCs w:val="22"/>
              <w:highlight w:val="none"/>
              <w:lang w:val="en-US" w:eastAsia="zh-CN" w:bidi="ar-SA"/>
            </w:rPr>
            <w:instrText xml:space="preserve"> HYPERLINK \l _Toc31131 </w:instrText>
          </w:r>
          <w:r>
            <w:rPr>
              <w:rFonts w:hint="default" w:ascii="Times New Roman" w:hAnsi="Times New Roman" w:eastAsia="宋体" w:cs="Times New Roman"/>
              <w:color w:val="auto"/>
              <w:kern w:val="2"/>
              <w:sz w:val="22"/>
              <w:szCs w:val="22"/>
              <w:highlight w:val="none"/>
              <w:lang w:val="en-US" w:eastAsia="zh-CN" w:bidi="ar-SA"/>
            </w:rPr>
            <w:fldChar w:fldCharType="separate"/>
          </w:r>
          <w:r>
            <w:rPr>
              <w:rFonts w:hint="default" w:ascii="Times New Roman" w:hAnsi="Times New Roman" w:eastAsia="宋体" w:cs="Times New Roman"/>
              <w:bCs/>
              <w:i w:val="0"/>
              <w:color w:val="auto"/>
              <w:kern w:val="2"/>
              <w:sz w:val="22"/>
              <w:szCs w:val="22"/>
              <w:highlight w:val="none"/>
              <w:lang w:val="en-US" w:eastAsia="zh-CN" w:bidi="ar-SA"/>
            </w:rPr>
            <w:t>9.1</w:t>
          </w:r>
          <w:r>
            <w:rPr>
              <w:rFonts w:hint="default" w:ascii="Times New Roman" w:hAnsi="Times New Roman" w:eastAsia="宋体" w:cs="Times New Roman"/>
              <w:bCs/>
              <w:color w:val="auto"/>
              <w:sz w:val="22"/>
              <w:szCs w:val="22"/>
              <w:highlight w:val="none"/>
            </w:rPr>
            <w:t>废气污染物防治措施及其可行性分析</w:t>
          </w:r>
          <w:r>
            <w:rPr>
              <w:rFonts w:hint="default" w:ascii="Times New Roman" w:hAnsi="Times New Roman" w:eastAsia="宋体" w:cs="Times New Roman"/>
              <w:color w:val="auto"/>
              <w:sz w:val="22"/>
              <w:szCs w:val="22"/>
            </w:rPr>
            <w:tab/>
          </w:r>
          <w:r>
            <w:rPr>
              <w:rFonts w:hint="default" w:ascii="Times New Roman" w:hAnsi="Times New Roman" w:eastAsia="宋体" w:cs="Times New Roman"/>
              <w:color w:val="auto"/>
              <w:sz w:val="22"/>
              <w:szCs w:val="22"/>
            </w:rPr>
            <w:fldChar w:fldCharType="begin"/>
          </w:r>
          <w:r>
            <w:rPr>
              <w:rFonts w:hint="default" w:ascii="Times New Roman" w:hAnsi="Times New Roman" w:eastAsia="宋体" w:cs="Times New Roman"/>
              <w:color w:val="auto"/>
              <w:sz w:val="22"/>
              <w:szCs w:val="22"/>
            </w:rPr>
            <w:instrText xml:space="preserve"> PAGEREF _Toc31131 \h </w:instrText>
          </w:r>
          <w:r>
            <w:rPr>
              <w:rFonts w:hint="default" w:ascii="Times New Roman" w:hAnsi="Times New Roman" w:eastAsia="宋体" w:cs="Times New Roman"/>
              <w:color w:val="auto"/>
              <w:sz w:val="22"/>
              <w:szCs w:val="22"/>
            </w:rPr>
            <w:fldChar w:fldCharType="separate"/>
          </w:r>
          <w:r>
            <w:rPr>
              <w:rFonts w:hint="default" w:ascii="Times New Roman" w:hAnsi="Times New Roman" w:eastAsia="宋体" w:cs="Times New Roman"/>
              <w:color w:val="auto"/>
              <w:sz w:val="22"/>
              <w:szCs w:val="22"/>
            </w:rPr>
            <w:t>195</w:t>
          </w:r>
          <w:r>
            <w:rPr>
              <w:rFonts w:hint="default" w:ascii="Times New Roman" w:hAnsi="Times New Roman" w:eastAsia="宋体" w:cs="Times New Roman"/>
              <w:color w:val="auto"/>
              <w:sz w:val="22"/>
              <w:szCs w:val="22"/>
            </w:rPr>
            <w:fldChar w:fldCharType="end"/>
          </w:r>
          <w:r>
            <w:rPr>
              <w:rFonts w:hint="default" w:ascii="Times New Roman" w:hAnsi="Times New Roman" w:eastAsia="宋体" w:cs="Times New Roman"/>
              <w:color w:val="auto"/>
              <w:kern w:val="2"/>
              <w:sz w:val="22"/>
              <w:szCs w:val="22"/>
              <w:highlight w:val="none"/>
              <w:lang w:val="en-US" w:eastAsia="zh-CN" w:bidi="ar-SA"/>
            </w:rPr>
            <w:fldChar w:fldCharType="end"/>
          </w:r>
        </w:p>
        <w:p>
          <w:pPr>
            <w:pStyle w:val="31"/>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firstLine="440" w:firstLineChars="200"/>
            <w:textAlignment w:val="auto"/>
            <w:rPr>
              <w:rFonts w:hint="default" w:ascii="Times New Roman" w:hAnsi="Times New Roman" w:eastAsia="宋体" w:cs="Times New Roman"/>
              <w:color w:val="auto"/>
              <w:sz w:val="22"/>
              <w:szCs w:val="22"/>
            </w:rPr>
          </w:pPr>
          <w:r>
            <w:rPr>
              <w:rFonts w:hint="default" w:ascii="Times New Roman" w:hAnsi="Times New Roman" w:eastAsia="宋体" w:cs="Times New Roman"/>
              <w:color w:val="auto"/>
              <w:kern w:val="2"/>
              <w:sz w:val="22"/>
              <w:szCs w:val="22"/>
              <w:highlight w:val="none"/>
              <w:lang w:val="en-US" w:eastAsia="zh-CN" w:bidi="ar-SA"/>
            </w:rPr>
            <w:fldChar w:fldCharType="begin"/>
          </w:r>
          <w:r>
            <w:rPr>
              <w:rFonts w:hint="default" w:ascii="Times New Roman" w:hAnsi="Times New Roman" w:eastAsia="宋体" w:cs="Times New Roman"/>
              <w:color w:val="auto"/>
              <w:kern w:val="2"/>
              <w:sz w:val="22"/>
              <w:szCs w:val="22"/>
              <w:highlight w:val="none"/>
              <w:lang w:val="en-US" w:eastAsia="zh-CN" w:bidi="ar-SA"/>
            </w:rPr>
            <w:instrText xml:space="preserve"> HYPERLINK \l _Toc7348 </w:instrText>
          </w:r>
          <w:r>
            <w:rPr>
              <w:rFonts w:hint="default" w:ascii="Times New Roman" w:hAnsi="Times New Roman" w:eastAsia="宋体" w:cs="Times New Roman"/>
              <w:color w:val="auto"/>
              <w:kern w:val="2"/>
              <w:sz w:val="22"/>
              <w:szCs w:val="22"/>
              <w:highlight w:val="none"/>
              <w:lang w:val="en-US" w:eastAsia="zh-CN" w:bidi="ar-SA"/>
            </w:rPr>
            <w:fldChar w:fldCharType="separate"/>
          </w:r>
          <w:r>
            <w:rPr>
              <w:rFonts w:hint="default" w:ascii="Times New Roman" w:hAnsi="Times New Roman" w:eastAsia="宋体" w:cs="Times New Roman"/>
              <w:bCs/>
              <w:i w:val="0"/>
              <w:color w:val="auto"/>
              <w:kern w:val="2"/>
              <w:sz w:val="22"/>
              <w:szCs w:val="22"/>
              <w:highlight w:val="none"/>
              <w:lang w:val="en-US" w:eastAsia="zh-CN" w:bidi="ar-SA"/>
            </w:rPr>
            <w:t>9.2废水污染防治措施及其可行性分析</w:t>
          </w:r>
          <w:r>
            <w:rPr>
              <w:rFonts w:hint="default" w:ascii="Times New Roman" w:hAnsi="Times New Roman" w:eastAsia="宋体" w:cs="Times New Roman"/>
              <w:color w:val="auto"/>
              <w:sz w:val="22"/>
              <w:szCs w:val="22"/>
            </w:rPr>
            <w:tab/>
          </w:r>
          <w:r>
            <w:rPr>
              <w:rFonts w:hint="default" w:ascii="Times New Roman" w:hAnsi="Times New Roman" w:eastAsia="宋体" w:cs="Times New Roman"/>
              <w:color w:val="auto"/>
              <w:sz w:val="22"/>
              <w:szCs w:val="22"/>
            </w:rPr>
            <w:fldChar w:fldCharType="begin"/>
          </w:r>
          <w:r>
            <w:rPr>
              <w:rFonts w:hint="default" w:ascii="Times New Roman" w:hAnsi="Times New Roman" w:eastAsia="宋体" w:cs="Times New Roman"/>
              <w:color w:val="auto"/>
              <w:sz w:val="22"/>
              <w:szCs w:val="22"/>
            </w:rPr>
            <w:instrText xml:space="preserve"> PAGEREF _Toc7348 \h </w:instrText>
          </w:r>
          <w:r>
            <w:rPr>
              <w:rFonts w:hint="default" w:ascii="Times New Roman" w:hAnsi="Times New Roman" w:eastAsia="宋体" w:cs="Times New Roman"/>
              <w:color w:val="auto"/>
              <w:sz w:val="22"/>
              <w:szCs w:val="22"/>
            </w:rPr>
            <w:fldChar w:fldCharType="separate"/>
          </w:r>
          <w:r>
            <w:rPr>
              <w:rFonts w:hint="default" w:ascii="Times New Roman" w:hAnsi="Times New Roman" w:eastAsia="宋体" w:cs="Times New Roman"/>
              <w:color w:val="auto"/>
              <w:sz w:val="22"/>
              <w:szCs w:val="22"/>
            </w:rPr>
            <w:t>195</w:t>
          </w:r>
          <w:r>
            <w:rPr>
              <w:rFonts w:hint="default" w:ascii="Times New Roman" w:hAnsi="Times New Roman" w:eastAsia="宋体" w:cs="Times New Roman"/>
              <w:color w:val="auto"/>
              <w:sz w:val="22"/>
              <w:szCs w:val="22"/>
            </w:rPr>
            <w:fldChar w:fldCharType="end"/>
          </w:r>
          <w:r>
            <w:rPr>
              <w:rFonts w:hint="default" w:ascii="Times New Roman" w:hAnsi="Times New Roman" w:eastAsia="宋体" w:cs="Times New Roman"/>
              <w:color w:val="auto"/>
              <w:kern w:val="2"/>
              <w:sz w:val="22"/>
              <w:szCs w:val="22"/>
              <w:highlight w:val="none"/>
              <w:lang w:val="en-US" w:eastAsia="zh-CN" w:bidi="ar-SA"/>
            </w:rPr>
            <w:fldChar w:fldCharType="end"/>
          </w:r>
        </w:p>
        <w:p>
          <w:pPr>
            <w:pStyle w:val="45"/>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firstLine="440" w:firstLineChars="200"/>
            <w:textAlignment w:val="auto"/>
            <w:rPr>
              <w:rFonts w:hint="default" w:ascii="Times New Roman" w:hAnsi="Times New Roman" w:eastAsia="宋体" w:cs="Times New Roman"/>
              <w:color w:val="auto"/>
              <w:sz w:val="22"/>
              <w:szCs w:val="22"/>
            </w:rPr>
          </w:pPr>
          <w:r>
            <w:rPr>
              <w:rFonts w:hint="default" w:ascii="Times New Roman" w:hAnsi="Times New Roman" w:eastAsia="宋体" w:cs="Times New Roman"/>
              <w:color w:val="auto"/>
              <w:kern w:val="2"/>
              <w:sz w:val="22"/>
              <w:szCs w:val="22"/>
              <w:highlight w:val="none"/>
              <w:lang w:val="en-US" w:eastAsia="zh-CN" w:bidi="ar-SA"/>
            </w:rPr>
            <w:fldChar w:fldCharType="begin"/>
          </w:r>
          <w:r>
            <w:rPr>
              <w:rFonts w:hint="default" w:ascii="Times New Roman" w:hAnsi="Times New Roman" w:eastAsia="宋体" w:cs="Times New Roman"/>
              <w:color w:val="auto"/>
              <w:kern w:val="2"/>
              <w:sz w:val="22"/>
              <w:szCs w:val="22"/>
              <w:highlight w:val="none"/>
              <w:lang w:val="en-US" w:eastAsia="zh-CN" w:bidi="ar-SA"/>
            </w:rPr>
            <w:instrText xml:space="preserve"> HYPERLINK \l _Toc20181 </w:instrText>
          </w:r>
          <w:r>
            <w:rPr>
              <w:rFonts w:hint="default" w:ascii="Times New Roman" w:hAnsi="Times New Roman" w:eastAsia="宋体" w:cs="Times New Roman"/>
              <w:color w:val="auto"/>
              <w:kern w:val="2"/>
              <w:sz w:val="22"/>
              <w:szCs w:val="22"/>
              <w:highlight w:val="none"/>
              <w:lang w:val="en-US" w:eastAsia="zh-CN" w:bidi="ar-SA"/>
            </w:rPr>
            <w:fldChar w:fldCharType="separate"/>
          </w:r>
          <w:r>
            <w:rPr>
              <w:rFonts w:hint="default" w:ascii="Times New Roman" w:hAnsi="Times New Roman" w:eastAsia="宋体" w:cs="Times New Roman"/>
              <w:bCs/>
              <w:i w:val="0"/>
              <w:color w:val="auto"/>
              <w:kern w:val="2"/>
              <w:sz w:val="22"/>
              <w:szCs w:val="22"/>
              <w:highlight w:val="none"/>
              <w:lang w:val="en-US" w:eastAsia="zh-CN" w:bidi="ar-SA"/>
            </w:rPr>
            <w:t>9.3噪声污染防治措施及可行性分析</w:t>
          </w:r>
          <w:r>
            <w:rPr>
              <w:rFonts w:hint="default" w:ascii="Times New Roman" w:hAnsi="Times New Roman" w:eastAsia="宋体" w:cs="Times New Roman"/>
              <w:color w:val="auto"/>
              <w:sz w:val="22"/>
              <w:szCs w:val="22"/>
            </w:rPr>
            <w:tab/>
          </w:r>
          <w:r>
            <w:rPr>
              <w:rFonts w:hint="default" w:ascii="Times New Roman" w:hAnsi="Times New Roman" w:eastAsia="宋体" w:cs="Times New Roman"/>
              <w:color w:val="auto"/>
              <w:sz w:val="22"/>
              <w:szCs w:val="22"/>
            </w:rPr>
            <w:fldChar w:fldCharType="begin"/>
          </w:r>
          <w:r>
            <w:rPr>
              <w:rFonts w:hint="default" w:ascii="Times New Roman" w:hAnsi="Times New Roman" w:eastAsia="宋体" w:cs="Times New Roman"/>
              <w:color w:val="auto"/>
              <w:sz w:val="22"/>
              <w:szCs w:val="22"/>
            </w:rPr>
            <w:instrText xml:space="preserve"> PAGEREF _Toc20181 \h </w:instrText>
          </w:r>
          <w:r>
            <w:rPr>
              <w:rFonts w:hint="default" w:ascii="Times New Roman" w:hAnsi="Times New Roman" w:eastAsia="宋体" w:cs="Times New Roman"/>
              <w:color w:val="auto"/>
              <w:sz w:val="22"/>
              <w:szCs w:val="22"/>
            </w:rPr>
            <w:fldChar w:fldCharType="separate"/>
          </w:r>
          <w:r>
            <w:rPr>
              <w:rFonts w:hint="default" w:ascii="Times New Roman" w:hAnsi="Times New Roman" w:eastAsia="宋体" w:cs="Times New Roman"/>
              <w:color w:val="auto"/>
              <w:sz w:val="22"/>
              <w:szCs w:val="22"/>
            </w:rPr>
            <w:t>199</w:t>
          </w:r>
          <w:r>
            <w:rPr>
              <w:rFonts w:hint="default" w:ascii="Times New Roman" w:hAnsi="Times New Roman" w:eastAsia="宋体" w:cs="Times New Roman"/>
              <w:color w:val="auto"/>
              <w:sz w:val="22"/>
              <w:szCs w:val="22"/>
            </w:rPr>
            <w:fldChar w:fldCharType="end"/>
          </w:r>
          <w:r>
            <w:rPr>
              <w:rFonts w:hint="default" w:ascii="Times New Roman" w:hAnsi="Times New Roman" w:eastAsia="宋体" w:cs="Times New Roman"/>
              <w:color w:val="auto"/>
              <w:kern w:val="2"/>
              <w:sz w:val="22"/>
              <w:szCs w:val="22"/>
              <w:highlight w:val="none"/>
              <w:lang w:val="en-US" w:eastAsia="zh-CN" w:bidi="ar-SA"/>
            </w:rPr>
            <w:fldChar w:fldCharType="end"/>
          </w:r>
        </w:p>
        <w:p>
          <w:pPr>
            <w:pStyle w:val="45"/>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firstLine="440" w:firstLineChars="200"/>
            <w:textAlignment w:val="auto"/>
            <w:rPr>
              <w:rFonts w:hint="default" w:ascii="Times New Roman" w:hAnsi="Times New Roman" w:eastAsia="宋体" w:cs="Times New Roman"/>
              <w:color w:val="auto"/>
              <w:sz w:val="22"/>
              <w:szCs w:val="22"/>
            </w:rPr>
          </w:pPr>
          <w:r>
            <w:rPr>
              <w:rFonts w:hint="default" w:ascii="Times New Roman" w:hAnsi="Times New Roman" w:eastAsia="宋体" w:cs="Times New Roman"/>
              <w:color w:val="auto"/>
              <w:kern w:val="2"/>
              <w:sz w:val="22"/>
              <w:szCs w:val="22"/>
              <w:highlight w:val="none"/>
              <w:lang w:val="en-US" w:eastAsia="zh-CN" w:bidi="ar-SA"/>
            </w:rPr>
            <w:fldChar w:fldCharType="begin"/>
          </w:r>
          <w:r>
            <w:rPr>
              <w:rFonts w:hint="default" w:ascii="Times New Roman" w:hAnsi="Times New Roman" w:eastAsia="宋体" w:cs="Times New Roman"/>
              <w:color w:val="auto"/>
              <w:kern w:val="2"/>
              <w:sz w:val="22"/>
              <w:szCs w:val="22"/>
              <w:highlight w:val="none"/>
              <w:lang w:val="en-US" w:eastAsia="zh-CN" w:bidi="ar-SA"/>
            </w:rPr>
            <w:instrText xml:space="preserve"> HYPERLINK \l _Toc25653 </w:instrText>
          </w:r>
          <w:r>
            <w:rPr>
              <w:rFonts w:hint="default" w:ascii="Times New Roman" w:hAnsi="Times New Roman" w:eastAsia="宋体" w:cs="Times New Roman"/>
              <w:color w:val="auto"/>
              <w:kern w:val="2"/>
              <w:sz w:val="22"/>
              <w:szCs w:val="22"/>
              <w:highlight w:val="none"/>
              <w:lang w:val="en-US" w:eastAsia="zh-CN" w:bidi="ar-SA"/>
            </w:rPr>
            <w:fldChar w:fldCharType="separate"/>
          </w:r>
          <w:r>
            <w:rPr>
              <w:rFonts w:hint="default" w:ascii="Times New Roman" w:hAnsi="Times New Roman" w:eastAsia="宋体" w:cs="Times New Roman"/>
              <w:bCs/>
              <w:i w:val="0"/>
              <w:color w:val="auto"/>
              <w:kern w:val="2"/>
              <w:sz w:val="22"/>
              <w:szCs w:val="22"/>
              <w:highlight w:val="none"/>
              <w:lang w:val="en-US" w:eastAsia="zh-CN" w:bidi="ar-SA"/>
            </w:rPr>
            <w:t>9.4固体废物治理措施</w:t>
          </w:r>
          <w:r>
            <w:rPr>
              <w:rFonts w:hint="default" w:ascii="Times New Roman" w:hAnsi="Times New Roman" w:eastAsia="宋体" w:cs="Times New Roman"/>
              <w:color w:val="auto"/>
              <w:sz w:val="22"/>
              <w:szCs w:val="22"/>
            </w:rPr>
            <w:tab/>
          </w:r>
          <w:r>
            <w:rPr>
              <w:rFonts w:hint="default" w:ascii="Times New Roman" w:hAnsi="Times New Roman" w:eastAsia="宋体" w:cs="Times New Roman"/>
              <w:color w:val="auto"/>
              <w:sz w:val="22"/>
              <w:szCs w:val="22"/>
            </w:rPr>
            <w:fldChar w:fldCharType="begin"/>
          </w:r>
          <w:r>
            <w:rPr>
              <w:rFonts w:hint="default" w:ascii="Times New Roman" w:hAnsi="Times New Roman" w:eastAsia="宋体" w:cs="Times New Roman"/>
              <w:color w:val="auto"/>
              <w:sz w:val="22"/>
              <w:szCs w:val="22"/>
            </w:rPr>
            <w:instrText xml:space="preserve"> PAGEREF _Toc25653 \h </w:instrText>
          </w:r>
          <w:r>
            <w:rPr>
              <w:rFonts w:hint="default" w:ascii="Times New Roman" w:hAnsi="Times New Roman" w:eastAsia="宋体" w:cs="Times New Roman"/>
              <w:color w:val="auto"/>
              <w:sz w:val="22"/>
              <w:szCs w:val="22"/>
            </w:rPr>
            <w:fldChar w:fldCharType="separate"/>
          </w:r>
          <w:r>
            <w:rPr>
              <w:rFonts w:hint="default" w:ascii="Times New Roman" w:hAnsi="Times New Roman" w:eastAsia="宋体" w:cs="Times New Roman"/>
              <w:color w:val="auto"/>
              <w:sz w:val="22"/>
              <w:szCs w:val="22"/>
            </w:rPr>
            <w:t>199</w:t>
          </w:r>
          <w:r>
            <w:rPr>
              <w:rFonts w:hint="default" w:ascii="Times New Roman" w:hAnsi="Times New Roman" w:eastAsia="宋体" w:cs="Times New Roman"/>
              <w:color w:val="auto"/>
              <w:sz w:val="22"/>
              <w:szCs w:val="22"/>
            </w:rPr>
            <w:fldChar w:fldCharType="end"/>
          </w:r>
          <w:r>
            <w:rPr>
              <w:rFonts w:hint="default" w:ascii="Times New Roman" w:hAnsi="Times New Roman" w:eastAsia="宋体" w:cs="Times New Roman"/>
              <w:color w:val="auto"/>
              <w:kern w:val="2"/>
              <w:sz w:val="22"/>
              <w:szCs w:val="22"/>
              <w:highlight w:val="none"/>
              <w:lang w:val="en-US" w:eastAsia="zh-CN" w:bidi="ar-SA"/>
            </w:rPr>
            <w:fldChar w:fldCharType="end"/>
          </w:r>
        </w:p>
        <w:p>
          <w:pPr>
            <w:pStyle w:val="45"/>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firstLine="440" w:firstLineChars="200"/>
            <w:textAlignment w:val="auto"/>
            <w:rPr>
              <w:rFonts w:hint="default" w:ascii="Times New Roman" w:hAnsi="Times New Roman" w:eastAsia="宋体" w:cs="Times New Roman"/>
              <w:color w:val="auto"/>
              <w:sz w:val="22"/>
              <w:szCs w:val="22"/>
            </w:rPr>
          </w:pPr>
          <w:r>
            <w:rPr>
              <w:rFonts w:hint="default" w:ascii="Times New Roman" w:hAnsi="Times New Roman" w:eastAsia="宋体" w:cs="Times New Roman"/>
              <w:color w:val="auto"/>
              <w:kern w:val="2"/>
              <w:sz w:val="22"/>
              <w:szCs w:val="22"/>
              <w:highlight w:val="none"/>
              <w:lang w:val="en-US" w:eastAsia="zh-CN" w:bidi="ar-SA"/>
            </w:rPr>
            <w:fldChar w:fldCharType="begin"/>
          </w:r>
          <w:r>
            <w:rPr>
              <w:rFonts w:hint="default" w:ascii="Times New Roman" w:hAnsi="Times New Roman" w:eastAsia="宋体" w:cs="Times New Roman"/>
              <w:color w:val="auto"/>
              <w:kern w:val="2"/>
              <w:sz w:val="22"/>
              <w:szCs w:val="22"/>
              <w:highlight w:val="none"/>
              <w:lang w:val="en-US" w:eastAsia="zh-CN" w:bidi="ar-SA"/>
            </w:rPr>
            <w:instrText xml:space="preserve"> HYPERLINK \l _Toc12253 </w:instrText>
          </w:r>
          <w:r>
            <w:rPr>
              <w:rFonts w:hint="default" w:ascii="Times New Roman" w:hAnsi="Times New Roman" w:eastAsia="宋体" w:cs="Times New Roman"/>
              <w:color w:val="auto"/>
              <w:kern w:val="2"/>
              <w:sz w:val="22"/>
              <w:szCs w:val="22"/>
              <w:highlight w:val="none"/>
              <w:lang w:val="en-US" w:eastAsia="zh-CN" w:bidi="ar-SA"/>
            </w:rPr>
            <w:fldChar w:fldCharType="separate"/>
          </w:r>
          <w:r>
            <w:rPr>
              <w:rFonts w:hint="default" w:ascii="Times New Roman" w:hAnsi="Times New Roman" w:eastAsia="宋体" w:cs="Times New Roman"/>
              <w:bCs/>
              <w:i w:val="0"/>
              <w:color w:val="auto"/>
              <w:kern w:val="2"/>
              <w:sz w:val="22"/>
              <w:szCs w:val="22"/>
              <w:highlight w:val="none"/>
              <w:lang w:val="en-US" w:eastAsia="zh-CN" w:bidi="ar-SA"/>
            </w:rPr>
            <w:t>9.5生态环境综合整治</w:t>
          </w:r>
          <w:r>
            <w:rPr>
              <w:rFonts w:hint="default" w:ascii="Times New Roman" w:hAnsi="Times New Roman" w:eastAsia="宋体" w:cs="Times New Roman"/>
              <w:color w:val="auto"/>
              <w:sz w:val="22"/>
              <w:szCs w:val="22"/>
            </w:rPr>
            <w:tab/>
          </w:r>
          <w:r>
            <w:rPr>
              <w:rFonts w:hint="default" w:ascii="Times New Roman" w:hAnsi="Times New Roman" w:eastAsia="宋体" w:cs="Times New Roman"/>
              <w:color w:val="auto"/>
              <w:sz w:val="22"/>
              <w:szCs w:val="22"/>
            </w:rPr>
            <w:fldChar w:fldCharType="begin"/>
          </w:r>
          <w:r>
            <w:rPr>
              <w:rFonts w:hint="default" w:ascii="Times New Roman" w:hAnsi="Times New Roman" w:eastAsia="宋体" w:cs="Times New Roman"/>
              <w:color w:val="auto"/>
              <w:sz w:val="22"/>
              <w:szCs w:val="22"/>
            </w:rPr>
            <w:instrText xml:space="preserve"> PAGEREF _Toc12253 \h </w:instrText>
          </w:r>
          <w:r>
            <w:rPr>
              <w:rFonts w:hint="default" w:ascii="Times New Roman" w:hAnsi="Times New Roman" w:eastAsia="宋体" w:cs="Times New Roman"/>
              <w:color w:val="auto"/>
              <w:sz w:val="22"/>
              <w:szCs w:val="22"/>
            </w:rPr>
            <w:fldChar w:fldCharType="separate"/>
          </w:r>
          <w:r>
            <w:rPr>
              <w:rFonts w:hint="default" w:ascii="Times New Roman" w:hAnsi="Times New Roman" w:eastAsia="宋体" w:cs="Times New Roman"/>
              <w:color w:val="auto"/>
              <w:sz w:val="22"/>
              <w:szCs w:val="22"/>
            </w:rPr>
            <w:t>201</w:t>
          </w:r>
          <w:r>
            <w:rPr>
              <w:rFonts w:hint="default" w:ascii="Times New Roman" w:hAnsi="Times New Roman" w:eastAsia="宋体" w:cs="Times New Roman"/>
              <w:color w:val="auto"/>
              <w:sz w:val="22"/>
              <w:szCs w:val="22"/>
            </w:rPr>
            <w:fldChar w:fldCharType="end"/>
          </w:r>
          <w:r>
            <w:rPr>
              <w:rFonts w:hint="default" w:ascii="Times New Roman" w:hAnsi="Times New Roman" w:eastAsia="宋体" w:cs="Times New Roman"/>
              <w:color w:val="auto"/>
              <w:kern w:val="2"/>
              <w:sz w:val="22"/>
              <w:szCs w:val="22"/>
              <w:highlight w:val="none"/>
              <w:lang w:val="en-US" w:eastAsia="zh-CN" w:bidi="ar-SA"/>
            </w:rPr>
            <w:fldChar w:fldCharType="end"/>
          </w:r>
        </w:p>
        <w:p>
          <w:pPr>
            <w:pStyle w:val="45"/>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leftChars="0" w:firstLine="0" w:firstLineChars="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2"/>
              <w:sz w:val="24"/>
              <w:szCs w:val="24"/>
              <w:highlight w:val="none"/>
              <w:lang w:val="en-US" w:eastAsia="zh-CN" w:bidi="ar-SA"/>
            </w:rPr>
            <w:fldChar w:fldCharType="begin"/>
          </w:r>
          <w:r>
            <w:rPr>
              <w:rFonts w:hint="default" w:ascii="Times New Roman" w:hAnsi="Times New Roman" w:eastAsia="宋体" w:cs="Times New Roman"/>
              <w:color w:val="auto"/>
              <w:kern w:val="2"/>
              <w:sz w:val="24"/>
              <w:szCs w:val="24"/>
              <w:highlight w:val="none"/>
              <w:lang w:val="en-US" w:eastAsia="zh-CN" w:bidi="ar-SA"/>
            </w:rPr>
            <w:instrText xml:space="preserve"> HYPERLINK \l _Toc21704 </w:instrText>
          </w:r>
          <w:r>
            <w:rPr>
              <w:rFonts w:hint="default" w:ascii="Times New Roman" w:hAnsi="Times New Roman" w:eastAsia="宋体" w:cs="Times New Roman"/>
              <w:color w:val="auto"/>
              <w:kern w:val="2"/>
              <w:sz w:val="24"/>
              <w:szCs w:val="24"/>
              <w:highlight w:val="none"/>
              <w:lang w:val="en-US" w:eastAsia="zh-CN" w:bidi="ar-SA"/>
            </w:rPr>
            <w:fldChar w:fldCharType="separate"/>
          </w:r>
          <w:r>
            <w:rPr>
              <w:rFonts w:hint="default" w:ascii="Times New Roman" w:hAnsi="Times New Roman" w:eastAsia="宋体" w:cs="Times New Roman"/>
              <w:bCs w:val="0"/>
              <w:i w:val="0"/>
              <w:color w:val="auto"/>
              <w:kern w:val="44"/>
              <w:sz w:val="24"/>
              <w:szCs w:val="24"/>
              <w:highlight w:val="none"/>
              <w:lang w:val="en-US" w:eastAsia="zh-CN" w:bidi="ar-SA"/>
            </w:rPr>
            <w:t>10</w:t>
          </w:r>
          <w:r>
            <w:rPr>
              <w:rFonts w:hint="default" w:ascii="Times New Roman" w:hAnsi="Times New Roman" w:eastAsia="宋体" w:cs="Times New Roman"/>
              <w:bCs w:val="0"/>
              <w:color w:val="auto"/>
              <w:sz w:val="24"/>
              <w:szCs w:val="24"/>
              <w:highlight w:val="none"/>
            </w:rPr>
            <w:t>环境经济损益分析</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_Toc21704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205</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kern w:val="2"/>
              <w:sz w:val="24"/>
              <w:szCs w:val="24"/>
              <w:highlight w:val="none"/>
              <w:lang w:val="en-US" w:eastAsia="zh-CN" w:bidi="ar-SA"/>
            </w:rPr>
            <w:fldChar w:fldCharType="end"/>
          </w:r>
        </w:p>
        <w:p>
          <w:pPr>
            <w:pStyle w:val="31"/>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firstLine="440" w:firstLineChars="200"/>
            <w:textAlignment w:val="auto"/>
            <w:rPr>
              <w:rFonts w:hint="default" w:ascii="Times New Roman" w:hAnsi="Times New Roman" w:eastAsia="宋体" w:cs="Times New Roman"/>
              <w:color w:val="auto"/>
              <w:sz w:val="22"/>
              <w:szCs w:val="22"/>
            </w:rPr>
          </w:pPr>
          <w:r>
            <w:rPr>
              <w:rFonts w:hint="default" w:ascii="Times New Roman" w:hAnsi="Times New Roman" w:eastAsia="宋体" w:cs="Times New Roman"/>
              <w:color w:val="auto"/>
              <w:kern w:val="2"/>
              <w:sz w:val="22"/>
              <w:szCs w:val="22"/>
              <w:highlight w:val="none"/>
              <w:lang w:val="en-US" w:eastAsia="zh-CN" w:bidi="ar-SA"/>
            </w:rPr>
            <w:fldChar w:fldCharType="begin"/>
          </w:r>
          <w:r>
            <w:rPr>
              <w:rFonts w:hint="default" w:ascii="Times New Roman" w:hAnsi="Times New Roman" w:eastAsia="宋体" w:cs="Times New Roman"/>
              <w:color w:val="auto"/>
              <w:kern w:val="2"/>
              <w:sz w:val="22"/>
              <w:szCs w:val="22"/>
              <w:highlight w:val="none"/>
              <w:lang w:val="en-US" w:eastAsia="zh-CN" w:bidi="ar-SA"/>
            </w:rPr>
            <w:instrText xml:space="preserve"> HYPERLINK \l _Toc17349 </w:instrText>
          </w:r>
          <w:r>
            <w:rPr>
              <w:rFonts w:hint="default" w:ascii="Times New Roman" w:hAnsi="Times New Roman" w:eastAsia="宋体" w:cs="Times New Roman"/>
              <w:color w:val="auto"/>
              <w:kern w:val="2"/>
              <w:sz w:val="22"/>
              <w:szCs w:val="22"/>
              <w:highlight w:val="none"/>
              <w:lang w:val="en-US" w:eastAsia="zh-CN" w:bidi="ar-SA"/>
            </w:rPr>
            <w:fldChar w:fldCharType="separate"/>
          </w:r>
          <w:r>
            <w:rPr>
              <w:rFonts w:hint="default" w:ascii="Times New Roman" w:hAnsi="Times New Roman" w:eastAsia="宋体" w:cs="Times New Roman"/>
              <w:bCs w:val="0"/>
              <w:i w:val="0"/>
              <w:color w:val="auto"/>
              <w:kern w:val="2"/>
              <w:sz w:val="22"/>
              <w:szCs w:val="22"/>
              <w:highlight w:val="none"/>
              <w:lang w:val="en-US" w:eastAsia="zh-CN" w:bidi="ar-SA"/>
            </w:rPr>
            <w:t>10.1经济效益分析</w:t>
          </w:r>
          <w:r>
            <w:rPr>
              <w:rFonts w:hint="default" w:ascii="Times New Roman" w:hAnsi="Times New Roman" w:eastAsia="宋体" w:cs="Times New Roman"/>
              <w:color w:val="auto"/>
              <w:sz w:val="22"/>
              <w:szCs w:val="22"/>
            </w:rPr>
            <w:tab/>
          </w:r>
          <w:r>
            <w:rPr>
              <w:rFonts w:hint="default" w:ascii="Times New Roman" w:hAnsi="Times New Roman" w:eastAsia="宋体" w:cs="Times New Roman"/>
              <w:color w:val="auto"/>
              <w:sz w:val="22"/>
              <w:szCs w:val="22"/>
            </w:rPr>
            <w:fldChar w:fldCharType="begin"/>
          </w:r>
          <w:r>
            <w:rPr>
              <w:rFonts w:hint="default" w:ascii="Times New Roman" w:hAnsi="Times New Roman" w:eastAsia="宋体" w:cs="Times New Roman"/>
              <w:color w:val="auto"/>
              <w:sz w:val="22"/>
              <w:szCs w:val="22"/>
            </w:rPr>
            <w:instrText xml:space="preserve"> PAGEREF _Toc17349 \h </w:instrText>
          </w:r>
          <w:r>
            <w:rPr>
              <w:rFonts w:hint="default" w:ascii="Times New Roman" w:hAnsi="Times New Roman" w:eastAsia="宋体" w:cs="Times New Roman"/>
              <w:color w:val="auto"/>
              <w:sz w:val="22"/>
              <w:szCs w:val="22"/>
            </w:rPr>
            <w:fldChar w:fldCharType="separate"/>
          </w:r>
          <w:r>
            <w:rPr>
              <w:rFonts w:hint="default" w:ascii="Times New Roman" w:hAnsi="Times New Roman" w:eastAsia="宋体" w:cs="Times New Roman"/>
              <w:color w:val="auto"/>
              <w:sz w:val="22"/>
              <w:szCs w:val="22"/>
            </w:rPr>
            <w:t>205</w:t>
          </w:r>
          <w:r>
            <w:rPr>
              <w:rFonts w:hint="default" w:ascii="Times New Roman" w:hAnsi="Times New Roman" w:eastAsia="宋体" w:cs="Times New Roman"/>
              <w:color w:val="auto"/>
              <w:sz w:val="22"/>
              <w:szCs w:val="22"/>
            </w:rPr>
            <w:fldChar w:fldCharType="end"/>
          </w:r>
          <w:r>
            <w:rPr>
              <w:rFonts w:hint="default" w:ascii="Times New Roman" w:hAnsi="Times New Roman" w:eastAsia="宋体" w:cs="Times New Roman"/>
              <w:color w:val="auto"/>
              <w:kern w:val="2"/>
              <w:sz w:val="22"/>
              <w:szCs w:val="22"/>
              <w:highlight w:val="none"/>
              <w:lang w:val="en-US" w:eastAsia="zh-CN" w:bidi="ar-SA"/>
            </w:rPr>
            <w:fldChar w:fldCharType="end"/>
          </w:r>
        </w:p>
        <w:p>
          <w:pPr>
            <w:pStyle w:val="31"/>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firstLine="440" w:firstLineChars="200"/>
            <w:textAlignment w:val="auto"/>
            <w:rPr>
              <w:rFonts w:hint="default" w:ascii="Times New Roman" w:hAnsi="Times New Roman" w:eastAsia="宋体" w:cs="Times New Roman"/>
              <w:color w:val="auto"/>
              <w:sz w:val="22"/>
              <w:szCs w:val="22"/>
            </w:rPr>
          </w:pPr>
          <w:r>
            <w:rPr>
              <w:rFonts w:hint="default" w:ascii="Times New Roman" w:hAnsi="Times New Roman" w:eastAsia="宋体" w:cs="Times New Roman"/>
              <w:color w:val="auto"/>
              <w:kern w:val="2"/>
              <w:sz w:val="22"/>
              <w:szCs w:val="22"/>
              <w:highlight w:val="none"/>
              <w:lang w:val="en-US" w:eastAsia="zh-CN" w:bidi="ar-SA"/>
            </w:rPr>
            <w:fldChar w:fldCharType="begin"/>
          </w:r>
          <w:r>
            <w:rPr>
              <w:rFonts w:hint="default" w:ascii="Times New Roman" w:hAnsi="Times New Roman" w:eastAsia="宋体" w:cs="Times New Roman"/>
              <w:color w:val="auto"/>
              <w:kern w:val="2"/>
              <w:sz w:val="22"/>
              <w:szCs w:val="22"/>
              <w:highlight w:val="none"/>
              <w:lang w:val="en-US" w:eastAsia="zh-CN" w:bidi="ar-SA"/>
            </w:rPr>
            <w:instrText xml:space="preserve"> HYPERLINK \l _Toc16627 </w:instrText>
          </w:r>
          <w:r>
            <w:rPr>
              <w:rFonts w:hint="default" w:ascii="Times New Roman" w:hAnsi="Times New Roman" w:eastAsia="宋体" w:cs="Times New Roman"/>
              <w:color w:val="auto"/>
              <w:kern w:val="2"/>
              <w:sz w:val="22"/>
              <w:szCs w:val="22"/>
              <w:highlight w:val="none"/>
              <w:lang w:val="en-US" w:eastAsia="zh-CN" w:bidi="ar-SA"/>
            </w:rPr>
            <w:fldChar w:fldCharType="separate"/>
          </w:r>
          <w:r>
            <w:rPr>
              <w:rFonts w:hint="default" w:ascii="Times New Roman" w:hAnsi="Times New Roman" w:eastAsia="宋体" w:cs="Times New Roman"/>
              <w:bCs w:val="0"/>
              <w:i w:val="0"/>
              <w:color w:val="auto"/>
              <w:kern w:val="2"/>
              <w:sz w:val="22"/>
              <w:szCs w:val="22"/>
              <w:highlight w:val="none"/>
              <w:lang w:val="en-US" w:eastAsia="zh-CN" w:bidi="ar-SA"/>
            </w:rPr>
            <w:t>10.2</w:t>
          </w:r>
          <w:r>
            <w:rPr>
              <w:rFonts w:hint="default" w:ascii="Times New Roman" w:hAnsi="Times New Roman" w:eastAsia="宋体" w:cs="Times New Roman"/>
              <w:bCs w:val="0"/>
              <w:color w:val="auto"/>
              <w:sz w:val="22"/>
              <w:szCs w:val="22"/>
              <w:highlight w:val="none"/>
            </w:rPr>
            <w:t>环保投资及效益分析</w:t>
          </w:r>
          <w:r>
            <w:rPr>
              <w:rFonts w:hint="default" w:ascii="Times New Roman" w:hAnsi="Times New Roman" w:eastAsia="宋体" w:cs="Times New Roman"/>
              <w:color w:val="auto"/>
              <w:sz w:val="22"/>
              <w:szCs w:val="22"/>
            </w:rPr>
            <w:tab/>
          </w:r>
          <w:r>
            <w:rPr>
              <w:rFonts w:hint="default" w:ascii="Times New Roman" w:hAnsi="Times New Roman" w:eastAsia="宋体" w:cs="Times New Roman"/>
              <w:color w:val="auto"/>
              <w:sz w:val="22"/>
              <w:szCs w:val="22"/>
            </w:rPr>
            <w:fldChar w:fldCharType="begin"/>
          </w:r>
          <w:r>
            <w:rPr>
              <w:rFonts w:hint="default" w:ascii="Times New Roman" w:hAnsi="Times New Roman" w:eastAsia="宋体" w:cs="Times New Roman"/>
              <w:color w:val="auto"/>
              <w:sz w:val="22"/>
              <w:szCs w:val="22"/>
            </w:rPr>
            <w:instrText xml:space="preserve"> PAGEREF _Toc16627 \h </w:instrText>
          </w:r>
          <w:r>
            <w:rPr>
              <w:rFonts w:hint="default" w:ascii="Times New Roman" w:hAnsi="Times New Roman" w:eastAsia="宋体" w:cs="Times New Roman"/>
              <w:color w:val="auto"/>
              <w:sz w:val="22"/>
              <w:szCs w:val="22"/>
            </w:rPr>
            <w:fldChar w:fldCharType="separate"/>
          </w:r>
          <w:r>
            <w:rPr>
              <w:rFonts w:hint="default" w:ascii="Times New Roman" w:hAnsi="Times New Roman" w:eastAsia="宋体" w:cs="Times New Roman"/>
              <w:color w:val="auto"/>
              <w:sz w:val="22"/>
              <w:szCs w:val="22"/>
            </w:rPr>
            <w:t>205</w:t>
          </w:r>
          <w:r>
            <w:rPr>
              <w:rFonts w:hint="default" w:ascii="Times New Roman" w:hAnsi="Times New Roman" w:eastAsia="宋体" w:cs="Times New Roman"/>
              <w:color w:val="auto"/>
              <w:sz w:val="22"/>
              <w:szCs w:val="22"/>
            </w:rPr>
            <w:fldChar w:fldCharType="end"/>
          </w:r>
          <w:r>
            <w:rPr>
              <w:rFonts w:hint="default" w:ascii="Times New Roman" w:hAnsi="Times New Roman" w:eastAsia="宋体" w:cs="Times New Roman"/>
              <w:color w:val="auto"/>
              <w:kern w:val="2"/>
              <w:sz w:val="22"/>
              <w:szCs w:val="22"/>
              <w:highlight w:val="none"/>
              <w:lang w:val="en-US" w:eastAsia="zh-CN" w:bidi="ar-SA"/>
            </w:rPr>
            <w:fldChar w:fldCharType="end"/>
          </w:r>
        </w:p>
        <w:p>
          <w:pPr>
            <w:pStyle w:val="45"/>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firstLine="440" w:firstLineChars="200"/>
            <w:textAlignment w:val="auto"/>
            <w:rPr>
              <w:rFonts w:hint="default" w:ascii="Times New Roman" w:hAnsi="Times New Roman" w:eastAsia="宋体" w:cs="Times New Roman"/>
              <w:color w:val="auto"/>
              <w:sz w:val="22"/>
              <w:szCs w:val="22"/>
            </w:rPr>
          </w:pPr>
          <w:r>
            <w:rPr>
              <w:rFonts w:hint="default" w:ascii="Times New Roman" w:hAnsi="Times New Roman" w:eastAsia="宋体" w:cs="Times New Roman"/>
              <w:color w:val="auto"/>
              <w:kern w:val="2"/>
              <w:sz w:val="22"/>
              <w:szCs w:val="22"/>
              <w:highlight w:val="none"/>
              <w:lang w:val="en-US" w:eastAsia="zh-CN" w:bidi="ar-SA"/>
            </w:rPr>
            <w:fldChar w:fldCharType="begin"/>
          </w:r>
          <w:r>
            <w:rPr>
              <w:rFonts w:hint="default" w:ascii="Times New Roman" w:hAnsi="Times New Roman" w:eastAsia="宋体" w:cs="Times New Roman"/>
              <w:color w:val="auto"/>
              <w:kern w:val="2"/>
              <w:sz w:val="22"/>
              <w:szCs w:val="22"/>
              <w:highlight w:val="none"/>
              <w:lang w:val="en-US" w:eastAsia="zh-CN" w:bidi="ar-SA"/>
            </w:rPr>
            <w:instrText xml:space="preserve"> HYPERLINK \l _Toc13804 </w:instrText>
          </w:r>
          <w:r>
            <w:rPr>
              <w:rFonts w:hint="default" w:ascii="Times New Roman" w:hAnsi="Times New Roman" w:eastAsia="宋体" w:cs="Times New Roman"/>
              <w:color w:val="auto"/>
              <w:kern w:val="2"/>
              <w:sz w:val="22"/>
              <w:szCs w:val="22"/>
              <w:highlight w:val="none"/>
              <w:lang w:val="en-US" w:eastAsia="zh-CN" w:bidi="ar-SA"/>
            </w:rPr>
            <w:fldChar w:fldCharType="separate"/>
          </w:r>
          <w:r>
            <w:rPr>
              <w:rFonts w:hint="default" w:ascii="Times New Roman" w:hAnsi="Times New Roman" w:eastAsia="宋体" w:cs="Times New Roman"/>
              <w:bCs w:val="0"/>
              <w:i w:val="0"/>
              <w:color w:val="auto"/>
              <w:kern w:val="2"/>
              <w:sz w:val="22"/>
              <w:szCs w:val="22"/>
              <w:highlight w:val="none"/>
              <w:lang w:val="en-US" w:eastAsia="zh-CN" w:bidi="ar-SA"/>
            </w:rPr>
            <w:t>10.3</w:t>
          </w:r>
          <w:r>
            <w:rPr>
              <w:rFonts w:hint="default" w:ascii="Times New Roman" w:hAnsi="Times New Roman" w:eastAsia="宋体" w:cs="Times New Roman"/>
              <w:bCs w:val="0"/>
              <w:color w:val="auto"/>
              <w:sz w:val="22"/>
              <w:szCs w:val="22"/>
              <w:highlight w:val="none"/>
            </w:rPr>
            <w:t>社会效益影响分析</w:t>
          </w:r>
          <w:r>
            <w:rPr>
              <w:rFonts w:hint="default" w:ascii="Times New Roman" w:hAnsi="Times New Roman" w:eastAsia="宋体" w:cs="Times New Roman"/>
              <w:color w:val="auto"/>
              <w:sz w:val="22"/>
              <w:szCs w:val="22"/>
            </w:rPr>
            <w:tab/>
          </w:r>
          <w:r>
            <w:rPr>
              <w:rFonts w:hint="default" w:ascii="Times New Roman" w:hAnsi="Times New Roman" w:eastAsia="宋体" w:cs="Times New Roman"/>
              <w:color w:val="auto"/>
              <w:sz w:val="22"/>
              <w:szCs w:val="22"/>
            </w:rPr>
            <w:fldChar w:fldCharType="begin"/>
          </w:r>
          <w:r>
            <w:rPr>
              <w:rFonts w:hint="default" w:ascii="Times New Roman" w:hAnsi="Times New Roman" w:eastAsia="宋体" w:cs="Times New Roman"/>
              <w:color w:val="auto"/>
              <w:sz w:val="22"/>
              <w:szCs w:val="22"/>
            </w:rPr>
            <w:instrText xml:space="preserve"> PAGEREF _Toc13804 \h </w:instrText>
          </w:r>
          <w:r>
            <w:rPr>
              <w:rFonts w:hint="default" w:ascii="Times New Roman" w:hAnsi="Times New Roman" w:eastAsia="宋体" w:cs="Times New Roman"/>
              <w:color w:val="auto"/>
              <w:sz w:val="22"/>
              <w:szCs w:val="22"/>
            </w:rPr>
            <w:fldChar w:fldCharType="separate"/>
          </w:r>
          <w:r>
            <w:rPr>
              <w:rFonts w:hint="default" w:ascii="Times New Roman" w:hAnsi="Times New Roman" w:eastAsia="宋体" w:cs="Times New Roman"/>
              <w:color w:val="auto"/>
              <w:sz w:val="22"/>
              <w:szCs w:val="22"/>
            </w:rPr>
            <w:t>206</w:t>
          </w:r>
          <w:r>
            <w:rPr>
              <w:rFonts w:hint="default" w:ascii="Times New Roman" w:hAnsi="Times New Roman" w:eastAsia="宋体" w:cs="Times New Roman"/>
              <w:color w:val="auto"/>
              <w:sz w:val="22"/>
              <w:szCs w:val="22"/>
            </w:rPr>
            <w:fldChar w:fldCharType="end"/>
          </w:r>
          <w:r>
            <w:rPr>
              <w:rFonts w:hint="default" w:ascii="Times New Roman" w:hAnsi="Times New Roman" w:eastAsia="宋体" w:cs="Times New Roman"/>
              <w:color w:val="auto"/>
              <w:kern w:val="2"/>
              <w:sz w:val="22"/>
              <w:szCs w:val="22"/>
              <w:highlight w:val="none"/>
              <w:lang w:val="en-US" w:eastAsia="zh-CN" w:bidi="ar-SA"/>
            </w:rPr>
            <w:fldChar w:fldCharType="end"/>
          </w:r>
        </w:p>
        <w:p>
          <w:pPr>
            <w:pStyle w:val="31"/>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leftChars="0" w:firstLine="0" w:firstLineChars="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2"/>
              <w:sz w:val="24"/>
              <w:szCs w:val="24"/>
              <w:highlight w:val="none"/>
              <w:lang w:val="en-US" w:eastAsia="zh-CN" w:bidi="ar-SA"/>
            </w:rPr>
            <w:fldChar w:fldCharType="begin"/>
          </w:r>
          <w:r>
            <w:rPr>
              <w:rFonts w:hint="default" w:ascii="Times New Roman" w:hAnsi="Times New Roman" w:eastAsia="宋体" w:cs="Times New Roman"/>
              <w:color w:val="auto"/>
              <w:kern w:val="2"/>
              <w:sz w:val="24"/>
              <w:szCs w:val="24"/>
              <w:highlight w:val="none"/>
              <w:lang w:val="en-US" w:eastAsia="zh-CN" w:bidi="ar-SA"/>
            </w:rPr>
            <w:instrText xml:space="preserve"> HYPERLINK \l _Toc13224 </w:instrText>
          </w:r>
          <w:r>
            <w:rPr>
              <w:rFonts w:hint="default" w:ascii="Times New Roman" w:hAnsi="Times New Roman" w:eastAsia="宋体" w:cs="Times New Roman"/>
              <w:color w:val="auto"/>
              <w:kern w:val="2"/>
              <w:sz w:val="24"/>
              <w:szCs w:val="24"/>
              <w:highlight w:val="none"/>
              <w:lang w:val="en-US" w:eastAsia="zh-CN" w:bidi="ar-SA"/>
            </w:rPr>
            <w:fldChar w:fldCharType="separate"/>
          </w:r>
          <w:r>
            <w:rPr>
              <w:rFonts w:hint="default" w:ascii="Times New Roman" w:hAnsi="Times New Roman" w:eastAsia="宋体" w:cs="Times New Roman"/>
              <w:bCs/>
              <w:i w:val="0"/>
              <w:color w:val="auto"/>
              <w:kern w:val="44"/>
              <w:sz w:val="24"/>
              <w:szCs w:val="24"/>
              <w:highlight w:val="none"/>
              <w:lang w:val="en-US" w:eastAsia="zh-CN" w:bidi="ar-SA"/>
            </w:rPr>
            <w:t>11</w:t>
          </w:r>
          <w:r>
            <w:rPr>
              <w:rFonts w:hint="default" w:ascii="Times New Roman" w:hAnsi="Times New Roman" w:eastAsia="宋体" w:cs="Times New Roman"/>
              <w:bCs/>
              <w:color w:val="auto"/>
              <w:sz w:val="24"/>
              <w:szCs w:val="24"/>
              <w:highlight w:val="none"/>
            </w:rPr>
            <w:t>环境管理与监测计划</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_Toc13224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207</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kern w:val="2"/>
              <w:sz w:val="24"/>
              <w:szCs w:val="24"/>
              <w:highlight w:val="none"/>
              <w:lang w:val="en-US" w:eastAsia="zh-CN" w:bidi="ar-SA"/>
            </w:rPr>
            <w:fldChar w:fldCharType="end"/>
          </w:r>
        </w:p>
        <w:p>
          <w:pPr>
            <w:pStyle w:val="45"/>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firstLine="440" w:firstLineChars="200"/>
            <w:textAlignment w:val="auto"/>
            <w:rPr>
              <w:rFonts w:hint="default" w:ascii="Times New Roman" w:hAnsi="Times New Roman" w:eastAsia="宋体" w:cs="Times New Roman"/>
              <w:color w:val="auto"/>
              <w:sz w:val="22"/>
              <w:szCs w:val="22"/>
            </w:rPr>
          </w:pPr>
          <w:r>
            <w:rPr>
              <w:rFonts w:hint="default" w:ascii="Times New Roman" w:hAnsi="Times New Roman" w:eastAsia="宋体" w:cs="Times New Roman"/>
              <w:color w:val="auto"/>
              <w:kern w:val="2"/>
              <w:sz w:val="22"/>
              <w:szCs w:val="22"/>
              <w:highlight w:val="none"/>
              <w:lang w:val="en-US" w:eastAsia="zh-CN" w:bidi="ar-SA"/>
            </w:rPr>
            <w:fldChar w:fldCharType="begin"/>
          </w:r>
          <w:r>
            <w:rPr>
              <w:rFonts w:hint="default" w:ascii="Times New Roman" w:hAnsi="Times New Roman" w:eastAsia="宋体" w:cs="Times New Roman"/>
              <w:color w:val="auto"/>
              <w:kern w:val="2"/>
              <w:sz w:val="22"/>
              <w:szCs w:val="22"/>
              <w:highlight w:val="none"/>
              <w:lang w:val="en-US" w:eastAsia="zh-CN" w:bidi="ar-SA"/>
            </w:rPr>
            <w:instrText xml:space="preserve"> HYPERLINK \l _Toc15836 </w:instrText>
          </w:r>
          <w:r>
            <w:rPr>
              <w:rFonts w:hint="default" w:ascii="Times New Roman" w:hAnsi="Times New Roman" w:eastAsia="宋体" w:cs="Times New Roman"/>
              <w:color w:val="auto"/>
              <w:kern w:val="2"/>
              <w:sz w:val="22"/>
              <w:szCs w:val="22"/>
              <w:highlight w:val="none"/>
              <w:lang w:val="en-US" w:eastAsia="zh-CN" w:bidi="ar-SA"/>
            </w:rPr>
            <w:fldChar w:fldCharType="separate"/>
          </w:r>
          <w:r>
            <w:rPr>
              <w:rFonts w:hint="default" w:ascii="Times New Roman" w:hAnsi="Times New Roman" w:eastAsia="宋体" w:cs="Times New Roman"/>
              <w:bCs w:val="0"/>
              <w:i w:val="0"/>
              <w:color w:val="auto"/>
              <w:kern w:val="2"/>
              <w:sz w:val="22"/>
              <w:szCs w:val="22"/>
              <w:highlight w:val="none"/>
              <w:lang w:val="en-US" w:eastAsia="zh-CN" w:bidi="ar-SA"/>
            </w:rPr>
            <w:t>11.1</w:t>
          </w:r>
          <w:r>
            <w:rPr>
              <w:rFonts w:hint="default" w:ascii="Times New Roman" w:hAnsi="Times New Roman" w:eastAsia="宋体" w:cs="Times New Roman"/>
              <w:bCs w:val="0"/>
              <w:color w:val="auto"/>
              <w:sz w:val="22"/>
              <w:szCs w:val="22"/>
              <w:highlight w:val="none"/>
            </w:rPr>
            <w:t>环境管理计划</w:t>
          </w:r>
          <w:r>
            <w:rPr>
              <w:rFonts w:hint="default" w:ascii="Times New Roman" w:hAnsi="Times New Roman" w:eastAsia="宋体" w:cs="Times New Roman"/>
              <w:color w:val="auto"/>
              <w:sz w:val="22"/>
              <w:szCs w:val="22"/>
            </w:rPr>
            <w:tab/>
          </w:r>
          <w:r>
            <w:rPr>
              <w:rFonts w:hint="default" w:ascii="Times New Roman" w:hAnsi="Times New Roman" w:eastAsia="宋体" w:cs="Times New Roman"/>
              <w:color w:val="auto"/>
              <w:sz w:val="22"/>
              <w:szCs w:val="22"/>
            </w:rPr>
            <w:fldChar w:fldCharType="begin"/>
          </w:r>
          <w:r>
            <w:rPr>
              <w:rFonts w:hint="default" w:ascii="Times New Roman" w:hAnsi="Times New Roman" w:eastAsia="宋体" w:cs="Times New Roman"/>
              <w:color w:val="auto"/>
              <w:sz w:val="22"/>
              <w:szCs w:val="22"/>
            </w:rPr>
            <w:instrText xml:space="preserve"> PAGEREF _Toc15836 \h </w:instrText>
          </w:r>
          <w:r>
            <w:rPr>
              <w:rFonts w:hint="default" w:ascii="Times New Roman" w:hAnsi="Times New Roman" w:eastAsia="宋体" w:cs="Times New Roman"/>
              <w:color w:val="auto"/>
              <w:sz w:val="22"/>
              <w:szCs w:val="22"/>
            </w:rPr>
            <w:fldChar w:fldCharType="separate"/>
          </w:r>
          <w:r>
            <w:rPr>
              <w:rFonts w:hint="default" w:ascii="Times New Roman" w:hAnsi="Times New Roman" w:eastAsia="宋体" w:cs="Times New Roman"/>
              <w:color w:val="auto"/>
              <w:sz w:val="22"/>
              <w:szCs w:val="22"/>
            </w:rPr>
            <w:t>207</w:t>
          </w:r>
          <w:r>
            <w:rPr>
              <w:rFonts w:hint="default" w:ascii="Times New Roman" w:hAnsi="Times New Roman" w:eastAsia="宋体" w:cs="Times New Roman"/>
              <w:color w:val="auto"/>
              <w:sz w:val="22"/>
              <w:szCs w:val="22"/>
            </w:rPr>
            <w:fldChar w:fldCharType="end"/>
          </w:r>
          <w:r>
            <w:rPr>
              <w:rFonts w:hint="default" w:ascii="Times New Roman" w:hAnsi="Times New Roman" w:eastAsia="宋体" w:cs="Times New Roman"/>
              <w:color w:val="auto"/>
              <w:kern w:val="2"/>
              <w:sz w:val="22"/>
              <w:szCs w:val="22"/>
              <w:highlight w:val="none"/>
              <w:lang w:val="en-US" w:eastAsia="zh-CN" w:bidi="ar-SA"/>
            </w:rPr>
            <w:fldChar w:fldCharType="end"/>
          </w:r>
        </w:p>
        <w:p>
          <w:pPr>
            <w:pStyle w:val="45"/>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firstLine="440" w:firstLineChars="200"/>
            <w:textAlignment w:val="auto"/>
            <w:rPr>
              <w:rFonts w:hint="default" w:ascii="Times New Roman" w:hAnsi="Times New Roman" w:eastAsia="宋体" w:cs="Times New Roman"/>
              <w:color w:val="auto"/>
              <w:sz w:val="22"/>
              <w:szCs w:val="22"/>
            </w:rPr>
          </w:pPr>
          <w:r>
            <w:rPr>
              <w:rFonts w:hint="default" w:ascii="Times New Roman" w:hAnsi="Times New Roman" w:eastAsia="宋体" w:cs="Times New Roman"/>
              <w:color w:val="auto"/>
              <w:kern w:val="2"/>
              <w:sz w:val="22"/>
              <w:szCs w:val="22"/>
              <w:highlight w:val="none"/>
              <w:lang w:val="en-US" w:eastAsia="zh-CN" w:bidi="ar-SA"/>
            </w:rPr>
            <w:fldChar w:fldCharType="begin"/>
          </w:r>
          <w:r>
            <w:rPr>
              <w:rFonts w:hint="default" w:ascii="Times New Roman" w:hAnsi="Times New Roman" w:eastAsia="宋体" w:cs="Times New Roman"/>
              <w:color w:val="auto"/>
              <w:kern w:val="2"/>
              <w:sz w:val="22"/>
              <w:szCs w:val="22"/>
              <w:highlight w:val="none"/>
              <w:lang w:val="en-US" w:eastAsia="zh-CN" w:bidi="ar-SA"/>
            </w:rPr>
            <w:instrText xml:space="preserve"> HYPERLINK \l _Toc8183 </w:instrText>
          </w:r>
          <w:r>
            <w:rPr>
              <w:rFonts w:hint="default" w:ascii="Times New Roman" w:hAnsi="Times New Roman" w:eastAsia="宋体" w:cs="Times New Roman"/>
              <w:color w:val="auto"/>
              <w:kern w:val="2"/>
              <w:sz w:val="22"/>
              <w:szCs w:val="22"/>
              <w:highlight w:val="none"/>
              <w:lang w:val="en-US" w:eastAsia="zh-CN" w:bidi="ar-SA"/>
            </w:rPr>
            <w:fldChar w:fldCharType="separate"/>
          </w:r>
          <w:r>
            <w:rPr>
              <w:rFonts w:hint="default" w:ascii="Times New Roman" w:hAnsi="Times New Roman" w:eastAsia="宋体" w:cs="Times New Roman"/>
              <w:bCs w:val="0"/>
              <w:i w:val="0"/>
              <w:color w:val="auto"/>
              <w:kern w:val="2"/>
              <w:sz w:val="22"/>
              <w:szCs w:val="22"/>
              <w:highlight w:val="none"/>
              <w:lang w:val="en-US" w:eastAsia="zh-CN" w:bidi="ar-SA"/>
            </w:rPr>
            <w:t>11.2</w:t>
          </w:r>
          <w:r>
            <w:rPr>
              <w:rFonts w:hint="default" w:ascii="Times New Roman" w:hAnsi="Times New Roman" w:eastAsia="宋体" w:cs="Times New Roman"/>
              <w:bCs w:val="0"/>
              <w:color w:val="auto"/>
              <w:sz w:val="22"/>
              <w:szCs w:val="22"/>
              <w:highlight w:val="none"/>
            </w:rPr>
            <w:t>环境管理制度</w:t>
          </w:r>
          <w:r>
            <w:rPr>
              <w:rFonts w:hint="default" w:ascii="Times New Roman" w:hAnsi="Times New Roman" w:eastAsia="宋体" w:cs="Times New Roman"/>
              <w:color w:val="auto"/>
              <w:sz w:val="22"/>
              <w:szCs w:val="22"/>
            </w:rPr>
            <w:tab/>
          </w:r>
          <w:r>
            <w:rPr>
              <w:rFonts w:hint="default" w:ascii="Times New Roman" w:hAnsi="Times New Roman" w:eastAsia="宋体" w:cs="Times New Roman"/>
              <w:color w:val="auto"/>
              <w:sz w:val="22"/>
              <w:szCs w:val="22"/>
            </w:rPr>
            <w:fldChar w:fldCharType="begin"/>
          </w:r>
          <w:r>
            <w:rPr>
              <w:rFonts w:hint="default" w:ascii="Times New Roman" w:hAnsi="Times New Roman" w:eastAsia="宋体" w:cs="Times New Roman"/>
              <w:color w:val="auto"/>
              <w:sz w:val="22"/>
              <w:szCs w:val="22"/>
            </w:rPr>
            <w:instrText xml:space="preserve"> PAGEREF _Toc8183 \h </w:instrText>
          </w:r>
          <w:r>
            <w:rPr>
              <w:rFonts w:hint="default" w:ascii="Times New Roman" w:hAnsi="Times New Roman" w:eastAsia="宋体" w:cs="Times New Roman"/>
              <w:color w:val="auto"/>
              <w:sz w:val="22"/>
              <w:szCs w:val="22"/>
            </w:rPr>
            <w:fldChar w:fldCharType="separate"/>
          </w:r>
          <w:r>
            <w:rPr>
              <w:rFonts w:hint="default" w:ascii="Times New Roman" w:hAnsi="Times New Roman" w:eastAsia="宋体" w:cs="Times New Roman"/>
              <w:color w:val="auto"/>
              <w:sz w:val="22"/>
              <w:szCs w:val="22"/>
            </w:rPr>
            <w:t>208</w:t>
          </w:r>
          <w:r>
            <w:rPr>
              <w:rFonts w:hint="default" w:ascii="Times New Roman" w:hAnsi="Times New Roman" w:eastAsia="宋体" w:cs="Times New Roman"/>
              <w:color w:val="auto"/>
              <w:sz w:val="22"/>
              <w:szCs w:val="22"/>
            </w:rPr>
            <w:fldChar w:fldCharType="end"/>
          </w:r>
          <w:r>
            <w:rPr>
              <w:rFonts w:hint="default" w:ascii="Times New Roman" w:hAnsi="Times New Roman" w:eastAsia="宋体" w:cs="Times New Roman"/>
              <w:color w:val="auto"/>
              <w:kern w:val="2"/>
              <w:sz w:val="22"/>
              <w:szCs w:val="22"/>
              <w:highlight w:val="none"/>
              <w:lang w:val="en-US" w:eastAsia="zh-CN" w:bidi="ar-SA"/>
            </w:rPr>
            <w:fldChar w:fldCharType="end"/>
          </w:r>
        </w:p>
        <w:p>
          <w:pPr>
            <w:pStyle w:val="45"/>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firstLine="440" w:firstLineChars="200"/>
            <w:textAlignment w:val="auto"/>
            <w:rPr>
              <w:rFonts w:hint="default" w:ascii="Times New Roman" w:hAnsi="Times New Roman" w:eastAsia="宋体" w:cs="Times New Roman"/>
              <w:color w:val="auto"/>
              <w:sz w:val="22"/>
              <w:szCs w:val="22"/>
            </w:rPr>
          </w:pPr>
          <w:r>
            <w:rPr>
              <w:rFonts w:hint="default" w:ascii="Times New Roman" w:hAnsi="Times New Roman" w:eastAsia="宋体" w:cs="Times New Roman"/>
              <w:color w:val="auto"/>
              <w:kern w:val="2"/>
              <w:sz w:val="22"/>
              <w:szCs w:val="22"/>
              <w:highlight w:val="none"/>
              <w:lang w:val="en-US" w:eastAsia="zh-CN" w:bidi="ar-SA"/>
            </w:rPr>
            <w:fldChar w:fldCharType="begin"/>
          </w:r>
          <w:r>
            <w:rPr>
              <w:rFonts w:hint="default" w:ascii="Times New Roman" w:hAnsi="Times New Roman" w:eastAsia="宋体" w:cs="Times New Roman"/>
              <w:color w:val="auto"/>
              <w:kern w:val="2"/>
              <w:sz w:val="22"/>
              <w:szCs w:val="22"/>
              <w:highlight w:val="none"/>
              <w:lang w:val="en-US" w:eastAsia="zh-CN" w:bidi="ar-SA"/>
            </w:rPr>
            <w:instrText xml:space="preserve"> HYPERLINK \l _Toc7839 </w:instrText>
          </w:r>
          <w:r>
            <w:rPr>
              <w:rFonts w:hint="default" w:ascii="Times New Roman" w:hAnsi="Times New Roman" w:eastAsia="宋体" w:cs="Times New Roman"/>
              <w:color w:val="auto"/>
              <w:kern w:val="2"/>
              <w:sz w:val="22"/>
              <w:szCs w:val="22"/>
              <w:highlight w:val="none"/>
              <w:lang w:val="en-US" w:eastAsia="zh-CN" w:bidi="ar-SA"/>
            </w:rPr>
            <w:fldChar w:fldCharType="separate"/>
          </w:r>
          <w:r>
            <w:rPr>
              <w:rFonts w:hint="default" w:ascii="Times New Roman" w:hAnsi="Times New Roman" w:eastAsia="宋体" w:cs="Times New Roman"/>
              <w:bCs w:val="0"/>
              <w:i w:val="0"/>
              <w:color w:val="auto"/>
              <w:kern w:val="2"/>
              <w:sz w:val="22"/>
              <w:szCs w:val="22"/>
              <w:highlight w:val="none"/>
              <w:lang w:val="en-US" w:eastAsia="zh-CN" w:bidi="ar-SA"/>
            </w:rPr>
            <w:t>11.3</w:t>
          </w:r>
          <w:r>
            <w:rPr>
              <w:rFonts w:hint="default" w:ascii="Times New Roman" w:hAnsi="Times New Roman" w:eastAsia="宋体" w:cs="Times New Roman"/>
              <w:bCs w:val="0"/>
              <w:color w:val="auto"/>
              <w:sz w:val="22"/>
              <w:szCs w:val="22"/>
              <w:highlight w:val="none"/>
            </w:rPr>
            <w:t>污染物排放清单</w:t>
          </w:r>
          <w:r>
            <w:rPr>
              <w:rFonts w:hint="default" w:ascii="Times New Roman" w:hAnsi="Times New Roman" w:eastAsia="宋体" w:cs="Times New Roman"/>
              <w:color w:val="auto"/>
              <w:sz w:val="22"/>
              <w:szCs w:val="22"/>
            </w:rPr>
            <w:tab/>
          </w:r>
          <w:r>
            <w:rPr>
              <w:rFonts w:hint="default" w:ascii="Times New Roman" w:hAnsi="Times New Roman" w:eastAsia="宋体" w:cs="Times New Roman"/>
              <w:color w:val="auto"/>
              <w:sz w:val="22"/>
              <w:szCs w:val="22"/>
            </w:rPr>
            <w:fldChar w:fldCharType="begin"/>
          </w:r>
          <w:r>
            <w:rPr>
              <w:rFonts w:hint="default" w:ascii="Times New Roman" w:hAnsi="Times New Roman" w:eastAsia="宋体" w:cs="Times New Roman"/>
              <w:color w:val="auto"/>
              <w:sz w:val="22"/>
              <w:szCs w:val="22"/>
            </w:rPr>
            <w:instrText xml:space="preserve"> PAGEREF _Toc7839 \h </w:instrText>
          </w:r>
          <w:r>
            <w:rPr>
              <w:rFonts w:hint="default" w:ascii="Times New Roman" w:hAnsi="Times New Roman" w:eastAsia="宋体" w:cs="Times New Roman"/>
              <w:color w:val="auto"/>
              <w:sz w:val="22"/>
              <w:szCs w:val="22"/>
            </w:rPr>
            <w:fldChar w:fldCharType="separate"/>
          </w:r>
          <w:r>
            <w:rPr>
              <w:rFonts w:hint="default" w:ascii="Times New Roman" w:hAnsi="Times New Roman" w:eastAsia="宋体" w:cs="Times New Roman"/>
              <w:color w:val="auto"/>
              <w:sz w:val="22"/>
              <w:szCs w:val="22"/>
            </w:rPr>
            <w:t>209</w:t>
          </w:r>
          <w:r>
            <w:rPr>
              <w:rFonts w:hint="default" w:ascii="Times New Roman" w:hAnsi="Times New Roman" w:eastAsia="宋体" w:cs="Times New Roman"/>
              <w:color w:val="auto"/>
              <w:sz w:val="22"/>
              <w:szCs w:val="22"/>
            </w:rPr>
            <w:fldChar w:fldCharType="end"/>
          </w:r>
          <w:r>
            <w:rPr>
              <w:rFonts w:hint="default" w:ascii="Times New Roman" w:hAnsi="Times New Roman" w:eastAsia="宋体" w:cs="Times New Roman"/>
              <w:color w:val="auto"/>
              <w:kern w:val="2"/>
              <w:sz w:val="22"/>
              <w:szCs w:val="22"/>
              <w:highlight w:val="none"/>
              <w:lang w:val="en-US" w:eastAsia="zh-CN" w:bidi="ar-SA"/>
            </w:rPr>
            <w:fldChar w:fldCharType="end"/>
          </w:r>
        </w:p>
        <w:p>
          <w:pPr>
            <w:pStyle w:val="45"/>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firstLine="440" w:firstLineChars="200"/>
            <w:textAlignment w:val="auto"/>
            <w:rPr>
              <w:rFonts w:hint="default" w:ascii="Times New Roman" w:hAnsi="Times New Roman" w:eastAsia="宋体" w:cs="Times New Roman"/>
              <w:color w:val="auto"/>
              <w:sz w:val="22"/>
              <w:szCs w:val="22"/>
            </w:rPr>
          </w:pPr>
          <w:r>
            <w:rPr>
              <w:rFonts w:hint="default" w:ascii="Times New Roman" w:hAnsi="Times New Roman" w:eastAsia="宋体" w:cs="Times New Roman"/>
              <w:color w:val="auto"/>
              <w:kern w:val="2"/>
              <w:sz w:val="22"/>
              <w:szCs w:val="22"/>
              <w:highlight w:val="none"/>
              <w:lang w:val="en-US" w:eastAsia="zh-CN" w:bidi="ar-SA"/>
            </w:rPr>
            <w:fldChar w:fldCharType="begin"/>
          </w:r>
          <w:r>
            <w:rPr>
              <w:rFonts w:hint="default" w:ascii="Times New Roman" w:hAnsi="Times New Roman" w:eastAsia="宋体" w:cs="Times New Roman"/>
              <w:color w:val="auto"/>
              <w:kern w:val="2"/>
              <w:sz w:val="22"/>
              <w:szCs w:val="22"/>
              <w:highlight w:val="none"/>
              <w:lang w:val="en-US" w:eastAsia="zh-CN" w:bidi="ar-SA"/>
            </w:rPr>
            <w:instrText xml:space="preserve"> HYPERLINK \l _Toc14303 </w:instrText>
          </w:r>
          <w:r>
            <w:rPr>
              <w:rFonts w:hint="default" w:ascii="Times New Roman" w:hAnsi="Times New Roman" w:eastAsia="宋体" w:cs="Times New Roman"/>
              <w:color w:val="auto"/>
              <w:kern w:val="2"/>
              <w:sz w:val="22"/>
              <w:szCs w:val="22"/>
              <w:highlight w:val="none"/>
              <w:lang w:val="en-US" w:eastAsia="zh-CN" w:bidi="ar-SA"/>
            </w:rPr>
            <w:fldChar w:fldCharType="separate"/>
          </w:r>
          <w:r>
            <w:rPr>
              <w:rFonts w:hint="default" w:ascii="Times New Roman" w:hAnsi="Times New Roman" w:eastAsia="宋体" w:cs="Times New Roman"/>
              <w:bCs w:val="0"/>
              <w:i w:val="0"/>
              <w:color w:val="auto"/>
              <w:kern w:val="2"/>
              <w:sz w:val="22"/>
              <w:szCs w:val="22"/>
              <w:highlight w:val="none"/>
              <w:lang w:val="en-US" w:eastAsia="zh-CN" w:bidi="ar-SA"/>
            </w:rPr>
            <w:t>11.4</w:t>
          </w:r>
          <w:r>
            <w:rPr>
              <w:rFonts w:hint="default" w:ascii="Times New Roman" w:hAnsi="Times New Roman" w:eastAsia="宋体" w:cs="Times New Roman"/>
              <w:bCs w:val="0"/>
              <w:color w:val="auto"/>
              <w:sz w:val="22"/>
              <w:szCs w:val="22"/>
              <w:highlight w:val="none"/>
            </w:rPr>
            <w:t>环境监测计划</w:t>
          </w:r>
          <w:r>
            <w:rPr>
              <w:rFonts w:hint="default" w:ascii="Times New Roman" w:hAnsi="Times New Roman" w:eastAsia="宋体" w:cs="Times New Roman"/>
              <w:color w:val="auto"/>
              <w:sz w:val="22"/>
              <w:szCs w:val="22"/>
            </w:rPr>
            <w:tab/>
          </w:r>
          <w:r>
            <w:rPr>
              <w:rFonts w:hint="default" w:ascii="Times New Roman" w:hAnsi="Times New Roman" w:eastAsia="宋体" w:cs="Times New Roman"/>
              <w:color w:val="auto"/>
              <w:sz w:val="22"/>
              <w:szCs w:val="22"/>
            </w:rPr>
            <w:fldChar w:fldCharType="begin"/>
          </w:r>
          <w:r>
            <w:rPr>
              <w:rFonts w:hint="default" w:ascii="Times New Roman" w:hAnsi="Times New Roman" w:eastAsia="宋体" w:cs="Times New Roman"/>
              <w:color w:val="auto"/>
              <w:sz w:val="22"/>
              <w:szCs w:val="22"/>
            </w:rPr>
            <w:instrText xml:space="preserve"> PAGEREF _Toc14303 \h </w:instrText>
          </w:r>
          <w:r>
            <w:rPr>
              <w:rFonts w:hint="default" w:ascii="Times New Roman" w:hAnsi="Times New Roman" w:eastAsia="宋体" w:cs="Times New Roman"/>
              <w:color w:val="auto"/>
              <w:sz w:val="22"/>
              <w:szCs w:val="22"/>
            </w:rPr>
            <w:fldChar w:fldCharType="separate"/>
          </w:r>
          <w:r>
            <w:rPr>
              <w:rFonts w:hint="default" w:ascii="Times New Roman" w:hAnsi="Times New Roman" w:eastAsia="宋体" w:cs="Times New Roman"/>
              <w:color w:val="auto"/>
              <w:sz w:val="22"/>
              <w:szCs w:val="22"/>
            </w:rPr>
            <w:t>209</w:t>
          </w:r>
          <w:r>
            <w:rPr>
              <w:rFonts w:hint="default" w:ascii="Times New Roman" w:hAnsi="Times New Roman" w:eastAsia="宋体" w:cs="Times New Roman"/>
              <w:color w:val="auto"/>
              <w:sz w:val="22"/>
              <w:szCs w:val="22"/>
            </w:rPr>
            <w:fldChar w:fldCharType="end"/>
          </w:r>
          <w:r>
            <w:rPr>
              <w:rFonts w:hint="default" w:ascii="Times New Roman" w:hAnsi="Times New Roman" w:eastAsia="宋体" w:cs="Times New Roman"/>
              <w:color w:val="auto"/>
              <w:kern w:val="2"/>
              <w:sz w:val="22"/>
              <w:szCs w:val="22"/>
              <w:highlight w:val="none"/>
              <w:lang w:val="en-US" w:eastAsia="zh-CN" w:bidi="ar-SA"/>
            </w:rPr>
            <w:fldChar w:fldCharType="end"/>
          </w:r>
        </w:p>
        <w:p>
          <w:pPr>
            <w:pStyle w:val="45"/>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firstLine="440" w:firstLineChars="200"/>
            <w:textAlignment w:val="auto"/>
            <w:rPr>
              <w:rFonts w:hint="default" w:ascii="Times New Roman" w:hAnsi="Times New Roman" w:eastAsia="宋体" w:cs="Times New Roman"/>
              <w:color w:val="auto"/>
              <w:sz w:val="22"/>
              <w:szCs w:val="22"/>
            </w:rPr>
          </w:pPr>
          <w:r>
            <w:rPr>
              <w:rFonts w:hint="default" w:ascii="Times New Roman" w:hAnsi="Times New Roman" w:eastAsia="宋体" w:cs="Times New Roman"/>
              <w:color w:val="auto"/>
              <w:kern w:val="2"/>
              <w:sz w:val="22"/>
              <w:szCs w:val="22"/>
              <w:highlight w:val="none"/>
              <w:lang w:val="en-US" w:eastAsia="zh-CN" w:bidi="ar-SA"/>
            </w:rPr>
            <w:fldChar w:fldCharType="begin"/>
          </w:r>
          <w:r>
            <w:rPr>
              <w:rFonts w:hint="default" w:ascii="Times New Roman" w:hAnsi="Times New Roman" w:eastAsia="宋体" w:cs="Times New Roman"/>
              <w:color w:val="auto"/>
              <w:kern w:val="2"/>
              <w:sz w:val="22"/>
              <w:szCs w:val="22"/>
              <w:highlight w:val="none"/>
              <w:lang w:val="en-US" w:eastAsia="zh-CN" w:bidi="ar-SA"/>
            </w:rPr>
            <w:instrText xml:space="preserve"> HYPERLINK \l _Toc15360 </w:instrText>
          </w:r>
          <w:r>
            <w:rPr>
              <w:rFonts w:hint="default" w:ascii="Times New Roman" w:hAnsi="Times New Roman" w:eastAsia="宋体" w:cs="Times New Roman"/>
              <w:color w:val="auto"/>
              <w:kern w:val="2"/>
              <w:sz w:val="22"/>
              <w:szCs w:val="22"/>
              <w:highlight w:val="none"/>
              <w:lang w:val="en-US" w:eastAsia="zh-CN" w:bidi="ar-SA"/>
            </w:rPr>
            <w:fldChar w:fldCharType="separate"/>
          </w:r>
          <w:r>
            <w:rPr>
              <w:rFonts w:hint="default" w:ascii="Times New Roman" w:hAnsi="Times New Roman" w:eastAsia="宋体" w:cs="Times New Roman"/>
              <w:bCs w:val="0"/>
              <w:i w:val="0"/>
              <w:color w:val="auto"/>
              <w:kern w:val="2"/>
              <w:sz w:val="22"/>
              <w:szCs w:val="22"/>
              <w:highlight w:val="none"/>
              <w:lang w:val="en-US" w:eastAsia="zh-CN" w:bidi="ar-SA"/>
            </w:rPr>
            <w:t>11.5</w:t>
          </w:r>
          <w:r>
            <w:rPr>
              <w:rFonts w:hint="default" w:ascii="Times New Roman" w:hAnsi="Times New Roman" w:eastAsia="宋体" w:cs="Times New Roman"/>
              <w:bCs w:val="0"/>
              <w:color w:val="auto"/>
              <w:sz w:val="22"/>
              <w:szCs w:val="22"/>
              <w:highlight w:val="none"/>
            </w:rPr>
            <w:t>环保措施“三同时”验收一览表</w:t>
          </w:r>
          <w:r>
            <w:rPr>
              <w:rFonts w:hint="default" w:ascii="Times New Roman" w:hAnsi="Times New Roman" w:eastAsia="宋体" w:cs="Times New Roman"/>
              <w:color w:val="auto"/>
              <w:sz w:val="22"/>
              <w:szCs w:val="22"/>
            </w:rPr>
            <w:tab/>
          </w:r>
          <w:r>
            <w:rPr>
              <w:rFonts w:hint="default" w:ascii="Times New Roman" w:hAnsi="Times New Roman" w:eastAsia="宋体" w:cs="Times New Roman"/>
              <w:color w:val="auto"/>
              <w:sz w:val="22"/>
              <w:szCs w:val="22"/>
            </w:rPr>
            <w:fldChar w:fldCharType="begin"/>
          </w:r>
          <w:r>
            <w:rPr>
              <w:rFonts w:hint="default" w:ascii="Times New Roman" w:hAnsi="Times New Roman" w:eastAsia="宋体" w:cs="Times New Roman"/>
              <w:color w:val="auto"/>
              <w:sz w:val="22"/>
              <w:szCs w:val="22"/>
            </w:rPr>
            <w:instrText xml:space="preserve"> PAGEREF _Toc15360 \h </w:instrText>
          </w:r>
          <w:r>
            <w:rPr>
              <w:rFonts w:hint="default" w:ascii="Times New Roman" w:hAnsi="Times New Roman" w:eastAsia="宋体" w:cs="Times New Roman"/>
              <w:color w:val="auto"/>
              <w:sz w:val="22"/>
              <w:szCs w:val="22"/>
            </w:rPr>
            <w:fldChar w:fldCharType="separate"/>
          </w:r>
          <w:r>
            <w:rPr>
              <w:rFonts w:hint="default" w:ascii="Times New Roman" w:hAnsi="Times New Roman" w:eastAsia="宋体" w:cs="Times New Roman"/>
              <w:color w:val="auto"/>
              <w:sz w:val="22"/>
              <w:szCs w:val="22"/>
            </w:rPr>
            <w:t>210</w:t>
          </w:r>
          <w:r>
            <w:rPr>
              <w:rFonts w:hint="default" w:ascii="Times New Roman" w:hAnsi="Times New Roman" w:eastAsia="宋体" w:cs="Times New Roman"/>
              <w:color w:val="auto"/>
              <w:sz w:val="22"/>
              <w:szCs w:val="22"/>
            </w:rPr>
            <w:fldChar w:fldCharType="end"/>
          </w:r>
          <w:r>
            <w:rPr>
              <w:rFonts w:hint="default" w:ascii="Times New Roman" w:hAnsi="Times New Roman" w:eastAsia="宋体" w:cs="Times New Roman"/>
              <w:color w:val="auto"/>
              <w:kern w:val="2"/>
              <w:sz w:val="22"/>
              <w:szCs w:val="22"/>
              <w:highlight w:val="none"/>
              <w:lang w:val="en-US" w:eastAsia="zh-CN" w:bidi="ar-SA"/>
            </w:rPr>
            <w:fldChar w:fldCharType="end"/>
          </w:r>
        </w:p>
        <w:p>
          <w:pPr>
            <w:pStyle w:val="31"/>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leftChars="0" w:firstLine="0" w:firstLineChars="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kern w:val="2"/>
              <w:sz w:val="24"/>
              <w:szCs w:val="24"/>
              <w:highlight w:val="none"/>
              <w:lang w:val="en-US" w:eastAsia="zh-CN" w:bidi="ar-SA"/>
            </w:rPr>
            <w:fldChar w:fldCharType="begin"/>
          </w:r>
          <w:r>
            <w:rPr>
              <w:rFonts w:hint="default" w:ascii="Times New Roman" w:hAnsi="Times New Roman" w:eastAsia="宋体" w:cs="Times New Roman"/>
              <w:color w:val="auto"/>
              <w:kern w:val="2"/>
              <w:sz w:val="24"/>
              <w:szCs w:val="24"/>
              <w:highlight w:val="none"/>
              <w:lang w:val="en-US" w:eastAsia="zh-CN" w:bidi="ar-SA"/>
            </w:rPr>
            <w:instrText xml:space="preserve"> HYPERLINK \l _Toc1825 </w:instrText>
          </w:r>
          <w:r>
            <w:rPr>
              <w:rFonts w:hint="default" w:ascii="Times New Roman" w:hAnsi="Times New Roman" w:eastAsia="宋体" w:cs="Times New Roman"/>
              <w:color w:val="auto"/>
              <w:kern w:val="2"/>
              <w:sz w:val="24"/>
              <w:szCs w:val="24"/>
              <w:highlight w:val="none"/>
              <w:lang w:val="en-US" w:eastAsia="zh-CN" w:bidi="ar-SA"/>
            </w:rPr>
            <w:fldChar w:fldCharType="separate"/>
          </w:r>
          <w:r>
            <w:rPr>
              <w:rFonts w:hint="default" w:ascii="Times New Roman" w:hAnsi="Times New Roman" w:eastAsia="宋体" w:cs="Times New Roman"/>
              <w:bCs w:val="0"/>
              <w:i w:val="0"/>
              <w:color w:val="auto"/>
              <w:kern w:val="44"/>
              <w:sz w:val="24"/>
              <w:szCs w:val="24"/>
              <w:highlight w:val="none"/>
              <w:lang w:val="en-US" w:eastAsia="zh-CN" w:bidi="ar-SA"/>
            </w:rPr>
            <w:t>12</w:t>
          </w:r>
          <w:r>
            <w:rPr>
              <w:rFonts w:hint="default" w:ascii="Times New Roman" w:hAnsi="Times New Roman" w:eastAsia="宋体" w:cs="Times New Roman"/>
              <w:bCs w:val="0"/>
              <w:color w:val="auto"/>
              <w:sz w:val="24"/>
              <w:szCs w:val="24"/>
              <w:highlight w:val="none"/>
            </w:rPr>
            <w:t>结论与建议</w:t>
          </w:r>
          <w:r>
            <w:rPr>
              <w:rFonts w:hint="default" w:ascii="Times New Roman" w:hAnsi="Times New Roman" w:eastAsia="宋体" w:cs="Times New Roman"/>
              <w:color w:val="auto"/>
              <w:sz w:val="24"/>
              <w:szCs w:val="24"/>
            </w:rPr>
            <w:tab/>
          </w:r>
          <w:r>
            <w:rPr>
              <w:rFonts w:hint="default" w:ascii="Times New Roman" w:hAnsi="Times New Roman" w:eastAsia="宋体" w:cs="Times New Roman"/>
              <w:color w:val="auto"/>
              <w:sz w:val="24"/>
              <w:szCs w:val="24"/>
            </w:rPr>
            <w:fldChar w:fldCharType="begin"/>
          </w:r>
          <w:r>
            <w:rPr>
              <w:rFonts w:hint="default" w:ascii="Times New Roman" w:hAnsi="Times New Roman" w:eastAsia="宋体" w:cs="Times New Roman"/>
              <w:color w:val="auto"/>
              <w:sz w:val="24"/>
              <w:szCs w:val="24"/>
            </w:rPr>
            <w:instrText xml:space="preserve"> PAGEREF _Toc1825 \h </w:instrText>
          </w:r>
          <w:r>
            <w:rPr>
              <w:rFonts w:hint="default" w:ascii="Times New Roman" w:hAnsi="Times New Roman" w:eastAsia="宋体" w:cs="Times New Roman"/>
              <w:color w:val="auto"/>
              <w:sz w:val="24"/>
              <w:szCs w:val="24"/>
            </w:rPr>
            <w:fldChar w:fldCharType="separate"/>
          </w:r>
          <w:r>
            <w:rPr>
              <w:rFonts w:hint="default" w:ascii="Times New Roman" w:hAnsi="Times New Roman" w:eastAsia="宋体" w:cs="Times New Roman"/>
              <w:color w:val="auto"/>
              <w:sz w:val="24"/>
              <w:szCs w:val="24"/>
            </w:rPr>
            <w:t>212</w:t>
          </w:r>
          <w:r>
            <w:rPr>
              <w:rFonts w:hint="default" w:ascii="Times New Roman" w:hAnsi="Times New Roman" w:eastAsia="宋体" w:cs="Times New Roman"/>
              <w:color w:val="auto"/>
              <w:sz w:val="24"/>
              <w:szCs w:val="24"/>
            </w:rPr>
            <w:fldChar w:fldCharType="end"/>
          </w:r>
          <w:r>
            <w:rPr>
              <w:rFonts w:hint="default" w:ascii="Times New Roman" w:hAnsi="Times New Roman" w:eastAsia="宋体" w:cs="Times New Roman"/>
              <w:color w:val="auto"/>
              <w:kern w:val="2"/>
              <w:sz w:val="24"/>
              <w:szCs w:val="24"/>
              <w:highlight w:val="none"/>
              <w:lang w:val="en-US" w:eastAsia="zh-CN" w:bidi="ar-SA"/>
            </w:rPr>
            <w:fldChar w:fldCharType="end"/>
          </w:r>
        </w:p>
        <w:p>
          <w:pPr>
            <w:pStyle w:val="45"/>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firstLine="440" w:firstLineChars="200"/>
            <w:textAlignment w:val="auto"/>
            <w:rPr>
              <w:rFonts w:hint="default" w:ascii="Times New Roman" w:hAnsi="Times New Roman" w:eastAsia="宋体" w:cs="Times New Roman"/>
              <w:color w:val="auto"/>
              <w:sz w:val="22"/>
              <w:szCs w:val="22"/>
            </w:rPr>
          </w:pPr>
          <w:r>
            <w:rPr>
              <w:rFonts w:hint="default" w:ascii="Times New Roman" w:hAnsi="Times New Roman" w:eastAsia="宋体" w:cs="Times New Roman"/>
              <w:color w:val="auto"/>
              <w:kern w:val="2"/>
              <w:sz w:val="22"/>
              <w:szCs w:val="22"/>
              <w:highlight w:val="none"/>
              <w:lang w:val="en-US" w:eastAsia="zh-CN" w:bidi="ar-SA"/>
            </w:rPr>
            <w:fldChar w:fldCharType="begin"/>
          </w:r>
          <w:r>
            <w:rPr>
              <w:rFonts w:hint="default" w:ascii="Times New Roman" w:hAnsi="Times New Roman" w:eastAsia="宋体" w:cs="Times New Roman"/>
              <w:color w:val="auto"/>
              <w:kern w:val="2"/>
              <w:sz w:val="22"/>
              <w:szCs w:val="22"/>
              <w:highlight w:val="none"/>
              <w:lang w:val="en-US" w:eastAsia="zh-CN" w:bidi="ar-SA"/>
            </w:rPr>
            <w:instrText xml:space="preserve"> HYPERLINK \l _Toc16484 </w:instrText>
          </w:r>
          <w:r>
            <w:rPr>
              <w:rFonts w:hint="default" w:ascii="Times New Roman" w:hAnsi="Times New Roman" w:eastAsia="宋体" w:cs="Times New Roman"/>
              <w:color w:val="auto"/>
              <w:kern w:val="2"/>
              <w:sz w:val="22"/>
              <w:szCs w:val="22"/>
              <w:highlight w:val="none"/>
              <w:lang w:val="en-US" w:eastAsia="zh-CN" w:bidi="ar-SA"/>
            </w:rPr>
            <w:fldChar w:fldCharType="separate"/>
          </w:r>
          <w:r>
            <w:rPr>
              <w:rFonts w:hint="default" w:ascii="Times New Roman" w:hAnsi="Times New Roman" w:eastAsia="宋体" w:cs="Times New Roman"/>
              <w:bCs w:val="0"/>
              <w:i w:val="0"/>
              <w:color w:val="auto"/>
              <w:kern w:val="2"/>
              <w:sz w:val="22"/>
              <w:szCs w:val="22"/>
              <w:highlight w:val="none"/>
              <w:lang w:val="en-US" w:eastAsia="zh-CN" w:bidi="ar-SA"/>
            </w:rPr>
            <w:t>12.1</w:t>
          </w:r>
          <w:r>
            <w:rPr>
              <w:rFonts w:hint="default" w:ascii="Times New Roman" w:hAnsi="Times New Roman" w:eastAsia="宋体" w:cs="Times New Roman"/>
              <w:bCs w:val="0"/>
              <w:color w:val="auto"/>
              <w:sz w:val="22"/>
              <w:szCs w:val="22"/>
              <w:highlight w:val="none"/>
            </w:rPr>
            <w:t>项目概况</w:t>
          </w:r>
          <w:r>
            <w:rPr>
              <w:rFonts w:hint="default" w:ascii="Times New Roman" w:hAnsi="Times New Roman" w:eastAsia="宋体" w:cs="Times New Roman"/>
              <w:color w:val="auto"/>
              <w:sz w:val="22"/>
              <w:szCs w:val="22"/>
            </w:rPr>
            <w:tab/>
          </w:r>
          <w:r>
            <w:rPr>
              <w:rFonts w:hint="default" w:ascii="Times New Roman" w:hAnsi="Times New Roman" w:eastAsia="宋体" w:cs="Times New Roman"/>
              <w:color w:val="auto"/>
              <w:sz w:val="22"/>
              <w:szCs w:val="22"/>
            </w:rPr>
            <w:fldChar w:fldCharType="begin"/>
          </w:r>
          <w:r>
            <w:rPr>
              <w:rFonts w:hint="default" w:ascii="Times New Roman" w:hAnsi="Times New Roman" w:eastAsia="宋体" w:cs="Times New Roman"/>
              <w:color w:val="auto"/>
              <w:sz w:val="22"/>
              <w:szCs w:val="22"/>
            </w:rPr>
            <w:instrText xml:space="preserve"> PAGEREF _Toc16484 \h </w:instrText>
          </w:r>
          <w:r>
            <w:rPr>
              <w:rFonts w:hint="default" w:ascii="Times New Roman" w:hAnsi="Times New Roman" w:eastAsia="宋体" w:cs="Times New Roman"/>
              <w:color w:val="auto"/>
              <w:sz w:val="22"/>
              <w:szCs w:val="22"/>
            </w:rPr>
            <w:fldChar w:fldCharType="separate"/>
          </w:r>
          <w:r>
            <w:rPr>
              <w:rFonts w:hint="default" w:ascii="Times New Roman" w:hAnsi="Times New Roman" w:eastAsia="宋体" w:cs="Times New Roman"/>
              <w:color w:val="auto"/>
              <w:sz w:val="22"/>
              <w:szCs w:val="22"/>
            </w:rPr>
            <w:t>212</w:t>
          </w:r>
          <w:r>
            <w:rPr>
              <w:rFonts w:hint="default" w:ascii="Times New Roman" w:hAnsi="Times New Roman" w:eastAsia="宋体" w:cs="Times New Roman"/>
              <w:color w:val="auto"/>
              <w:sz w:val="22"/>
              <w:szCs w:val="22"/>
            </w:rPr>
            <w:fldChar w:fldCharType="end"/>
          </w:r>
          <w:r>
            <w:rPr>
              <w:rFonts w:hint="default" w:ascii="Times New Roman" w:hAnsi="Times New Roman" w:eastAsia="宋体" w:cs="Times New Roman"/>
              <w:color w:val="auto"/>
              <w:kern w:val="2"/>
              <w:sz w:val="22"/>
              <w:szCs w:val="22"/>
              <w:highlight w:val="none"/>
              <w:lang w:val="en-US" w:eastAsia="zh-CN" w:bidi="ar-SA"/>
            </w:rPr>
            <w:fldChar w:fldCharType="end"/>
          </w:r>
        </w:p>
        <w:p>
          <w:pPr>
            <w:pStyle w:val="45"/>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firstLine="440" w:firstLineChars="200"/>
            <w:textAlignment w:val="auto"/>
            <w:rPr>
              <w:rFonts w:hint="default" w:ascii="Times New Roman" w:hAnsi="Times New Roman" w:eastAsia="宋体" w:cs="Times New Roman"/>
              <w:color w:val="auto"/>
              <w:sz w:val="22"/>
              <w:szCs w:val="22"/>
            </w:rPr>
          </w:pPr>
          <w:r>
            <w:rPr>
              <w:rFonts w:hint="default" w:ascii="Times New Roman" w:hAnsi="Times New Roman" w:eastAsia="宋体" w:cs="Times New Roman"/>
              <w:color w:val="auto"/>
              <w:kern w:val="2"/>
              <w:sz w:val="22"/>
              <w:szCs w:val="22"/>
              <w:highlight w:val="none"/>
              <w:lang w:val="en-US" w:eastAsia="zh-CN" w:bidi="ar-SA"/>
            </w:rPr>
            <w:fldChar w:fldCharType="begin"/>
          </w:r>
          <w:r>
            <w:rPr>
              <w:rFonts w:hint="default" w:ascii="Times New Roman" w:hAnsi="Times New Roman" w:eastAsia="宋体" w:cs="Times New Roman"/>
              <w:color w:val="auto"/>
              <w:kern w:val="2"/>
              <w:sz w:val="22"/>
              <w:szCs w:val="22"/>
              <w:highlight w:val="none"/>
              <w:lang w:val="en-US" w:eastAsia="zh-CN" w:bidi="ar-SA"/>
            </w:rPr>
            <w:instrText xml:space="preserve"> HYPERLINK \l _Toc3671 </w:instrText>
          </w:r>
          <w:r>
            <w:rPr>
              <w:rFonts w:hint="default" w:ascii="Times New Roman" w:hAnsi="Times New Roman" w:eastAsia="宋体" w:cs="Times New Roman"/>
              <w:color w:val="auto"/>
              <w:kern w:val="2"/>
              <w:sz w:val="22"/>
              <w:szCs w:val="22"/>
              <w:highlight w:val="none"/>
              <w:lang w:val="en-US" w:eastAsia="zh-CN" w:bidi="ar-SA"/>
            </w:rPr>
            <w:fldChar w:fldCharType="separate"/>
          </w:r>
          <w:r>
            <w:rPr>
              <w:rFonts w:hint="default" w:ascii="Times New Roman" w:hAnsi="Times New Roman" w:eastAsia="宋体" w:cs="Times New Roman"/>
              <w:bCs w:val="0"/>
              <w:i w:val="0"/>
              <w:color w:val="auto"/>
              <w:kern w:val="2"/>
              <w:sz w:val="22"/>
              <w:szCs w:val="22"/>
              <w:highlight w:val="none"/>
              <w:lang w:val="en-US" w:eastAsia="zh-CN" w:bidi="ar-SA"/>
            </w:rPr>
            <w:t>12.2</w:t>
          </w:r>
          <w:r>
            <w:rPr>
              <w:rFonts w:hint="default" w:ascii="Times New Roman" w:hAnsi="Times New Roman" w:eastAsia="宋体" w:cs="Times New Roman"/>
              <w:bCs w:val="0"/>
              <w:color w:val="auto"/>
              <w:sz w:val="22"/>
              <w:szCs w:val="22"/>
              <w:highlight w:val="none"/>
            </w:rPr>
            <w:t>产业政策符合性结论</w:t>
          </w:r>
          <w:r>
            <w:rPr>
              <w:rFonts w:hint="default" w:ascii="Times New Roman" w:hAnsi="Times New Roman" w:eastAsia="宋体" w:cs="Times New Roman"/>
              <w:color w:val="auto"/>
              <w:sz w:val="22"/>
              <w:szCs w:val="22"/>
            </w:rPr>
            <w:tab/>
          </w:r>
          <w:r>
            <w:rPr>
              <w:rFonts w:hint="default" w:ascii="Times New Roman" w:hAnsi="Times New Roman" w:eastAsia="宋体" w:cs="Times New Roman"/>
              <w:color w:val="auto"/>
              <w:sz w:val="22"/>
              <w:szCs w:val="22"/>
            </w:rPr>
            <w:fldChar w:fldCharType="begin"/>
          </w:r>
          <w:r>
            <w:rPr>
              <w:rFonts w:hint="default" w:ascii="Times New Roman" w:hAnsi="Times New Roman" w:eastAsia="宋体" w:cs="Times New Roman"/>
              <w:color w:val="auto"/>
              <w:sz w:val="22"/>
              <w:szCs w:val="22"/>
            </w:rPr>
            <w:instrText xml:space="preserve"> PAGEREF _Toc3671 \h </w:instrText>
          </w:r>
          <w:r>
            <w:rPr>
              <w:rFonts w:hint="default" w:ascii="Times New Roman" w:hAnsi="Times New Roman" w:eastAsia="宋体" w:cs="Times New Roman"/>
              <w:color w:val="auto"/>
              <w:sz w:val="22"/>
              <w:szCs w:val="22"/>
            </w:rPr>
            <w:fldChar w:fldCharType="separate"/>
          </w:r>
          <w:r>
            <w:rPr>
              <w:rFonts w:hint="default" w:ascii="Times New Roman" w:hAnsi="Times New Roman" w:eastAsia="宋体" w:cs="Times New Roman"/>
              <w:color w:val="auto"/>
              <w:sz w:val="22"/>
              <w:szCs w:val="22"/>
            </w:rPr>
            <w:t>212</w:t>
          </w:r>
          <w:r>
            <w:rPr>
              <w:rFonts w:hint="default" w:ascii="Times New Roman" w:hAnsi="Times New Roman" w:eastAsia="宋体" w:cs="Times New Roman"/>
              <w:color w:val="auto"/>
              <w:sz w:val="22"/>
              <w:szCs w:val="22"/>
            </w:rPr>
            <w:fldChar w:fldCharType="end"/>
          </w:r>
          <w:r>
            <w:rPr>
              <w:rFonts w:hint="default" w:ascii="Times New Roman" w:hAnsi="Times New Roman" w:eastAsia="宋体" w:cs="Times New Roman"/>
              <w:color w:val="auto"/>
              <w:kern w:val="2"/>
              <w:sz w:val="22"/>
              <w:szCs w:val="22"/>
              <w:highlight w:val="none"/>
              <w:lang w:val="en-US" w:eastAsia="zh-CN" w:bidi="ar-SA"/>
            </w:rPr>
            <w:fldChar w:fldCharType="end"/>
          </w:r>
        </w:p>
        <w:p>
          <w:pPr>
            <w:pStyle w:val="45"/>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firstLine="440" w:firstLineChars="200"/>
            <w:textAlignment w:val="auto"/>
            <w:rPr>
              <w:rFonts w:hint="default" w:ascii="Times New Roman" w:hAnsi="Times New Roman" w:eastAsia="宋体" w:cs="Times New Roman"/>
              <w:color w:val="auto"/>
              <w:sz w:val="22"/>
              <w:szCs w:val="22"/>
            </w:rPr>
          </w:pPr>
          <w:r>
            <w:rPr>
              <w:rFonts w:hint="default" w:ascii="Times New Roman" w:hAnsi="Times New Roman" w:eastAsia="宋体" w:cs="Times New Roman"/>
              <w:color w:val="auto"/>
              <w:kern w:val="2"/>
              <w:sz w:val="22"/>
              <w:szCs w:val="22"/>
              <w:highlight w:val="none"/>
              <w:lang w:val="en-US" w:eastAsia="zh-CN" w:bidi="ar-SA"/>
            </w:rPr>
            <w:fldChar w:fldCharType="begin"/>
          </w:r>
          <w:r>
            <w:rPr>
              <w:rFonts w:hint="default" w:ascii="Times New Roman" w:hAnsi="Times New Roman" w:eastAsia="宋体" w:cs="Times New Roman"/>
              <w:color w:val="auto"/>
              <w:kern w:val="2"/>
              <w:sz w:val="22"/>
              <w:szCs w:val="22"/>
              <w:highlight w:val="none"/>
              <w:lang w:val="en-US" w:eastAsia="zh-CN" w:bidi="ar-SA"/>
            </w:rPr>
            <w:instrText xml:space="preserve"> HYPERLINK \l _Toc6713 </w:instrText>
          </w:r>
          <w:r>
            <w:rPr>
              <w:rFonts w:hint="default" w:ascii="Times New Roman" w:hAnsi="Times New Roman" w:eastAsia="宋体" w:cs="Times New Roman"/>
              <w:color w:val="auto"/>
              <w:kern w:val="2"/>
              <w:sz w:val="22"/>
              <w:szCs w:val="22"/>
              <w:highlight w:val="none"/>
              <w:lang w:val="en-US" w:eastAsia="zh-CN" w:bidi="ar-SA"/>
            </w:rPr>
            <w:fldChar w:fldCharType="separate"/>
          </w:r>
          <w:r>
            <w:rPr>
              <w:rFonts w:hint="default" w:ascii="Times New Roman" w:hAnsi="Times New Roman" w:eastAsia="宋体" w:cs="Times New Roman"/>
              <w:bCs w:val="0"/>
              <w:i w:val="0"/>
              <w:color w:val="auto"/>
              <w:kern w:val="2"/>
              <w:sz w:val="22"/>
              <w:szCs w:val="22"/>
              <w:highlight w:val="none"/>
              <w:lang w:val="en-US" w:eastAsia="zh-CN" w:bidi="ar-SA"/>
            </w:rPr>
            <w:t>12.3</w:t>
          </w:r>
          <w:r>
            <w:rPr>
              <w:rFonts w:hint="default" w:ascii="Times New Roman" w:hAnsi="Times New Roman" w:eastAsia="宋体" w:cs="Times New Roman"/>
              <w:bCs w:val="0"/>
              <w:color w:val="auto"/>
              <w:sz w:val="22"/>
              <w:szCs w:val="22"/>
              <w:highlight w:val="none"/>
            </w:rPr>
            <w:t>选址合理性结论</w:t>
          </w:r>
          <w:r>
            <w:rPr>
              <w:rFonts w:hint="default" w:ascii="Times New Roman" w:hAnsi="Times New Roman" w:eastAsia="宋体" w:cs="Times New Roman"/>
              <w:color w:val="auto"/>
              <w:sz w:val="22"/>
              <w:szCs w:val="22"/>
            </w:rPr>
            <w:tab/>
          </w:r>
          <w:r>
            <w:rPr>
              <w:rFonts w:hint="default" w:ascii="Times New Roman" w:hAnsi="Times New Roman" w:eastAsia="宋体" w:cs="Times New Roman"/>
              <w:color w:val="auto"/>
              <w:sz w:val="22"/>
              <w:szCs w:val="22"/>
            </w:rPr>
            <w:fldChar w:fldCharType="begin"/>
          </w:r>
          <w:r>
            <w:rPr>
              <w:rFonts w:hint="default" w:ascii="Times New Roman" w:hAnsi="Times New Roman" w:eastAsia="宋体" w:cs="Times New Roman"/>
              <w:color w:val="auto"/>
              <w:sz w:val="22"/>
              <w:szCs w:val="22"/>
            </w:rPr>
            <w:instrText xml:space="preserve"> PAGEREF _Toc6713 \h </w:instrText>
          </w:r>
          <w:r>
            <w:rPr>
              <w:rFonts w:hint="default" w:ascii="Times New Roman" w:hAnsi="Times New Roman" w:eastAsia="宋体" w:cs="Times New Roman"/>
              <w:color w:val="auto"/>
              <w:sz w:val="22"/>
              <w:szCs w:val="22"/>
            </w:rPr>
            <w:fldChar w:fldCharType="separate"/>
          </w:r>
          <w:r>
            <w:rPr>
              <w:rFonts w:hint="default" w:ascii="Times New Roman" w:hAnsi="Times New Roman" w:eastAsia="宋体" w:cs="Times New Roman"/>
              <w:color w:val="auto"/>
              <w:sz w:val="22"/>
              <w:szCs w:val="22"/>
            </w:rPr>
            <w:t>212</w:t>
          </w:r>
          <w:r>
            <w:rPr>
              <w:rFonts w:hint="default" w:ascii="Times New Roman" w:hAnsi="Times New Roman" w:eastAsia="宋体" w:cs="Times New Roman"/>
              <w:color w:val="auto"/>
              <w:sz w:val="22"/>
              <w:szCs w:val="22"/>
            </w:rPr>
            <w:fldChar w:fldCharType="end"/>
          </w:r>
          <w:r>
            <w:rPr>
              <w:rFonts w:hint="default" w:ascii="Times New Roman" w:hAnsi="Times New Roman" w:eastAsia="宋体" w:cs="Times New Roman"/>
              <w:color w:val="auto"/>
              <w:kern w:val="2"/>
              <w:sz w:val="22"/>
              <w:szCs w:val="22"/>
              <w:highlight w:val="none"/>
              <w:lang w:val="en-US" w:eastAsia="zh-CN" w:bidi="ar-SA"/>
            </w:rPr>
            <w:fldChar w:fldCharType="end"/>
          </w:r>
        </w:p>
        <w:p>
          <w:pPr>
            <w:pStyle w:val="45"/>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firstLine="440" w:firstLineChars="200"/>
            <w:textAlignment w:val="auto"/>
            <w:rPr>
              <w:rFonts w:hint="default" w:ascii="Times New Roman" w:hAnsi="Times New Roman" w:eastAsia="宋体" w:cs="Times New Roman"/>
              <w:color w:val="auto"/>
              <w:sz w:val="22"/>
              <w:szCs w:val="22"/>
            </w:rPr>
          </w:pPr>
          <w:r>
            <w:rPr>
              <w:rFonts w:hint="default" w:ascii="Times New Roman" w:hAnsi="Times New Roman" w:eastAsia="宋体" w:cs="Times New Roman"/>
              <w:color w:val="auto"/>
              <w:kern w:val="2"/>
              <w:sz w:val="22"/>
              <w:szCs w:val="22"/>
              <w:highlight w:val="none"/>
              <w:lang w:val="en-US" w:eastAsia="zh-CN" w:bidi="ar-SA"/>
            </w:rPr>
            <w:fldChar w:fldCharType="begin"/>
          </w:r>
          <w:r>
            <w:rPr>
              <w:rFonts w:hint="default" w:ascii="Times New Roman" w:hAnsi="Times New Roman" w:eastAsia="宋体" w:cs="Times New Roman"/>
              <w:color w:val="auto"/>
              <w:kern w:val="2"/>
              <w:sz w:val="22"/>
              <w:szCs w:val="22"/>
              <w:highlight w:val="none"/>
              <w:lang w:val="en-US" w:eastAsia="zh-CN" w:bidi="ar-SA"/>
            </w:rPr>
            <w:instrText xml:space="preserve"> HYPERLINK \l _Toc12496 </w:instrText>
          </w:r>
          <w:r>
            <w:rPr>
              <w:rFonts w:hint="default" w:ascii="Times New Roman" w:hAnsi="Times New Roman" w:eastAsia="宋体" w:cs="Times New Roman"/>
              <w:color w:val="auto"/>
              <w:kern w:val="2"/>
              <w:sz w:val="22"/>
              <w:szCs w:val="22"/>
              <w:highlight w:val="none"/>
              <w:lang w:val="en-US" w:eastAsia="zh-CN" w:bidi="ar-SA"/>
            </w:rPr>
            <w:fldChar w:fldCharType="separate"/>
          </w:r>
          <w:r>
            <w:rPr>
              <w:rFonts w:hint="default" w:ascii="Times New Roman" w:hAnsi="Times New Roman" w:eastAsia="宋体" w:cs="Times New Roman"/>
              <w:bCs w:val="0"/>
              <w:i w:val="0"/>
              <w:color w:val="auto"/>
              <w:kern w:val="2"/>
              <w:sz w:val="22"/>
              <w:szCs w:val="22"/>
              <w:highlight w:val="none"/>
              <w:lang w:val="en-US" w:eastAsia="zh-CN" w:bidi="ar-SA"/>
            </w:rPr>
            <w:t>12.4</w:t>
          </w:r>
          <w:r>
            <w:rPr>
              <w:rFonts w:hint="default" w:ascii="Times New Roman" w:hAnsi="Times New Roman" w:eastAsia="宋体" w:cs="Times New Roman"/>
              <w:bCs w:val="0"/>
              <w:color w:val="auto"/>
              <w:sz w:val="22"/>
              <w:szCs w:val="22"/>
              <w:highlight w:val="none"/>
            </w:rPr>
            <w:t>环境现状评价</w:t>
          </w:r>
          <w:r>
            <w:rPr>
              <w:rFonts w:hint="default" w:ascii="Times New Roman" w:hAnsi="Times New Roman" w:eastAsia="宋体" w:cs="Times New Roman"/>
              <w:color w:val="auto"/>
              <w:sz w:val="22"/>
              <w:szCs w:val="22"/>
            </w:rPr>
            <w:tab/>
          </w:r>
          <w:r>
            <w:rPr>
              <w:rFonts w:hint="default" w:ascii="Times New Roman" w:hAnsi="Times New Roman" w:eastAsia="宋体" w:cs="Times New Roman"/>
              <w:color w:val="auto"/>
              <w:sz w:val="22"/>
              <w:szCs w:val="22"/>
            </w:rPr>
            <w:fldChar w:fldCharType="begin"/>
          </w:r>
          <w:r>
            <w:rPr>
              <w:rFonts w:hint="default" w:ascii="Times New Roman" w:hAnsi="Times New Roman" w:eastAsia="宋体" w:cs="Times New Roman"/>
              <w:color w:val="auto"/>
              <w:sz w:val="22"/>
              <w:szCs w:val="22"/>
            </w:rPr>
            <w:instrText xml:space="preserve"> PAGEREF _Toc12496 \h </w:instrText>
          </w:r>
          <w:r>
            <w:rPr>
              <w:rFonts w:hint="default" w:ascii="Times New Roman" w:hAnsi="Times New Roman" w:eastAsia="宋体" w:cs="Times New Roman"/>
              <w:color w:val="auto"/>
              <w:sz w:val="22"/>
              <w:szCs w:val="22"/>
            </w:rPr>
            <w:fldChar w:fldCharType="separate"/>
          </w:r>
          <w:r>
            <w:rPr>
              <w:rFonts w:hint="default" w:ascii="Times New Roman" w:hAnsi="Times New Roman" w:eastAsia="宋体" w:cs="Times New Roman"/>
              <w:color w:val="auto"/>
              <w:sz w:val="22"/>
              <w:szCs w:val="22"/>
            </w:rPr>
            <w:t>215</w:t>
          </w:r>
          <w:r>
            <w:rPr>
              <w:rFonts w:hint="default" w:ascii="Times New Roman" w:hAnsi="Times New Roman" w:eastAsia="宋体" w:cs="Times New Roman"/>
              <w:color w:val="auto"/>
              <w:sz w:val="22"/>
              <w:szCs w:val="22"/>
            </w:rPr>
            <w:fldChar w:fldCharType="end"/>
          </w:r>
          <w:r>
            <w:rPr>
              <w:rFonts w:hint="default" w:ascii="Times New Roman" w:hAnsi="Times New Roman" w:eastAsia="宋体" w:cs="Times New Roman"/>
              <w:color w:val="auto"/>
              <w:kern w:val="2"/>
              <w:sz w:val="22"/>
              <w:szCs w:val="22"/>
              <w:highlight w:val="none"/>
              <w:lang w:val="en-US" w:eastAsia="zh-CN" w:bidi="ar-SA"/>
            </w:rPr>
            <w:fldChar w:fldCharType="end"/>
          </w:r>
        </w:p>
        <w:p>
          <w:pPr>
            <w:pStyle w:val="31"/>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firstLine="440" w:firstLineChars="200"/>
            <w:textAlignment w:val="auto"/>
            <w:rPr>
              <w:rFonts w:hint="default" w:ascii="Times New Roman" w:hAnsi="Times New Roman" w:eastAsia="宋体" w:cs="Times New Roman"/>
              <w:color w:val="auto"/>
              <w:sz w:val="22"/>
              <w:szCs w:val="22"/>
            </w:rPr>
          </w:pPr>
          <w:r>
            <w:rPr>
              <w:rFonts w:hint="default" w:ascii="Times New Roman" w:hAnsi="Times New Roman" w:eastAsia="宋体" w:cs="Times New Roman"/>
              <w:color w:val="auto"/>
              <w:kern w:val="2"/>
              <w:sz w:val="22"/>
              <w:szCs w:val="22"/>
              <w:highlight w:val="none"/>
              <w:lang w:val="en-US" w:eastAsia="zh-CN" w:bidi="ar-SA"/>
            </w:rPr>
            <w:fldChar w:fldCharType="begin"/>
          </w:r>
          <w:r>
            <w:rPr>
              <w:rFonts w:hint="default" w:ascii="Times New Roman" w:hAnsi="Times New Roman" w:eastAsia="宋体" w:cs="Times New Roman"/>
              <w:color w:val="auto"/>
              <w:kern w:val="2"/>
              <w:sz w:val="22"/>
              <w:szCs w:val="22"/>
              <w:highlight w:val="none"/>
              <w:lang w:val="en-US" w:eastAsia="zh-CN" w:bidi="ar-SA"/>
            </w:rPr>
            <w:instrText xml:space="preserve"> HYPERLINK \l _Toc16683 </w:instrText>
          </w:r>
          <w:r>
            <w:rPr>
              <w:rFonts w:hint="default" w:ascii="Times New Roman" w:hAnsi="Times New Roman" w:eastAsia="宋体" w:cs="Times New Roman"/>
              <w:color w:val="auto"/>
              <w:kern w:val="2"/>
              <w:sz w:val="22"/>
              <w:szCs w:val="22"/>
              <w:highlight w:val="none"/>
              <w:lang w:val="en-US" w:eastAsia="zh-CN" w:bidi="ar-SA"/>
            </w:rPr>
            <w:fldChar w:fldCharType="separate"/>
          </w:r>
          <w:r>
            <w:rPr>
              <w:rFonts w:hint="default" w:ascii="Times New Roman" w:hAnsi="Times New Roman" w:eastAsia="宋体" w:cs="Times New Roman"/>
              <w:bCs/>
              <w:i w:val="0"/>
              <w:color w:val="auto"/>
              <w:kern w:val="2"/>
              <w:sz w:val="22"/>
              <w:szCs w:val="22"/>
              <w:highlight w:val="none"/>
              <w:lang w:val="en-US" w:eastAsia="zh-CN" w:bidi="ar-SA"/>
            </w:rPr>
            <w:t>12.5</w:t>
          </w:r>
          <w:r>
            <w:rPr>
              <w:rFonts w:hint="default" w:ascii="Times New Roman" w:hAnsi="Times New Roman" w:eastAsia="宋体" w:cs="Times New Roman"/>
              <w:bCs/>
              <w:color w:val="auto"/>
              <w:sz w:val="22"/>
              <w:szCs w:val="22"/>
              <w:highlight w:val="none"/>
            </w:rPr>
            <w:t>评价总结论</w:t>
          </w:r>
          <w:r>
            <w:rPr>
              <w:rFonts w:hint="default" w:ascii="Times New Roman" w:hAnsi="Times New Roman" w:eastAsia="宋体" w:cs="Times New Roman"/>
              <w:color w:val="auto"/>
              <w:sz w:val="22"/>
              <w:szCs w:val="22"/>
            </w:rPr>
            <w:tab/>
          </w:r>
          <w:r>
            <w:rPr>
              <w:rFonts w:hint="default" w:ascii="Times New Roman" w:hAnsi="Times New Roman" w:eastAsia="宋体" w:cs="Times New Roman"/>
              <w:color w:val="auto"/>
              <w:sz w:val="22"/>
              <w:szCs w:val="22"/>
            </w:rPr>
            <w:fldChar w:fldCharType="begin"/>
          </w:r>
          <w:r>
            <w:rPr>
              <w:rFonts w:hint="default" w:ascii="Times New Roman" w:hAnsi="Times New Roman" w:eastAsia="宋体" w:cs="Times New Roman"/>
              <w:color w:val="auto"/>
              <w:sz w:val="22"/>
              <w:szCs w:val="22"/>
            </w:rPr>
            <w:instrText xml:space="preserve"> PAGEREF _Toc16683 \h </w:instrText>
          </w:r>
          <w:r>
            <w:rPr>
              <w:rFonts w:hint="default" w:ascii="Times New Roman" w:hAnsi="Times New Roman" w:eastAsia="宋体" w:cs="Times New Roman"/>
              <w:color w:val="auto"/>
              <w:sz w:val="22"/>
              <w:szCs w:val="22"/>
            </w:rPr>
            <w:fldChar w:fldCharType="separate"/>
          </w:r>
          <w:r>
            <w:rPr>
              <w:rFonts w:hint="default" w:ascii="Times New Roman" w:hAnsi="Times New Roman" w:eastAsia="宋体" w:cs="Times New Roman"/>
              <w:color w:val="auto"/>
              <w:sz w:val="22"/>
              <w:szCs w:val="22"/>
            </w:rPr>
            <w:t>218</w:t>
          </w:r>
          <w:r>
            <w:rPr>
              <w:rFonts w:hint="default" w:ascii="Times New Roman" w:hAnsi="Times New Roman" w:eastAsia="宋体" w:cs="Times New Roman"/>
              <w:color w:val="auto"/>
              <w:sz w:val="22"/>
              <w:szCs w:val="22"/>
            </w:rPr>
            <w:fldChar w:fldCharType="end"/>
          </w:r>
          <w:r>
            <w:rPr>
              <w:rFonts w:hint="default" w:ascii="Times New Roman" w:hAnsi="Times New Roman" w:eastAsia="宋体" w:cs="Times New Roman"/>
              <w:color w:val="auto"/>
              <w:kern w:val="2"/>
              <w:sz w:val="22"/>
              <w:szCs w:val="22"/>
              <w:highlight w:val="none"/>
              <w:lang w:val="en-US" w:eastAsia="zh-CN" w:bidi="ar-SA"/>
            </w:rPr>
            <w:fldChar w:fldCharType="end"/>
          </w:r>
        </w:p>
        <w:p>
          <w:pPr>
            <w:pStyle w:val="31"/>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firstLine="440" w:firstLineChars="200"/>
            <w:textAlignment w:val="auto"/>
            <w:rPr>
              <w:rFonts w:hint="default" w:ascii="Times New Roman" w:hAnsi="Times New Roman" w:eastAsia="宋体" w:cs="Times New Roman"/>
              <w:color w:val="auto"/>
              <w:sz w:val="22"/>
              <w:szCs w:val="22"/>
            </w:rPr>
          </w:pPr>
          <w:r>
            <w:rPr>
              <w:rFonts w:hint="default" w:ascii="Times New Roman" w:hAnsi="Times New Roman" w:eastAsia="宋体" w:cs="Times New Roman"/>
              <w:color w:val="auto"/>
              <w:kern w:val="2"/>
              <w:sz w:val="22"/>
              <w:szCs w:val="22"/>
              <w:highlight w:val="none"/>
              <w:lang w:val="en-US" w:eastAsia="zh-CN" w:bidi="ar-SA"/>
            </w:rPr>
            <w:fldChar w:fldCharType="begin"/>
          </w:r>
          <w:r>
            <w:rPr>
              <w:rFonts w:hint="default" w:ascii="Times New Roman" w:hAnsi="Times New Roman" w:eastAsia="宋体" w:cs="Times New Roman"/>
              <w:color w:val="auto"/>
              <w:kern w:val="2"/>
              <w:sz w:val="22"/>
              <w:szCs w:val="22"/>
              <w:highlight w:val="none"/>
              <w:lang w:val="en-US" w:eastAsia="zh-CN" w:bidi="ar-SA"/>
            </w:rPr>
            <w:instrText xml:space="preserve"> HYPERLINK \l _Toc15958 </w:instrText>
          </w:r>
          <w:r>
            <w:rPr>
              <w:rFonts w:hint="default" w:ascii="Times New Roman" w:hAnsi="Times New Roman" w:eastAsia="宋体" w:cs="Times New Roman"/>
              <w:color w:val="auto"/>
              <w:kern w:val="2"/>
              <w:sz w:val="22"/>
              <w:szCs w:val="22"/>
              <w:highlight w:val="none"/>
              <w:lang w:val="en-US" w:eastAsia="zh-CN" w:bidi="ar-SA"/>
            </w:rPr>
            <w:fldChar w:fldCharType="separate"/>
          </w:r>
          <w:r>
            <w:rPr>
              <w:rFonts w:hint="default" w:ascii="Times New Roman" w:hAnsi="Times New Roman" w:eastAsia="宋体" w:cs="Times New Roman"/>
              <w:bCs/>
              <w:i w:val="0"/>
              <w:color w:val="auto"/>
              <w:kern w:val="2"/>
              <w:sz w:val="22"/>
              <w:szCs w:val="22"/>
              <w:highlight w:val="none"/>
              <w:lang w:val="en-US" w:eastAsia="zh-CN" w:bidi="ar-SA"/>
            </w:rPr>
            <w:t>12.6</w:t>
          </w:r>
          <w:r>
            <w:rPr>
              <w:rFonts w:hint="default" w:ascii="Times New Roman" w:hAnsi="Times New Roman" w:eastAsia="宋体" w:cs="Times New Roman"/>
              <w:bCs/>
              <w:color w:val="auto"/>
              <w:sz w:val="22"/>
              <w:szCs w:val="22"/>
              <w:highlight w:val="none"/>
            </w:rPr>
            <w:t>建议</w:t>
          </w:r>
          <w:r>
            <w:rPr>
              <w:rFonts w:hint="default" w:ascii="Times New Roman" w:hAnsi="Times New Roman" w:eastAsia="宋体" w:cs="Times New Roman"/>
              <w:color w:val="auto"/>
              <w:sz w:val="22"/>
              <w:szCs w:val="22"/>
            </w:rPr>
            <w:tab/>
          </w:r>
          <w:r>
            <w:rPr>
              <w:rFonts w:hint="default" w:ascii="Times New Roman" w:hAnsi="Times New Roman" w:eastAsia="宋体" w:cs="Times New Roman"/>
              <w:color w:val="auto"/>
              <w:sz w:val="22"/>
              <w:szCs w:val="22"/>
            </w:rPr>
            <w:fldChar w:fldCharType="begin"/>
          </w:r>
          <w:r>
            <w:rPr>
              <w:rFonts w:hint="default" w:ascii="Times New Roman" w:hAnsi="Times New Roman" w:eastAsia="宋体" w:cs="Times New Roman"/>
              <w:color w:val="auto"/>
              <w:sz w:val="22"/>
              <w:szCs w:val="22"/>
            </w:rPr>
            <w:instrText xml:space="preserve"> PAGEREF _Toc15958 \h </w:instrText>
          </w:r>
          <w:r>
            <w:rPr>
              <w:rFonts w:hint="default" w:ascii="Times New Roman" w:hAnsi="Times New Roman" w:eastAsia="宋体" w:cs="Times New Roman"/>
              <w:color w:val="auto"/>
              <w:sz w:val="22"/>
              <w:szCs w:val="22"/>
            </w:rPr>
            <w:fldChar w:fldCharType="separate"/>
          </w:r>
          <w:r>
            <w:rPr>
              <w:rFonts w:hint="default" w:ascii="Times New Roman" w:hAnsi="Times New Roman" w:eastAsia="宋体" w:cs="Times New Roman"/>
              <w:color w:val="auto"/>
              <w:sz w:val="22"/>
              <w:szCs w:val="22"/>
            </w:rPr>
            <w:t>218</w:t>
          </w:r>
          <w:r>
            <w:rPr>
              <w:rFonts w:hint="default" w:ascii="Times New Roman" w:hAnsi="Times New Roman" w:eastAsia="宋体" w:cs="Times New Roman"/>
              <w:color w:val="auto"/>
              <w:sz w:val="22"/>
              <w:szCs w:val="22"/>
            </w:rPr>
            <w:fldChar w:fldCharType="end"/>
          </w:r>
          <w:r>
            <w:rPr>
              <w:rFonts w:hint="default" w:ascii="Times New Roman" w:hAnsi="Times New Roman" w:eastAsia="宋体" w:cs="Times New Roman"/>
              <w:color w:val="auto"/>
              <w:kern w:val="2"/>
              <w:sz w:val="22"/>
              <w:szCs w:val="22"/>
              <w:highlight w:val="none"/>
              <w:lang w:val="en-US" w:eastAsia="zh-CN" w:bidi="ar-SA"/>
            </w:rPr>
            <w:fldChar w:fldCharType="end"/>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20" w:firstLineChars="200"/>
            <w:jc w:val="center"/>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Cs w:val="24"/>
              <w:highlight w:val="none"/>
              <w:lang w:val="en-US" w:eastAsia="zh-CN" w:bidi="ar-SA"/>
            </w:rPr>
            <w:fldChar w:fldCharType="end"/>
          </w:r>
        </w:p>
      </w:sdtContent>
    </w:sdt>
    <w:p>
      <w:pPr>
        <w:pageBreakBefore w:val="0"/>
        <w:wordWrap/>
        <w:bidi w:val="0"/>
        <w:spacing w:line="360" w:lineRule="auto"/>
        <w:ind w:left="0" w:leftChars="0" w:right="0" w:rightChars="0" w:firstLine="482" w:firstLineChars="200"/>
        <w:jc w:val="center"/>
        <w:rPr>
          <w:rFonts w:hint="default" w:ascii="Times New Roman" w:hAnsi="Times New Roman" w:eastAsia="宋体" w:cs="Times New Roman"/>
          <w:b/>
          <w:color w:val="auto"/>
          <w:sz w:val="24"/>
          <w:highlight w:val="none"/>
          <w:lang w:eastAsia="zh-CN"/>
        </w:rPr>
      </w:pPr>
    </w:p>
    <w:p>
      <w:pPr>
        <w:pageBreakBefore w:val="0"/>
        <w:wordWrap/>
        <w:bidi w:val="0"/>
        <w:spacing w:line="360" w:lineRule="auto"/>
        <w:ind w:left="0" w:leftChars="0" w:right="0" w:rightChars="0" w:firstLine="482" w:firstLineChars="200"/>
        <w:jc w:val="center"/>
        <w:rPr>
          <w:rFonts w:hint="default" w:ascii="Times New Roman" w:hAnsi="Times New Roman" w:eastAsia="宋体" w:cs="Times New Roman"/>
          <w:b/>
          <w:color w:val="auto"/>
          <w:sz w:val="24"/>
          <w:highlight w:val="none"/>
          <w:lang w:eastAsia="zh-CN"/>
        </w:rPr>
      </w:pPr>
    </w:p>
    <w:p>
      <w:pPr>
        <w:pageBreakBefore w:val="0"/>
        <w:wordWrap/>
        <w:bidi w:val="0"/>
        <w:spacing w:line="360" w:lineRule="auto"/>
        <w:ind w:left="0" w:leftChars="0" w:right="0" w:rightChars="0" w:firstLine="482" w:firstLineChars="200"/>
        <w:jc w:val="center"/>
        <w:rPr>
          <w:rFonts w:hint="default" w:ascii="Times New Roman" w:hAnsi="Times New Roman" w:eastAsia="宋体" w:cs="Times New Roman"/>
          <w:b/>
          <w:color w:val="auto"/>
          <w:sz w:val="24"/>
          <w:highlight w:val="none"/>
          <w:lang w:val="en-US" w:eastAsia="zh-CN"/>
        </w:rPr>
      </w:pPr>
    </w:p>
    <w:p>
      <w:pPr>
        <w:pageBreakBefore w:val="0"/>
        <w:wordWrap/>
        <w:bidi w:val="0"/>
        <w:spacing w:line="360" w:lineRule="auto"/>
        <w:ind w:left="0" w:leftChars="0" w:right="0" w:rightChars="0" w:firstLine="482" w:firstLineChars="200"/>
        <w:jc w:val="center"/>
        <w:rPr>
          <w:rFonts w:hint="default" w:ascii="Times New Roman" w:hAnsi="Times New Roman" w:eastAsia="宋体" w:cs="Times New Roman"/>
          <w:b/>
          <w:color w:val="auto"/>
          <w:sz w:val="24"/>
          <w:highlight w:val="none"/>
          <w:lang w:val="en-US" w:eastAsia="zh-CN"/>
        </w:rPr>
      </w:pPr>
    </w:p>
    <w:p>
      <w:pPr>
        <w:pageBreakBefore w:val="0"/>
        <w:wordWrap/>
        <w:bidi w:val="0"/>
        <w:spacing w:line="360" w:lineRule="auto"/>
        <w:ind w:left="0" w:leftChars="0" w:right="0" w:rightChars="0" w:firstLine="482" w:firstLineChars="200"/>
        <w:jc w:val="center"/>
        <w:rPr>
          <w:rFonts w:hint="default" w:ascii="Times New Roman" w:hAnsi="Times New Roman" w:eastAsia="宋体" w:cs="Times New Roman"/>
          <w:b/>
          <w:color w:val="auto"/>
          <w:sz w:val="24"/>
          <w:highlight w:val="none"/>
          <w:lang w:val="en-US" w:eastAsia="zh-CN"/>
        </w:rPr>
      </w:pPr>
    </w:p>
    <w:p>
      <w:pPr>
        <w:pageBreakBefore w:val="0"/>
        <w:wordWrap/>
        <w:bidi w:val="0"/>
        <w:spacing w:line="360" w:lineRule="auto"/>
        <w:ind w:left="0" w:leftChars="0" w:right="0" w:rightChars="0" w:firstLine="482" w:firstLineChars="200"/>
        <w:jc w:val="center"/>
        <w:rPr>
          <w:rFonts w:hint="default" w:ascii="Times New Roman" w:hAnsi="Times New Roman" w:eastAsia="宋体" w:cs="Times New Roman"/>
          <w:b/>
          <w:color w:val="auto"/>
          <w:sz w:val="24"/>
          <w:highlight w:val="none"/>
          <w:lang w:val="en-US" w:eastAsia="zh-CN"/>
        </w:rPr>
      </w:pPr>
    </w:p>
    <w:p>
      <w:pPr>
        <w:pageBreakBefore w:val="0"/>
        <w:wordWrap/>
        <w:bidi w:val="0"/>
        <w:spacing w:line="360" w:lineRule="auto"/>
        <w:ind w:left="0" w:leftChars="0" w:right="0" w:rightChars="0" w:firstLine="482" w:firstLineChars="200"/>
        <w:jc w:val="center"/>
        <w:rPr>
          <w:rFonts w:hint="default" w:ascii="Times New Roman" w:hAnsi="Times New Roman" w:eastAsia="宋体" w:cs="Times New Roman"/>
          <w:b/>
          <w:color w:val="auto"/>
          <w:sz w:val="24"/>
          <w:highlight w:val="none"/>
          <w:lang w:val="en-US" w:eastAsia="zh-CN"/>
        </w:rPr>
      </w:pPr>
    </w:p>
    <w:p>
      <w:pPr>
        <w:pageBreakBefore w:val="0"/>
        <w:wordWrap/>
        <w:bidi w:val="0"/>
        <w:spacing w:line="360" w:lineRule="auto"/>
        <w:ind w:left="0" w:leftChars="0" w:right="0" w:rightChars="0" w:firstLine="482" w:firstLineChars="200"/>
        <w:jc w:val="center"/>
        <w:rPr>
          <w:rFonts w:hint="default" w:ascii="Times New Roman" w:hAnsi="Times New Roman" w:eastAsia="宋体" w:cs="Times New Roman"/>
          <w:b/>
          <w:color w:val="auto"/>
          <w:sz w:val="24"/>
          <w:highlight w:val="none"/>
          <w:lang w:val="en-US" w:eastAsia="zh-CN"/>
        </w:rPr>
      </w:pPr>
    </w:p>
    <w:p>
      <w:pPr>
        <w:pageBreakBefore w:val="0"/>
        <w:wordWrap/>
        <w:bidi w:val="0"/>
        <w:spacing w:line="360" w:lineRule="auto"/>
        <w:ind w:left="0" w:leftChars="0" w:right="0" w:rightChars="0" w:firstLine="482" w:firstLineChars="200"/>
        <w:jc w:val="center"/>
        <w:rPr>
          <w:rFonts w:hint="default" w:ascii="Times New Roman" w:hAnsi="Times New Roman" w:eastAsia="宋体" w:cs="Times New Roman"/>
          <w:b/>
          <w:color w:val="auto"/>
          <w:sz w:val="24"/>
          <w:highlight w:val="none"/>
          <w:lang w:val="en-US" w:eastAsia="zh-CN"/>
        </w:rPr>
      </w:pPr>
    </w:p>
    <w:p>
      <w:pPr>
        <w:pageBreakBefore w:val="0"/>
        <w:wordWrap/>
        <w:bidi w:val="0"/>
        <w:spacing w:line="360" w:lineRule="auto"/>
        <w:ind w:left="0" w:leftChars="0" w:right="0" w:rightChars="0" w:firstLine="482" w:firstLineChars="200"/>
        <w:jc w:val="center"/>
        <w:rPr>
          <w:rFonts w:hint="default" w:ascii="Times New Roman" w:hAnsi="Times New Roman" w:eastAsia="宋体" w:cs="Times New Roman"/>
          <w:b/>
          <w:color w:val="auto"/>
          <w:sz w:val="24"/>
          <w:highlight w:val="none"/>
          <w:lang w:val="en-US" w:eastAsia="zh-CN"/>
        </w:rPr>
      </w:pPr>
    </w:p>
    <w:p>
      <w:pPr>
        <w:pageBreakBefore w:val="0"/>
        <w:wordWrap/>
        <w:bidi w:val="0"/>
        <w:spacing w:line="360" w:lineRule="auto"/>
        <w:ind w:left="0" w:leftChars="0" w:right="0" w:rightChars="0" w:firstLine="482" w:firstLineChars="200"/>
        <w:jc w:val="center"/>
        <w:rPr>
          <w:rFonts w:hint="default" w:ascii="Times New Roman" w:hAnsi="Times New Roman" w:eastAsia="宋体" w:cs="Times New Roman"/>
          <w:b/>
          <w:color w:val="auto"/>
          <w:sz w:val="24"/>
          <w:highlight w:val="none"/>
          <w:lang w:val="en-US" w:eastAsia="zh-CN"/>
        </w:rPr>
      </w:pPr>
    </w:p>
    <w:p>
      <w:pPr>
        <w:pageBreakBefore w:val="0"/>
        <w:wordWrap/>
        <w:bidi w:val="0"/>
        <w:spacing w:line="360" w:lineRule="auto"/>
        <w:ind w:left="0" w:leftChars="0" w:right="0" w:rightChars="0" w:firstLine="482" w:firstLineChars="200"/>
        <w:jc w:val="center"/>
        <w:rPr>
          <w:rFonts w:hint="default" w:ascii="Times New Roman" w:hAnsi="Times New Roman" w:eastAsia="宋体" w:cs="Times New Roman"/>
          <w:b/>
          <w:color w:val="auto"/>
          <w:sz w:val="24"/>
          <w:highlight w:val="none"/>
          <w:lang w:val="en-US" w:eastAsia="zh-CN"/>
        </w:rPr>
      </w:pPr>
    </w:p>
    <w:p>
      <w:pPr>
        <w:pageBreakBefore w:val="0"/>
        <w:wordWrap/>
        <w:bidi w:val="0"/>
        <w:spacing w:line="360" w:lineRule="auto"/>
        <w:ind w:left="0" w:leftChars="0" w:right="0" w:rightChars="0" w:firstLine="482" w:firstLineChars="200"/>
        <w:jc w:val="center"/>
        <w:rPr>
          <w:rFonts w:hint="default" w:ascii="Times New Roman" w:hAnsi="Times New Roman" w:eastAsia="宋体" w:cs="Times New Roman"/>
          <w:b/>
          <w:color w:val="auto"/>
          <w:sz w:val="24"/>
          <w:highlight w:val="none"/>
          <w:lang w:val="en-US" w:eastAsia="zh-CN"/>
        </w:rPr>
      </w:pPr>
    </w:p>
    <w:p>
      <w:pPr>
        <w:pageBreakBefore w:val="0"/>
        <w:wordWrap/>
        <w:bidi w:val="0"/>
        <w:spacing w:line="360" w:lineRule="auto"/>
        <w:ind w:left="0" w:leftChars="0" w:right="0" w:rightChars="0" w:firstLine="482" w:firstLineChars="200"/>
        <w:jc w:val="center"/>
        <w:rPr>
          <w:rFonts w:hint="default" w:ascii="Times New Roman" w:hAnsi="Times New Roman" w:eastAsia="宋体" w:cs="Times New Roman"/>
          <w:b/>
          <w:color w:val="auto"/>
          <w:sz w:val="24"/>
          <w:highlight w:val="none"/>
          <w:lang w:val="en-US" w:eastAsia="zh-CN"/>
        </w:rPr>
      </w:pPr>
    </w:p>
    <w:p>
      <w:pPr>
        <w:pageBreakBefore w:val="0"/>
        <w:wordWrap/>
        <w:bidi w:val="0"/>
        <w:spacing w:line="360" w:lineRule="auto"/>
        <w:ind w:left="0" w:leftChars="0" w:right="0" w:rightChars="0" w:firstLine="482" w:firstLineChars="200"/>
        <w:jc w:val="center"/>
        <w:rPr>
          <w:rFonts w:hint="default" w:ascii="Times New Roman" w:hAnsi="Times New Roman" w:eastAsia="宋体" w:cs="Times New Roman"/>
          <w:b/>
          <w:color w:val="auto"/>
          <w:sz w:val="24"/>
          <w:highlight w:val="none"/>
          <w:lang w:val="en-US" w:eastAsia="zh-CN"/>
        </w:rPr>
      </w:pPr>
    </w:p>
    <w:p>
      <w:pPr>
        <w:pageBreakBefore w:val="0"/>
        <w:wordWrap/>
        <w:bidi w:val="0"/>
        <w:spacing w:line="360" w:lineRule="auto"/>
        <w:ind w:left="0" w:leftChars="0" w:right="0" w:rightChars="0" w:firstLine="482" w:firstLineChars="200"/>
        <w:jc w:val="center"/>
        <w:rPr>
          <w:rFonts w:hint="default" w:ascii="Times New Roman" w:hAnsi="Times New Roman" w:eastAsia="宋体" w:cs="Times New Roman"/>
          <w:b/>
          <w:color w:val="auto"/>
          <w:sz w:val="24"/>
          <w:highlight w:val="none"/>
          <w:lang w:val="en-US" w:eastAsia="zh-CN"/>
        </w:rPr>
      </w:pPr>
    </w:p>
    <w:p>
      <w:pPr>
        <w:pageBreakBefore w:val="0"/>
        <w:wordWrap/>
        <w:bidi w:val="0"/>
        <w:spacing w:line="360" w:lineRule="auto"/>
        <w:ind w:left="0" w:leftChars="0" w:right="0" w:rightChars="0" w:firstLine="482" w:firstLineChars="200"/>
        <w:jc w:val="center"/>
        <w:rPr>
          <w:rFonts w:hint="default" w:ascii="Times New Roman" w:hAnsi="Times New Roman" w:eastAsia="宋体" w:cs="Times New Roman"/>
          <w:b/>
          <w:color w:val="auto"/>
          <w:sz w:val="24"/>
          <w:highlight w:val="none"/>
          <w:lang w:val="en-US" w:eastAsia="zh-CN"/>
        </w:rPr>
      </w:pPr>
    </w:p>
    <w:p>
      <w:pPr>
        <w:pageBreakBefore w:val="0"/>
        <w:wordWrap/>
        <w:bidi w:val="0"/>
        <w:spacing w:line="360" w:lineRule="auto"/>
        <w:ind w:left="0" w:leftChars="0" w:right="0" w:rightChars="0" w:firstLine="482" w:firstLineChars="200"/>
        <w:jc w:val="center"/>
        <w:rPr>
          <w:rFonts w:hint="default" w:ascii="Times New Roman" w:hAnsi="Times New Roman" w:eastAsia="宋体" w:cs="Times New Roman"/>
          <w:b/>
          <w:color w:val="auto"/>
          <w:sz w:val="24"/>
          <w:highlight w:val="none"/>
          <w:lang w:eastAsia="zh-CN"/>
        </w:rPr>
      </w:pPr>
    </w:p>
    <w:p>
      <w:pPr>
        <w:pageBreakBefore w:val="0"/>
        <w:wordWrap/>
        <w:bidi w:val="0"/>
        <w:spacing w:line="360" w:lineRule="auto"/>
        <w:ind w:left="0" w:leftChars="0" w:right="0" w:rightChars="0" w:firstLine="482" w:firstLineChars="200"/>
        <w:jc w:val="center"/>
        <w:rPr>
          <w:rFonts w:hint="default" w:ascii="Times New Roman" w:hAnsi="Times New Roman" w:eastAsia="宋体" w:cs="Times New Roman"/>
          <w:b/>
          <w:color w:val="auto"/>
          <w:sz w:val="24"/>
          <w:highlight w:val="none"/>
          <w:lang w:eastAsia="zh-CN"/>
        </w:rPr>
      </w:pPr>
    </w:p>
    <w:p>
      <w:pPr>
        <w:pageBreakBefore w:val="0"/>
        <w:wordWrap/>
        <w:bidi w:val="0"/>
        <w:spacing w:line="360" w:lineRule="auto"/>
        <w:ind w:left="0" w:leftChars="0" w:right="0" w:rightChars="0" w:firstLine="482" w:firstLineChars="200"/>
        <w:jc w:val="center"/>
        <w:rPr>
          <w:rFonts w:hint="default" w:ascii="Times New Roman" w:hAnsi="Times New Roman" w:eastAsia="宋体" w:cs="Times New Roman"/>
          <w:b/>
          <w:color w:val="auto"/>
          <w:sz w:val="24"/>
          <w:highlight w:val="none"/>
          <w:lang w:eastAsia="zh-CN"/>
        </w:rPr>
      </w:pPr>
    </w:p>
    <w:p>
      <w:pPr>
        <w:pageBreakBefore w:val="0"/>
        <w:wordWrap/>
        <w:bidi w:val="0"/>
        <w:spacing w:line="360" w:lineRule="auto"/>
        <w:ind w:left="0" w:leftChars="0" w:right="0" w:rightChars="0" w:firstLine="482" w:firstLineChars="200"/>
        <w:jc w:val="center"/>
        <w:rPr>
          <w:rFonts w:hint="default" w:ascii="Times New Roman" w:hAnsi="Times New Roman" w:eastAsia="宋体" w:cs="Times New Roman"/>
          <w:b/>
          <w:color w:val="auto"/>
          <w:sz w:val="24"/>
          <w:highlight w:val="none"/>
          <w:lang w:eastAsia="zh-CN"/>
        </w:rPr>
      </w:pPr>
    </w:p>
    <w:p>
      <w:pPr>
        <w:pageBreakBefore w:val="0"/>
        <w:wordWrap/>
        <w:bidi w:val="0"/>
        <w:spacing w:line="360" w:lineRule="auto"/>
        <w:ind w:left="0" w:leftChars="0" w:right="0" w:rightChars="0" w:firstLine="482" w:firstLineChars="200"/>
        <w:jc w:val="center"/>
        <w:rPr>
          <w:rFonts w:hint="default" w:ascii="Times New Roman" w:hAnsi="Times New Roman" w:eastAsia="宋体" w:cs="Times New Roman"/>
          <w:b/>
          <w:color w:val="auto"/>
          <w:sz w:val="24"/>
          <w:highlight w:val="none"/>
          <w:lang w:eastAsia="zh-CN"/>
        </w:rPr>
      </w:pPr>
    </w:p>
    <w:p>
      <w:pPr>
        <w:pageBreakBefore w:val="0"/>
        <w:wordWrap/>
        <w:bidi w:val="0"/>
        <w:spacing w:line="360" w:lineRule="auto"/>
        <w:ind w:left="0" w:leftChars="0" w:right="0" w:rightChars="0" w:firstLine="482" w:firstLineChars="200"/>
        <w:jc w:val="center"/>
        <w:rPr>
          <w:rFonts w:hint="default" w:ascii="Times New Roman" w:hAnsi="Times New Roman" w:eastAsia="宋体" w:cs="Times New Roman"/>
          <w:b/>
          <w:color w:val="auto"/>
          <w:sz w:val="24"/>
          <w:highlight w:val="none"/>
          <w:lang w:eastAsia="zh-CN"/>
        </w:rPr>
        <w:sectPr>
          <w:footerReference r:id="rId12" w:type="first"/>
          <w:footerReference r:id="rId10" w:type="default"/>
          <w:footerReference r:id="rId11" w:type="even"/>
          <w:pgSz w:w="11906" w:h="16838"/>
          <w:pgMar w:top="1440" w:right="1800" w:bottom="1440" w:left="1800" w:header="851" w:footer="1020" w:gutter="0"/>
          <w:pgNumType w:fmt="upperRoman" w:start="1"/>
          <w:cols w:space="720" w:num="1"/>
          <w:titlePg/>
          <w:docGrid w:linePitch="312" w:charSpace="0"/>
        </w:sectPr>
      </w:pPr>
    </w:p>
    <w:p>
      <w:pPr>
        <w:pStyle w:val="3"/>
        <w:pageBreakBefore w:val="0"/>
        <w:numPr>
          <w:ilvl w:val="0"/>
          <w:numId w:val="0"/>
        </w:numPr>
        <w:wordWrap/>
        <w:bidi w:val="0"/>
        <w:ind w:left="0" w:leftChars="0" w:right="0" w:rightChars="0"/>
        <w:jc w:val="center"/>
        <w:rPr>
          <w:rFonts w:hint="default" w:ascii="Times New Roman" w:hAnsi="Times New Roman" w:eastAsia="宋体" w:cs="Times New Roman"/>
          <w:b/>
          <w:bCs w:val="0"/>
          <w:color w:val="auto"/>
          <w:sz w:val="32"/>
          <w:szCs w:val="32"/>
          <w:highlight w:val="none"/>
        </w:rPr>
      </w:pPr>
      <w:bookmarkStart w:id="18" w:name="_Toc5174"/>
      <w:bookmarkStart w:id="19" w:name="_Toc28649"/>
      <w:r>
        <w:rPr>
          <w:rFonts w:hint="default" w:ascii="Times New Roman" w:hAnsi="Times New Roman" w:eastAsia="宋体" w:cs="Times New Roman"/>
          <w:b/>
          <w:bCs w:val="0"/>
          <w:color w:val="auto"/>
          <w:sz w:val="32"/>
          <w:szCs w:val="32"/>
          <w:highlight w:val="none"/>
        </w:rPr>
        <w:t>概述</w:t>
      </w:r>
      <w:bookmarkEnd w:id="18"/>
      <w:bookmarkEnd w:id="19"/>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乌拉特前旗西沙德盖钼业有限责任公司（以下简称西沙德盖钼业公司</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于2006年9月注册登记</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注册资金27800万元</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注册号</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152824000006921</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企业性质为有限责任公司</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该公司主要从事钼矿采选、钼矿产品销售等。</w:t>
      </w:r>
      <w:r>
        <w:rPr>
          <w:rFonts w:hint="default" w:ascii="Times New Roman" w:hAnsi="Times New Roman" w:eastAsia="宋体" w:cs="Times New Roman"/>
          <w:color w:val="auto"/>
          <w:sz w:val="24"/>
          <w:szCs w:val="24"/>
          <w:highlight w:val="none"/>
          <w:lang w:eastAsia="zh-CN"/>
        </w:rPr>
        <w:t>公司一座钼矿（</w:t>
      </w:r>
      <w:r>
        <w:rPr>
          <w:rFonts w:hint="default" w:ascii="Times New Roman" w:hAnsi="Times New Roman" w:eastAsia="宋体" w:cs="Times New Roman"/>
          <w:color w:val="auto"/>
          <w:sz w:val="24"/>
          <w:szCs w:val="24"/>
          <w:highlight w:val="none"/>
          <w:lang w:val="en-US" w:eastAsia="zh-CN"/>
        </w:rPr>
        <w:t>名为乌拉特前旗西沙德盖钼矿</w:t>
      </w:r>
      <w:r>
        <w:rPr>
          <w:rFonts w:hint="default" w:ascii="Times New Roman" w:hAnsi="Times New Roman" w:eastAsia="宋体" w:cs="Times New Roman"/>
          <w:color w:val="auto"/>
          <w:sz w:val="24"/>
          <w:szCs w:val="24"/>
          <w:highlight w:val="none"/>
          <w:lang w:eastAsia="zh-CN"/>
        </w:rPr>
        <w:t>）位于沙德格苏木，并配套建有选矿厂和尾矿库。</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lang w:val="en-US"/>
        </w:rPr>
      </w:pPr>
      <w:r>
        <w:rPr>
          <w:rFonts w:hint="default" w:ascii="Times New Roman" w:hAnsi="Times New Roman" w:eastAsia="宋体" w:cs="Times New Roman"/>
          <w:color w:val="auto"/>
          <w:sz w:val="24"/>
          <w:szCs w:val="24"/>
          <w:highlight w:val="none"/>
        </w:rPr>
        <w:t>乌拉特前旗西沙德盖钼矿位于乌拉特前旗政府所在</w:t>
      </w:r>
      <w:r>
        <w:rPr>
          <w:rFonts w:hint="default" w:ascii="Times New Roman" w:hAnsi="Times New Roman" w:eastAsia="宋体" w:cs="Times New Roman"/>
          <w:color w:val="auto"/>
          <w:sz w:val="24"/>
          <w:szCs w:val="24"/>
          <w:highlight w:val="none"/>
          <w:lang w:eastAsia="zh-CN"/>
        </w:rPr>
        <w:t>地</w:t>
      </w:r>
      <w:r>
        <w:rPr>
          <w:rFonts w:hint="default" w:ascii="Times New Roman" w:hAnsi="Times New Roman" w:eastAsia="宋体" w:cs="Times New Roman"/>
          <w:color w:val="auto"/>
          <w:sz w:val="24"/>
          <w:szCs w:val="24"/>
          <w:highlight w:val="none"/>
        </w:rPr>
        <w:t>乌拉山镇东北方向72km</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行政区划隶</w:t>
      </w:r>
      <w:r>
        <w:rPr>
          <w:rFonts w:hint="default" w:ascii="Times New Roman" w:hAnsi="Times New Roman" w:eastAsia="宋体" w:cs="Times New Roman"/>
          <w:color w:val="auto"/>
          <w:sz w:val="24"/>
          <w:szCs w:val="24"/>
          <w:highlight w:val="none"/>
          <w:lang w:eastAsia="zh-CN"/>
        </w:rPr>
        <w:t>属</w:t>
      </w:r>
      <w:r>
        <w:rPr>
          <w:rFonts w:hint="default" w:ascii="Times New Roman" w:hAnsi="Times New Roman" w:eastAsia="宋体" w:cs="Times New Roman"/>
          <w:color w:val="auto"/>
          <w:sz w:val="24"/>
          <w:szCs w:val="24"/>
          <w:highlight w:val="none"/>
        </w:rPr>
        <w:t>沙德格苏木</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其地理坐标为</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东经109°25'28</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～109°26'18</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；北纬40°47'08</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～40°47'27</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。2012年</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内蒙古自治区第五地质矿产勘查开发院对该钼矿进行了详查</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增加了采矿许可证范围内的资源储量</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提高了矿体控制程度。经过详查后</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西沙德盖钼矿矿区范围内查明矿产资源储量总计矿石量8777.03万吨</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金</w:t>
      </w:r>
      <w:r>
        <w:rPr>
          <w:rFonts w:hint="default" w:ascii="Times New Roman" w:hAnsi="Times New Roman" w:eastAsia="宋体" w:cs="Times New Roman"/>
          <w:color w:val="auto"/>
          <w:sz w:val="24"/>
          <w:szCs w:val="24"/>
          <w:highlight w:val="none"/>
          <w:lang w:eastAsia="zh-CN"/>
        </w:rPr>
        <w:t>属</w:t>
      </w:r>
      <w:r>
        <w:rPr>
          <w:rFonts w:hint="default" w:ascii="Times New Roman" w:hAnsi="Times New Roman" w:eastAsia="宋体" w:cs="Times New Roman"/>
          <w:color w:val="auto"/>
          <w:sz w:val="24"/>
          <w:szCs w:val="24"/>
          <w:highlight w:val="none"/>
        </w:rPr>
        <w:t>量92898.43吨；消耗矿石量189.49万吨</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金</w:t>
      </w:r>
      <w:r>
        <w:rPr>
          <w:rFonts w:hint="default" w:ascii="Times New Roman" w:hAnsi="Times New Roman" w:eastAsia="宋体" w:cs="Times New Roman"/>
          <w:color w:val="auto"/>
          <w:sz w:val="24"/>
          <w:szCs w:val="24"/>
          <w:highlight w:val="none"/>
          <w:lang w:eastAsia="zh-CN"/>
        </w:rPr>
        <w:t>属</w:t>
      </w:r>
      <w:r>
        <w:rPr>
          <w:rFonts w:hint="default" w:ascii="Times New Roman" w:hAnsi="Times New Roman" w:eastAsia="宋体" w:cs="Times New Roman"/>
          <w:color w:val="auto"/>
          <w:sz w:val="24"/>
          <w:szCs w:val="24"/>
          <w:highlight w:val="none"/>
        </w:rPr>
        <w:t>量1891.62吨；保有矿石量8587.54万吨</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金</w:t>
      </w:r>
      <w:r>
        <w:rPr>
          <w:rFonts w:hint="default" w:ascii="Times New Roman" w:hAnsi="Times New Roman" w:eastAsia="宋体" w:cs="Times New Roman"/>
          <w:color w:val="auto"/>
          <w:sz w:val="24"/>
          <w:szCs w:val="24"/>
          <w:highlight w:val="none"/>
          <w:lang w:eastAsia="zh-CN"/>
        </w:rPr>
        <w:t>属</w:t>
      </w:r>
      <w:r>
        <w:rPr>
          <w:rFonts w:hint="default" w:ascii="Times New Roman" w:hAnsi="Times New Roman" w:eastAsia="宋体" w:cs="Times New Roman"/>
          <w:color w:val="auto"/>
          <w:sz w:val="24"/>
          <w:szCs w:val="24"/>
          <w:highlight w:val="none"/>
        </w:rPr>
        <w:t>量91006.81吨</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查明矿产资源平均品位Mo0.106%。钼矿矿区面积0.6496km</w:t>
      </w:r>
      <w:r>
        <w:rPr>
          <w:rFonts w:hint="default" w:ascii="Times New Roman" w:hAnsi="Times New Roman" w:eastAsia="宋体" w:cs="Times New Roman"/>
          <w:color w:val="auto"/>
          <w:sz w:val="24"/>
          <w:szCs w:val="24"/>
          <w:highlight w:val="none"/>
          <w:vertAlign w:val="superscript"/>
        </w:rPr>
        <w:t>2</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采用露天开采方式</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年采钼矿石300万吨。</w:t>
      </w:r>
      <w:r>
        <w:rPr>
          <w:rFonts w:hint="default" w:ascii="Times New Roman" w:hAnsi="Times New Roman" w:eastAsia="宋体" w:cs="Times New Roman"/>
          <w:color w:val="auto"/>
          <w:sz w:val="24"/>
          <w:szCs w:val="24"/>
          <w:highlight w:val="none"/>
          <w:lang w:val="en-US" w:eastAsia="zh-CN"/>
        </w:rPr>
        <w:t>采矿证</w:t>
      </w:r>
      <w:r>
        <w:rPr>
          <w:rFonts w:hint="default" w:ascii="Times New Roman" w:hAnsi="Times New Roman" w:eastAsia="宋体" w:cs="Times New Roman"/>
          <w:color w:val="auto"/>
          <w:sz w:val="24"/>
          <w:szCs w:val="24"/>
          <w:highlight w:val="none"/>
        </w:rPr>
        <w:t>（采矿许可证证号</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C1500002010043110061731</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eastAsia="zh-CN"/>
        </w:rPr>
        <w:t>已于</w:t>
      </w:r>
      <w:r>
        <w:rPr>
          <w:rFonts w:hint="default" w:ascii="Times New Roman" w:hAnsi="Times New Roman" w:eastAsia="宋体" w:cs="Times New Roman"/>
          <w:color w:val="auto"/>
          <w:sz w:val="24"/>
          <w:szCs w:val="24"/>
          <w:highlight w:val="none"/>
          <w:lang w:val="en-US" w:eastAsia="zh-CN"/>
        </w:rPr>
        <w:t>2022年10月到期，目前正在办理采矿证延续工作）。</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szCs w:val="24"/>
          <w:highlight w:val="none"/>
        </w:rPr>
        <w:t>《乌拉特前旗西沙德盖钼业有限责任公司年处理300万吨钼矿选矿节能技改扩产项目环境影响报告书》于2014年10月17日由原巴彦淖尔市环境保护局以（巴环审发〔2014〕039号）进行了批复。2019年4月25日原巴彦淖尔市环境保护局出具了（巴环验〔2019〕8号），同意项目通过竣工环境保护验收。西沙德盖钼业公司现有选矿厂选择单一浮选工艺进行选矿</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即碎矿—磨矿—浮选。即破碎采用三段一闭路破碎流程</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磨矿与选矿采用一段磨矿</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一</w:t>
      </w:r>
      <w:r>
        <w:rPr>
          <w:rFonts w:hint="default" w:ascii="Times New Roman" w:hAnsi="Times New Roman" w:eastAsia="宋体" w:cs="Times New Roman"/>
          <w:color w:val="auto"/>
          <w:sz w:val="24"/>
          <w:szCs w:val="24"/>
          <w:highlight w:val="none"/>
        </w:rPr>
        <w:t>粗三扫三精浮选</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钼粗精矿再磨精选浮选流程回收钼。精矿浓缩</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过滤</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电烘干后，袋装后储存于产品库，</w:t>
      </w:r>
      <w:r>
        <w:rPr>
          <w:rFonts w:hint="default" w:ascii="Times New Roman" w:hAnsi="Times New Roman" w:eastAsia="宋体" w:cs="Times New Roman"/>
          <w:color w:val="auto"/>
          <w:sz w:val="24"/>
          <w:szCs w:val="24"/>
          <w:highlight w:val="none"/>
        </w:rPr>
        <w:t>汽车</w:t>
      </w:r>
      <w:r>
        <w:rPr>
          <w:rFonts w:hint="default" w:ascii="Times New Roman" w:hAnsi="Times New Roman" w:eastAsia="宋体" w:cs="Times New Roman"/>
          <w:color w:val="auto"/>
          <w:sz w:val="24"/>
          <w:szCs w:val="24"/>
          <w:highlight w:val="none"/>
          <w:lang w:val="en-US" w:eastAsia="zh-CN"/>
        </w:rPr>
        <w:t>定期</w:t>
      </w:r>
      <w:r>
        <w:rPr>
          <w:rFonts w:hint="default" w:ascii="Times New Roman" w:hAnsi="Times New Roman" w:eastAsia="宋体" w:cs="Times New Roman"/>
          <w:color w:val="auto"/>
          <w:sz w:val="24"/>
          <w:szCs w:val="24"/>
          <w:highlight w:val="none"/>
        </w:rPr>
        <w:t>外运</w:t>
      </w:r>
      <w:r>
        <w:rPr>
          <w:rFonts w:hint="default" w:ascii="Times New Roman" w:hAnsi="Times New Roman" w:eastAsia="宋体" w:cs="Times New Roman"/>
          <w:color w:val="auto"/>
          <w:sz w:val="24"/>
          <w:szCs w:val="24"/>
          <w:highlight w:val="none"/>
          <w:lang w:val="en-US" w:eastAsia="zh-CN"/>
        </w:rPr>
        <w:t>出售；</w:t>
      </w:r>
      <w:r>
        <w:rPr>
          <w:rFonts w:hint="default" w:ascii="Times New Roman" w:hAnsi="Times New Roman" w:eastAsia="宋体" w:cs="Times New Roman"/>
          <w:color w:val="auto"/>
          <w:sz w:val="24"/>
          <w:szCs w:val="24"/>
          <w:highlight w:val="none"/>
        </w:rPr>
        <w:t>尾矿浓密后通过尾矿管道</w:t>
      </w:r>
      <w:r>
        <w:rPr>
          <w:rFonts w:hint="default" w:ascii="Times New Roman" w:hAnsi="Times New Roman" w:eastAsia="宋体" w:cs="Times New Roman"/>
          <w:color w:val="auto"/>
          <w:sz w:val="24"/>
          <w:szCs w:val="24"/>
          <w:highlight w:val="none"/>
          <w:lang w:val="en-US" w:eastAsia="zh-CN"/>
        </w:rPr>
        <w:t>湿排</w:t>
      </w:r>
      <w:r>
        <w:rPr>
          <w:rFonts w:hint="default" w:ascii="Times New Roman" w:hAnsi="Times New Roman" w:eastAsia="宋体" w:cs="Times New Roman"/>
          <w:color w:val="auto"/>
          <w:sz w:val="24"/>
          <w:szCs w:val="24"/>
          <w:highlight w:val="none"/>
        </w:rPr>
        <w:t>到尾矿库。目前</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生产规模为处理矿石量300万t/a</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尾矿排放量</w:t>
      </w:r>
      <w:r>
        <w:rPr>
          <w:rFonts w:hint="default" w:ascii="Times New Roman" w:hAnsi="Times New Roman" w:eastAsia="宋体" w:cs="Times New Roman"/>
          <w:color w:val="auto"/>
          <w:sz w:val="24"/>
          <w:szCs w:val="24"/>
          <w:highlight w:val="none"/>
          <w:lang w:eastAsia="zh-CN"/>
        </w:rPr>
        <w:t>299.46</w:t>
      </w:r>
      <w:r>
        <w:rPr>
          <w:rFonts w:hint="default" w:ascii="Times New Roman" w:hAnsi="Times New Roman" w:eastAsia="宋体" w:cs="Times New Roman"/>
          <w:color w:val="auto"/>
          <w:sz w:val="24"/>
          <w:szCs w:val="24"/>
          <w:highlight w:val="none"/>
        </w:rPr>
        <w:t>万t/a</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bCs/>
          <w:color w:val="auto"/>
          <w:sz w:val="24"/>
          <w:szCs w:val="24"/>
          <w:highlight w:val="none"/>
        </w:rPr>
        <w:t>内蒙古加通环境检测治理有限公司</w:t>
      </w:r>
      <w:r>
        <w:rPr>
          <w:rFonts w:hint="default" w:ascii="Times New Roman" w:hAnsi="Times New Roman" w:eastAsia="宋体" w:cs="Times New Roman"/>
          <w:color w:val="auto"/>
          <w:sz w:val="24"/>
          <w:highlight w:val="none"/>
          <w:lang w:val="en-US" w:eastAsia="zh-CN"/>
        </w:rPr>
        <w:t>2023年4月对西沙德盖钼业公司尾矿样品进行浸出测试，出具了《监测报告》：①根据《危险废物鉴别标准通则》（GB5085.7-2019）、《危险废物鉴别标准浸出毒性鉴别》（GB5085.3-2007）进行了浸出毒性实验，浸出液中各项监测指标均未超过《危险废物鉴别标准浸出毒性鉴别》（GB5085.3-2007）表1浸出毒性鉴别标准值，因此钼矿尾矿不属于危险废物；②根据《固体废物浸出毒性浸出方法水平振荡法》（HJ557-2010）进行了浸出毒性实验，浸出液中各项监测指标均未超过《污水综合排放标准》（GB8978-1996）最高允许排放浓度（第二类污染物最高允许排放浓度按照一级标准执行），且pH值在6～9范围之内，因此钼矿尾矿属于</w:t>
      </w:r>
      <w:r>
        <w:rPr>
          <w:rFonts w:hint="default" w:ascii="Times New Roman" w:hAnsi="Times New Roman" w:eastAsia="宋体" w:cs="Times New Roman"/>
          <w:color w:val="auto"/>
          <w:sz w:val="24"/>
          <w:highlight w:val="none"/>
        </w:rPr>
        <w:t>第</w:t>
      </w:r>
      <w:r>
        <w:rPr>
          <w:rFonts w:hint="default" w:ascii="Times New Roman" w:hAnsi="Times New Roman" w:eastAsia="宋体" w:cs="Times New Roman"/>
          <w:color w:val="auto"/>
          <w:sz w:val="24"/>
          <w:highlight w:val="none"/>
          <w:lang w:val="en-US" w:eastAsia="zh-CN"/>
        </w:rPr>
        <w:t>I</w:t>
      </w:r>
      <w:r>
        <w:rPr>
          <w:rFonts w:hint="default" w:ascii="Times New Roman" w:hAnsi="Times New Roman" w:eastAsia="宋体" w:cs="Times New Roman"/>
          <w:color w:val="auto"/>
          <w:sz w:val="24"/>
          <w:highlight w:val="none"/>
        </w:rPr>
        <w:t>类一般工业固体废物</w:t>
      </w:r>
      <w:r>
        <w:rPr>
          <w:rFonts w:hint="default" w:ascii="Times New Roman" w:hAnsi="Times New Roman" w:eastAsia="宋体" w:cs="Times New Roman"/>
          <w:color w:val="auto"/>
          <w:sz w:val="24"/>
          <w:highlight w:val="none"/>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西沙德盖钼业公司现有尾矿库位于选矿厂的西北侧600m处</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为山谷型尾矿库</w:t>
      </w:r>
      <w:r>
        <w:rPr>
          <w:rFonts w:hint="default" w:ascii="Times New Roman" w:hAnsi="Times New Roman" w:eastAsia="宋体" w:cs="Times New Roman"/>
          <w:color w:val="auto"/>
          <w:sz w:val="24"/>
          <w:szCs w:val="24"/>
          <w:highlight w:val="none"/>
          <w:lang w:eastAsia="zh-CN"/>
        </w:rPr>
        <w:t>，2016年9月26日原巴彦淖尔市环境保护局以《关于内蒙古自治区乌拉特前旗西沙德盖钼业有限责任公司10000t/d钼矿采选扩建尾矿库工程环境影响报告书的批复》（巴环审发〔2016〕17号）对现有尾矿库进行了批复</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eastAsia="zh-CN"/>
        </w:rPr>
        <w:t>尾矿库占地面积</w:t>
      </w:r>
      <w:r>
        <w:rPr>
          <w:rFonts w:hint="default" w:ascii="Times New Roman" w:hAnsi="Times New Roman" w:eastAsia="宋体" w:cs="Times New Roman"/>
          <w:color w:val="auto"/>
          <w:sz w:val="24"/>
          <w:szCs w:val="24"/>
          <w:highlight w:val="none"/>
          <w:lang w:val="en-US" w:eastAsia="zh-CN"/>
        </w:rPr>
        <w:t>378655.29m</w:t>
      </w:r>
      <w:r>
        <w:rPr>
          <w:rFonts w:hint="default" w:ascii="Times New Roman" w:hAnsi="Times New Roman" w:eastAsia="宋体" w:cs="Times New Roman"/>
          <w:color w:val="auto"/>
          <w:sz w:val="24"/>
          <w:szCs w:val="24"/>
          <w:highlight w:val="none"/>
          <w:vertAlign w:val="superscript"/>
          <w:lang w:val="en-US" w:eastAsia="zh-CN"/>
        </w:rPr>
        <w:t>2</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设计坝底标高1366.0m</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最终堆积标高1454.0m</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总坝高88m</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总库容1219.53万m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尾矿有效库容965.78万m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为三等库；尾矿平均堆积干容重按1.6t/m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计算</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服务年限6.7年。2017年8月</w:t>
      </w:r>
      <w:r>
        <w:rPr>
          <w:rFonts w:hint="default" w:ascii="Times New Roman" w:hAnsi="Times New Roman" w:eastAsia="宋体" w:cs="Times New Roman"/>
          <w:color w:val="auto"/>
          <w:sz w:val="24"/>
          <w:szCs w:val="24"/>
          <w:highlight w:val="none"/>
          <w:lang w:val="en-US" w:eastAsia="zh-CN"/>
        </w:rPr>
        <w:t>委托内蒙古巴彦淖尔洁宇环保科技发展有限公司编制《</w:t>
      </w:r>
      <w:r>
        <w:rPr>
          <w:rFonts w:hint="default" w:ascii="Times New Roman" w:hAnsi="Times New Roman" w:eastAsia="宋体" w:cs="Times New Roman"/>
          <w:color w:val="auto"/>
          <w:sz w:val="24"/>
          <w:szCs w:val="24"/>
          <w:highlight w:val="none"/>
        </w:rPr>
        <w:t>内蒙古自治区乌拉特前旗西沙德盖钼业有限责任公司10000t/d钼矿采选扩建尾矿库工程环境</w:t>
      </w:r>
      <w:r>
        <w:rPr>
          <w:rFonts w:hint="default" w:ascii="Times New Roman" w:hAnsi="Times New Roman" w:eastAsia="宋体" w:cs="Times New Roman"/>
          <w:color w:val="auto"/>
          <w:sz w:val="24"/>
          <w:szCs w:val="24"/>
          <w:highlight w:val="none"/>
          <w:lang w:val="en-US" w:eastAsia="zh-CN"/>
        </w:rPr>
        <w:t>保护监理报告》</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根据《监理报告》可知：现有</w:t>
      </w:r>
      <w:r>
        <w:rPr>
          <w:rFonts w:hint="default" w:ascii="Times New Roman" w:hAnsi="Times New Roman" w:eastAsia="宋体" w:cs="Times New Roman"/>
          <w:color w:val="auto"/>
          <w:sz w:val="24"/>
          <w:szCs w:val="24"/>
          <w:highlight w:val="none"/>
          <w:lang w:eastAsia="zh-CN"/>
        </w:rPr>
        <w:t>尾矿库库底和边坡同样做防渗层，铺设300mm厚级配沙砾石过渡层，300mm厚粘土层（渗透系数不大于10</w:t>
      </w:r>
      <w:r>
        <w:rPr>
          <w:rFonts w:hint="default" w:ascii="Times New Roman" w:hAnsi="Times New Roman" w:eastAsia="宋体" w:cs="Times New Roman"/>
          <w:color w:val="auto"/>
          <w:sz w:val="24"/>
          <w:szCs w:val="24"/>
          <w:highlight w:val="none"/>
          <w:vertAlign w:val="superscript"/>
          <w:lang w:eastAsia="zh-CN"/>
        </w:rPr>
        <w:t>-7</w:t>
      </w:r>
      <w:r>
        <w:rPr>
          <w:rFonts w:hint="default" w:ascii="Times New Roman" w:hAnsi="Times New Roman" w:eastAsia="宋体" w:cs="Times New Roman"/>
          <w:color w:val="auto"/>
          <w:sz w:val="24"/>
          <w:szCs w:val="24"/>
          <w:highlight w:val="none"/>
          <w:lang w:eastAsia="zh-CN"/>
        </w:rPr>
        <w:t>cm/s），1.5mmHDPE土工膜，300mm厚细砂保护层，300mm砂砾石保护层（粒径4-6cm）；初期坝坝体上游坡</w:t>
      </w:r>
      <w:r>
        <w:rPr>
          <w:rFonts w:hint="default" w:ascii="Times New Roman" w:hAnsi="Times New Roman" w:eastAsia="宋体" w:cs="Times New Roman"/>
          <w:color w:val="auto"/>
          <w:sz w:val="24"/>
          <w:szCs w:val="24"/>
          <w:highlight w:val="none"/>
          <w:lang w:val="en-US" w:eastAsia="zh-CN"/>
        </w:rPr>
        <w:t>铺设400mm厚粗砂垫层，然后铺设</w:t>
      </w:r>
      <w:r>
        <w:rPr>
          <w:rFonts w:hint="default" w:ascii="Times New Roman" w:hAnsi="Times New Roman" w:eastAsia="宋体" w:cs="Times New Roman"/>
          <w:color w:val="auto"/>
          <w:sz w:val="24"/>
          <w:szCs w:val="24"/>
          <w:highlight w:val="none"/>
          <w:lang w:eastAsia="zh-CN"/>
        </w:rPr>
        <w:t>500g/m</w:t>
      </w:r>
      <w:r>
        <w:rPr>
          <w:rFonts w:hint="default" w:ascii="Times New Roman" w:hAnsi="Times New Roman" w:eastAsia="宋体" w:cs="Times New Roman"/>
          <w:color w:val="auto"/>
          <w:sz w:val="24"/>
          <w:szCs w:val="24"/>
          <w:highlight w:val="none"/>
          <w:vertAlign w:val="superscript"/>
          <w:lang w:eastAsia="zh-CN"/>
        </w:rPr>
        <w:t>2</w:t>
      </w:r>
      <w:r>
        <w:rPr>
          <w:rFonts w:hint="default" w:ascii="Times New Roman" w:hAnsi="Times New Roman" w:eastAsia="宋体" w:cs="Times New Roman"/>
          <w:color w:val="auto"/>
          <w:sz w:val="24"/>
          <w:szCs w:val="24"/>
          <w:highlight w:val="none"/>
          <w:lang w:val="en-US" w:eastAsia="zh-CN"/>
        </w:rPr>
        <w:t>加筋土工布，最上面铺500mm厚天然砂砾石保护层</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2017年8月23日原巴彦淖尔市环境保护局以《内蒙古自治区乌拉特前旗西沙德盖钼业有限责任公司10000t/d钼矿采选扩建尾矿库工程竣工环境保护验收意见》（巴环验〔2017〕28号）</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尾矿库做防渗处理，满足Ⅱ类场要求运行和管理</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同意现有尾矿库通过竣工环境保护验收</w:t>
      </w:r>
      <w:r>
        <w:rPr>
          <w:rFonts w:hint="default" w:ascii="Times New Roman" w:hAnsi="Times New Roman" w:eastAsia="宋体" w:cs="Times New Roman"/>
          <w:color w:val="auto"/>
          <w:sz w:val="24"/>
          <w:szCs w:val="24"/>
          <w:highlight w:val="none"/>
          <w:lang w:eastAsia="zh-CN"/>
        </w:rPr>
        <w:t>。</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目前</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该尾矿库坝顶标高约为1445.5m</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距离设计标高1454m剩余8.5m</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剩余</w:t>
      </w:r>
      <w:r>
        <w:rPr>
          <w:rFonts w:hint="default" w:ascii="Times New Roman" w:hAnsi="Times New Roman" w:eastAsia="宋体" w:cs="Times New Roman"/>
          <w:color w:val="auto"/>
          <w:sz w:val="24"/>
          <w:szCs w:val="24"/>
          <w:highlight w:val="none"/>
        </w:rPr>
        <w:t>库容</w:t>
      </w:r>
      <w:r>
        <w:rPr>
          <w:rFonts w:hint="default" w:ascii="Times New Roman" w:hAnsi="Times New Roman" w:eastAsia="宋体" w:cs="Times New Roman"/>
          <w:color w:val="auto"/>
          <w:sz w:val="24"/>
          <w:szCs w:val="24"/>
          <w:highlight w:val="none"/>
          <w:lang w:val="en-US" w:eastAsia="zh-CN"/>
        </w:rPr>
        <w:t>163.82</w:t>
      </w:r>
      <w:r>
        <w:rPr>
          <w:rFonts w:hint="default" w:ascii="Times New Roman" w:hAnsi="Times New Roman" w:eastAsia="宋体" w:cs="Times New Roman"/>
          <w:color w:val="auto"/>
          <w:sz w:val="24"/>
          <w:szCs w:val="24"/>
          <w:highlight w:val="none"/>
        </w:rPr>
        <w:t>万m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剩余</w:t>
      </w:r>
      <w:r>
        <w:rPr>
          <w:rFonts w:hint="default" w:ascii="Times New Roman" w:hAnsi="Times New Roman" w:eastAsia="宋体" w:cs="Times New Roman"/>
          <w:color w:val="auto"/>
          <w:sz w:val="24"/>
          <w:szCs w:val="24"/>
          <w:highlight w:val="none"/>
        </w:rPr>
        <w:t>有效库容</w:t>
      </w:r>
      <w:r>
        <w:rPr>
          <w:rFonts w:hint="default" w:ascii="Times New Roman" w:hAnsi="Times New Roman" w:eastAsia="宋体" w:cs="Times New Roman"/>
          <w:color w:val="auto"/>
          <w:sz w:val="24"/>
          <w:szCs w:val="24"/>
          <w:highlight w:val="none"/>
          <w:lang w:val="en-US" w:eastAsia="zh-CN"/>
        </w:rPr>
        <w:t>129.73</w:t>
      </w:r>
      <w:r>
        <w:rPr>
          <w:rFonts w:hint="default" w:ascii="Times New Roman" w:hAnsi="Times New Roman" w:eastAsia="宋体" w:cs="Times New Roman"/>
          <w:color w:val="auto"/>
          <w:sz w:val="24"/>
          <w:szCs w:val="24"/>
          <w:highlight w:val="none"/>
        </w:rPr>
        <w:t>万m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lang w:eastAsia="zh-CN"/>
        </w:rPr>
        <w:t>，现有尾矿库剩余服务年限约0.9年</w:t>
      </w:r>
      <w:r>
        <w:rPr>
          <w:rFonts w:hint="default" w:ascii="Times New Roman" w:hAnsi="Times New Roman" w:eastAsia="宋体" w:cs="Times New Roman"/>
          <w:color w:val="auto"/>
          <w:sz w:val="24"/>
          <w:szCs w:val="24"/>
          <w:highlight w:val="none"/>
        </w:rPr>
        <w:t>。</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为了满足西沙德盖钼业公司</w:t>
      </w:r>
      <w:r>
        <w:rPr>
          <w:rFonts w:hint="default" w:ascii="Times New Roman" w:hAnsi="Times New Roman" w:eastAsia="宋体" w:cs="Times New Roman"/>
          <w:color w:val="auto"/>
          <w:sz w:val="24"/>
          <w:szCs w:val="24"/>
          <w:highlight w:val="none"/>
          <w:lang w:eastAsia="zh-CN"/>
        </w:rPr>
        <w:t>现有</w:t>
      </w:r>
      <w:r>
        <w:rPr>
          <w:rFonts w:hint="default" w:ascii="Times New Roman" w:hAnsi="Times New Roman" w:eastAsia="宋体" w:cs="Times New Roman"/>
          <w:color w:val="auto"/>
          <w:sz w:val="24"/>
          <w:szCs w:val="24"/>
          <w:highlight w:val="none"/>
        </w:rPr>
        <w:t>选矿厂的正常生产</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企业需尽快寻找尾矿堆存场地。目前该公司</w:t>
      </w:r>
      <w:r>
        <w:rPr>
          <w:rFonts w:hint="default" w:ascii="Times New Roman" w:hAnsi="Times New Roman" w:eastAsia="宋体" w:cs="Times New Roman"/>
          <w:color w:val="auto"/>
          <w:sz w:val="24"/>
          <w:szCs w:val="24"/>
          <w:highlight w:val="none"/>
          <w:lang w:eastAsia="zh-CN"/>
        </w:rPr>
        <w:t>现有</w:t>
      </w:r>
      <w:r>
        <w:rPr>
          <w:rFonts w:hint="default" w:ascii="Times New Roman" w:hAnsi="Times New Roman" w:eastAsia="宋体" w:cs="Times New Roman"/>
          <w:color w:val="auto"/>
          <w:sz w:val="24"/>
          <w:szCs w:val="24"/>
          <w:highlight w:val="none"/>
        </w:rPr>
        <w:t>选矿厂周围已经没有可以适合建设尾矿库的库址</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而对于排尾量如此大的选矿厂来说</w:t>
      </w:r>
      <w:r>
        <w:rPr>
          <w:rFonts w:hint="default" w:ascii="Times New Roman" w:hAnsi="Times New Roman" w:eastAsia="宋体" w:cs="Times New Roman"/>
          <w:color w:val="auto"/>
          <w:sz w:val="24"/>
          <w:szCs w:val="24"/>
          <w:highlight w:val="none"/>
          <w:lang w:eastAsia="zh-CN"/>
        </w:rPr>
        <w:t>，尾矿库新增占地部分</w:t>
      </w:r>
      <w:r>
        <w:rPr>
          <w:rFonts w:hint="default" w:ascii="Times New Roman" w:hAnsi="Times New Roman" w:eastAsia="宋体" w:cs="Times New Roman"/>
          <w:color w:val="auto"/>
          <w:sz w:val="24"/>
          <w:szCs w:val="24"/>
          <w:highlight w:val="none"/>
        </w:rPr>
        <w:t>土地面积较广</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征地费用较高</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基建期投资较大</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且需要占用大量土地资源。在对现有尾矿库进行现场踏勘和评估的过程中发现</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最终堆积标高以上还有利用空间</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可通过在库区周边垭口建副坝及堆积坝对</w:t>
      </w:r>
      <w:r>
        <w:rPr>
          <w:rFonts w:hint="default" w:ascii="Times New Roman" w:hAnsi="Times New Roman" w:eastAsia="宋体" w:cs="Times New Roman"/>
          <w:color w:val="auto"/>
          <w:sz w:val="24"/>
          <w:szCs w:val="24"/>
          <w:highlight w:val="none"/>
          <w:lang w:eastAsia="zh-CN"/>
        </w:rPr>
        <w:t>现有尾矿库加高扩容</w:t>
      </w:r>
      <w:r>
        <w:rPr>
          <w:rFonts w:hint="default" w:ascii="Times New Roman" w:hAnsi="Times New Roman" w:eastAsia="宋体" w:cs="Times New Roman"/>
          <w:color w:val="auto"/>
          <w:sz w:val="24"/>
          <w:szCs w:val="24"/>
          <w:highlight w:val="none"/>
        </w:rPr>
        <w:t>。</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因此</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乌拉特前旗西沙德盖钼业有限责任公司决定对现有尾矿库进行加高扩容以满足企业生产的需求。</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outlineLvl w:val="0"/>
        <w:rPr>
          <w:rFonts w:hint="default" w:ascii="Times New Roman" w:hAnsi="Times New Roman" w:eastAsia="宋体" w:cs="Times New Roman"/>
          <w:color w:val="auto"/>
          <w:sz w:val="24"/>
          <w:szCs w:val="24"/>
          <w:highlight w:val="none"/>
          <w:lang w:eastAsia="zh-CN"/>
        </w:rPr>
      </w:pPr>
      <w:bookmarkStart w:id="20" w:name="_Toc23173"/>
      <w:bookmarkStart w:id="21" w:name="_Toc20868"/>
      <w:bookmarkStart w:id="22" w:name="_Toc11173"/>
      <w:r>
        <w:rPr>
          <w:rFonts w:hint="default" w:ascii="Times New Roman" w:hAnsi="Times New Roman" w:eastAsia="宋体" w:cs="Times New Roman"/>
          <w:color w:val="auto"/>
          <w:sz w:val="24"/>
          <w:szCs w:val="24"/>
          <w:highlight w:val="none"/>
        </w:rPr>
        <w:t>（1</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项目特点</w:t>
      </w:r>
      <w:r>
        <w:rPr>
          <w:rFonts w:hint="default" w:ascii="Times New Roman" w:hAnsi="Times New Roman" w:eastAsia="宋体" w:cs="Times New Roman"/>
          <w:color w:val="auto"/>
          <w:sz w:val="24"/>
          <w:szCs w:val="24"/>
          <w:highlight w:val="none"/>
          <w:lang w:eastAsia="zh-CN"/>
        </w:rPr>
        <w:t>：</w:t>
      </w:r>
      <w:bookmarkEnd w:id="20"/>
      <w:bookmarkEnd w:id="21"/>
      <w:bookmarkEnd w:id="22"/>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bCs/>
          <w:color w:val="auto"/>
          <w:sz w:val="24"/>
          <w:szCs w:val="24"/>
          <w:highlight w:val="none"/>
          <w:lang w:bidi="en-US"/>
        </w:rPr>
      </w:pPr>
      <w:r>
        <w:rPr>
          <w:rFonts w:hint="default" w:ascii="Times New Roman" w:hAnsi="Times New Roman" w:eastAsia="宋体" w:cs="Times New Roman"/>
          <w:bCs/>
          <w:color w:val="auto"/>
          <w:sz w:val="24"/>
          <w:szCs w:val="24"/>
          <w:highlight w:val="none"/>
          <w:lang w:bidi="en-US"/>
        </w:rPr>
        <w:t>本次扩建工程仅对</w:t>
      </w:r>
      <w:r>
        <w:rPr>
          <w:rFonts w:hint="default" w:ascii="Times New Roman" w:hAnsi="Times New Roman" w:eastAsia="宋体" w:cs="Times New Roman"/>
          <w:color w:val="auto"/>
          <w:sz w:val="24"/>
          <w:szCs w:val="24"/>
          <w:highlight w:val="none"/>
        </w:rPr>
        <w:t>现有尾矿库进行加高扩容</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不涉及采矿、选矿工程内容。</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bCs/>
          <w:color w:val="auto"/>
          <w:sz w:val="24"/>
          <w:szCs w:val="24"/>
          <w:highlight w:val="none"/>
          <w:lang w:bidi="en-US"/>
        </w:rPr>
        <w:t>本次扩建</w:t>
      </w:r>
      <w:r>
        <w:rPr>
          <w:rFonts w:hint="default" w:ascii="Times New Roman" w:hAnsi="Times New Roman" w:eastAsia="宋体" w:cs="Times New Roman"/>
          <w:color w:val="auto"/>
          <w:sz w:val="24"/>
          <w:szCs w:val="24"/>
          <w:highlight w:val="none"/>
        </w:rPr>
        <w:t>内容为</w:t>
      </w:r>
      <w:r>
        <w:rPr>
          <w:rFonts w:hint="default" w:ascii="Times New Roman" w:hAnsi="Times New Roman" w:eastAsia="宋体" w:cs="Times New Roman"/>
          <w:color w:val="auto"/>
          <w:sz w:val="24"/>
          <w:szCs w:val="24"/>
          <w:highlight w:val="none"/>
          <w:lang w:eastAsia="zh-CN"/>
        </w:rPr>
        <w:t>：对</w:t>
      </w:r>
      <w:r>
        <w:rPr>
          <w:rFonts w:hint="default" w:ascii="Times New Roman" w:hAnsi="Times New Roman" w:eastAsia="宋体" w:cs="Times New Roman"/>
          <w:color w:val="auto"/>
          <w:sz w:val="24"/>
          <w:szCs w:val="24"/>
          <w:highlight w:val="none"/>
        </w:rPr>
        <w:t>西沙德盖钼业公司现有尾矿库进行加高扩容</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扩建后</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尾矿库</w:t>
      </w:r>
      <w:r>
        <w:rPr>
          <w:rFonts w:hint="default" w:ascii="Times New Roman" w:hAnsi="Times New Roman" w:eastAsia="宋体" w:cs="Times New Roman"/>
          <w:color w:val="auto"/>
          <w:sz w:val="24"/>
          <w:szCs w:val="24"/>
          <w:highlight w:val="none"/>
          <w:lang w:eastAsia="zh-CN"/>
        </w:rPr>
        <w:t>占地面积</w:t>
      </w:r>
      <w:r>
        <w:rPr>
          <w:rFonts w:hint="default" w:ascii="Times New Roman" w:hAnsi="Times New Roman" w:eastAsia="宋体" w:cs="Times New Roman"/>
          <w:color w:val="auto"/>
          <w:sz w:val="24"/>
          <w:szCs w:val="24"/>
          <w:highlight w:val="none"/>
        </w:rPr>
        <w:t>由现有</w:t>
      </w:r>
      <w:r>
        <w:rPr>
          <w:rFonts w:hint="default" w:ascii="Times New Roman" w:hAnsi="Times New Roman" w:eastAsia="宋体" w:cs="Times New Roman"/>
          <w:color w:val="auto"/>
          <w:sz w:val="24"/>
          <w:highlight w:val="none"/>
        </w:rPr>
        <w:t>378655.29m</w:t>
      </w:r>
      <w:r>
        <w:rPr>
          <w:rFonts w:hint="default" w:ascii="Times New Roman" w:hAnsi="Times New Roman" w:eastAsia="宋体" w:cs="Times New Roman"/>
          <w:color w:val="auto"/>
          <w:sz w:val="24"/>
          <w:highlight w:val="none"/>
          <w:vertAlign w:val="superscript"/>
        </w:rPr>
        <w:t>2</w:t>
      </w:r>
      <w:r>
        <w:rPr>
          <w:rFonts w:hint="default" w:ascii="Times New Roman" w:hAnsi="Times New Roman" w:eastAsia="宋体" w:cs="Times New Roman"/>
          <w:color w:val="auto"/>
          <w:sz w:val="24"/>
          <w:highlight w:val="none"/>
          <w:vertAlign w:val="baseline"/>
          <w:lang w:eastAsia="zh-CN"/>
        </w:rPr>
        <w:t>扩大</w:t>
      </w:r>
      <w:r>
        <w:rPr>
          <w:rFonts w:hint="default" w:ascii="Times New Roman" w:hAnsi="Times New Roman" w:eastAsia="宋体" w:cs="Times New Roman"/>
          <w:color w:val="auto"/>
          <w:sz w:val="24"/>
          <w:szCs w:val="24"/>
          <w:highlight w:val="none"/>
        </w:rPr>
        <w:t>至</w:t>
      </w:r>
      <w:r>
        <w:rPr>
          <w:rFonts w:hint="default" w:ascii="Times New Roman" w:hAnsi="Times New Roman" w:eastAsia="宋体" w:cs="Times New Roman"/>
          <w:color w:val="auto"/>
          <w:sz w:val="24"/>
          <w:szCs w:val="24"/>
          <w:highlight w:val="none"/>
          <w:lang w:val="en-US" w:eastAsia="zh-CN"/>
        </w:rPr>
        <w:t>591800m</w:t>
      </w:r>
      <w:r>
        <w:rPr>
          <w:rFonts w:hint="default" w:ascii="Times New Roman" w:hAnsi="Times New Roman" w:eastAsia="宋体" w:cs="Times New Roman"/>
          <w:color w:val="auto"/>
          <w:sz w:val="24"/>
          <w:szCs w:val="24"/>
          <w:highlight w:val="none"/>
          <w:vertAlign w:val="superscript"/>
          <w:lang w:val="en-US" w:eastAsia="zh-CN"/>
        </w:rPr>
        <w:t>2</w:t>
      </w:r>
      <w:r>
        <w:rPr>
          <w:rFonts w:hint="default" w:ascii="Times New Roman" w:hAnsi="Times New Roman" w:eastAsia="宋体" w:cs="Times New Roman"/>
          <w:color w:val="auto"/>
          <w:sz w:val="24"/>
          <w:szCs w:val="24"/>
          <w:highlight w:val="none"/>
          <w:lang w:eastAsia="zh-CN"/>
        </w:rPr>
        <w:t>（新增占地面积</w:t>
      </w:r>
      <w:r>
        <w:rPr>
          <w:rFonts w:hint="default" w:ascii="Times New Roman" w:hAnsi="Times New Roman" w:eastAsia="宋体" w:cs="Times New Roman"/>
          <w:color w:val="auto"/>
          <w:sz w:val="24"/>
          <w:szCs w:val="24"/>
          <w:highlight w:val="none"/>
          <w:lang w:val="en-US" w:eastAsia="zh-CN"/>
        </w:rPr>
        <w:t>213144.71m</w:t>
      </w:r>
      <w:r>
        <w:rPr>
          <w:rFonts w:hint="default" w:ascii="Times New Roman" w:hAnsi="Times New Roman" w:eastAsia="宋体" w:cs="Times New Roman"/>
          <w:color w:val="auto"/>
          <w:sz w:val="24"/>
          <w:szCs w:val="24"/>
          <w:highlight w:val="none"/>
          <w:vertAlign w:val="superscript"/>
          <w:lang w:val="en-US" w:eastAsia="zh-CN"/>
        </w:rPr>
        <w:t>2</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新增占地性质为其他草原，土地手续正在办理中</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总坝高由现有的</w:t>
      </w:r>
      <w:r>
        <w:rPr>
          <w:rFonts w:hint="default" w:ascii="Times New Roman" w:hAnsi="Times New Roman" w:eastAsia="宋体" w:cs="Times New Roman"/>
          <w:color w:val="auto"/>
          <w:sz w:val="24"/>
          <w:szCs w:val="24"/>
          <w:highlight w:val="none"/>
          <w:lang w:val="en-US" w:eastAsia="zh-CN"/>
        </w:rPr>
        <w:t>88m</w:t>
      </w:r>
      <w:r>
        <w:rPr>
          <w:rFonts w:hint="default" w:ascii="Times New Roman" w:hAnsi="Times New Roman" w:eastAsia="宋体" w:cs="Times New Roman"/>
          <w:color w:val="auto"/>
          <w:sz w:val="24"/>
          <w:highlight w:val="none"/>
          <w:vertAlign w:val="baseline"/>
          <w:lang w:eastAsia="zh-CN"/>
        </w:rPr>
        <w:t>扩大</w:t>
      </w:r>
      <w:r>
        <w:rPr>
          <w:rFonts w:hint="default" w:ascii="Times New Roman" w:hAnsi="Times New Roman" w:eastAsia="宋体" w:cs="Times New Roman"/>
          <w:color w:val="auto"/>
          <w:sz w:val="24"/>
          <w:szCs w:val="24"/>
          <w:highlight w:val="none"/>
        </w:rPr>
        <w:t>至</w:t>
      </w:r>
      <w:r>
        <w:rPr>
          <w:rFonts w:hint="default" w:ascii="Times New Roman" w:hAnsi="Times New Roman" w:eastAsia="宋体" w:cs="Times New Roman"/>
          <w:color w:val="auto"/>
          <w:sz w:val="24"/>
          <w:highlight w:val="none"/>
          <w:vertAlign w:val="baseline"/>
          <w:lang w:val="en-US" w:eastAsia="zh-CN"/>
        </w:rPr>
        <w:t>129m</w:t>
      </w:r>
      <w:r>
        <w:rPr>
          <w:rFonts w:hint="default" w:ascii="Times New Roman" w:hAnsi="Times New Roman" w:eastAsia="宋体" w:cs="Times New Roman"/>
          <w:color w:val="auto"/>
          <w:sz w:val="24"/>
          <w:szCs w:val="24"/>
          <w:highlight w:val="none"/>
          <w:lang w:eastAsia="zh-CN"/>
        </w:rPr>
        <w:t>（新增坝高</w:t>
      </w:r>
      <w:r>
        <w:rPr>
          <w:rFonts w:hint="default" w:ascii="Times New Roman" w:hAnsi="Times New Roman" w:eastAsia="宋体" w:cs="Times New Roman"/>
          <w:color w:val="auto"/>
          <w:sz w:val="24"/>
          <w:szCs w:val="24"/>
          <w:highlight w:val="none"/>
          <w:lang w:val="en-US" w:eastAsia="zh-CN"/>
        </w:rPr>
        <w:t>41m</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highlight w:val="none"/>
          <w:vertAlign w:val="baseline"/>
          <w:lang w:val="en-US" w:eastAsia="zh-CN"/>
        </w:rPr>
        <w:t>，</w:t>
      </w:r>
      <w:r>
        <w:rPr>
          <w:rFonts w:hint="default" w:ascii="Times New Roman" w:hAnsi="Times New Roman" w:eastAsia="宋体" w:cs="Times New Roman"/>
          <w:color w:val="auto"/>
          <w:sz w:val="24"/>
          <w:szCs w:val="24"/>
          <w:highlight w:val="none"/>
        </w:rPr>
        <w:t>库容由现有设计库容1219.53万m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扩大至2145万m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lang w:eastAsia="zh-CN"/>
        </w:rPr>
        <w:t>（新增</w:t>
      </w:r>
      <w:r>
        <w:rPr>
          <w:rFonts w:hint="default" w:ascii="Times New Roman" w:hAnsi="Times New Roman" w:eastAsia="宋体" w:cs="Times New Roman"/>
          <w:color w:val="auto"/>
          <w:sz w:val="24"/>
          <w:szCs w:val="24"/>
          <w:highlight w:val="none"/>
        </w:rPr>
        <w:t>库容926万m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lang w:eastAsia="zh-CN"/>
        </w:rPr>
        <w:t>，利用系数按</w:t>
      </w:r>
      <w:r>
        <w:rPr>
          <w:rFonts w:hint="default" w:ascii="Times New Roman" w:hAnsi="Times New Roman" w:eastAsia="宋体" w:cs="Times New Roman"/>
          <w:color w:val="auto"/>
          <w:sz w:val="24"/>
          <w:szCs w:val="24"/>
          <w:highlight w:val="none"/>
          <w:lang w:val="en-US" w:eastAsia="zh-CN"/>
        </w:rPr>
        <w:t>0.75计算，</w:t>
      </w:r>
      <w:r>
        <w:rPr>
          <w:rFonts w:hint="default" w:ascii="Times New Roman" w:hAnsi="Times New Roman" w:eastAsia="宋体" w:cs="Times New Roman"/>
          <w:color w:val="auto"/>
          <w:sz w:val="24"/>
          <w:szCs w:val="24"/>
          <w:highlight w:val="none"/>
        </w:rPr>
        <w:t>有效库容增加695万m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lang w:eastAsia="zh-CN"/>
        </w:rPr>
        <w:t>），尾矿库等别</w:t>
      </w:r>
      <w:r>
        <w:rPr>
          <w:rFonts w:hint="default" w:ascii="Times New Roman" w:hAnsi="Times New Roman" w:eastAsia="宋体" w:cs="Times New Roman"/>
          <w:color w:val="auto"/>
          <w:sz w:val="24"/>
          <w:szCs w:val="24"/>
          <w:highlight w:val="none"/>
        </w:rPr>
        <w:t>由</w:t>
      </w:r>
      <w:r>
        <w:rPr>
          <w:rFonts w:hint="default" w:ascii="Times New Roman" w:hAnsi="Times New Roman" w:eastAsia="宋体" w:cs="Times New Roman"/>
          <w:color w:val="auto"/>
          <w:sz w:val="24"/>
          <w:szCs w:val="24"/>
          <w:highlight w:val="none"/>
          <w:lang w:eastAsia="zh-CN"/>
        </w:rPr>
        <w:t>现在的</w:t>
      </w:r>
      <w:r>
        <w:rPr>
          <w:rFonts w:hint="default" w:ascii="Times New Roman" w:hAnsi="Times New Roman" w:eastAsia="宋体" w:cs="Times New Roman"/>
          <w:color w:val="auto"/>
          <w:sz w:val="24"/>
          <w:szCs w:val="24"/>
          <w:highlight w:val="none"/>
        </w:rPr>
        <w:t>三等库提高为二等库</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GB"/>
        </w:rPr>
        <w:t>按照年排尾矿量</w:t>
      </w:r>
      <w:r>
        <w:rPr>
          <w:rFonts w:hint="default" w:ascii="Times New Roman" w:hAnsi="Times New Roman" w:eastAsia="宋体" w:cs="Times New Roman"/>
          <w:color w:val="auto"/>
          <w:sz w:val="24"/>
          <w:szCs w:val="24"/>
          <w:highlight w:val="none"/>
          <w:lang w:val="en-GB" w:eastAsia="zh-CN"/>
        </w:rPr>
        <w:t>299.46</w:t>
      </w:r>
      <w:r>
        <w:rPr>
          <w:rFonts w:hint="default" w:ascii="Times New Roman" w:hAnsi="Times New Roman" w:eastAsia="宋体" w:cs="Times New Roman"/>
          <w:color w:val="auto"/>
          <w:sz w:val="24"/>
          <w:szCs w:val="24"/>
          <w:highlight w:val="none"/>
          <w:lang w:val="en-GB"/>
        </w:rPr>
        <w:t>万</w:t>
      </w:r>
      <w:r>
        <w:rPr>
          <w:rFonts w:hint="default" w:ascii="Times New Roman" w:hAnsi="Times New Roman" w:eastAsia="宋体" w:cs="Times New Roman"/>
          <w:color w:val="auto"/>
          <w:sz w:val="24"/>
          <w:szCs w:val="24"/>
          <w:highlight w:val="none"/>
        </w:rPr>
        <w:t>t</w:t>
      </w:r>
      <w:r>
        <w:rPr>
          <w:rFonts w:hint="default" w:ascii="Times New Roman" w:hAnsi="Times New Roman" w:eastAsia="宋体" w:cs="Times New Roman"/>
          <w:color w:val="auto"/>
          <w:sz w:val="24"/>
          <w:szCs w:val="24"/>
          <w:highlight w:val="none"/>
          <w:lang w:val="en-GB"/>
        </w:rPr>
        <w:t>/a计算</w:t>
      </w:r>
      <w:r>
        <w:rPr>
          <w:rFonts w:hint="default" w:ascii="Times New Roman" w:hAnsi="Times New Roman" w:eastAsia="宋体" w:cs="Times New Roman"/>
          <w:color w:val="auto"/>
          <w:sz w:val="24"/>
          <w:szCs w:val="24"/>
          <w:highlight w:val="none"/>
          <w:lang w:val="en-GB" w:eastAsia="zh-CN"/>
        </w:rPr>
        <w:t>，</w:t>
      </w:r>
      <w:r>
        <w:rPr>
          <w:rFonts w:hint="default" w:ascii="Times New Roman" w:hAnsi="Times New Roman" w:eastAsia="宋体" w:cs="Times New Roman"/>
          <w:color w:val="auto"/>
          <w:sz w:val="24"/>
          <w:szCs w:val="24"/>
          <w:highlight w:val="none"/>
          <w:lang w:val="en-GB"/>
        </w:rPr>
        <w:t>尾矿平均堆积干容重按1.6t/m</w:t>
      </w:r>
      <w:r>
        <w:rPr>
          <w:rFonts w:hint="default" w:ascii="Times New Roman" w:hAnsi="Times New Roman" w:eastAsia="宋体" w:cs="Times New Roman"/>
          <w:color w:val="auto"/>
          <w:sz w:val="24"/>
          <w:szCs w:val="24"/>
          <w:highlight w:val="none"/>
          <w:vertAlign w:val="superscript"/>
          <w:lang w:val="en-GB"/>
        </w:rPr>
        <w:t>3</w:t>
      </w:r>
      <w:r>
        <w:rPr>
          <w:rFonts w:hint="default" w:ascii="Times New Roman" w:hAnsi="Times New Roman" w:eastAsia="宋体" w:cs="Times New Roman"/>
          <w:color w:val="auto"/>
          <w:sz w:val="24"/>
          <w:szCs w:val="24"/>
          <w:highlight w:val="none"/>
          <w:lang w:val="en-GB"/>
        </w:rPr>
        <w:t>计算</w:t>
      </w:r>
      <w:r>
        <w:rPr>
          <w:rFonts w:hint="default" w:ascii="Times New Roman" w:hAnsi="Times New Roman" w:eastAsia="宋体" w:cs="Times New Roman"/>
          <w:color w:val="auto"/>
          <w:sz w:val="24"/>
          <w:szCs w:val="24"/>
          <w:highlight w:val="none"/>
          <w:lang w:val="en-GB" w:eastAsia="zh-CN"/>
        </w:rPr>
        <w:t>，现有尾矿库剩余服务年限约0.9年，</w:t>
      </w:r>
      <w:r>
        <w:rPr>
          <w:rFonts w:hint="default" w:ascii="Times New Roman" w:hAnsi="Times New Roman" w:eastAsia="宋体" w:cs="Times New Roman"/>
          <w:color w:val="auto"/>
          <w:sz w:val="24"/>
          <w:szCs w:val="24"/>
          <w:highlight w:val="none"/>
        </w:rPr>
        <w:t>扩建尾矿库服务年限约</w:t>
      </w:r>
      <w:r>
        <w:rPr>
          <w:rFonts w:hint="default" w:ascii="Times New Roman" w:hAnsi="Times New Roman" w:eastAsia="宋体" w:cs="Times New Roman"/>
          <w:color w:val="auto"/>
          <w:sz w:val="24"/>
          <w:szCs w:val="24"/>
          <w:highlight w:val="none"/>
          <w:lang w:eastAsia="zh-CN"/>
        </w:rPr>
        <w:t>3.7</w:t>
      </w:r>
      <w:r>
        <w:rPr>
          <w:rFonts w:hint="default" w:ascii="Times New Roman" w:hAnsi="Times New Roman" w:eastAsia="宋体" w:cs="Times New Roman"/>
          <w:color w:val="auto"/>
          <w:sz w:val="24"/>
          <w:szCs w:val="24"/>
          <w:highlight w:val="none"/>
        </w:rPr>
        <w:t>年</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扩建后尾矿库</w:t>
      </w:r>
      <w:r>
        <w:rPr>
          <w:rFonts w:hint="default" w:ascii="Times New Roman" w:hAnsi="Times New Roman" w:eastAsia="宋体" w:cs="Times New Roman"/>
          <w:color w:val="auto"/>
          <w:sz w:val="24"/>
          <w:szCs w:val="24"/>
          <w:highlight w:val="none"/>
        </w:rPr>
        <w:t>服务年限约</w:t>
      </w:r>
      <w:r>
        <w:rPr>
          <w:rFonts w:hint="default" w:ascii="Times New Roman" w:hAnsi="Times New Roman" w:eastAsia="宋体" w:cs="Times New Roman"/>
          <w:color w:val="auto"/>
          <w:sz w:val="24"/>
          <w:szCs w:val="24"/>
          <w:highlight w:val="none"/>
          <w:lang w:val="en-US" w:eastAsia="zh-CN"/>
        </w:rPr>
        <w:t>4.6</w:t>
      </w:r>
      <w:r>
        <w:rPr>
          <w:rFonts w:hint="default" w:ascii="Times New Roman" w:hAnsi="Times New Roman" w:eastAsia="宋体" w:cs="Times New Roman"/>
          <w:color w:val="auto"/>
          <w:sz w:val="24"/>
          <w:szCs w:val="24"/>
          <w:highlight w:val="none"/>
        </w:rPr>
        <w:t>年</w:t>
      </w:r>
      <w:r>
        <w:rPr>
          <w:rFonts w:hint="default" w:ascii="Times New Roman" w:hAnsi="Times New Roman" w:eastAsia="宋体" w:cs="Times New Roman"/>
          <w:color w:val="auto"/>
          <w:sz w:val="24"/>
          <w:szCs w:val="24"/>
          <w:highlight w:val="none"/>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bCs/>
          <w:color w:val="auto"/>
          <w:sz w:val="24"/>
          <w:szCs w:val="24"/>
          <w:highlight w:val="none"/>
        </w:rPr>
      </w:pPr>
      <w:r>
        <w:rPr>
          <w:rFonts w:hint="default" w:ascii="Times New Roman" w:hAnsi="Times New Roman" w:eastAsia="宋体" w:cs="Times New Roman"/>
          <w:bCs/>
          <w:color w:val="auto"/>
          <w:sz w:val="24"/>
          <w:szCs w:val="24"/>
          <w:highlight w:val="none"/>
        </w:rPr>
        <w:t>受</w:t>
      </w:r>
      <w:r>
        <w:rPr>
          <w:rFonts w:hint="default" w:ascii="Times New Roman" w:hAnsi="Times New Roman" w:eastAsia="宋体" w:cs="Times New Roman"/>
          <w:bCs/>
          <w:color w:val="auto"/>
          <w:sz w:val="24"/>
          <w:szCs w:val="24"/>
          <w:highlight w:val="none"/>
          <w:lang w:bidi="en-US"/>
        </w:rPr>
        <w:t>乌拉特前旗西沙德盖钼业有限责任公司</w:t>
      </w:r>
      <w:r>
        <w:rPr>
          <w:rFonts w:hint="default" w:ascii="Times New Roman" w:hAnsi="Times New Roman" w:eastAsia="宋体" w:cs="Times New Roman"/>
          <w:bCs/>
          <w:color w:val="auto"/>
          <w:sz w:val="24"/>
          <w:szCs w:val="24"/>
          <w:highlight w:val="none"/>
        </w:rPr>
        <w:t>委托</w:t>
      </w:r>
      <w:r>
        <w:rPr>
          <w:rFonts w:hint="default" w:ascii="Times New Roman" w:hAnsi="Times New Roman" w:eastAsia="宋体"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rPr>
        <w:t>内蒙古同人工程技术咨询有限公司（</w:t>
      </w:r>
      <w:r>
        <w:rPr>
          <w:rFonts w:hint="default" w:ascii="Times New Roman" w:hAnsi="Times New Roman" w:eastAsia="宋体" w:cs="Times New Roman"/>
          <w:color w:val="auto"/>
          <w:sz w:val="24"/>
          <w:szCs w:val="24"/>
          <w:highlight w:val="none"/>
        </w:rPr>
        <w:t>以下简称</w:t>
      </w:r>
      <w:r>
        <w:rPr>
          <w:rFonts w:hint="default" w:ascii="Times New Roman" w:hAnsi="Times New Roman" w:eastAsia="宋体" w:cs="Times New Roman"/>
          <w:bCs/>
          <w:color w:val="auto"/>
          <w:sz w:val="24"/>
          <w:szCs w:val="24"/>
          <w:highlight w:val="none"/>
        </w:rPr>
        <w:t>我公司</w:t>
      </w:r>
      <w:r>
        <w:rPr>
          <w:rFonts w:hint="default" w:ascii="Times New Roman" w:hAnsi="Times New Roman" w:eastAsia="宋体"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rPr>
        <w:t>承担了“</w:t>
      </w:r>
      <w:r>
        <w:rPr>
          <w:rFonts w:hint="default" w:ascii="Times New Roman" w:hAnsi="Times New Roman" w:eastAsia="宋体" w:cs="Times New Roman"/>
          <w:bCs/>
          <w:color w:val="auto"/>
          <w:sz w:val="24"/>
          <w:szCs w:val="24"/>
          <w:highlight w:val="none"/>
          <w:lang w:bidi="en-US"/>
        </w:rPr>
        <w:t>乌拉特前旗西沙德盖钼业有限责任公司年处理300万吨钼矿选矿节能技改扩产项目尾矿库加高扩容工程项目</w:t>
      </w:r>
      <w:r>
        <w:rPr>
          <w:rFonts w:hint="default" w:ascii="Times New Roman" w:hAnsi="Times New Roman" w:eastAsia="宋体" w:cs="Times New Roman"/>
          <w:bCs/>
          <w:color w:val="auto"/>
          <w:sz w:val="24"/>
          <w:szCs w:val="24"/>
          <w:highlight w:val="none"/>
        </w:rPr>
        <w:t>”的环境影响评价工作。依据《建设项目环境影响评价分类管理名录》（2021年版</w:t>
      </w:r>
      <w:r>
        <w:rPr>
          <w:rFonts w:hint="default" w:ascii="Times New Roman" w:hAnsi="Times New Roman" w:eastAsia="宋体"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rPr>
        <w:t>的规定</w:t>
      </w:r>
      <w:r>
        <w:rPr>
          <w:rFonts w:hint="default" w:ascii="Times New Roman" w:hAnsi="Times New Roman" w:eastAsia="宋体"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rPr>
        <w:t>本项目</w:t>
      </w:r>
      <w:r>
        <w:rPr>
          <w:rFonts w:hint="default" w:ascii="Times New Roman" w:hAnsi="Times New Roman" w:eastAsia="宋体" w:cs="Times New Roman"/>
          <w:bCs/>
          <w:color w:val="auto"/>
          <w:sz w:val="24"/>
          <w:szCs w:val="24"/>
          <w:highlight w:val="none"/>
          <w:lang w:eastAsia="zh-CN"/>
        </w:rPr>
        <w:t>属</w:t>
      </w:r>
      <w:r>
        <w:rPr>
          <w:rFonts w:hint="default" w:ascii="Times New Roman" w:hAnsi="Times New Roman" w:eastAsia="宋体" w:cs="Times New Roman"/>
          <w:bCs/>
          <w:color w:val="auto"/>
          <w:sz w:val="24"/>
          <w:szCs w:val="24"/>
          <w:highlight w:val="none"/>
        </w:rPr>
        <w:t>于“</w:t>
      </w:r>
      <w:r>
        <w:rPr>
          <w:rFonts w:hint="eastAsia" w:cs="Times New Roman"/>
          <w:bCs/>
          <w:color w:val="auto"/>
          <w:sz w:val="24"/>
          <w:szCs w:val="24"/>
          <w:highlight w:val="none"/>
          <w:lang w:val="en-US" w:eastAsia="zh-CN"/>
        </w:rPr>
        <w:t>七、有色金属矿采选业09--10稀有稀土金属矿采选093--全部</w:t>
      </w:r>
      <w:r>
        <w:rPr>
          <w:rFonts w:hint="default" w:ascii="Times New Roman" w:hAnsi="Times New Roman" w:eastAsia="宋体" w:cs="Times New Roman"/>
          <w:bCs/>
          <w:color w:val="auto"/>
          <w:sz w:val="24"/>
          <w:szCs w:val="24"/>
          <w:highlight w:val="none"/>
        </w:rPr>
        <w:t>（含新建或扩建的独立尾矿库；不含单独的矿石破碎、集运；不含矿区修复治理工程</w:t>
      </w:r>
      <w:r>
        <w:rPr>
          <w:rFonts w:hint="default" w:ascii="Times New Roman" w:hAnsi="Times New Roman" w:eastAsia="宋体"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rPr>
        <w:t>”</w:t>
      </w:r>
      <w:r>
        <w:rPr>
          <w:rFonts w:hint="default" w:ascii="Times New Roman" w:hAnsi="Times New Roman" w:eastAsia="宋体"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rPr>
        <w:t>因此</w:t>
      </w:r>
      <w:r>
        <w:rPr>
          <w:rFonts w:hint="default" w:ascii="Times New Roman" w:hAnsi="Times New Roman" w:eastAsia="宋体"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rPr>
        <w:t>本项目需编制环境影响报告书。</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bCs/>
          <w:color w:val="auto"/>
          <w:sz w:val="24"/>
          <w:szCs w:val="24"/>
          <w:highlight w:val="none"/>
        </w:rPr>
        <w:t>根据《中华人民共和国环境保护法</w:t>
      </w:r>
      <w:r>
        <w:rPr>
          <w:rFonts w:hint="default" w:ascii="Times New Roman" w:hAnsi="Times New Roman" w:eastAsia="宋体"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rPr>
        <w:t>中华人民共和国环境影响评价法》、国务院第682号令《建设项目环境保护管理条例》及国家环保总局《关于简化建设项目环境影响评价报批程序的通知》等有关规定的要求</w:t>
      </w:r>
      <w:r>
        <w:rPr>
          <w:rFonts w:hint="default" w:ascii="Times New Roman" w:hAnsi="Times New Roman" w:eastAsia="宋体"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rPr>
        <w:t>经过资料调研、现场踏勘、环境现状监测、环境影响预测及评价</w:t>
      </w:r>
      <w:r>
        <w:rPr>
          <w:rFonts w:hint="default" w:ascii="Times New Roman" w:hAnsi="Times New Roman" w:eastAsia="宋体" w:cs="Times New Roman"/>
          <w:bCs/>
          <w:color w:val="auto"/>
          <w:sz w:val="24"/>
          <w:szCs w:val="24"/>
          <w:highlight w:val="none"/>
          <w:lang w:eastAsia="zh-CN"/>
        </w:rPr>
        <w:t>，</w:t>
      </w:r>
      <w:r>
        <w:rPr>
          <w:rFonts w:hint="default" w:ascii="Times New Roman" w:hAnsi="Times New Roman" w:eastAsia="宋体" w:cs="Times New Roman"/>
          <w:color w:val="auto"/>
          <w:sz w:val="24"/>
          <w:szCs w:val="24"/>
          <w:highlight w:val="none"/>
        </w:rPr>
        <w:t>编制完成了《</w:t>
      </w:r>
      <w:r>
        <w:rPr>
          <w:rFonts w:hint="default" w:ascii="Times New Roman" w:hAnsi="Times New Roman" w:eastAsia="宋体" w:cs="Times New Roman"/>
          <w:bCs/>
          <w:color w:val="auto"/>
          <w:sz w:val="24"/>
          <w:szCs w:val="24"/>
          <w:highlight w:val="none"/>
          <w:lang w:bidi="en-US"/>
        </w:rPr>
        <w:t>乌拉特前旗西沙德盖钼业有限责任公司年处理300万吨钼矿选矿节能技改扩产项目尾矿库加高扩容工程项目</w:t>
      </w:r>
      <w:r>
        <w:rPr>
          <w:rFonts w:hint="default" w:ascii="Times New Roman" w:hAnsi="Times New Roman" w:eastAsia="宋体" w:cs="Times New Roman"/>
          <w:color w:val="auto"/>
          <w:sz w:val="24"/>
          <w:szCs w:val="24"/>
          <w:highlight w:val="none"/>
        </w:rPr>
        <w:t>环境影响报告书》。</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outlineLvl w:val="0"/>
        <w:rPr>
          <w:rFonts w:hint="default" w:ascii="Times New Roman" w:hAnsi="Times New Roman" w:eastAsia="宋体" w:cs="Times New Roman"/>
          <w:color w:val="auto"/>
          <w:sz w:val="24"/>
          <w:szCs w:val="24"/>
          <w:highlight w:val="none"/>
          <w:lang w:eastAsia="zh-CN"/>
        </w:rPr>
      </w:pPr>
      <w:bookmarkStart w:id="23" w:name="_Toc3239"/>
      <w:bookmarkStart w:id="24" w:name="_Toc6743"/>
      <w:bookmarkStart w:id="25" w:name="_Toc28188"/>
      <w:r>
        <w:rPr>
          <w:rFonts w:hint="default" w:ascii="Times New Roman" w:hAnsi="Times New Roman" w:eastAsia="宋体" w:cs="Times New Roman"/>
          <w:color w:val="auto"/>
          <w:sz w:val="24"/>
          <w:szCs w:val="24"/>
          <w:highlight w:val="none"/>
        </w:rPr>
        <w:t>（2</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评价过程</w:t>
      </w:r>
      <w:r>
        <w:rPr>
          <w:rFonts w:hint="default" w:ascii="Times New Roman" w:hAnsi="Times New Roman" w:eastAsia="宋体" w:cs="Times New Roman"/>
          <w:color w:val="auto"/>
          <w:sz w:val="24"/>
          <w:szCs w:val="24"/>
          <w:highlight w:val="none"/>
          <w:lang w:eastAsia="zh-CN"/>
        </w:rPr>
        <w:t>：</w:t>
      </w:r>
      <w:bookmarkEnd w:id="23"/>
      <w:bookmarkEnd w:id="24"/>
      <w:bookmarkEnd w:id="25"/>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bCs/>
          <w:color w:val="auto"/>
          <w:sz w:val="24"/>
          <w:szCs w:val="24"/>
          <w:highlight w:val="none"/>
        </w:rPr>
      </w:pPr>
      <w:r>
        <w:rPr>
          <w:rFonts w:hint="default" w:ascii="Times New Roman" w:hAnsi="Times New Roman" w:eastAsia="宋体" w:cs="Times New Roman"/>
          <w:color w:val="auto"/>
          <w:sz w:val="24"/>
          <w:szCs w:val="24"/>
          <w:highlight w:val="none"/>
        </w:rPr>
        <w:t>环境影响评价工作一般分为三个阶段</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即调查分</w:t>
      </w:r>
      <w:r>
        <w:rPr>
          <w:rFonts w:hint="default" w:ascii="Times New Roman" w:hAnsi="Times New Roman" w:eastAsia="宋体" w:cs="Times New Roman"/>
          <w:bCs/>
          <w:color w:val="auto"/>
          <w:sz w:val="24"/>
          <w:szCs w:val="24"/>
          <w:highlight w:val="none"/>
        </w:rPr>
        <w:t>析和工作方案制定阶段、分析论证和预测评价阶段、环境影响评价文件编制阶段。本项目环境影响评价工作程序详见图1-1。</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bCs/>
          <w:color w:val="auto"/>
          <w:sz w:val="24"/>
          <w:szCs w:val="24"/>
          <w:highlight w:val="none"/>
          <w:lang w:eastAsia="zh-CN"/>
        </w:rPr>
      </w:pPr>
      <w:r>
        <w:rPr>
          <w:rFonts w:hint="default" w:ascii="Times New Roman" w:hAnsi="Times New Roman" w:eastAsia="宋体" w:cs="Times New Roman"/>
          <w:bCs/>
          <w:color w:val="auto"/>
          <w:sz w:val="24"/>
          <w:szCs w:val="24"/>
          <w:highlight w:val="none"/>
        </w:rPr>
        <w:t>主要评价过程如下</w:t>
      </w:r>
      <w:r>
        <w:rPr>
          <w:rFonts w:hint="default" w:ascii="Times New Roman" w:hAnsi="Times New Roman" w:eastAsia="宋体" w:cs="Times New Roman"/>
          <w:bCs/>
          <w:color w:val="auto"/>
          <w:sz w:val="24"/>
          <w:szCs w:val="24"/>
          <w:highlight w:val="none"/>
          <w:lang w:eastAsia="zh-CN"/>
        </w:rPr>
        <w:t>：</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outlineLvl w:val="1"/>
        <w:rPr>
          <w:rFonts w:hint="default" w:ascii="Times New Roman" w:hAnsi="Times New Roman" w:eastAsia="宋体" w:cs="Times New Roman"/>
          <w:bCs/>
          <w:color w:val="auto"/>
          <w:sz w:val="24"/>
          <w:szCs w:val="24"/>
          <w:highlight w:val="none"/>
        </w:rPr>
      </w:pPr>
      <w:bookmarkStart w:id="26" w:name="_Toc15389"/>
      <w:bookmarkStart w:id="27" w:name="_Toc19600"/>
      <w:bookmarkStart w:id="28" w:name="_Toc32412"/>
      <w:bookmarkStart w:id="29" w:name="_Toc15107_WPSOffice_Level2"/>
      <w:bookmarkStart w:id="30" w:name="_Toc14758_WPSOffice_Level2"/>
      <w:r>
        <w:rPr>
          <w:rFonts w:hint="default" w:ascii="Times New Roman" w:hAnsi="Times New Roman" w:eastAsia="宋体" w:cs="Times New Roman"/>
          <w:bCs/>
          <w:color w:val="auto"/>
          <w:sz w:val="24"/>
          <w:szCs w:val="24"/>
          <w:highlight w:val="none"/>
        </w:rPr>
        <w:t>第一阶段</w:t>
      </w:r>
      <w:r>
        <w:rPr>
          <w:rFonts w:hint="default" w:ascii="Times New Roman" w:hAnsi="Times New Roman" w:eastAsia="宋体"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rPr>
        <w:t>即调查分析和工作方案制定阶段</w:t>
      </w:r>
      <w:bookmarkEnd w:id="26"/>
      <w:bookmarkEnd w:id="27"/>
      <w:bookmarkEnd w:id="28"/>
      <w:bookmarkEnd w:id="29"/>
      <w:bookmarkEnd w:id="30"/>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bCs/>
          <w:color w:val="auto"/>
          <w:sz w:val="24"/>
          <w:szCs w:val="24"/>
          <w:highlight w:val="none"/>
        </w:rPr>
      </w:pPr>
      <w:r>
        <w:rPr>
          <w:rFonts w:hint="default" w:ascii="Times New Roman" w:hAnsi="Times New Roman" w:eastAsia="宋体" w:cs="Times New Roman"/>
          <w:bCs/>
          <w:color w:val="auto"/>
          <w:sz w:val="24"/>
          <w:szCs w:val="24"/>
          <w:highlight w:val="none"/>
        </w:rPr>
        <w:t>依据《建设项目环境影响评价分类管理名录》的规定确定本项目环境影响评价文件类型；研究国家、地方有关环境保护法律法规、政策、标准等；收集和研究项目相关技术文件和其他相关文件</w:t>
      </w:r>
      <w:r>
        <w:rPr>
          <w:rFonts w:hint="default" w:ascii="Times New Roman" w:hAnsi="Times New Roman" w:eastAsia="宋体"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rPr>
        <w:t>进行初步工程分析</w:t>
      </w:r>
      <w:r>
        <w:rPr>
          <w:rFonts w:hint="default" w:ascii="Times New Roman" w:hAnsi="Times New Roman" w:eastAsia="宋体"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rPr>
        <w:t>明确项目工程组成</w:t>
      </w:r>
      <w:r>
        <w:rPr>
          <w:rFonts w:hint="default" w:ascii="Times New Roman" w:hAnsi="Times New Roman" w:eastAsia="宋体"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rPr>
        <w:t>根据项目工艺流程确定产排污环节和主要污染物</w:t>
      </w:r>
      <w:r>
        <w:rPr>
          <w:rFonts w:hint="default" w:ascii="Times New Roman" w:hAnsi="Times New Roman" w:eastAsia="宋体"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rPr>
        <w:t>同时对项目环境影响区进行初步环境现状调查；结合初步工程分析结果和环境现状资料</w:t>
      </w:r>
      <w:r>
        <w:rPr>
          <w:rFonts w:hint="default" w:ascii="Times New Roman" w:hAnsi="Times New Roman" w:eastAsia="宋体"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rPr>
        <w:t>识别建设项目的环境影响因素</w:t>
      </w:r>
      <w:r>
        <w:rPr>
          <w:rFonts w:hint="default" w:ascii="Times New Roman" w:hAnsi="Times New Roman" w:eastAsia="宋体"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rPr>
        <w:t>筛选主要的环境影响评价因子</w:t>
      </w:r>
      <w:r>
        <w:rPr>
          <w:rFonts w:hint="default" w:ascii="Times New Roman" w:hAnsi="Times New Roman" w:eastAsia="宋体"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rPr>
        <w:t>明确评价重点</w:t>
      </w:r>
      <w:r>
        <w:rPr>
          <w:rFonts w:hint="default" w:ascii="Times New Roman" w:hAnsi="Times New Roman" w:eastAsia="宋体"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rPr>
        <w:t>确定评价工作等级、评价范围及评价标准；制定工作方案。</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bCs/>
          <w:color w:val="auto"/>
          <w:sz w:val="24"/>
          <w:szCs w:val="24"/>
          <w:highlight w:val="none"/>
        </w:rPr>
      </w:pPr>
      <w:bookmarkStart w:id="31" w:name="_Toc22626_WPSOffice_Level2"/>
      <w:bookmarkStart w:id="32" w:name="_Toc16947_WPSOffice_Level2"/>
      <w:r>
        <w:rPr>
          <w:rFonts w:hint="default" w:ascii="Times New Roman" w:hAnsi="Times New Roman" w:eastAsia="宋体" w:cs="Times New Roman"/>
          <w:bCs/>
          <w:color w:val="auto"/>
          <w:sz w:val="24"/>
          <w:szCs w:val="24"/>
          <w:highlight w:val="none"/>
        </w:rPr>
        <w:t>第二阶段</w:t>
      </w:r>
      <w:r>
        <w:rPr>
          <w:rFonts w:hint="default" w:ascii="Times New Roman" w:hAnsi="Times New Roman" w:eastAsia="宋体"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rPr>
        <w:t>分析论证和预测评价阶段</w:t>
      </w:r>
      <w:bookmarkEnd w:id="31"/>
      <w:bookmarkEnd w:id="32"/>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bCs/>
          <w:color w:val="auto"/>
          <w:sz w:val="24"/>
          <w:szCs w:val="24"/>
          <w:highlight w:val="none"/>
        </w:rPr>
      </w:pPr>
      <w:r>
        <w:rPr>
          <w:rFonts w:hint="default" w:ascii="Times New Roman" w:hAnsi="Times New Roman" w:eastAsia="宋体" w:cs="Times New Roman"/>
          <w:bCs/>
          <w:color w:val="auto"/>
          <w:sz w:val="24"/>
          <w:szCs w:val="24"/>
          <w:highlight w:val="none"/>
        </w:rPr>
        <w:t>在进行充分的环境现状调查、监测的基础上开展环境质量现状评价</w:t>
      </w:r>
      <w:r>
        <w:rPr>
          <w:rFonts w:hint="default" w:ascii="Times New Roman" w:hAnsi="Times New Roman" w:eastAsia="宋体"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rPr>
        <w:t>并进行进一步的工程分析</w:t>
      </w:r>
      <w:r>
        <w:rPr>
          <w:rFonts w:hint="default" w:ascii="Times New Roman" w:hAnsi="Times New Roman" w:eastAsia="宋体"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rPr>
        <w:t>根据工程分析确定的污染源强以及结合项目区环境特征</w:t>
      </w:r>
      <w:r>
        <w:rPr>
          <w:rFonts w:hint="default" w:ascii="Times New Roman" w:hAnsi="Times New Roman" w:eastAsia="宋体"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rPr>
        <w:t>采用模式计算和类比调查的方式预测、分析或评价项目建设对环境的影响范围以及引起的环境质量变化情况</w:t>
      </w:r>
      <w:r>
        <w:rPr>
          <w:rFonts w:hint="default" w:ascii="Times New Roman" w:hAnsi="Times New Roman" w:eastAsia="宋体"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rPr>
        <w:t>从环境保护角度分析论证建设工程的可行性分析。</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bCs/>
          <w:color w:val="auto"/>
          <w:sz w:val="24"/>
          <w:szCs w:val="24"/>
          <w:highlight w:val="none"/>
        </w:rPr>
      </w:pPr>
      <w:bookmarkStart w:id="33" w:name="_Toc7489_WPSOffice_Level2"/>
      <w:bookmarkStart w:id="34" w:name="_Toc15243_WPSOffice_Level2"/>
      <w:r>
        <w:rPr>
          <w:rFonts w:hint="default" w:ascii="Times New Roman" w:hAnsi="Times New Roman" w:eastAsia="宋体" w:cs="Times New Roman"/>
          <w:bCs/>
          <w:color w:val="auto"/>
          <w:sz w:val="24"/>
          <w:szCs w:val="24"/>
          <w:highlight w:val="none"/>
        </w:rPr>
        <w:t>第三阶段</w:t>
      </w:r>
      <w:r>
        <w:rPr>
          <w:rFonts w:hint="default" w:ascii="Times New Roman" w:hAnsi="Times New Roman" w:eastAsia="宋体"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rPr>
        <w:t>环境影响评价文件编制阶段</w:t>
      </w:r>
      <w:bookmarkEnd w:id="33"/>
      <w:bookmarkEnd w:id="34"/>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bCs/>
          <w:color w:val="auto"/>
          <w:sz w:val="24"/>
          <w:szCs w:val="24"/>
          <w:highlight w:val="none"/>
          <w:lang w:eastAsia="zh-CN"/>
        </w:rPr>
      </w:pPr>
      <w:r>
        <w:rPr>
          <w:rFonts w:hint="default" w:ascii="Times New Roman" w:hAnsi="Times New Roman" w:eastAsia="宋体" w:cs="Times New Roman"/>
          <w:bCs/>
          <w:color w:val="auto"/>
          <w:sz w:val="24"/>
          <w:szCs w:val="24"/>
          <w:highlight w:val="none"/>
        </w:rPr>
        <w:t>建设单位根据国家和地方环境保护规范要求开展公众参与调查活动；对项目建设可能引起的环境污染与局部生态环境破坏</w:t>
      </w:r>
      <w:r>
        <w:rPr>
          <w:rFonts w:hint="default" w:ascii="Times New Roman" w:hAnsi="Times New Roman" w:eastAsia="宋体"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rPr>
        <w:t>通过对本项目环保设施的技术经济合理性、达标水平的可靠性分析</w:t>
      </w:r>
      <w:r>
        <w:rPr>
          <w:rFonts w:hint="default" w:ascii="Times New Roman" w:hAnsi="Times New Roman" w:eastAsia="宋体"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rPr>
        <w:t>提出进一步减缓环境污染的对策建议；在对建设项目实施后可能造成的环境影响分析、预测的基础上</w:t>
      </w:r>
      <w:r>
        <w:rPr>
          <w:rFonts w:hint="default" w:ascii="Times New Roman" w:hAnsi="Times New Roman" w:eastAsia="宋体"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rPr>
        <w:t>提出预防或减缓不良环境影响的对策和措施</w:t>
      </w:r>
      <w:r>
        <w:rPr>
          <w:rFonts w:hint="default" w:ascii="Times New Roman" w:hAnsi="Times New Roman" w:eastAsia="宋体"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rPr>
        <w:t>从环境保护的角度提出项目建设的可行性结论；完成环境影响报告书的编制</w:t>
      </w:r>
      <w:r>
        <w:rPr>
          <w:rFonts w:hint="default" w:ascii="Times New Roman" w:hAnsi="Times New Roman" w:eastAsia="宋体" w:cs="Times New Roman"/>
          <w:bCs/>
          <w:color w:val="auto"/>
          <w:sz w:val="24"/>
          <w:szCs w:val="24"/>
          <w:highlight w:val="none"/>
          <w:lang w:eastAsia="zh-CN"/>
        </w:rPr>
        <w:t>。</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bCs/>
          <w:color w:val="auto"/>
          <w:sz w:val="24"/>
          <w:szCs w:val="24"/>
          <w:highlight w:val="none"/>
          <w:lang w:eastAsia="zh-CN"/>
        </w:rPr>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bCs/>
          <w:color w:val="auto"/>
          <w:sz w:val="24"/>
          <w:highlight w:val="none"/>
        </w:rPr>
      </w:pPr>
    </w:p>
    <w:p>
      <w:pPr>
        <w:pageBreakBefore w:val="0"/>
        <w:wordWrap/>
        <w:bidi w:val="0"/>
        <w:spacing w:line="360" w:lineRule="auto"/>
        <w:ind w:left="0" w:leftChars="0" w:right="0" w:rightChars="0"/>
        <w:jc w:val="center"/>
        <w:rPr>
          <w:rFonts w:hint="default" w:ascii="Times New Roman" w:hAnsi="Times New Roman" w:eastAsia="宋体" w:cs="Times New Roman"/>
          <w:bCs/>
          <w:color w:val="auto"/>
          <w:sz w:val="24"/>
          <w:highlight w:val="none"/>
        </w:rPr>
      </w:pPr>
      <w:r>
        <w:rPr>
          <w:rFonts w:hint="default" w:ascii="Times New Roman" w:hAnsi="Times New Roman" w:eastAsia="宋体" w:cs="Times New Roman"/>
          <w:color w:val="auto"/>
          <w:sz w:val="24"/>
          <w:highlight w:val="none"/>
        </w:rPr>
        <w:drawing>
          <wp:inline distT="0" distB="0" distL="0" distR="0">
            <wp:extent cx="5257800" cy="5593080"/>
            <wp:effectExtent l="0" t="0" r="0" b="0"/>
            <wp:docPr id="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5257800" cy="5593080"/>
                    </a:xfrm>
                    <a:prstGeom prst="rect">
                      <a:avLst/>
                    </a:prstGeom>
                    <a:noFill/>
                    <a:ln>
                      <a:noFill/>
                    </a:ln>
                    <a:effectLst/>
                  </pic:spPr>
                </pic:pic>
              </a:graphicData>
            </a:graphic>
          </wp:inline>
        </w:drawing>
      </w:r>
    </w:p>
    <w:p>
      <w:pPr>
        <w:pageBreakBefore w:val="0"/>
        <w:wordWrap/>
        <w:bidi w:val="0"/>
        <w:spacing w:line="360" w:lineRule="auto"/>
        <w:ind w:left="0" w:leftChars="0" w:right="0" w:rightChars="0" w:firstLine="482" w:firstLineChars="200"/>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b/>
          <w:bCs/>
          <w:color w:val="auto"/>
          <w:sz w:val="24"/>
          <w:highlight w:val="none"/>
        </w:rPr>
        <w:t>图1-1环境影响评价工作程序图</w:t>
      </w:r>
    </w:p>
    <w:p>
      <w:pPr>
        <w:keepNext w:val="0"/>
        <w:keepLines w:val="0"/>
        <w:pageBreakBefore w:val="0"/>
        <w:widowControl w:val="0"/>
        <w:kinsoku/>
        <w:wordWrap/>
        <w:overflowPunct/>
        <w:topLinePunct w:val="0"/>
        <w:autoSpaceDE/>
        <w:autoSpaceDN/>
        <w:bidi w:val="0"/>
        <w:spacing w:line="360" w:lineRule="auto"/>
        <w:ind w:left="0" w:leftChars="0" w:right="0" w:rightChars="0" w:firstLine="480" w:firstLineChars="200"/>
        <w:textAlignment w:val="auto"/>
        <w:outlineLvl w:val="0"/>
        <w:rPr>
          <w:rFonts w:hint="default" w:ascii="Times New Roman" w:hAnsi="Times New Roman" w:eastAsia="宋体" w:cs="Times New Roman"/>
          <w:color w:val="auto"/>
          <w:sz w:val="24"/>
          <w:highlight w:val="none"/>
          <w:lang w:eastAsia="zh-CN"/>
        </w:rPr>
      </w:pPr>
      <w:bookmarkStart w:id="35" w:name="_Toc6456"/>
      <w:bookmarkStart w:id="36" w:name="_Toc4802"/>
      <w:bookmarkStart w:id="37" w:name="_Toc3127"/>
      <w:r>
        <w:rPr>
          <w:rFonts w:hint="default" w:ascii="Times New Roman" w:hAnsi="Times New Roman" w:eastAsia="宋体" w:cs="Times New Roman"/>
          <w:color w:val="auto"/>
          <w:sz w:val="24"/>
          <w:highlight w:val="none"/>
        </w:rPr>
        <w:t>（3</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关注的主要环境问题</w:t>
      </w:r>
      <w:r>
        <w:rPr>
          <w:rFonts w:hint="default" w:ascii="Times New Roman" w:hAnsi="Times New Roman" w:eastAsia="宋体" w:cs="Times New Roman"/>
          <w:color w:val="auto"/>
          <w:sz w:val="24"/>
          <w:highlight w:val="none"/>
          <w:lang w:eastAsia="zh-CN"/>
        </w:rPr>
        <w:t>：</w:t>
      </w:r>
      <w:bookmarkEnd w:id="35"/>
      <w:bookmarkEnd w:id="36"/>
      <w:bookmarkEnd w:id="37"/>
    </w:p>
    <w:p>
      <w:pPr>
        <w:keepNext w:val="0"/>
        <w:keepLines w:val="0"/>
        <w:pageBreakBefore w:val="0"/>
        <w:widowControl w:val="0"/>
        <w:kinsoku/>
        <w:wordWrap/>
        <w:overflowPunct/>
        <w:topLinePunct w:val="0"/>
        <w:autoSpaceDE/>
        <w:autoSpaceDN/>
        <w:bidi w:val="0"/>
        <w:spacing w:line="360" w:lineRule="auto"/>
        <w:ind w:left="0" w:leftChars="0" w:right="0" w:rightChars="0" w:firstLine="482" w:firstLineChars="200"/>
        <w:textAlignment w:val="auto"/>
        <w:rPr>
          <w:rFonts w:hint="default" w:ascii="Times New Roman" w:hAnsi="Times New Roman" w:eastAsia="宋体" w:cs="Times New Roman"/>
          <w:b/>
          <w:color w:val="auto"/>
          <w:sz w:val="24"/>
          <w:highlight w:val="none"/>
          <w:lang w:eastAsia="zh-CN"/>
        </w:rPr>
      </w:pPr>
      <w:bookmarkStart w:id="38" w:name="_Toc25014_WPSOffice_Level2"/>
      <w:bookmarkStart w:id="39" w:name="_Toc25773_WPSOffice_Level2"/>
      <w:bookmarkStart w:id="40" w:name="_Toc30345_WPSOffice_Level2"/>
      <w:r>
        <w:rPr>
          <w:rFonts w:hint="default" w:ascii="Times New Roman" w:hAnsi="Times New Roman" w:eastAsia="宋体" w:cs="Times New Roman"/>
          <w:b/>
          <w:color w:val="auto"/>
          <w:sz w:val="24"/>
          <w:highlight w:val="none"/>
        </w:rPr>
        <w:t>施工期</w:t>
      </w:r>
      <w:bookmarkEnd w:id="38"/>
      <w:bookmarkEnd w:id="39"/>
      <w:bookmarkEnd w:id="40"/>
      <w:r>
        <w:rPr>
          <w:rFonts w:hint="default" w:ascii="Times New Roman" w:hAnsi="Times New Roman" w:eastAsia="宋体" w:cs="Times New Roman"/>
          <w:b/>
          <w:color w:val="auto"/>
          <w:sz w:val="24"/>
          <w:highlight w:val="none"/>
          <w:lang w:eastAsia="zh-CN"/>
        </w:rPr>
        <w:t>：</w:t>
      </w:r>
    </w:p>
    <w:p>
      <w:pPr>
        <w:keepNext w:val="0"/>
        <w:keepLines w:val="0"/>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bCs/>
          <w:color w:val="auto"/>
          <w:sz w:val="24"/>
          <w:highlight w:val="none"/>
        </w:rPr>
      </w:pPr>
      <w:r>
        <w:rPr>
          <w:rFonts w:hint="default" w:ascii="Times New Roman" w:hAnsi="Times New Roman" w:eastAsia="宋体" w:cs="Times New Roman"/>
          <w:bCs/>
          <w:color w:val="auto"/>
          <w:sz w:val="24"/>
          <w:highlight w:val="none"/>
        </w:rPr>
        <w:t>1</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主要关注</w:t>
      </w:r>
      <w:r>
        <w:rPr>
          <w:rFonts w:hint="default" w:ascii="Times New Roman" w:hAnsi="Times New Roman" w:eastAsia="宋体" w:cs="Times New Roman"/>
          <w:bCs/>
          <w:color w:val="auto"/>
          <w:sz w:val="24"/>
          <w:highlight w:val="none"/>
          <w:lang w:val="en-US" w:eastAsia="zh-CN"/>
        </w:rPr>
        <w:t>的</w:t>
      </w:r>
      <w:r>
        <w:rPr>
          <w:rFonts w:hint="default" w:ascii="Times New Roman" w:hAnsi="Times New Roman" w:eastAsia="宋体" w:cs="Times New Roman"/>
          <w:bCs/>
          <w:color w:val="auto"/>
          <w:sz w:val="24"/>
          <w:highlight w:val="none"/>
        </w:rPr>
        <w:t>环境问题</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生态、废气、废水、地下水、固废以及噪声对周围环境质量的影响。</w:t>
      </w:r>
    </w:p>
    <w:p>
      <w:pPr>
        <w:keepNext w:val="0"/>
        <w:keepLines w:val="0"/>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bCs/>
          <w:color w:val="auto"/>
          <w:sz w:val="24"/>
          <w:highlight w:val="none"/>
        </w:rPr>
      </w:pPr>
      <w:r>
        <w:rPr>
          <w:rFonts w:hint="default" w:ascii="Times New Roman" w:hAnsi="Times New Roman" w:eastAsia="宋体" w:cs="Times New Roman"/>
          <w:bCs/>
          <w:color w:val="auto"/>
          <w:sz w:val="24"/>
          <w:highlight w:val="none"/>
        </w:rPr>
        <w:t>2</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主要环境影响</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本项目施工期会对项目区内的生态环境、环境空气、水环境、声环境等都会产生一定的影响。施工期间需要</w:t>
      </w:r>
      <w:r>
        <w:rPr>
          <w:rFonts w:hint="default" w:ascii="Times New Roman" w:hAnsi="Times New Roman" w:eastAsia="宋体" w:cs="Times New Roman"/>
          <w:bCs/>
          <w:color w:val="auto"/>
          <w:sz w:val="24"/>
          <w:highlight w:val="none"/>
          <w:lang w:eastAsia="zh-CN"/>
        </w:rPr>
        <w:t>进行</w:t>
      </w:r>
      <w:r>
        <w:rPr>
          <w:rFonts w:hint="default" w:ascii="Times New Roman" w:hAnsi="Times New Roman" w:eastAsia="宋体" w:cs="Times New Roman"/>
          <w:bCs/>
          <w:color w:val="auto"/>
          <w:sz w:val="24"/>
          <w:highlight w:val="none"/>
        </w:rPr>
        <w:t>增加占地植被的清除和地表、表土的开挖</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会使原有植被遭到损失</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但不会使评价区植物群落的种类组成发生明显变化</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也不会造成某一物种在项目周边范围内的消失</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对生态环境影响较小；施工期对大气的主要影响表现为施工扬尘对周围环境空气的影响</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但挖土区和弃土区的道路扬尘污染比弃土运输途经道路的扬尘污染严重</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施工期车辆运输不经过附近居民居住区</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对居民生活影响较小；施工期产生的废水为施工人员生活污水</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施工期间生活污水排放至厂区防渗化粪池、车辆清洗废水产生后排放至施工污水沉淀池沉淀后回用</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不会对当地的水环境产生污染影响；施工期间主要产噪设备包括装载机、吊车、电锯、运输车辆等</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且项目厂界四周500m范围内无敏感点</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因此</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本项目施工期噪声对周围声环境产生的影响较小。</w:t>
      </w:r>
    </w:p>
    <w:p>
      <w:pPr>
        <w:keepNext w:val="0"/>
        <w:keepLines w:val="0"/>
        <w:pageBreakBefore w:val="0"/>
        <w:widowControl w:val="0"/>
        <w:kinsoku/>
        <w:wordWrap/>
        <w:overflowPunct/>
        <w:topLinePunct w:val="0"/>
        <w:autoSpaceDE/>
        <w:autoSpaceDN/>
        <w:bidi w:val="0"/>
        <w:spacing w:line="360" w:lineRule="auto"/>
        <w:ind w:left="0" w:leftChars="0" w:right="0" w:rightChars="0" w:firstLine="482" w:firstLineChars="200"/>
        <w:textAlignment w:val="auto"/>
        <w:rPr>
          <w:rFonts w:hint="default" w:ascii="Times New Roman" w:hAnsi="Times New Roman" w:eastAsia="宋体" w:cs="Times New Roman"/>
          <w:b/>
          <w:color w:val="auto"/>
          <w:sz w:val="24"/>
          <w:highlight w:val="none"/>
          <w:lang w:eastAsia="zh-CN"/>
        </w:rPr>
      </w:pPr>
      <w:bookmarkStart w:id="41" w:name="_Toc3532_WPSOffice_Level2"/>
      <w:bookmarkStart w:id="42" w:name="_Toc25863_WPSOffice_Level2"/>
      <w:bookmarkStart w:id="43" w:name="_Toc367_WPSOffice_Level2"/>
      <w:r>
        <w:rPr>
          <w:rFonts w:hint="default" w:ascii="Times New Roman" w:hAnsi="Times New Roman" w:eastAsia="宋体" w:cs="Times New Roman"/>
          <w:b/>
          <w:color w:val="auto"/>
          <w:sz w:val="24"/>
          <w:highlight w:val="none"/>
          <w:lang w:eastAsia="zh-CN"/>
        </w:rPr>
        <w:t>运营</w:t>
      </w:r>
      <w:r>
        <w:rPr>
          <w:rFonts w:hint="default" w:ascii="Times New Roman" w:hAnsi="Times New Roman" w:eastAsia="宋体" w:cs="Times New Roman"/>
          <w:b/>
          <w:color w:val="auto"/>
          <w:sz w:val="24"/>
          <w:highlight w:val="none"/>
        </w:rPr>
        <w:t>期</w:t>
      </w:r>
      <w:bookmarkEnd w:id="41"/>
      <w:bookmarkEnd w:id="42"/>
      <w:bookmarkEnd w:id="43"/>
      <w:r>
        <w:rPr>
          <w:rFonts w:hint="default" w:ascii="Times New Roman" w:hAnsi="Times New Roman" w:eastAsia="宋体" w:cs="Times New Roman"/>
          <w:b/>
          <w:color w:val="auto"/>
          <w:sz w:val="24"/>
          <w:highlight w:val="none"/>
          <w:lang w:eastAsia="zh-CN"/>
        </w:rPr>
        <w:t>：</w:t>
      </w:r>
    </w:p>
    <w:p>
      <w:pPr>
        <w:keepNext w:val="0"/>
        <w:keepLines w:val="0"/>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bCs/>
          <w:color w:val="auto"/>
          <w:sz w:val="24"/>
          <w:highlight w:val="none"/>
        </w:rPr>
      </w:pPr>
      <w:r>
        <w:rPr>
          <w:rFonts w:hint="default" w:ascii="Times New Roman" w:hAnsi="Times New Roman" w:eastAsia="宋体" w:cs="Times New Roman"/>
          <w:bCs/>
          <w:color w:val="auto"/>
          <w:sz w:val="24"/>
          <w:highlight w:val="none"/>
        </w:rPr>
        <w:t>1</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主要关注</w:t>
      </w:r>
      <w:r>
        <w:rPr>
          <w:rFonts w:hint="default" w:ascii="Times New Roman" w:hAnsi="Times New Roman" w:eastAsia="宋体" w:cs="Times New Roman"/>
          <w:bCs/>
          <w:color w:val="auto"/>
          <w:sz w:val="24"/>
          <w:highlight w:val="none"/>
          <w:lang w:eastAsia="zh-CN"/>
        </w:rPr>
        <w:t>地</w:t>
      </w:r>
      <w:r>
        <w:rPr>
          <w:rFonts w:hint="default" w:ascii="Times New Roman" w:hAnsi="Times New Roman" w:eastAsia="宋体" w:cs="Times New Roman"/>
          <w:bCs/>
          <w:color w:val="auto"/>
          <w:sz w:val="24"/>
          <w:highlight w:val="none"/>
        </w:rPr>
        <w:t>环境问题</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生态、土壤、废气、废水、固废、风险及噪声对周围环境质量的影响。</w:t>
      </w:r>
    </w:p>
    <w:p>
      <w:pPr>
        <w:keepNext w:val="0"/>
        <w:keepLines w:val="0"/>
        <w:pageBreakBefore w:val="0"/>
        <w:widowControl w:val="0"/>
        <w:kinsoku/>
        <w:wordWrap/>
        <w:overflowPunct/>
        <w:topLinePunct w:val="0"/>
        <w:autoSpaceDE/>
        <w:autoSpaceDN/>
        <w:bidi w:val="0"/>
        <w:spacing w:line="360" w:lineRule="auto"/>
        <w:ind w:left="0" w:leftChars="0" w:right="0" w:rightChars="0" w:firstLine="480" w:firstLineChars="200"/>
        <w:textAlignment w:val="auto"/>
        <w:outlineLvl w:val="1"/>
        <w:rPr>
          <w:rFonts w:hint="default" w:ascii="Times New Roman" w:hAnsi="Times New Roman" w:eastAsia="宋体" w:cs="Times New Roman"/>
          <w:bCs/>
          <w:color w:val="auto"/>
          <w:sz w:val="24"/>
          <w:highlight w:val="none"/>
          <w:lang w:eastAsia="zh-CN"/>
        </w:rPr>
      </w:pPr>
      <w:bookmarkStart w:id="44" w:name="_Toc22179"/>
      <w:bookmarkStart w:id="45" w:name="_Toc23514"/>
      <w:bookmarkStart w:id="46" w:name="_Toc2093"/>
      <w:r>
        <w:rPr>
          <w:rFonts w:hint="default" w:ascii="Times New Roman" w:hAnsi="Times New Roman" w:eastAsia="宋体" w:cs="Times New Roman"/>
          <w:bCs/>
          <w:color w:val="auto"/>
          <w:sz w:val="24"/>
          <w:highlight w:val="none"/>
        </w:rPr>
        <w:t>2</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主要环境影响</w:t>
      </w:r>
      <w:r>
        <w:rPr>
          <w:rFonts w:hint="default" w:ascii="Times New Roman" w:hAnsi="Times New Roman" w:eastAsia="宋体" w:cs="Times New Roman"/>
          <w:bCs/>
          <w:color w:val="auto"/>
          <w:sz w:val="24"/>
          <w:highlight w:val="none"/>
          <w:lang w:eastAsia="zh-CN"/>
        </w:rPr>
        <w:t>：</w:t>
      </w:r>
      <w:bookmarkEnd w:id="44"/>
      <w:bookmarkEnd w:id="45"/>
      <w:bookmarkEnd w:id="46"/>
    </w:p>
    <w:p>
      <w:pPr>
        <w:keepNext w:val="0"/>
        <w:keepLines w:val="0"/>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highlight w:val="none"/>
        </w:rPr>
      </w:pPr>
      <w:bookmarkStart w:id="47" w:name="_Toc2922_WPSOffice_Level2"/>
      <w:r>
        <w:rPr>
          <w:rFonts w:hint="default" w:ascii="Times New Roman" w:hAnsi="Times New Roman" w:eastAsia="宋体" w:cs="Times New Roman"/>
          <w:bCs/>
          <w:color w:val="auto"/>
          <w:sz w:val="24"/>
          <w:highlight w:val="none"/>
        </w:rPr>
        <w:t>环境空气</w:t>
      </w:r>
      <w:bookmarkEnd w:id="47"/>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项目</w:t>
      </w:r>
      <w:r>
        <w:rPr>
          <w:rFonts w:hint="default" w:ascii="Times New Roman" w:hAnsi="Times New Roman" w:eastAsia="宋体" w:cs="Times New Roman"/>
          <w:bCs/>
          <w:color w:val="auto"/>
          <w:sz w:val="24"/>
          <w:highlight w:val="none"/>
          <w:lang w:eastAsia="zh-CN"/>
        </w:rPr>
        <w:t>运营</w:t>
      </w:r>
      <w:r>
        <w:rPr>
          <w:rFonts w:hint="default" w:ascii="Times New Roman" w:hAnsi="Times New Roman" w:eastAsia="宋体" w:cs="Times New Roman"/>
          <w:bCs/>
          <w:color w:val="auto"/>
          <w:sz w:val="24"/>
          <w:highlight w:val="none"/>
        </w:rPr>
        <w:t>期产生的无组织废气会对周围环境空气造成一定的影响</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color w:val="auto"/>
          <w:sz w:val="24"/>
          <w:highlight w:val="none"/>
        </w:rPr>
        <w:t>主要为尾矿库干滩面产生的扬尘。通过</w:t>
      </w:r>
      <w:r>
        <w:rPr>
          <w:rFonts w:hint="default" w:ascii="Times New Roman" w:hAnsi="Times New Roman" w:eastAsia="宋体" w:cs="Times New Roman"/>
          <w:color w:val="auto"/>
          <w:sz w:val="24"/>
          <w:highlight w:val="none"/>
          <w:lang w:eastAsia="zh-CN"/>
        </w:rPr>
        <w:t>分散放矿</w:t>
      </w:r>
      <w:r>
        <w:rPr>
          <w:rFonts w:hint="default" w:ascii="Times New Roman" w:hAnsi="Times New Roman" w:eastAsia="宋体" w:cs="Times New Roman"/>
          <w:color w:val="auto"/>
          <w:sz w:val="24"/>
          <w:highlight w:val="none"/>
        </w:rPr>
        <w:t>、洒水等</w:t>
      </w:r>
      <w:r>
        <w:rPr>
          <w:rFonts w:hint="default" w:ascii="Times New Roman" w:hAnsi="Times New Roman" w:eastAsia="宋体" w:cs="Times New Roman"/>
          <w:bCs/>
          <w:color w:val="auto"/>
          <w:sz w:val="24"/>
          <w:highlight w:val="none"/>
        </w:rPr>
        <w:t>措施</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本项目产生的扬尘满足《大气污染物综合排放标准》（GB16297-1996</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表2新污染源大气污染物排放限值中“无组织排放监控浓度限值”。</w:t>
      </w:r>
    </w:p>
    <w:p>
      <w:pPr>
        <w:keepNext w:val="0"/>
        <w:keepLines w:val="0"/>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bCs/>
          <w:color w:val="auto"/>
          <w:sz w:val="24"/>
          <w:highlight w:val="none"/>
          <w:lang w:eastAsia="zh-CN"/>
        </w:rPr>
      </w:pPr>
      <w:bookmarkStart w:id="48" w:name="_Toc6240_WPSOffice_Level2"/>
      <w:r>
        <w:rPr>
          <w:rFonts w:hint="default" w:ascii="Times New Roman" w:hAnsi="Times New Roman" w:eastAsia="宋体" w:cs="Times New Roman"/>
          <w:bCs/>
          <w:color w:val="auto"/>
          <w:sz w:val="24"/>
          <w:highlight w:val="none"/>
        </w:rPr>
        <w:t>水环境</w:t>
      </w:r>
      <w:bookmarkEnd w:id="48"/>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项目</w:t>
      </w:r>
      <w:r>
        <w:rPr>
          <w:rFonts w:hint="default" w:ascii="Times New Roman" w:hAnsi="Times New Roman" w:eastAsia="宋体" w:cs="Times New Roman"/>
          <w:bCs/>
          <w:color w:val="auto"/>
          <w:sz w:val="24"/>
          <w:highlight w:val="none"/>
          <w:lang w:eastAsia="zh-CN"/>
        </w:rPr>
        <w:t>尾矿水先自流至新建回水池，再通过新建回水泵站泵送至选矿厂现有高位水池，</w:t>
      </w:r>
      <w:r>
        <w:rPr>
          <w:rFonts w:hint="default" w:ascii="Times New Roman" w:hAnsi="Times New Roman" w:eastAsia="宋体" w:cs="Times New Roman"/>
          <w:bCs/>
          <w:color w:val="auto"/>
          <w:sz w:val="24"/>
          <w:highlight w:val="none"/>
          <w:lang w:val="en-US" w:eastAsia="zh-CN"/>
        </w:rPr>
        <w:t>作为生产用水循环使用，</w:t>
      </w:r>
      <w:r>
        <w:rPr>
          <w:rFonts w:hint="default" w:ascii="Times New Roman" w:hAnsi="Times New Roman" w:eastAsia="宋体" w:cs="Times New Roman"/>
          <w:bCs/>
          <w:color w:val="auto"/>
          <w:sz w:val="24"/>
          <w:highlight w:val="none"/>
          <w:lang w:eastAsia="zh-CN"/>
        </w:rPr>
        <w:t>无废水排放；</w:t>
      </w:r>
      <w:r>
        <w:rPr>
          <w:rFonts w:hint="default" w:ascii="Times New Roman" w:hAnsi="Times New Roman" w:eastAsia="宋体" w:cs="Times New Roman"/>
          <w:color w:val="auto"/>
          <w:sz w:val="24"/>
          <w:szCs w:val="32"/>
          <w:highlight w:val="none"/>
          <w:lang w:val="en-US" w:eastAsia="zh-CN"/>
        </w:rPr>
        <w:t>扩建</w:t>
      </w:r>
      <w:r>
        <w:rPr>
          <w:rFonts w:hint="default" w:ascii="Times New Roman" w:hAnsi="Times New Roman" w:eastAsia="宋体" w:cs="Times New Roman"/>
          <w:color w:val="auto"/>
          <w:sz w:val="24"/>
          <w:szCs w:val="32"/>
          <w:highlight w:val="none"/>
        </w:rPr>
        <w:t>项目无新增劳动定员，</w:t>
      </w:r>
      <w:r>
        <w:rPr>
          <w:rFonts w:hint="default" w:ascii="Times New Roman" w:hAnsi="Times New Roman" w:eastAsia="宋体" w:cs="Times New Roman"/>
          <w:bCs/>
          <w:color w:val="auto"/>
          <w:sz w:val="24"/>
          <w:highlight w:val="none"/>
        </w:rPr>
        <w:t>无新增生活污水产生</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对周围水环境影响较小。</w:t>
      </w:r>
    </w:p>
    <w:p>
      <w:pPr>
        <w:keepNext w:val="0"/>
        <w:keepLines w:val="0"/>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bCs/>
          <w:color w:val="auto"/>
          <w:sz w:val="24"/>
          <w:highlight w:val="none"/>
        </w:rPr>
      </w:pPr>
      <w:bookmarkStart w:id="49" w:name="_Toc12283_WPSOffice_Level2"/>
      <w:r>
        <w:rPr>
          <w:rFonts w:hint="default" w:ascii="Times New Roman" w:hAnsi="Times New Roman" w:eastAsia="宋体" w:cs="Times New Roman"/>
          <w:bCs/>
          <w:color w:val="auto"/>
          <w:sz w:val="24"/>
          <w:highlight w:val="none"/>
        </w:rPr>
        <w:t>声环境</w:t>
      </w:r>
      <w:bookmarkEnd w:id="49"/>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项目噪声主要来源于各类生产设备</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通过加设减振</w:t>
      </w:r>
      <w:r>
        <w:rPr>
          <w:rFonts w:hint="default" w:ascii="Times New Roman" w:hAnsi="Times New Roman" w:eastAsia="宋体" w:cs="Times New Roman"/>
          <w:bCs/>
          <w:color w:val="auto"/>
          <w:sz w:val="24"/>
          <w:highlight w:val="none"/>
          <w:lang w:eastAsia="zh-CN"/>
        </w:rPr>
        <w:t>基础，</w:t>
      </w:r>
      <w:r>
        <w:rPr>
          <w:rFonts w:hint="default" w:ascii="Times New Roman" w:hAnsi="Times New Roman" w:eastAsia="宋体" w:cs="Times New Roman"/>
          <w:bCs/>
          <w:color w:val="auto"/>
          <w:sz w:val="24"/>
          <w:highlight w:val="none"/>
        </w:rPr>
        <w:t>隔声等措施</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厂界噪声可满足《工业企业厂界环境噪声排放标准》（GB12348-2008</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中的2类标准。</w:t>
      </w:r>
    </w:p>
    <w:p>
      <w:pPr>
        <w:keepNext w:val="0"/>
        <w:keepLines w:val="0"/>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highlight w:val="none"/>
        </w:rPr>
      </w:pPr>
      <w:bookmarkStart w:id="50" w:name="_Toc12322_WPSOffice_Level2"/>
      <w:r>
        <w:rPr>
          <w:rFonts w:hint="default" w:ascii="Times New Roman" w:hAnsi="Times New Roman" w:eastAsia="宋体" w:cs="Times New Roman"/>
          <w:bCs/>
          <w:color w:val="auto"/>
          <w:sz w:val="24"/>
          <w:highlight w:val="none"/>
        </w:rPr>
        <w:t>固体废物</w:t>
      </w:r>
      <w:bookmarkEnd w:id="50"/>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color w:val="auto"/>
          <w:sz w:val="24"/>
          <w:highlight w:val="none"/>
        </w:rPr>
        <w:t>尾矿砂</w:t>
      </w:r>
      <w:r>
        <w:rPr>
          <w:rFonts w:hint="default" w:ascii="Times New Roman" w:hAnsi="Times New Roman" w:eastAsia="宋体" w:cs="Times New Roman"/>
          <w:color w:val="auto"/>
          <w:sz w:val="24"/>
          <w:highlight w:val="none"/>
          <w:lang w:eastAsia="zh-CN"/>
        </w:rPr>
        <w:t>属于</w:t>
      </w:r>
      <w:r>
        <w:rPr>
          <w:rFonts w:hint="default" w:ascii="Times New Roman" w:hAnsi="Times New Roman" w:eastAsia="宋体" w:cs="Times New Roman"/>
          <w:bCs/>
          <w:color w:val="auto"/>
          <w:sz w:val="24"/>
          <w:highlight w:val="none"/>
          <w:lang w:eastAsia="zh-CN"/>
        </w:rPr>
        <w:t>第I类</w:t>
      </w:r>
      <w:r>
        <w:rPr>
          <w:rFonts w:hint="default" w:ascii="Times New Roman" w:hAnsi="Times New Roman" w:eastAsia="宋体" w:cs="Times New Roman"/>
          <w:color w:val="auto"/>
          <w:sz w:val="24"/>
          <w:highlight w:val="none"/>
          <w:lang w:eastAsia="zh-CN"/>
        </w:rPr>
        <w:t>一般工业固体废物，</w:t>
      </w:r>
      <w:r>
        <w:rPr>
          <w:rFonts w:hint="default" w:ascii="Times New Roman" w:hAnsi="Times New Roman" w:eastAsia="宋体" w:cs="Times New Roman"/>
          <w:color w:val="auto"/>
          <w:sz w:val="24"/>
          <w:highlight w:val="none"/>
        </w:rPr>
        <w:t>无明显的</w:t>
      </w:r>
      <w:r>
        <w:rPr>
          <w:rFonts w:hint="default" w:ascii="Times New Roman" w:hAnsi="Times New Roman" w:eastAsia="宋体" w:cs="Times New Roman"/>
          <w:color w:val="auto"/>
          <w:sz w:val="24"/>
          <w:highlight w:val="none"/>
          <w:lang w:eastAsia="zh-CN"/>
        </w:rPr>
        <w:t>有害成分，湿</w:t>
      </w:r>
      <w:r>
        <w:rPr>
          <w:rFonts w:hint="default" w:ascii="Times New Roman" w:hAnsi="Times New Roman" w:eastAsia="宋体" w:cs="Times New Roman"/>
          <w:color w:val="auto"/>
          <w:sz w:val="24"/>
          <w:highlight w:val="none"/>
        </w:rPr>
        <w:t>排至尾矿库</w:t>
      </w:r>
      <w:r>
        <w:rPr>
          <w:rFonts w:hint="default" w:ascii="Times New Roman" w:hAnsi="Times New Roman" w:eastAsia="宋体" w:cs="Times New Roman"/>
          <w:color w:val="auto"/>
          <w:sz w:val="24"/>
          <w:highlight w:val="none"/>
          <w:lang w:eastAsia="zh-CN"/>
        </w:rPr>
        <w:t>贮存，不外排；生产设备维修过程中产生的废润滑油，属于危险废物，暂存于新建的危废暂存间内，定期交由有资质的单位处置</w:t>
      </w:r>
      <w:r>
        <w:rPr>
          <w:rFonts w:hint="default" w:ascii="Times New Roman" w:hAnsi="Times New Roman" w:eastAsia="宋体" w:cs="Times New Roman"/>
          <w:color w:val="auto"/>
          <w:sz w:val="24"/>
          <w:highlight w:val="none"/>
        </w:rPr>
        <w:t>。</w:t>
      </w:r>
    </w:p>
    <w:p>
      <w:pPr>
        <w:keepNext w:val="0"/>
        <w:keepLines w:val="0"/>
        <w:pageBreakBefore w:val="0"/>
        <w:widowControl w:val="0"/>
        <w:kinsoku/>
        <w:wordWrap/>
        <w:overflowPunct/>
        <w:topLinePunct w:val="0"/>
        <w:autoSpaceDE/>
        <w:autoSpaceDN/>
        <w:bidi w:val="0"/>
        <w:spacing w:line="360" w:lineRule="auto"/>
        <w:ind w:left="0" w:leftChars="0" w:right="0" w:rightChars="0" w:firstLine="480" w:firstLineChars="200"/>
        <w:textAlignment w:val="auto"/>
        <w:outlineLvl w:val="0"/>
        <w:rPr>
          <w:rFonts w:hint="default" w:ascii="Times New Roman" w:hAnsi="Times New Roman" w:eastAsia="宋体" w:cs="Times New Roman"/>
          <w:color w:val="auto"/>
          <w:sz w:val="24"/>
          <w:highlight w:val="none"/>
        </w:rPr>
      </w:pPr>
      <w:bookmarkStart w:id="51" w:name="_Toc6814"/>
      <w:bookmarkStart w:id="52" w:name="_Toc16317"/>
      <w:bookmarkStart w:id="53" w:name="_Toc22182"/>
      <w:r>
        <w:rPr>
          <w:rFonts w:hint="default" w:ascii="Times New Roman" w:hAnsi="Times New Roman" w:eastAsia="宋体" w:cs="Times New Roman"/>
          <w:color w:val="auto"/>
          <w:sz w:val="24"/>
          <w:highlight w:val="none"/>
        </w:rPr>
        <w:t>（4</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产业政策与规划可行性分析</w:t>
      </w:r>
      <w:bookmarkEnd w:id="51"/>
      <w:bookmarkEnd w:id="52"/>
      <w:bookmarkEnd w:id="53"/>
    </w:p>
    <w:p>
      <w:pPr>
        <w:keepNext w:val="0"/>
        <w:keepLines w:val="0"/>
        <w:pageBreakBefore w:val="0"/>
        <w:widowControl w:val="0"/>
        <w:kinsoku/>
        <w:wordWrap/>
        <w:overflowPunct/>
        <w:topLinePunct w:val="0"/>
        <w:autoSpaceDE/>
        <w:autoSpaceDN/>
        <w:bidi w:val="0"/>
        <w:spacing w:line="360" w:lineRule="auto"/>
        <w:ind w:left="0" w:leftChars="0" w:right="0" w:rightChars="0" w:firstLine="480" w:firstLineChars="200"/>
        <w:textAlignment w:val="auto"/>
        <w:outlineLvl w:val="1"/>
        <w:rPr>
          <w:rFonts w:hint="default" w:ascii="Times New Roman" w:hAnsi="Times New Roman" w:eastAsia="宋体" w:cs="Times New Roman"/>
          <w:color w:val="auto"/>
          <w:sz w:val="24"/>
          <w:highlight w:val="none"/>
        </w:rPr>
      </w:pPr>
      <w:bookmarkStart w:id="54" w:name="_Toc16929"/>
      <w:bookmarkStart w:id="55" w:name="_Toc28668"/>
      <w:bookmarkStart w:id="56" w:name="_Toc10920"/>
      <w:r>
        <w:rPr>
          <w:rFonts w:hint="default" w:ascii="Times New Roman" w:hAnsi="Times New Roman" w:eastAsia="宋体" w:cs="Times New Roman"/>
          <w:color w:val="auto"/>
          <w:sz w:val="24"/>
          <w:highlight w:val="none"/>
        </w:rPr>
        <w:t>1</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产业政策符合性分析</w:t>
      </w:r>
      <w:bookmarkEnd w:id="54"/>
      <w:bookmarkEnd w:id="55"/>
      <w:bookmarkEnd w:id="56"/>
    </w:p>
    <w:p>
      <w:pPr>
        <w:keepNext w:val="0"/>
        <w:keepLines w:val="0"/>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w:t>
      </w:r>
      <w:r>
        <w:rPr>
          <w:rFonts w:hint="default" w:ascii="Times New Roman" w:hAnsi="Times New Roman" w:eastAsia="宋体" w:cs="Times New Roman"/>
          <w:color w:val="auto"/>
          <w:sz w:val="24"/>
          <w:highlight w:val="none"/>
          <w:lang w:eastAsia="zh-CN"/>
        </w:rPr>
        <w:t>产业结构调整指导目录</w:t>
      </w:r>
      <w:r>
        <w:rPr>
          <w:rFonts w:hint="default" w:ascii="Times New Roman" w:hAnsi="Times New Roman" w:eastAsia="宋体" w:cs="Times New Roman"/>
          <w:color w:val="auto"/>
          <w:sz w:val="24"/>
          <w:highlight w:val="none"/>
        </w:rPr>
        <w:t>（20</w:t>
      </w:r>
      <w:r>
        <w:rPr>
          <w:rFonts w:hint="default" w:ascii="Times New Roman" w:hAnsi="Times New Roman" w:eastAsia="宋体" w:cs="Times New Roman"/>
          <w:color w:val="auto"/>
          <w:sz w:val="24"/>
          <w:highlight w:val="none"/>
          <w:lang w:val="en-US" w:eastAsia="zh-CN"/>
        </w:rPr>
        <w:t>24</w:t>
      </w:r>
      <w:r>
        <w:rPr>
          <w:rFonts w:hint="default" w:ascii="Times New Roman" w:hAnsi="Times New Roman" w:eastAsia="宋体" w:cs="Times New Roman"/>
          <w:color w:val="auto"/>
          <w:sz w:val="24"/>
          <w:highlight w:val="none"/>
        </w:rPr>
        <w:t>年本</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本次工程为</w:t>
      </w:r>
      <w:r>
        <w:rPr>
          <w:rFonts w:hint="default" w:ascii="Times New Roman" w:hAnsi="Times New Roman" w:eastAsia="宋体" w:cs="Times New Roman"/>
          <w:color w:val="auto"/>
          <w:sz w:val="24"/>
          <w:highlight w:val="none"/>
          <w:lang w:eastAsia="zh-CN"/>
        </w:rPr>
        <w:t>尾矿库加高扩容</w:t>
      </w:r>
      <w:r>
        <w:rPr>
          <w:rFonts w:hint="default" w:ascii="Times New Roman" w:hAnsi="Times New Roman" w:eastAsia="宋体" w:cs="Times New Roman"/>
          <w:color w:val="auto"/>
          <w:sz w:val="24"/>
          <w:highlight w:val="none"/>
        </w:rPr>
        <w:t>项目</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不</w:t>
      </w:r>
      <w:r>
        <w:rPr>
          <w:rFonts w:hint="default" w:ascii="Times New Roman" w:hAnsi="Times New Roman" w:eastAsia="宋体" w:cs="Times New Roman"/>
          <w:color w:val="auto"/>
          <w:sz w:val="24"/>
          <w:highlight w:val="none"/>
        </w:rPr>
        <w:t>在鼓励类、限制类和淘汰类中列出</w:t>
      </w:r>
      <w:r>
        <w:rPr>
          <w:rFonts w:hint="default" w:ascii="Times New Roman" w:hAnsi="Times New Roman" w:eastAsia="宋体" w:cs="Times New Roman"/>
          <w:color w:val="auto"/>
          <w:sz w:val="24"/>
          <w:highlight w:val="none"/>
          <w:lang w:eastAsia="zh-CN"/>
        </w:rPr>
        <w:t>，属</w:t>
      </w:r>
      <w:r>
        <w:rPr>
          <w:rFonts w:hint="default" w:ascii="Times New Roman" w:hAnsi="Times New Roman" w:eastAsia="宋体" w:cs="Times New Roman"/>
          <w:color w:val="auto"/>
          <w:sz w:val="24"/>
          <w:highlight w:val="none"/>
        </w:rPr>
        <w:t>于允许</w:t>
      </w:r>
      <w:r>
        <w:rPr>
          <w:rFonts w:hint="default" w:ascii="Times New Roman" w:hAnsi="Times New Roman" w:eastAsia="宋体" w:cs="Times New Roman"/>
          <w:color w:val="auto"/>
          <w:sz w:val="24"/>
          <w:highlight w:val="none"/>
          <w:lang w:eastAsia="zh-CN"/>
        </w:rPr>
        <w:t>建设项目</w:t>
      </w:r>
      <w:r>
        <w:rPr>
          <w:rFonts w:hint="default" w:ascii="Times New Roman" w:hAnsi="Times New Roman" w:eastAsia="宋体" w:cs="Times New Roman"/>
          <w:color w:val="auto"/>
          <w:sz w:val="24"/>
          <w:highlight w:val="none"/>
        </w:rPr>
        <w:t>；同时</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本次工程于2023年2月取得了乌拉特前旗工业信息化局</w:t>
      </w:r>
      <w:r>
        <w:rPr>
          <w:rFonts w:hint="default" w:ascii="Times New Roman" w:hAnsi="Times New Roman" w:eastAsia="宋体" w:cs="Times New Roman"/>
          <w:color w:val="auto"/>
          <w:sz w:val="24"/>
          <w:highlight w:val="none"/>
          <w:lang w:eastAsia="zh-CN"/>
        </w:rPr>
        <w:t>出具的</w:t>
      </w:r>
      <w:r>
        <w:rPr>
          <w:rFonts w:hint="default" w:ascii="Times New Roman" w:hAnsi="Times New Roman" w:eastAsia="宋体" w:cs="Times New Roman"/>
          <w:color w:val="auto"/>
          <w:sz w:val="24"/>
          <w:highlight w:val="none"/>
        </w:rPr>
        <w:t>《项目备案告知书》</w:t>
      </w:r>
      <w:r>
        <w:rPr>
          <w:rFonts w:hint="default" w:ascii="Times New Roman" w:hAnsi="Times New Roman" w:eastAsia="宋体" w:cs="Times New Roman"/>
          <w:color w:val="auto"/>
          <w:sz w:val="24"/>
          <w:highlight w:val="none"/>
          <w:lang w:eastAsia="zh-CN"/>
        </w:rPr>
        <w:t>，项目代码：</w:t>
      </w:r>
      <w:r>
        <w:rPr>
          <w:rFonts w:hint="default" w:ascii="Times New Roman" w:hAnsi="Times New Roman" w:eastAsia="宋体" w:cs="Times New Roman"/>
          <w:color w:val="auto"/>
          <w:sz w:val="24"/>
          <w:highlight w:val="none"/>
        </w:rPr>
        <w:t>2302-150823-07-02-595828</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因此</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本项目建设符合国家产业政策要求。</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textAlignment w:val="auto"/>
        <w:outlineLvl w:val="1"/>
        <w:rPr>
          <w:rFonts w:hint="default" w:ascii="Times New Roman" w:hAnsi="Times New Roman" w:eastAsia="宋体" w:cs="Times New Roman"/>
          <w:color w:val="auto"/>
          <w:sz w:val="24"/>
          <w:highlight w:val="none"/>
        </w:rPr>
      </w:pPr>
      <w:bookmarkStart w:id="57" w:name="_Toc8957"/>
      <w:bookmarkStart w:id="58" w:name="_Toc13450"/>
      <w:bookmarkStart w:id="59" w:name="_Toc32107"/>
      <w:r>
        <w:rPr>
          <w:rFonts w:hint="default" w:ascii="Times New Roman" w:hAnsi="Times New Roman" w:eastAsia="宋体" w:cs="Times New Roman"/>
          <w:color w:val="auto"/>
          <w:sz w:val="24"/>
          <w:highlight w:val="none"/>
        </w:rPr>
        <w:t>2</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与《巴彦淖尔市矿产资源总体规划（2021-2025</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》符合性分析</w:t>
      </w:r>
      <w:bookmarkEnd w:id="57"/>
      <w:bookmarkEnd w:id="58"/>
      <w:bookmarkEnd w:id="59"/>
    </w:p>
    <w:p>
      <w:pPr>
        <w:pStyle w:val="53"/>
        <w:keepNext w:val="0"/>
        <w:keepLines w:val="0"/>
        <w:pageBreakBefore w:val="0"/>
        <w:widowControl w:val="0"/>
        <w:kinsoku/>
        <w:wordWrap/>
        <w:overflowPunct/>
        <w:topLinePunct w:val="0"/>
        <w:autoSpaceDE/>
        <w:autoSpaceDN/>
        <w:bidi w:val="0"/>
        <w:adjustRightInd w:val="0"/>
        <w:snapToGrid w:val="0"/>
        <w:ind w:left="0" w:leftChars="0" w:right="0" w:rightChars="0" w:firstLine="480" w:firstLineChars="200"/>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根据《巴彦淖尔市矿产资源总体规划》（2021-2025年</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所述“强化金</w:t>
      </w:r>
      <w:r>
        <w:rPr>
          <w:rFonts w:hint="default" w:ascii="Times New Roman" w:hAnsi="Times New Roman" w:eastAsia="宋体" w:cs="Times New Roman"/>
          <w:color w:val="auto"/>
          <w:highlight w:val="none"/>
          <w:lang w:eastAsia="zh-CN"/>
        </w:rPr>
        <w:t>属</w:t>
      </w:r>
      <w:r>
        <w:rPr>
          <w:rFonts w:hint="default" w:ascii="Times New Roman" w:hAnsi="Times New Roman" w:eastAsia="宋体" w:cs="Times New Roman"/>
          <w:color w:val="auto"/>
          <w:highlight w:val="none"/>
        </w:rPr>
        <w:t>矿产</w:t>
      </w:r>
      <w:r>
        <w:rPr>
          <w:rFonts w:hint="default" w:ascii="Times New Roman" w:hAnsi="Times New Roman" w:eastAsia="宋体" w:cs="Times New Roman"/>
          <w:color w:val="auto"/>
          <w:highlight w:val="none"/>
          <w:lang w:eastAsia="zh-CN"/>
        </w:rPr>
        <w:t>勘察，</w:t>
      </w:r>
      <w:r>
        <w:rPr>
          <w:rFonts w:hint="default" w:ascii="Times New Roman" w:hAnsi="Times New Roman" w:eastAsia="宋体" w:cs="Times New Roman"/>
          <w:color w:val="auto"/>
          <w:highlight w:val="none"/>
        </w:rPr>
        <w:t>提高资源利用效率。</w:t>
      </w:r>
      <w:r>
        <w:rPr>
          <w:rFonts w:hint="default" w:ascii="Times New Roman" w:hAnsi="Times New Roman" w:eastAsia="宋体" w:cs="Times New Roman"/>
          <w:color w:val="auto"/>
          <w:highlight w:val="none"/>
          <w:lang w:eastAsia="zh-CN"/>
        </w:rPr>
        <w:t>加大</w:t>
      </w:r>
      <w:r>
        <w:rPr>
          <w:rFonts w:hint="default" w:ascii="Times New Roman" w:hAnsi="Times New Roman" w:eastAsia="宋体" w:cs="Times New Roman"/>
          <w:color w:val="auto"/>
          <w:highlight w:val="none"/>
        </w:rPr>
        <w:t>达布逊镍矿勘查开发力度</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引进国内先进企业</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加强与科研院所的合作</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加快推进镍矿资源开发</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强化钴等共伴生矿产综合勘查及综合利用；提高脑包沟等矿区深部及外围的勘查力度</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保持铅锌优势；</w:t>
      </w:r>
      <w:r>
        <w:rPr>
          <w:rFonts w:hint="default" w:ascii="Times New Roman" w:hAnsi="Times New Roman" w:eastAsia="宋体" w:cs="Times New Roman"/>
          <w:b/>
          <w:bCs/>
          <w:color w:val="auto"/>
          <w:highlight w:val="none"/>
        </w:rPr>
        <w:t>加大钼、金矿产资源勘查开发力度</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在金的选矿过程中做好氰化物的管理</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防止氰化选金的选矿废水对土壤层、地下水和河流造成污染；坚持绿色勘查</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最大限度地避免或减轻勘查活动对生态环境的扰动、污染和破坏</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加大矿山环境治理力度</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全面推进绿色矿山建设。”本项目</w:t>
      </w:r>
      <w:r>
        <w:rPr>
          <w:rFonts w:hint="default" w:ascii="Times New Roman" w:hAnsi="Times New Roman" w:eastAsia="宋体" w:cs="Times New Roman"/>
          <w:color w:val="auto"/>
          <w:highlight w:val="none"/>
          <w:lang w:eastAsia="zh-CN"/>
        </w:rPr>
        <w:t>为钼矿、钼选矿厂的配套工程，属于重点开采产业类别，</w:t>
      </w:r>
      <w:r>
        <w:rPr>
          <w:rFonts w:hint="default" w:ascii="Times New Roman" w:hAnsi="Times New Roman" w:eastAsia="宋体" w:cs="Times New Roman"/>
          <w:color w:val="auto"/>
          <w:highlight w:val="none"/>
        </w:rPr>
        <w:t>符合《巴彦淖尔市矿产资源总体规划（2021-2025</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w:t>
      </w:r>
    </w:p>
    <w:p>
      <w:pPr>
        <w:keepNext w:val="0"/>
        <w:keepLines w:val="0"/>
        <w:pageBreakBefore w:val="0"/>
        <w:widowControl w:val="0"/>
        <w:kinsoku/>
        <w:wordWrap/>
        <w:overflowPunct/>
        <w:topLinePunct w:val="0"/>
        <w:autoSpaceDE/>
        <w:autoSpaceDN/>
        <w:bidi w:val="0"/>
        <w:spacing w:line="360" w:lineRule="auto"/>
        <w:ind w:left="0" w:leftChars="0" w:right="0" w:rightChars="0" w:firstLine="480" w:firstLineChars="200"/>
        <w:jc w:val="left"/>
        <w:textAlignment w:val="auto"/>
        <w:outlineLvl w:val="0"/>
        <w:rPr>
          <w:rFonts w:hint="default" w:ascii="Times New Roman" w:hAnsi="Times New Roman" w:eastAsia="宋体" w:cs="Times New Roman"/>
          <w:color w:val="auto"/>
          <w:sz w:val="24"/>
          <w:highlight w:val="none"/>
        </w:rPr>
      </w:pPr>
      <w:bookmarkStart w:id="60" w:name="_Toc30814"/>
      <w:bookmarkStart w:id="61" w:name="_Toc2847"/>
      <w:bookmarkStart w:id="62" w:name="_Toc16149"/>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5</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“三线一单”符合性分析</w:t>
      </w:r>
      <w:bookmarkEnd w:id="60"/>
      <w:bookmarkEnd w:id="61"/>
      <w:bookmarkEnd w:id="62"/>
    </w:p>
    <w:p>
      <w:pPr>
        <w:keepNext w:val="0"/>
        <w:keepLines w:val="0"/>
        <w:pageBreakBefore w:val="0"/>
        <w:widowControl w:val="0"/>
        <w:kinsoku/>
        <w:wordWrap/>
        <w:overflowPunct/>
        <w:topLinePunct w:val="0"/>
        <w:autoSpaceDE/>
        <w:autoSpaceDN/>
        <w:bidi w:val="0"/>
        <w:spacing w:line="360" w:lineRule="auto"/>
        <w:ind w:left="0" w:leftChars="0" w:right="0" w:rightChars="0" w:firstLine="480" w:firstLineChars="200"/>
        <w:textAlignment w:val="auto"/>
        <w:outlineLvl w:val="1"/>
        <w:rPr>
          <w:rFonts w:hint="default" w:ascii="Times New Roman" w:hAnsi="Times New Roman" w:eastAsia="宋体" w:cs="Times New Roman"/>
          <w:bCs/>
          <w:color w:val="auto"/>
          <w:kern w:val="0"/>
          <w:sz w:val="24"/>
          <w:highlight w:val="none"/>
        </w:rPr>
      </w:pPr>
      <w:bookmarkStart w:id="63" w:name="_Toc25681"/>
      <w:bookmarkStart w:id="64" w:name="_Toc10945"/>
      <w:bookmarkStart w:id="65" w:name="_Toc20096"/>
      <w:r>
        <w:rPr>
          <w:rFonts w:hint="default" w:ascii="Times New Roman" w:hAnsi="Times New Roman" w:eastAsia="宋体" w:cs="Times New Roman"/>
          <w:bCs/>
          <w:color w:val="auto"/>
          <w:kern w:val="0"/>
          <w:sz w:val="24"/>
          <w:highlight w:val="none"/>
        </w:rPr>
        <w:t>1</w:t>
      </w:r>
      <w:r>
        <w:rPr>
          <w:rFonts w:hint="default" w:ascii="Times New Roman" w:hAnsi="Times New Roman" w:eastAsia="宋体" w:cs="Times New Roman"/>
          <w:bCs/>
          <w:color w:val="auto"/>
          <w:kern w:val="0"/>
          <w:sz w:val="24"/>
          <w:highlight w:val="none"/>
          <w:lang w:eastAsia="zh-CN"/>
        </w:rPr>
        <w:t>）</w:t>
      </w:r>
      <w:r>
        <w:rPr>
          <w:rFonts w:hint="default" w:ascii="Times New Roman" w:hAnsi="Times New Roman" w:eastAsia="宋体" w:cs="Times New Roman"/>
          <w:bCs/>
          <w:color w:val="auto"/>
          <w:kern w:val="0"/>
          <w:sz w:val="24"/>
          <w:highlight w:val="none"/>
        </w:rPr>
        <w:t>生态保护红线符合性分析</w:t>
      </w:r>
      <w:bookmarkEnd w:id="63"/>
      <w:bookmarkEnd w:id="64"/>
      <w:bookmarkEnd w:id="65"/>
    </w:p>
    <w:p>
      <w:pPr>
        <w:keepNext w:val="0"/>
        <w:keepLines w:val="0"/>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bCs/>
          <w:color w:val="auto"/>
          <w:kern w:val="0"/>
          <w:sz w:val="24"/>
          <w:highlight w:val="none"/>
        </w:rPr>
      </w:pPr>
      <w:r>
        <w:rPr>
          <w:rFonts w:hint="default" w:ascii="Times New Roman" w:hAnsi="Times New Roman" w:eastAsia="宋体" w:cs="Times New Roman"/>
          <w:bCs/>
          <w:color w:val="auto"/>
          <w:kern w:val="0"/>
          <w:sz w:val="24"/>
          <w:highlight w:val="none"/>
        </w:rPr>
        <w:t>根据乌拉特前旗自然资源局文件（乌自然资函发〔2023〕80号</w:t>
      </w:r>
      <w:r>
        <w:rPr>
          <w:rFonts w:hint="default" w:ascii="Times New Roman" w:hAnsi="Times New Roman" w:eastAsia="宋体" w:cs="Times New Roman"/>
          <w:bCs/>
          <w:color w:val="auto"/>
          <w:kern w:val="0"/>
          <w:sz w:val="24"/>
          <w:highlight w:val="none"/>
          <w:lang w:eastAsia="zh-CN"/>
        </w:rPr>
        <w:t>），</w:t>
      </w:r>
      <w:r>
        <w:rPr>
          <w:rFonts w:hint="default" w:ascii="Times New Roman" w:hAnsi="Times New Roman" w:eastAsia="宋体" w:cs="Times New Roman"/>
          <w:bCs/>
          <w:color w:val="auto"/>
          <w:kern w:val="0"/>
          <w:sz w:val="24"/>
          <w:highlight w:val="none"/>
        </w:rPr>
        <w:t>本项目</w:t>
      </w:r>
      <w:r>
        <w:rPr>
          <w:rFonts w:hint="default" w:ascii="Times New Roman" w:hAnsi="Times New Roman" w:eastAsia="宋体" w:cs="Times New Roman"/>
          <w:bCs/>
          <w:color w:val="auto"/>
          <w:kern w:val="0"/>
          <w:sz w:val="24"/>
          <w:highlight w:val="none"/>
          <w:lang w:eastAsia="zh-CN"/>
        </w:rPr>
        <w:t>用地</w:t>
      </w:r>
      <w:r>
        <w:rPr>
          <w:rFonts w:hint="default" w:ascii="Times New Roman" w:hAnsi="Times New Roman" w:eastAsia="宋体" w:cs="Times New Roman"/>
          <w:bCs/>
          <w:color w:val="auto"/>
          <w:kern w:val="0"/>
          <w:sz w:val="24"/>
          <w:highlight w:val="none"/>
        </w:rPr>
        <w:t>不在乌拉特前旗生态保护红线范围内</w:t>
      </w:r>
      <w:r>
        <w:rPr>
          <w:rFonts w:hint="default" w:ascii="Times New Roman" w:hAnsi="Times New Roman" w:eastAsia="宋体" w:cs="Times New Roman"/>
          <w:bCs/>
          <w:color w:val="auto"/>
          <w:kern w:val="0"/>
          <w:sz w:val="24"/>
          <w:highlight w:val="none"/>
          <w:lang w:eastAsia="zh-CN"/>
        </w:rPr>
        <w:t>，因此，</w:t>
      </w:r>
      <w:r>
        <w:rPr>
          <w:rFonts w:hint="default" w:ascii="Times New Roman" w:hAnsi="Times New Roman" w:eastAsia="宋体" w:cs="Times New Roman"/>
          <w:bCs/>
          <w:color w:val="auto"/>
          <w:kern w:val="0"/>
          <w:sz w:val="24"/>
          <w:highlight w:val="none"/>
        </w:rPr>
        <w:t>本项目</w:t>
      </w:r>
      <w:r>
        <w:rPr>
          <w:rFonts w:hint="default" w:ascii="Times New Roman" w:hAnsi="Times New Roman" w:eastAsia="宋体" w:cs="Times New Roman"/>
          <w:bCs/>
          <w:color w:val="auto"/>
          <w:kern w:val="0"/>
          <w:sz w:val="24"/>
          <w:highlight w:val="none"/>
          <w:lang w:eastAsia="zh-CN"/>
        </w:rPr>
        <w:t>符合</w:t>
      </w:r>
      <w:r>
        <w:rPr>
          <w:rFonts w:hint="default" w:ascii="Times New Roman" w:hAnsi="Times New Roman" w:eastAsia="宋体" w:cs="Times New Roman"/>
          <w:bCs/>
          <w:color w:val="auto"/>
          <w:kern w:val="0"/>
          <w:sz w:val="24"/>
          <w:highlight w:val="none"/>
        </w:rPr>
        <w:t>生态</w:t>
      </w:r>
      <w:r>
        <w:rPr>
          <w:rFonts w:hint="default" w:ascii="Times New Roman" w:hAnsi="Times New Roman" w:eastAsia="宋体" w:cs="Times New Roman"/>
          <w:bCs/>
          <w:color w:val="auto"/>
          <w:kern w:val="0"/>
          <w:sz w:val="24"/>
          <w:highlight w:val="none"/>
          <w:lang w:eastAsia="zh-CN"/>
        </w:rPr>
        <w:t>保护</w:t>
      </w:r>
      <w:r>
        <w:rPr>
          <w:rFonts w:hint="default" w:ascii="Times New Roman" w:hAnsi="Times New Roman" w:eastAsia="宋体" w:cs="Times New Roman"/>
          <w:bCs/>
          <w:color w:val="auto"/>
          <w:kern w:val="0"/>
          <w:sz w:val="24"/>
          <w:highlight w:val="none"/>
        </w:rPr>
        <w:t>红线</w:t>
      </w:r>
      <w:r>
        <w:rPr>
          <w:rFonts w:hint="default" w:ascii="Times New Roman" w:hAnsi="Times New Roman" w:eastAsia="宋体" w:cs="Times New Roman"/>
          <w:bCs/>
          <w:color w:val="auto"/>
          <w:kern w:val="0"/>
          <w:sz w:val="24"/>
          <w:highlight w:val="none"/>
          <w:lang w:eastAsia="zh-CN"/>
        </w:rPr>
        <w:t>要求</w:t>
      </w:r>
      <w:r>
        <w:rPr>
          <w:rFonts w:hint="default" w:ascii="Times New Roman" w:hAnsi="Times New Roman" w:eastAsia="宋体" w:cs="Times New Roman"/>
          <w:bCs/>
          <w:color w:val="auto"/>
          <w:kern w:val="0"/>
          <w:sz w:val="24"/>
          <w:highlight w:val="none"/>
        </w:rPr>
        <w:t>。</w:t>
      </w:r>
    </w:p>
    <w:p>
      <w:pPr>
        <w:keepNext w:val="0"/>
        <w:keepLines w:val="0"/>
        <w:pageBreakBefore w:val="0"/>
        <w:widowControl w:val="0"/>
        <w:kinsoku/>
        <w:wordWrap/>
        <w:overflowPunct/>
        <w:topLinePunct w:val="0"/>
        <w:autoSpaceDE/>
        <w:autoSpaceDN/>
        <w:bidi w:val="0"/>
        <w:spacing w:line="360" w:lineRule="auto"/>
        <w:ind w:left="0" w:leftChars="0" w:right="0" w:rightChars="0" w:firstLine="480" w:firstLineChars="200"/>
        <w:textAlignment w:val="auto"/>
        <w:outlineLvl w:val="1"/>
        <w:rPr>
          <w:rFonts w:hint="default" w:ascii="Times New Roman" w:hAnsi="Times New Roman" w:eastAsia="宋体" w:cs="Times New Roman"/>
          <w:color w:val="auto"/>
          <w:sz w:val="24"/>
          <w:highlight w:val="none"/>
        </w:rPr>
      </w:pPr>
      <w:bookmarkStart w:id="66" w:name="_Toc32086"/>
      <w:bookmarkStart w:id="67" w:name="_Toc17144"/>
      <w:bookmarkStart w:id="68" w:name="_Toc11699"/>
      <w:r>
        <w:rPr>
          <w:rFonts w:hint="default" w:ascii="Times New Roman" w:hAnsi="Times New Roman" w:eastAsia="宋体" w:cs="Times New Roman"/>
          <w:color w:val="auto"/>
          <w:sz w:val="24"/>
          <w:highlight w:val="none"/>
        </w:rPr>
        <w:t>2</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环境质量底线符合性分析</w:t>
      </w:r>
      <w:bookmarkEnd w:id="66"/>
      <w:bookmarkEnd w:id="67"/>
      <w:bookmarkEnd w:id="68"/>
    </w:p>
    <w:p>
      <w:pPr>
        <w:keepNext w:val="0"/>
        <w:keepLines w:val="0"/>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kern w:val="0"/>
          <w:sz w:val="24"/>
          <w:highlight w:val="none"/>
        </w:rPr>
        <w:t>本项目所在地巴彦淖尔市乌拉特前旗202</w:t>
      </w:r>
      <w:r>
        <w:rPr>
          <w:rFonts w:hint="default" w:ascii="Times New Roman" w:hAnsi="Times New Roman" w:eastAsia="宋体" w:cs="Times New Roman"/>
          <w:color w:val="auto"/>
          <w:kern w:val="0"/>
          <w:sz w:val="24"/>
          <w:highlight w:val="none"/>
          <w:lang w:val="en-US" w:eastAsia="zh-CN"/>
        </w:rPr>
        <w:t>2</w:t>
      </w:r>
      <w:r>
        <w:rPr>
          <w:rFonts w:hint="default" w:ascii="Times New Roman" w:hAnsi="Times New Roman" w:eastAsia="宋体" w:cs="Times New Roman"/>
          <w:color w:val="auto"/>
          <w:kern w:val="0"/>
          <w:sz w:val="24"/>
          <w:highlight w:val="none"/>
        </w:rPr>
        <w:t>年大气环境中6项污染物中SO</w:t>
      </w:r>
      <w:r>
        <w:rPr>
          <w:rFonts w:hint="default" w:ascii="Times New Roman" w:hAnsi="Times New Roman" w:eastAsia="宋体" w:cs="Times New Roman"/>
          <w:color w:val="auto"/>
          <w:kern w:val="0"/>
          <w:sz w:val="24"/>
          <w:highlight w:val="none"/>
          <w:vertAlign w:val="subscript"/>
        </w:rPr>
        <w:t>2</w:t>
      </w:r>
      <w:r>
        <w:rPr>
          <w:rFonts w:hint="default" w:ascii="Times New Roman" w:hAnsi="Times New Roman" w:eastAsia="宋体" w:cs="Times New Roman"/>
          <w:color w:val="auto"/>
          <w:kern w:val="0"/>
          <w:sz w:val="24"/>
          <w:highlight w:val="none"/>
        </w:rPr>
        <w:t>、NO</w:t>
      </w:r>
      <w:r>
        <w:rPr>
          <w:rFonts w:hint="default" w:ascii="Times New Roman" w:hAnsi="Times New Roman" w:eastAsia="宋体" w:cs="Times New Roman"/>
          <w:color w:val="auto"/>
          <w:kern w:val="0"/>
          <w:sz w:val="24"/>
          <w:highlight w:val="none"/>
          <w:vertAlign w:val="subscript"/>
        </w:rPr>
        <w:t>2</w:t>
      </w:r>
      <w:r>
        <w:rPr>
          <w:rFonts w:hint="default" w:ascii="Times New Roman" w:hAnsi="Times New Roman" w:eastAsia="宋体" w:cs="Times New Roman"/>
          <w:color w:val="auto"/>
          <w:kern w:val="0"/>
          <w:sz w:val="24"/>
          <w:highlight w:val="none"/>
        </w:rPr>
        <w:t>、PM</w:t>
      </w:r>
      <w:r>
        <w:rPr>
          <w:rFonts w:hint="default" w:ascii="Times New Roman" w:hAnsi="Times New Roman" w:eastAsia="宋体" w:cs="Times New Roman"/>
          <w:color w:val="auto"/>
          <w:kern w:val="0"/>
          <w:sz w:val="24"/>
          <w:highlight w:val="none"/>
          <w:vertAlign w:val="subscript"/>
        </w:rPr>
        <w:t>10</w:t>
      </w:r>
      <w:r>
        <w:rPr>
          <w:rFonts w:hint="default" w:ascii="Times New Roman" w:hAnsi="Times New Roman" w:eastAsia="宋体" w:cs="Times New Roman"/>
          <w:color w:val="auto"/>
          <w:kern w:val="0"/>
          <w:sz w:val="24"/>
          <w:highlight w:val="none"/>
        </w:rPr>
        <w:t>、PM</w:t>
      </w:r>
      <w:r>
        <w:rPr>
          <w:rFonts w:hint="default" w:ascii="Times New Roman" w:hAnsi="Times New Roman" w:eastAsia="宋体" w:cs="Times New Roman"/>
          <w:color w:val="auto"/>
          <w:kern w:val="0"/>
          <w:sz w:val="24"/>
          <w:highlight w:val="none"/>
          <w:vertAlign w:val="subscript"/>
        </w:rPr>
        <w:t>2.5</w:t>
      </w:r>
      <w:r>
        <w:rPr>
          <w:rFonts w:hint="default" w:ascii="Times New Roman" w:hAnsi="Times New Roman" w:eastAsia="宋体" w:cs="Times New Roman"/>
          <w:color w:val="auto"/>
          <w:kern w:val="0"/>
          <w:sz w:val="24"/>
          <w:highlight w:val="none"/>
        </w:rPr>
        <w:t>、CO和O</w:t>
      </w:r>
      <w:r>
        <w:rPr>
          <w:rFonts w:hint="default" w:ascii="Times New Roman" w:hAnsi="Times New Roman" w:eastAsia="宋体" w:cs="Times New Roman"/>
          <w:color w:val="auto"/>
          <w:kern w:val="0"/>
          <w:sz w:val="24"/>
          <w:highlight w:val="none"/>
          <w:vertAlign w:val="subscript"/>
        </w:rPr>
        <w:t>3</w:t>
      </w:r>
      <w:r>
        <w:rPr>
          <w:rFonts w:hint="default" w:ascii="Times New Roman" w:hAnsi="Times New Roman" w:eastAsia="宋体" w:cs="Times New Roman"/>
          <w:color w:val="auto"/>
          <w:kern w:val="0"/>
          <w:sz w:val="24"/>
          <w:highlight w:val="none"/>
        </w:rPr>
        <w:t>质量浓度均满足《环境空气质量标准》（GB3095-2012</w:t>
      </w:r>
      <w:r>
        <w:rPr>
          <w:rFonts w:hint="default" w:ascii="Times New Roman" w:hAnsi="Times New Roman" w:eastAsia="宋体" w:cs="Times New Roman"/>
          <w:color w:val="auto"/>
          <w:kern w:val="0"/>
          <w:sz w:val="24"/>
          <w:highlight w:val="none"/>
          <w:lang w:eastAsia="zh-CN"/>
        </w:rPr>
        <w:t>）</w:t>
      </w:r>
      <w:r>
        <w:rPr>
          <w:rFonts w:hint="default" w:ascii="Times New Roman" w:hAnsi="Times New Roman" w:eastAsia="宋体" w:cs="Times New Roman"/>
          <w:color w:val="auto"/>
          <w:kern w:val="0"/>
          <w:sz w:val="24"/>
          <w:highlight w:val="none"/>
        </w:rPr>
        <w:t>二级标准限值</w:t>
      </w:r>
      <w:r>
        <w:rPr>
          <w:rFonts w:hint="default" w:ascii="Times New Roman" w:hAnsi="Times New Roman" w:eastAsia="宋体" w:cs="Times New Roman"/>
          <w:color w:val="auto"/>
          <w:kern w:val="0"/>
          <w:sz w:val="24"/>
          <w:highlight w:val="none"/>
          <w:lang w:eastAsia="zh-CN"/>
        </w:rPr>
        <w:t>，</w:t>
      </w:r>
      <w:r>
        <w:rPr>
          <w:rFonts w:hint="default" w:ascii="Times New Roman" w:hAnsi="Times New Roman" w:eastAsia="宋体" w:cs="Times New Roman"/>
          <w:color w:val="auto"/>
          <w:kern w:val="0"/>
          <w:sz w:val="24"/>
          <w:highlight w:val="none"/>
        </w:rPr>
        <w:t>由此可判断乌拉特前旗为达标区。</w:t>
      </w:r>
      <w:r>
        <w:rPr>
          <w:rFonts w:hint="default" w:ascii="Times New Roman" w:hAnsi="Times New Roman" w:eastAsia="宋体" w:cs="Times New Roman"/>
          <w:color w:val="auto"/>
          <w:sz w:val="24"/>
          <w:highlight w:val="none"/>
        </w:rPr>
        <w:t>根据大气监测结果</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本项目特征因子TSP监测指标满足《环境空气质量标准》（GB3095-2012</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二级标准及2018年修改单污染物空气质量浓度。综上</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项目所在区域的环境空气质量现状良好</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能够满足二类功能区的要求。</w:t>
      </w:r>
    </w:p>
    <w:p>
      <w:pPr>
        <w:keepNext w:val="0"/>
        <w:keepLines w:val="0"/>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根据地下水水质监测结果</w:t>
      </w:r>
      <w:r>
        <w:rPr>
          <w:rFonts w:hint="default" w:ascii="Times New Roman" w:hAnsi="Times New Roman" w:eastAsia="宋体" w:cs="Times New Roman"/>
          <w:color w:val="auto"/>
          <w:sz w:val="24"/>
          <w:highlight w:val="none"/>
          <w:lang w:eastAsia="zh-CN"/>
        </w:rPr>
        <w:t>可知，</w:t>
      </w:r>
      <w:r>
        <w:rPr>
          <w:rFonts w:hint="default" w:ascii="Times New Roman" w:hAnsi="Times New Roman" w:eastAsia="宋体" w:cs="Times New Roman"/>
          <w:color w:val="auto"/>
          <w:sz w:val="24"/>
          <w:highlight w:val="none"/>
        </w:rPr>
        <w:t>1#水井、2#水井、3#水井、4#水井、5#水井各监测因子均满足《地下水质量标准》（GB</w:t>
      </w:r>
      <w:r>
        <w:rPr>
          <w:rFonts w:hint="default" w:ascii="Times New Roman" w:hAnsi="Times New Roman" w:eastAsia="宋体" w:cs="Times New Roman"/>
          <w:color w:val="auto"/>
          <w:sz w:val="24"/>
          <w:highlight w:val="none"/>
          <w:lang w:val="en-US" w:eastAsia="zh-CN"/>
        </w:rPr>
        <w:t>/T</w:t>
      </w:r>
      <w:r>
        <w:rPr>
          <w:rFonts w:hint="default" w:ascii="Times New Roman" w:hAnsi="Times New Roman" w:eastAsia="宋体" w:cs="Times New Roman"/>
          <w:color w:val="auto"/>
          <w:sz w:val="24"/>
          <w:highlight w:val="none"/>
        </w:rPr>
        <w:t>14848-2017</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中</w:t>
      </w:r>
      <w:r>
        <w:rPr>
          <w:rFonts w:hint="default" w:ascii="Times New Roman" w:hAnsi="Times New Roman" w:eastAsia="宋体" w:cs="Times New Roman"/>
          <w:color w:val="auto"/>
          <w:sz w:val="24"/>
          <w:highlight w:val="none"/>
          <w:lang w:eastAsia="zh-CN"/>
        </w:rPr>
        <w:t>Ⅲ</w:t>
      </w:r>
      <w:r>
        <w:rPr>
          <w:rFonts w:hint="default" w:ascii="Times New Roman" w:hAnsi="Times New Roman" w:eastAsia="宋体" w:cs="Times New Roman"/>
          <w:color w:val="auto"/>
          <w:sz w:val="24"/>
          <w:highlight w:val="none"/>
        </w:rPr>
        <w:t>类标准。</w:t>
      </w:r>
    </w:p>
    <w:p>
      <w:pPr>
        <w:keepNext w:val="0"/>
        <w:keepLines w:val="0"/>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根据噪声监测结果</w:t>
      </w:r>
      <w:r>
        <w:rPr>
          <w:rFonts w:hint="default" w:ascii="Times New Roman" w:hAnsi="Times New Roman" w:eastAsia="宋体" w:cs="Times New Roman"/>
          <w:color w:val="auto"/>
          <w:sz w:val="24"/>
          <w:highlight w:val="none"/>
          <w:lang w:eastAsia="zh-CN"/>
        </w:rPr>
        <w:t>可知，</w:t>
      </w:r>
      <w:r>
        <w:rPr>
          <w:rFonts w:hint="default" w:ascii="Times New Roman" w:hAnsi="Times New Roman" w:eastAsia="宋体" w:cs="Times New Roman"/>
          <w:color w:val="auto"/>
          <w:sz w:val="24"/>
          <w:highlight w:val="none"/>
        </w:rPr>
        <w:t>各监测点的噪声现状监测值均未超过《声环境质量标准》（GB3096-2008</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的2类标准</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周围声环境质量良好。</w:t>
      </w:r>
    </w:p>
    <w:p>
      <w:pPr>
        <w:keepNext w:val="0"/>
        <w:keepLines w:val="0"/>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根据土壤监测结果</w:t>
      </w:r>
      <w:r>
        <w:rPr>
          <w:rFonts w:hint="default" w:ascii="Times New Roman" w:hAnsi="Times New Roman" w:eastAsia="宋体" w:cs="Times New Roman"/>
          <w:color w:val="auto"/>
          <w:sz w:val="24"/>
          <w:highlight w:val="none"/>
          <w:lang w:eastAsia="zh-CN"/>
        </w:rPr>
        <w:t>可知，</w:t>
      </w:r>
      <w:r>
        <w:rPr>
          <w:rFonts w:hint="default" w:ascii="Times New Roman" w:hAnsi="Times New Roman" w:eastAsia="宋体" w:cs="Times New Roman"/>
          <w:color w:val="auto"/>
          <w:sz w:val="24"/>
          <w:highlight w:val="none"/>
        </w:rPr>
        <w:t>重金</w:t>
      </w:r>
      <w:r>
        <w:rPr>
          <w:rFonts w:hint="default" w:ascii="Times New Roman" w:hAnsi="Times New Roman" w:eastAsia="宋体" w:cs="Times New Roman"/>
          <w:color w:val="auto"/>
          <w:sz w:val="24"/>
          <w:highlight w:val="none"/>
          <w:lang w:eastAsia="zh-CN"/>
        </w:rPr>
        <w:t>属</w:t>
      </w:r>
      <w:r>
        <w:rPr>
          <w:rFonts w:hint="default" w:ascii="Times New Roman" w:hAnsi="Times New Roman" w:eastAsia="宋体" w:cs="Times New Roman"/>
          <w:color w:val="auto"/>
          <w:sz w:val="24"/>
          <w:highlight w:val="none"/>
        </w:rPr>
        <w:t>和无机物类污染物在相应点位均有检出但未超过第二类用地风险筛选值</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多环芳烃所有监测点位均未检出</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挥发性有机物在所有监测点位均未检出、半挥发性有机物在所有监测点位均未检出</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土壤环境现状满足《土壤环境质量建设用地土壤污染风险管控标准（试行</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》（GB36600-2018</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第二类用地筛选值控制标准。</w:t>
      </w:r>
    </w:p>
    <w:p>
      <w:pPr>
        <w:keepNext w:val="0"/>
        <w:keepLines w:val="0"/>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本项目运</w:t>
      </w:r>
      <w:r>
        <w:rPr>
          <w:rFonts w:hint="default" w:ascii="Times New Roman" w:hAnsi="Times New Roman" w:eastAsia="宋体" w:cs="Times New Roman"/>
          <w:color w:val="auto"/>
          <w:sz w:val="24"/>
          <w:highlight w:val="none"/>
          <w:lang w:eastAsia="zh-CN"/>
        </w:rPr>
        <w:t>营</w:t>
      </w:r>
      <w:r>
        <w:rPr>
          <w:rFonts w:hint="default" w:ascii="Times New Roman" w:hAnsi="Times New Roman" w:eastAsia="宋体" w:cs="Times New Roman"/>
          <w:color w:val="auto"/>
          <w:sz w:val="24"/>
          <w:highlight w:val="none"/>
        </w:rPr>
        <w:t>后会产生一定的污染物</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如大气污染物、生产设备运行产生的噪声、</w:t>
      </w:r>
      <w:r>
        <w:rPr>
          <w:rFonts w:hint="default" w:ascii="Times New Roman" w:hAnsi="Times New Roman" w:eastAsia="宋体" w:cs="Times New Roman"/>
          <w:bCs/>
          <w:color w:val="auto"/>
          <w:sz w:val="24"/>
          <w:highlight w:val="none"/>
          <w:lang w:eastAsia="zh-CN"/>
        </w:rPr>
        <w:t>尾矿水、废润滑油</w:t>
      </w:r>
      <w:r>
        <w:rPr>
          <w:rFonts w:hint="default" w:ascii="Times New Roman" w:hAnsi="Times New Roman" w:eastAsia="宋体" w:cs="Times New Roman"/>
          <w:color w:val="auto"/>
          <w:sz w:val="24"/>
          <w:highlight w:val="none"/>
        </w:rPr>
        <w:t>等</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但在采取相应的污染防治</w:t>
      </w:r>
      <w:r>
        <w:rPr>
          <w:rFonts w:hint="default" w:ascii="Times New Roman" w:hAnsi="Times New Roman" w:eastAsia="宋体" w:cs="Times New Roman"/>
          <w:color w:val="auto"/>
          <w:sz w:val="24"/>
          <w:highlight w:val="none"/>
          <w:lang w:eastAsia="zh-CN"/>
        </w:rPr>
        <w:t>措施</w:t>
      </w:r>
      <w:r>
        <w:rPr>
          <w:rFonts w:hint="default" w:ascii="Times New Roman" w:hAnsi="Times New Roman" w:eastAsia="宋体" w:cs="Times New Roman"/>
          <w:color w:val="auto"/>
          <w:sz w:val="24"/>
          <w:highlight w:val="none"/>
        </w:rPr>
        <w:t>及生态恢复措施后</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各类污染物的排放一般不会对周边环境造成不良影响</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也</w:t>
      </w:r>
      <w:r>
        <w:rPr>
          <w:rFonts w:hint="default" w:ascii="Times New Roman" w:hAnsi="Times New Roman" w:eastAsia="宋体" w:cs="Times New Roman"/>
          <w:color w:val="auto"/>
          <w:sz w:val="24"/>
          <w:highlight w:val="none"/>
        </w:rPr>
        <w:t>不会改变区域环境功能区质量要求</w:t>
      </w:r>
      <w:r>
        <w:rPr>
          <w:rFonts w:hint="default" w:ascii="Times New Roman" w:hAnsi="Times New Roman" w:eastAsia="宋体" w:cs="Times New Roman"/>
          <w:color w:val="auto"/>
          <w:sz w:val="24"/>
          <w:highlight w:val="none"/>
          <w:lang w:eastAsia="zh-CN"/>
        </w:rPr>
        <w:t>，不</w:t>
      </w:r>
      <w:r>
        <w:rPr>
          <w:rFonts w:hint="default" w:ascii="Times New Roman" w:hAnsi="Times New Roman" w:eastAsia="宋体" w:cs="Times New Roman"/>
          <w:color w:val="auto"/>
          <w:sz w:val="24"/>
          <w:highlight w:val="none"/>
          <w:lang w:val="en-US" w:eastAsia="zh-CN"/>
        </w:rPr>
        <w:t>可以</w:t>
      </w:r>
      <w:r>
        <w:rPr>
          <w:rFonts w:hint="default" w:ascii="Times New Roman" w:hAnsi="Times New Roman" w:eastAsia="宋体" w:cs="Times New Roman"/>
          <w:color w:val="auto"/>
          <w:sz w:val="24"/>
          <w:highlight w:val="none"/>
        </w:rPr>
        <w:t>维持环境功能区质量现状</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因此符合环境质量底线要求。</w:t>
      </w:r>
    </w:p>
    <w:p>
      <w:pPr>
        <w:keepNext w:val="0"/>
        <w:keepLines w:val="0"/>
        <w:pageBreakBefore w:val="0"/>
        <w:widowControl w:val="0"/>
        <w:kinsoku/>
        <w:wordWrap/>
        <w:overflowPunct/>
        <w:topLinePunct w:val="0"/>
        <w:autoSpaceDE/>
        <w:autoSpaceDN/>
        <w:bidi w:val="0"/>
        <w:spacing w:line="360" w:lineRule="auto"/>
        <w:ind w:left="0" w:leftChars="0" w:right="0" w:rightChars="0" w:firstLine="480" w:firstLineChars="200"/>
        <w:textAlignment w:val="auto"/>
        <w:outlineLvl w:val="1"/>
        <w:rPr>
          <w:rFonts w:hint="default" w:ascii="Times New Roman" w:hAnsi="Times New Roman" w:eastAsia="宋体" w:cs="Times New Roman"/>
          <w:color w:val="auto"/>
          <w:sz w:val="24"/>
          <w:highlight w:val="none"/>
        </w:rPr>
      </w:pPr>
      <w:bookmarkStart w:id="69" w:name="_Toc2712"/>
      <w:bookmarkStart w:id="70" w:name="_Toc22368"/>
      <w:bookmarkStart w:id="71" w:name="_Toc20285"/>
      <w:r>
        <w:rPr>
          <w:rFonts w:hint="default" w:ascii="Times New Roman" w:hAnsi="Times New Roman" w:eastAsia="宋体" w:cs="Times New Roman"/>
          <w:color w:val="auto"/>
          <w:sz w:val="24"/>
          <w:highlight w:val="none"/>
        </w:rPr>
        <w:t>3</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资源利用上线符合性分析</w:t>
      </w:r>
      <w:bookmarkEnd w:id="69"/>
      <w:bookmarkEnd w:id="70"/>
      <w:bookmarkEnd w:id="71"/>
    </w:p>
    <w:p>
      <w:pPr>
        <w:keepNext w:val="0"/>
        <w:keepLines w:val="0"/>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本项目运</w:t>
      </w:r>
      <w:r>
        <w:rPr>
          <w:rFonts w:hint="default" w:ascii="Times New Roman" w:hAnsi="Times New Roman" w:eastAsia="宋体" w:cs="Times New Roman"/>
          <w:color w:val="auto"/>
          <w:sz w:val="24"/>
          <w:highlight w:val="none"/>
          <w:lang w:eastAsia="zh-CN"/>
        </w:rPr>
        <w:t>营</w:t>
      </w:r>
      <w:r>
        <w:rPr>
          <w:rFonts w:hint="default" w:ascii="Times New Roman" w:hAnsi="Times New Roman" w:eastAsia="宋体" w:cs="Times New Roman"/>
          <w:color w:val="auto"/>
          <w:sz w:val="24"/>
          <w:highlight w:val="none"/>
        </w:rPr>
        <w:t>过程中消耗一定量的</w:t>
      </w:r>
      <w:r>
        <w:rPr>
          <w:rFonts w:hint="default" w:ascii="Times New Roman" w:hAnsi="Times New Roman" w:eastAsia="宋体" w:cs="Times New Roman"/>
          <w:color w:val="auto"/>
          <w:sz w:val="24"/>
          <w:highlight w:val="none"/>
          <w:lang w:eastAsia="zh-CN"/>
        </w:rPr>
        <w:t>电、水</w:t>
      </w:r>
      <w:r>
        <w:rPr>
          <w:rFonts w:hint="default" w:ascii="Times New Roman" w:hAnsi="Times New Roman" w:eastAsia="宋体" w:cs="Times New Roman"/>
          <w:color w:val="auto"/>
          <w:sz w:val="24"/>
          <w:highlight w:val="none"/>
        </w:rPr>
        <w:t>等</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bCs/>
          <w:color w:val="auto"/>
          <w:sz w:val="24"/>
          <w:highlight w:val="none"/>
        </w:rPr>
        <w:t>本</w:t>
      </w:r>
      <w:r>
        <w:rPr>
          <w:rFonts w:hint="default" w:ascii="Times New Roman" w:hAnsi="Times New Roman" w:eastAsia="宋体" w:cs="Times New Roman"/>
          <w:bCs/>
          <w:color w:val="auto"/>
          <w:sz w:val="24"/>
          <w:highlight w:val="none"/>
          <w:lang w:eastAsia="zh-CN"/>
        </w:rPr>
        <w:t>项目尾矿水先自流至新建回水池，再通过新建回水泵站泵送至选矿厂现有高位水池，</w:t>
      </w:r>
      <w:r>
        <w:rPr>
          <w:rFonts w:hint="default" w:ascii="Times New Roman" w:hAnsi="Times New Roman" w:eastAsia="宋体" w:cs="Times New Roman"/>
          <w:bCs/>
          <w:color w:val="auto"/>
          <w:sz w:val="24"/>
          <w:highlight w:val="none"/>
          <w:lang w:val="en-US" w:eastAsia="zh-CN"/>
        </w:rPr>
        <w:t>作为生产用水循环使用，</w:t>
      </w:r>
      <w:r>
        <w:rPr>
          <w:rFonts w:hint="default" w:ascii="Times New Roman" w:hAnsi="Times New Roman" w:eastAsia="宋体" w:cs="Times New Roman"/>
          <w:bCs/>
          <w:color w:val="auto"/>
          <w:sz w:val="24"/>
          <w:highlight w:val="none"/>
          <w:lang w:eastAsia="zh-CN"/>
        </w:rPr>
        <w:t>无废水排放；</w:t>
      </w:r>
      <w:r>
        <w:rPr>
          <w:rFonts w:hint="default" w:ascii="Times New Roman" w:hAnsi="Times New Roman" w:eastAsia="宋体" w:cs="Times New Roman"/>
          <w:color w:val="auto"/>
          <w:sz w:val="24"/>
          <w:highlight w:val="none"/>
        </w:rPr>
        <w:t>水的重复利用率较高</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资源消耗量相对区域资源总量所占比例较少</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不会突破资源利用上线。</w:t>
      </w:r>
    </w:p>
    <w:p>
      <w:pPr>
        <w:keepNext w:val="0"/>
        <w:keepLines w:val="0"/>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综上所述</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项目所在区域原料资源充足</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用水符合水资源配置要求</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因此符合资源利用上线的要求。</w:t>
      </w:r>
    </w:p>
    <w:p>
      <w:pPr>
        <w:keepNext w:val="0"/>
        <w:keepLines w:val="0"/>
        <w:pageBreakBefore w:val="0"/>
        <w:widowControl w:val="0"/>
        <w:kinsoku/>
        <w:wordWrap/>
        <w:overflowPunct/>
        <w:topLinePunct w:val="0"/>
        <w:autoSpaceDE/>
        <w:autoSpaceDN/>
        <w:bidi w:val="0"/>
        <w:spacing w:line="360" w:lineRule="auto"/>
        <w:ind w:left="0" w:leftChars="0" w:right="0" w:rightChars="0" w:firstLine="480" w:firstLineChars="200"/>
        <w:textAlignment w:val="auto"/>
        <w:outlineLvl w:val="1"/>
        <w:rPr>
          <w:rFonts w:hint="default" w:ascii="Times New Roman" w:hAnsi="Times New Roman" w:eastAsia="宋体" w:cs="Times New Roman"/>
          <w:color w:val="auto"/>
          <w:sz w:val="24"/>
          <w:highlight w:val="none"/>
        </w:rPr>
      </w:pPr>
      <w:bookmarkStart w:id="72" w:name="_Toc368"/>
      <w:bookmarkStart w:id="73" w:name="_Toc18294"/>
      <w:bookmarkStart w:id="74" w:name="_Toc14015"/>
      <w:r>
        <w:rPr>
          <w:rFonts w:hint="default" w:ascii="Times New Roman" w:hAnsi="Times New Roman" w:eastAsia="宋体" w:cs="Times New Roman"/>
          <w:color w:val="auto"/>
          <w:sz w:val="24"/>
          <w:highlight w:val="none"/>
        </w:rPr>
        <w:t>4</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生态环境准入清单符合性分析</w:t>
      </w:r>
      <w:bookmarkEnd w:id="72"/>
    </w:p>
    <w:p>
      <w:pPr>
        <w:keepNext w:val="0"/>
        <w:keepLines w:val="0"/>
        <w:pageBreakBefore w:val="0"/>
        <w:widowControl w:val="0"/>
        <w:kinsoku/>
        <w:wordWrap/>
        <w:overflowPunct/>
        <w:topLinePunct w:val="0"/>
        <w:autoSpaceDE/>
        <w:autoSpaceDN/>
        <w:bidi w:val="0"/>
        <w:spacing w:line="360" w:lineRule="auto"/>
        <w:ind w:left="0" w:leftChars="0" w:right="0" w:rightChars="0" w:firstLine="480" w:firstLineChars="200"/>
        <w:textAlignment w:val="auto"/>
        <w:outlineLvl w:val="1"/>
        <w:rPr>
          <w:rFonts w:hint="default" w:ascii="Times New Roman" w:hAnsi="Times New Roman" w:eastAsia="宋体" w:cs="Times New Roman"/>
          <w:color w:val="auto"/>
          <w:sz w:val="24"/>
          <w:highlight w:val="none"/>
        </w:rPr>
      </w:pPr>
      <w:bookmarkStart w:id="75" w:name="_Toc4628"/>
      <w:r>
        <w:rPr>
          <w:rFonts w:hint="default" w:ascii="Times New Roman" w:hAnsi="Times New Roman" w:eastAsia="宋体" w:cs="Times New Roman"/>
          <w:color w:val="auto"/>
          <w:sz w:val="24"/>
          <w:highlight w:val="none"/>
        </w:rPr>
        <w:t>根据《巴彦淖尔市人民政府办公室关于巴彦淖尔市2023年生态环境分区管控成果动态更新的通知》（巴政办字〔2023〕106号），巴彦淖尔市全市共划定环境管控单元256个，包括优先保护单元、重点管控单元、一般管控单元三类，实施分类管控</w:t>
      </w:r>
      <w:r>
        <w:rPr>
          <w:rFonts w:hint="default" w:ascii="Times New Roman" w:hAnsi="Times New Roman" w:eastAsia="宋体" w:cs="Times New Roman"/>
          <w:color w:val="auto"/>
          <w:sz w:val="24"/>
          <w:highlight w:val="none"/>
          <w:lang w:eastAsia="zh-CN"/>
        </w:rPr>
        <w:t>。</w:t>
      </w:r>
      <w:bookmarkEnd w:id="75"/>
    </w:p>
    <w:bookmarkEnd w:id="73"/>
    <w:bookmarkEnd w:id="74"/>
    <w:p>
      <w:pPr>
        <w:keepNext w:val="0"/>
        <w:keepLines w:val="0"/>
        <w:pageBreakBefore w:val="0"/>
        <w:widowControl w:val="0"/>
        <w:kinsoku/>
        <w:wordWrap/>
        <w:overflowPunct/>
        <w:topLinePunct w:val="0"/>
        <w:autoSpaceDE/>
        <w:autoSpaceDN/>
        <w:bidi w:val="0"/>
        <w:spacing w:line="360" w:lineRule="auto"/>
        <w:ind w:right="0" w:rightChars="0"/>
        <w:textAlignment w:val="auto"/>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drawing>
          <wp:inline distT="0" distB="0" distL="114300" distR="114300">
            <wp:extent cx="5255895" cy="3420110"/>
            <wp:effectExtent l="0" t="0" r="1905" b="8890"/>
            <wp:docPr id="135" name="图片 135" descr="19b81de139c6cf5f1226e05faf8d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descr="19b81de139c6cf5f1226e05faf8d791"/>
                    <pic:cNvPicPr>
                      <a:picLocks noChangeAspect="1"/>
                    </pic:cNvPicPr>
                  </pic:nvPicPr>
                  <pic:blipFill>
                    <a:blip r:embed="rId21"/>
                    <a:stretch>
                      <a:fillRect/>
                    </a:stretch>
                  </pic:blipFill>
                  <pic:spPr>
                    <a:xfrm>
                      <a:off x="0" y="0"/>
                      <a:ext cx="5255895" cy="342011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根据巴彦淖尔市环境管控单元图</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本项目位于</w:t>
      </w:r>
      <w:r>
        <w:rPr>
          <w:rFonts w:hint="default" w:ascii="Times New Roman" w:hAnsi="Times New Roman" w:eastAsia="宋体" w:cs="Times New Roman"/>
          <w:color w:val="auto"/>
          <w:sz w:val="24"/>
          <w:highlight w:val="none"/>
          <w:lang w:val="en-US" w:eastAsia="zh-CN"/>
        </w:rPr>
        <w:t>乌拉特前旗一般生态空间-水土保持</w:t>
      </w:r>
      <w:r>
        <w:rPr>
          <w:rFonts w:hint="default" w:ascii="Times New Roman" w:hAnsi="Times New Roman" w:eastAsia="宋体" w:cs="Times New Roman"/>
          <w:color w:val="auto"/>
          <w:sz w:val="24"/>
          <w:highlight w:val="none"/>
        </w:rPr>
        <w:t>环境管控单元</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环境管控单元编码ZH15082310031</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和乌拉特前旗生态用水补给控制单元</w:t>
      </w:r>
      <w:r>
        <w:rPr>
          <w:rFonts w:hint="default" w:ascii="Times New Roman" w:hAnsi="Times New Roman" w:eastAsia="宋体" w:cs="Times New Roman"/>
          <w:color w:val="auto"/>
          <w:sz w:val="24"/>
          <w:highlight w:val="none"/>
        </w:rPr>
        <w:t>环境管控单元</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环境管控单元编码ZH15082320005</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本项目生态环境准入清单符合性见下表。</w:t>
      </w:r>
    </w:p>
    <w:p>
      <w:pPr>
        <w:keepNext w:val="0"/>
        <w:keepLines w:val="0"/>
        <w:pageBreakBefore w:val="0"/>
        <w:widowControl w:val="0"/>
        <w:tabs>
          <w:tab w:val="left" w:pos="4252"/>
          <w:tab w:val="left" w:pos="6271"/>
        </w:tabs>
        <w:kinsoku/>
        <w:wordWrap/>
        <w:overflowPunct/>
        <w:topLinePunct w:val="0"/>
        <w:autoSpaceDE/>
        <w:autoSpaceDN/>
        <w:bidi w:val="0"/>
        <w:spacing w:line="360" w:lineRule="auto"/>
        <w:ind w:left="0" w:leftChars="0" w:right="0" w:rightChars="0"/>
        <w:jc w:val="center"/>
        <w:textAlignment w:val="auto"/>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表1巴彦淖尔市总体准入要求符合性分析表</w:t>
      </w:r>
    </w:p>
    <w:tbl>
      <w:tblPr>
        <w:tblStyle w:val="54"/>
        <w:tblW w:w="8277" w:type="dxa"/>
        <w:jc w:val="center"/>
        <w:tblLayout w:type="fixed"/>
        <w:tblCellMar>
          <w:top w:w="0" w:type="dxa"/>
          <w:left w:w="108" w:type="dxa"/>
          <w:bottom w:w="0" w:type="dxa"/>
          <w:right w:w="108" w:type="dxa"/>
        </w:tblCellMar>
      </w:tblPr>
      <w:tblGrid>
        <w:gridCol w:w="678"/>
        <w:gridCol w:w="4423"/>
        <w:gridCol w:w="2497"/>
        <w:gridCol w:w="679"/>
      </w:tblGrid>
      <w:tr>
        <w:tblPrEx>
          <w:tblCellMar>
            <w:top w:w="0" w:type="dxa"/>
            <w:left w:w="108" w:type="dxa"/>
            <w:bottom w:w="0" w:type="dxa"/>
            <w:right w:w="108" w:type="dxa"/>
          </w:tblCellMar>
        </w:tblPrEx>
        <w:trPr>
          <w:trHeight w:val="340" w:hRule="atLeast"/>
          <w:jc w:val="center"/>
        </w:trPr>
        <w:tc>
          <w:tcPr>
            <w:tcW w:w="678" w:type="dxa"/>
            <w:tcBorders>
              <w:top w:val="single" w:color="auto" w:sz="4" w:space="0"/>
              <w:left w:val="single" w:color="auto" w:sz="4" w:space="0"/>
              <w:bottom w:val="single" w:color="auto" w:sz="4" w:space="0"/>
              <w:right w:val="single" w:color="auto" w:sz="4" w:space="0"/>
            </w:tcBorders>
            <w:vAlign w:val="center"/>
          </w:tcPr>
          <w:p>
            <w:pPr>
              <w:pageBreakBefore w:val="0"/>
              <w:widowControl/>
              <w:wordWrap/>
              <w:bidi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管控类型</w:t>
            </w:r>
          </w:p>
        </w:tc>
        <w:tc>
          <w:tcPr>
            <w:tcW w:w="4423" w:type="dxa"/>
            <w:tcBorders>
              <w:top w:val="single" w:color="auto" w:sz="4" w:space="0"/>
              <w:left w:val="single" w:color="auto" w:sz="4" w:space="0"/>
              <w:bottom w:val="single" w:color="auto" w:sz="4" w:space="0"/>
              <w:right w:val="single" w:color="auto" w:sz="4" w:space="0"/>
            </w:tcBorders>
            <w:vAlign w:val="center"/>
          </w:tcPr>
          <w:p>
            <w:pPr>
              <w:pageBreakBefore w:val="0"/>
              <w:widowControl/>
              <w:wordWrap/>
              <w:bidi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管控要求</w:t>
            </w:r>
          </w:p>
        </w:tc>
        <w:tc>
          <w:tcPr>
            <w:tcW w:w="2497" w:type="dxa"/>
            <w:tcBorders>
              <w:top w:val="single" w:color="auto" w:sz="4" w:space="0"/>
              <w:left w:val="single" w:color="auto" w:sz="4" w:space="0"/>
              <w:bottom w:val="single" w:color="auto" w:sz="4" w:space="0"/>
              <w:right w:val="single" w:color="auto" w:sz="4" w:space="0"/>
            </w:tcBorders>
            <w:vAlign w:val="center"/>
          </w:tcPr>
          <w:p>
            <w:pPr>
              <w:pageBreakBefore w:val="0"/>
              <w:widowControl/>
              <w:wordWrap/>
              <w:bidi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本项目情况</w:t>
            </w:r>
          </w:p>
        </w:tc>
        <w:tc>
          <w:tcPr>
            <w:tcW w:w="679" w:type="dxa"/>
            <w:tcBorders>
              <w:top w:val="single" w:color="auto" w:sz="4" w:space="0"/>
              <w:left w:val="single" w:color="auto" w:sz="4" w:space="0"/>
              <w:bottom w:val="single" w:color="auto" w:sz="4" w:space="0"/>
              <w:right w:val="single" w:color="auto" w:sz="4" w:space="0"/>
            </w:tcBorders>
            <w:vAlign w:val="center"/>
          </w:tcPr>
          <w:p>
            <w:pPr>
              <w:pageBreakBefore w:val="0"/>
              <w:widowControl/>
              <w:wordWrap/>
              <w:bidi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符合性</w:t>
            </w:r>
          </w:p>
        </w:tc>
      </w:tr>
      <w:tr>
        <w:tblPrEx>
          <w:tblCellMar>
            <w:top w:w="0" w:type="dxa"/>
            <w:left w:w="108" w:type="dxa"/>
            <w:bottom w:w="0" w:type="dxa"/>
            <w:right w:w="108" w:type="dxa"/>
          </w:tblCellMar>
        </w:tblPrEx>
        <w:trPr>
          <w:trHeight w:val="340" w:hRule="atLeast"/>
          <w:jc w:val="center"/>
        </w:trPr>
        <w:tc>
          <w:tcPr>
            <w:tcW w:w="678" w:type="dxa"/>
            <w:tcBorders>
              <w:top w:val="single" w:color="auto" w:sz="4" w:space="0"/>
              <w:left w:val="single" w:color="auto" w:sz="4" w:space="0"/>
              <w:bottom w:val="single" w:color="auto" w:sz="4" w:space="0"/>
              <w:right w:val="single" w:color="auto" w:sz="4" w:space="0"/>
            </w:tcBorders>
            <w:vAlign w:val="center"/>
          </w:tcPr>
          <w:p>
            <w:pPr>
              <w:pageBreakBefore w:val="0"/>
              <w:widowControl/>
              <w:wordWrap/>
              <w:bidi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总体要求</w:t>
            </w:r>
          </w:p>
        </w:tc>
        <w:tc>
          <w:tcPr>
            <w:tcW w:w="4423" w:type="dxa"/>
            <w:tcBorders>
              <w:top w:val="single" w:color="auto" w:sz="4" w:space="0"/>
              <w:left w:val="single" w:color="auto" w:sz="4" w:space="0"/>
              <w:bottom w:val="single" w:color="auto" w:sz="4" w:space="0"/>
              <w:right w:val="single" w:color="auto" w:sz="4" w:space="0"/>
            </w:tcBorders>
            <w:vAlign w:val="center"/>
          </w:tcPr>
          <w:p>
            <w:pPr>
              <w:pageBreakBefore w:val="0"/>
              <w:widowControl/>
              <w:wordWrap/>
              <w:bidi w:val="0"/>
              <w:ind w:left="0" w:leftChars="0" w:right="0" w:rightChars="0"/>
              <w:jc w:val="left"/>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1、除原有化工园区外</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不再布局新的化工园区。原有园区扩大面积的</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要与黄河中上游流域巴彦淖尔段及主要支流岸线至少保持1公里距离。</w:t>
            </w:r>
          </w:p>
          <w:p>
            <w:pPr>
              <w:pageBreakBefore w:val="0"/>
              <w:widowControl/>
              <w:wordWrap/>
              <w:bidi w:val="0"/>
              <w:ind w:left="0" w:leftChars="0" w:right="0" w:rightChars="0"/>
              <w:jc w:val="left"/>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2、新建、改建、扩建“两高”项目须符合生态环境保护法律法规和相关法定规划</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满足重点污染物排放总量控制、碳排放达峰目标、生态环境准入清单、相关规划环评和相应行业建设项目环境准入条件、环评文件审批要求。新建、扩建石化、化工、焦化、有色金</w:t>
            </w:r>
            <w:r>
              <w:rPr>
                <w:rFonts w:hint="default" w:ascii="Times New Roman" w:hAnsi="Times New Roman" w:eastAsia="宋体" w:cs="Times New Roman"/>
                <w:color w:val="auto"/>
                <w:kern w:val="0"/>
                <w:szCs w:val="21"/>
                <w:highlight w:val="none"/>
                <w:lang w:eastAsia="zh-CN"/>
              </w:rPr>
              <w:t>属</w:t>
            </w:r>
            <w:r>
              <w:rPr>
                <w:rFonts w:hint="default" w:ascii="Times New Roman" w:hAnsi="Times New Roman" w:eastAsia="宋体" w:cs="Times New Roman"/>
                <w:color w:val="auto"/>
                <w:kern w:val="0"/>
                <w:szCs w:val="21"/>
                <w:highlight w:val="none"/>
              </w:rPr>
              <w:t>冶炼、平板玻璃项目应布设在依法合规设立并经规划环评的产业园区。</w:t>
            </w:r>
          </w:p>
          <w:p>
            <w:pPr>
              <w:pageBreakBefore w:val="0"/>
              <w:widowControl/>
              <w:wordWrap/>
              <w:bidi w:val="0"/>
              <w:ind w:left="0" w:leftChars="0" w:right="0" w:rightChars="0"/>
              <w:jc w:val="left"/>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3、建设项目应满足区域、流域控制单元环境质量改善目标管理要求。所在区域、流域控制单元环境质量未达到国家或者地方环境质量标准的</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建设项目应提出有效的区域削减方案</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主要污染物实行区域倍量削减</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确保项目投产后区域环境质量有改善。所在区域、流域控制单元环境质量达到国家或者地方环境质量标准的</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原则上建设项目主要污染物实行区域等量削减</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确保项目投产后区域环境质量不恶化。</w:t>
            </w:r>
          </w:p>
          <w:p>
            <w:pPr>
              <w:pageBreakBefore w:val="0"/>
              <w:widowControl/>
              <w:wordWrap/>
              <w:bidi w:val="0"/>
              <w:ind w:left="0" w:leftChars="0" w:right="0" w:rightChars="0"/>
              <w:jc w:val="left"/>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4、各类园区及建设项目选址必须符合当地国土空间规划。新建工业企业原则上应在工业园区内建设并符合相关规划和园区定位。</w:t>
            </w:r>
          </w:p>
          <w:p>
            <w:pPr>
              <w:pageBreakBefore w:val="0"/>
              <w:widowControl/>
              <w:wordWrap/>
              <w:bidi w:val="0"/>
              <w:ind w:left="0" w:leftChars="0" w:right="0" w:rightChars="0"/>
              <w:jc w:val="left"/>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5、新建矿山要全部达到绿色矿山建设标准</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生产矿山要按照绿色矿山建设标准加快改造升级</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限期达到绿色矿山建设标准。2025年底前</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全部矿山达到国家或自治区绿色矿山建设标准</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不符合绿色矿山建设标准的矿山企业依法逐步退出市场。</w:t>
            </w:r>
          </w:p>
          <w:p>
            <w:pPr>
              <w:pageBreakBefore w:val="0"/>
              <w:widowControl/>
              <w:wordWrap/>
              <w:bidi w:val="0"/>
              <w:ind w:left="0" w:leftChars="0" w:right="0" w:rightChars="0"/>
              <w:jc w:val="left"/>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6、国家重点生态功能区要严格落实产业准入负面清单要求</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在严格保护生态安全的前提下</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鼓励和支持市场主体集约高效有序地发展符合主体功能定位的适宜产业；限制类产业要在规模产量、生产工艺、区位布局、清洁生产水平等方面严格执行有关规定</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鼓励和引导市场主体对既有项目改造升级、入园入区；禁止类产业要严禁市场主体准入</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行政机关不予审批、核准</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不得办理有关手续。其他重点开发的城镇和重点生态功能区点状开发的城镇</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新建矿产资源开采加工、火电、化工、冶金、有色等重大项目</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应实行更加严格的环境标准</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相关项目必须符合相应领域的专项规划</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必须开展环境影响评价和社会稳定风险评估等</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不得损害生态系统的稳定性和完整性。</w:t>
            </w:r>
          </w:p>
          <w:p>
            <w:pPr>
              <w:pageBreakBefore w:val="0"/>
              <w:widowControl/>
              <w:wordWrap/>
              <w:bidi w:val="0"/>
              <w:ind w:left="0" w:leftChars="0" w:right="0" w:rightChars="0"/>
              <w:jc w:val="left"/>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7、畜禽养殖禁养区内不得新建、扩建和改建各类畜禽养殖场</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限养区内严格限制新建和扩建各类规模化畜禽养殖场。适养区内原有的各类畜禽养殖场必须落实污染防治措施</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对污水、废渣和恶臭应进行定期监测</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确保排放的污染物达到《畜禽养殖业污染物排放标准》（GB18596-2001</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的限值要求</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并符合污染物排放总量控制要求。禁养区范围内的已建成的畜禽养殖场（小区</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和养殖专业户</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由所在地人民政府负责责令限期搬迁、关闭或取缔。</w:t>
            </w:r>
          </w:p>
          <w:p>
            <w:pPr>
              <w:pageBreakBefore w:val="0"/>
              <w:widowControl/>
              <w:wordWrap/>
              <w:bidi w:val="0"/>
              <w:ind w:left="0" w:leftChars="0" w:right="0" w:rightChars="0"/>
              <w:jc w:val="left"/>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8、建设对环境有影响的项目</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建设单位应当根据国家关于建设项目环境保护分类管理的规定</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按照对环境造成影响的程度</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组织编制环境影响报告书、环境影响报告表或者填写环境影响登记表。严格落实排污许可管理要求</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加强排污许可证实施监管</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督促企业采取有效措施控制污染物排放</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达到排污许可证规定的许可排放量要求。</w:t>
            </w:r>
          </w:p>
        </w:tc>
        <w:tc>
          <w:tcPr>
            <w:tcW w:w="2497" w:type="dxa"/>
            <w:tcBorders>
              <w:top w:val="single" w:color="auto" w:sz="4" w:space="0"/>
              <w:left w:val="single" w:color="auto" w:sz="4" w:space="0"/>
              <w:bottom w:val="single" w:color="auto" w:sz="4" w:space="0"/>
              <w:right w:val="single" w:color="auto" w:sz="4" w:space="0"/>
            </w:tcBorders>
            <w:vAlign w:val="center"/>
          </w:tcPr>
          <w:p>
            <w:pPr>
              <w:pageBreakBefore w:val="0"/>
              <w:widowControl/>
              <w:wordWrap/>
              <w:bidi w:val="0"/>
              <w:ind w:left="0" w:leftChars="0" w:right="0" w:rightChars="0"/>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1、本项目位于乌拉特前旗沙德格苏木西沙德盖钼业公司现有尾矿库所在位置</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不在化工园区范围内</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同时也不涉及新化工园区的布局。</w:t>
            </w:r>
          </w:p>
          <w:p>
            <w:pPr>
              <w:pageBreakBefore w:val="0"/>
              <w:widowControl/>
              <w:wordWrap/>
              <w:bidi w:val="0"/>
              <w:ind w:left="0" w:leftChars="0" w:right="0" w:rightChars="0"/>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2、本项目不</w:t>
            </w:r>
            <w:r>
              <w:rPr>
                <w:rFonts w:hint="default" w:ascii="Times New Roman" w:hAnsi="Times New Roman" w:eastAsia="宋体" w:cs="Times New Roman"/>
                <w:color w:val="auto"/>
                <w:kern w:val="0"/>
                <w:szCs w:val="21"/>
                <w:highlight w:val="none"/>
                <w:lang w:eastAsia="zh-CN"/>
              </w:rPr>
              <w:t>属</w:t>
            </w:r>
            <w:r>
              <w:rPr>
                <w:rFonts w:hint="default" w:ascii="Times New Roman" w:hAnsi="Times New Roman" w:eastAsia="宋体" w:cs="Times New Roman"/>
                <w:color w:val="auto"/>
                <w:kern w:val="0"/>
                <w:szCs w:val="21"/>
                <w:highlight w:val="none"/>
              </w:rPr>
              <w:t>于“两高”项目；不</w:t>
            </w:r>
            <w:r>
              <w:rPr>
                <w:rFonts w:hint="default" w:ascii="Times New Roman" w:hAnsi="Times New Roman" w:eastAsia="宋体" w:cs="Times New Roman"/>
                <w:color w:val="auto"/>
                <w:kern w:val="0"/>
                <w:szCs w:val="21"/>
                <w:highlight w:val="none"/>
                <w:lang w:eastAsia="zh-CN"/>
              </w:rPr>
              <w:t>属</w:t>
            </w:r>
            <w:r>
              <w:rPr>
                <w:rFonts w:hint="default" w:ascii="Times New Roman" w:hAnsi="Times New Roman" w:eastAsia="宋体" w:cs="Times New Roman"/>
                <w:color w:val="auto"/>
                <w:kern w:val="0"/>
                <w:szCs w:val="21"/>
                <w:highlight w:val="none"/>
              </w:rPr>
              <w:t>于石化、化工、焦化、有色金</w:t>
            </w:r>
            <w:r>
              <w:rPr>
                <w:rFonts w:hint="default" w:ascii="Times New Roman" w:hAnsi="Times New Roman" w:eastAsia="宋体" w:cs="Times New Roman"/>
                <w:color w:val="auto"/>
                <w:kern w:val="0"/>
                <w:szCs w:val="21"/>
                <w:highlight w:val="none"/>
                <w:lang w:eastAsia="zh-CN"/>
              </w:rPr>
              <w:t>属</w:t>
            </w:r>
            <w:r>
              <w:rPr>
                <w:rFonts w:hint="default" w:ascii="Times New Roman" w:hAnsi="Times New Roman" w:eastAsia="宋体" w:cs="Times New Roman"/>
                <w:color w:val="auto"/>
                <w:kern w:val="0"/>
                <w:szCs w:val="21"/>
                <w:highlight w:val="none"/>
              </w:rPr>
              <w:t>冶炼、平板玻璃项目。</w:t>
            </w:r>
          </w:p>
          <w:p>
            <w:pPr>
              <w:pageBreakBefore w:val="0"/>
              <w:widowControl/>
              <w:wordWrap/>
              <w:bidi w:val="0"/>
              <w:ind w:left="0" w:leftChars="0" w:right="0" w:rightChars="0"/>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3、根据《巴彦淖尔市环境质量状况公报（202</w:t>
            </w:r>
            <w:r>
              <w:rPr>
                <w:rFonts w:hint="default" w:ascii="Times New Roman" w:hAnsi="Times New Roman" w:eastAsia="宋体" w:cs="Times New Roman"/>
                <w:color w:val="auto"/>
                <w:kern w:val="0"/>
                <w:szCs w:val="21"/>
                <w:highlight w:val="none"/>
                <w:lang w:val="en-US" w:eastAsia="zh-CN"/>
              </w:rPr>
              <w:t>2</w:t>
            </w:r>
            <w:r>
              <w:rPr>
                <w:rFonts w:hint="default" w:ascii="Times New Roman" w:hAnsi="Times New Roman" w:eastAsia="宋体" w:cs="Times New Roman"/>
                <w:color w:val="auto"/>
                <w:kern w:val="0"/>
                <w:szCs w:val="21"/>
                <w:highlight w:val="none"/>
              </w:rPr>
              <w:t>年</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本项目所在地巴彦淖尔市乌拉特前旗为达标区；各污染物排放量较小</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并且在采取相应环保措施后</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各污染物均可达标排放</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不会造成区域环境质量恶化。</w:t>
            </w:r>
          </w:p>
          <w:p>
            <w:pPr>
              <w:pageBreakBefore w:val="0"/>
              <w:widowControl/>
              <w:wordWrap/>
              <w:bidi w:val="0"/>
              <w:ind w:left="0" w:leftChars="0" w:right="0" w:rightChars="0"/>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4、本项目位于乌拉特前旗沙德格苏木西沙德盖钼业公司现有尾矿库所在位置</w:t>
            </w:r>
            <w:r>
              <w:rPr>
                <w:rFonts w:hint="default" w:ascii="Times New Roman" w:hAnsi="Times New Roman" w:eastAsia="宋体" w:cs="Times New Roman"/>
                <w:color w:val="auto"/>
                <w:kern w:val="0"/>
                <w:szCs w:val="21"/>
                <w:highlight w:val="none"/>
                <w:lang w:eastAsia="zh-CN"/>
              </w:rPr>
              <w:t>，新增占地性质为其他草原，土地手续正在办理中，</w:t>
            </w:r>
            <w:r>
              <w:rPr>
                <w:rFonts w:hint="default" w:ascii="Times New Roman" w:hAnsi="Times New Roman" w:eastAsia="宋体" w:cs="Times New Roman"/>
                <w:color w:val="auto"/>
                <w:kern w:val="0"/>
                <w:szCs w:val="21"/>
                <w:highlight w:val="none"/>
              </w:rPr>
              <w:t>不占用耕地、基本农田</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土地性质为工矿用地</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因此</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本项目符合乌拉特前旗土地利用总体规划。</w:t>
            </w:r>
          </w:p>
          <w:p>
            <w:pPr>
              <w:pageBreakBefore w:val="0"/>
              <w:widowControl/>
              <w:wordWrap/>
              <w:bidi w:val="0"/>
              <w:ind w:left="0" w:leftChars="0" w:right="0" w:rightChars="0"/>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5、本项目为采选矿企业的配套尾矿库</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服务期满后</w:t>
            </w:r>
            <w:r>
              <w:rPr>
                <w:rFonts w:hint="default" w:ascii="Times New Roman" w:hAnsi="Times New Roman" w:eastAsia="宋体" w:cs="Times New Roman"/>
                <w:color w:val="auto"/>
                <w:kern w:val="0"/>
                <w:szCs w:val="21"/>
                <w:highlight w:val="none"/>
                <w:lang w:eastAsia="zh-CN"/>
              </w:rPr>
              <w:t>，根据</w:t>
            </w:r>
            <w:r>
              <w:rPr>
                <w:rFonts w:hint="default" w:ascii="Times New Roman" w:hAnsi="Times New Roman" w:eastAsia="宋体" w:cs="Times New Roman"/>
                <w:color w:val="auto"/>
                <w:kern w:val="0"/>
                <w:szCs w:val="21"/>
                <w:highlight w:val="none"/>
              </w:rPr>
              <w:t>有关规定</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进行封场闭库</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表层采取固土和覆土措施</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撒播草种及时进行复垦恢复植被。</w:t>
            </w:r>
          </w:p>
          <w:p>
            <w:pPr>
              <w:pageBreakBefore w:val="0"/>
              <w:widowControl/>
              <w:wordWrap/>
              <w:bidi w:val="0"/>
              <w:ind w:left="0" w:leftChars="0" w:right="0" w:rightChars="0"/>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6、本项目符合国家产业政策</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不违反产业准入负面清单要求。本项目不</w:t>
            </w:r>
            <w:r>
              <w:rPr>
                <w:rFonts w:hint="default" w:ascii="Times New Roman" w:hAnsi="Times New Roman" w:eastAsia="宋体" w:cs="Times New Roman"/>
                <w:color w:val="auto"/>
                <w:kern w:val="0"/>
                <w:szCs w:val="21"/>
                <w:highlight w:val="none"/>
                <w:lang w:eastAsia="zh-CN"/>
              </w:rPr>
              <w:t>属</w:t>
            </w:r>
            <w:r>
              <w:rPr>
                <w:rFonts w:hint="default" w:ascii="Times New Roman" w:hAnsi="Times New Roman" w:eastAsia="宋体" w:cs="Times New Roman"/>
                <w:color w:val="auto"/>
                <w:kern w:val="0"/>
                <w:szCs w:val="21"/>
                <w:highlight w:val="none"/>
              </w:rPr>
              <w:t>于</w:t>
            </w:r>
            <w:r>
              <w:rPr>
                <w:rFonts w:hint="default" w:ascii="Times New Roman" w:hAnsi="Times New Roman" w:eastAsia="宋体" w:cs="Times New Roman"/>
                <w:color w:val="auto"/>
                <w:kern w:val="0"/>
                <w:szCs w:val="21"/>
                <w:highlight w:val="none"/>
                <w:lang w:val="en-US" w:eastAsia="zh-CN"/>
              </w:rPr>
              <w:t>新建</w:t>
            </w:r>
            <w:r>
              <w:rPr>
                <w:rFonts w:hint="default" w:ascii="Times New Roman" w:hAnsi="Times New Roman" w:eastAsia="宋体" w:cs="Times New Roman"/>
                <w:color w:val="auto"/>
                <w:kern w:val="0"/>
                <w:szCs w:val="21"/>
                <w:highlight w:val="none"/>
              </w:rPr>
              <w:t>矿产资源开采加工、火电、化工、冶金、有色等重大项目。</w:t>
            </w:r>
          </w:p>
          <w:p>
            <w:pPr>
              <w:pageBreakBefore w:val="0"/>
              <w:widowControl/>
              <w:wordWrap/>
              <w:bidi w:val="0"/>
              <w:ind w:left="0" w:leftChars="0" w:right="0" w:rightChars="0"/>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7、本项目不</w:t>
            </w:r>
            <w:r>
              <w:rPr>
                <w:rFonts w:hint="default" w:ascii="Times New Roman" w:hAnsi="Times New Roman" w:eastAsia="宋体" w:cs="Times New Roman"/>
                <w:color w:val="auto"/>
                <w:kern w:val="0"/>
                <w:szCs w:val="21"/>
                <w:highlight w:val="none"/>
                <w:lang w:eastAsia="zh-CN"/>
              </w:rPr>
              <w:t>属</w:t>
            </w:r>
            <w:r>
              <w:rPr>
                <w:rFonts w:hint="default" w:ascii="Times New Roman" w:hAnsi="Times New Roman" w:eastAsia="宋体" w:cs="Times New Roman"/>
                <w:color w:val="auto"/>
                <w:kern w:val="0"/>
                <w:szCs w:val="21"/>
                <w:highlight w:val="none"/>
              </w:rPr>
              <w:t>于畜禽养殖业。</w:t>
            </w:r>
          </w:p>
          <w:p>
            <w:pPr>
              <w:pageBreakBefore w:val="0"/>
              <w:widowControl/>
              <w:wordWrap/>
              <w:bidi w:val="0"/>
              <w:ind w:left="0" w:leftChars="0" w:right="0" w:rightChars="0"/>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8、根据《建设项目环境影响评价分类管理名录（2021年版</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本项目应编制环境影响报告书。</w:t>
            </w:r>
          </w:p>
        </w:tc>
        <w:tc>
          <w:tcPr>
            <w:tcW w:w="679" w:type="dxa"/>
            <w:tcBorders>
              <w:top w:val="single" w:color="auto" w:sz="4" w:space="0"/>
              <w:left w:val="single" w:color="auto" w:sz="4" w:space="0"/>
              <w:bottom w:val="single" w:color="auto" w:sz="4" w:space="0"/>
              <w:right w:val="single" w:color="auto" w:sz="4" w:space="0"/>
            </w:tcBorders>
            <w:vAlign w:val="center"/>
          </w:tcPr>
          <w:p>
            <w:pPr>
              <w:pageBreakBefore w:val="0"/>
              <w:widowControl/>
              <w:wordWrap/>
              <w:bidi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符合</w:t>
            </w:r>
          </w:p>
        </w:tc>
      </w:tr>
    </w:tbl>
    <w:p>
      <w:pPr>
        <w:pageBreakBefore w:val="0"/>
        <w:tabs>
          <w:tab w:val="left" w:pos="4252"/>
          <w:tab w:val="left" w:pos="6271"/>
        </w:tabs>
        <w:wordWrap/>
        <w:bidi w:val="0"/>
        <w:spacing w:line="360" w:lineRule="auto"/>
        <w:ind w:left="0" w:leftChars="0" w:right="0" w:rightChars="0"/>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表2乌拉特前旗环境管控单元生态环境准入清单符合性分析表</w:t>
      </w:r>
    </w:p>
    <w:tbl>
      <w:tblPr>
        <w:tblStyle w:val="54"/>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08"/>
        <w:gridCol w:w="508"/>
        <w:gridCol w:w="508"/>
        <w:gridCol w:w="508"/>
        <w:gridCol w:w="508"/>
        <w:gridCol w:w="2618"/>
        <w:gridCol w:w="2445"/>
        <w:gridCol w:w="6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8" w:type="dxa"/>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环境管控单元编码</w:t>
            </w:r>
          </w:p>
        </w:tc>
        <w:tc>
          <w:tcPr>
            <w:tcW w:w="508" w:type="dxa"/>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环境管控单元名称</w:t>
            </w:r>
          </w:p>
        </w:tc>
        <w:tc>
          <w:tcPr>
            <w:tcW w:w="508" w:type="dxa"/>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管控单元类别</w:t>
            </w:r>
          </w:p>
        </w:tc>
        <w:tc>
          <w:tcPr>
            <w:tcW w:w="508" w:type="dxa"/>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生态保护重点</w:t>
            </w:r>
          </w:p>
        </w:tc>
        <w:tc>
          <w:tcPr>
            <w:tcW w:w="3126" w:type="dxa"/>
            <w:gridSpan w:val="2"/>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环境管控要求</w:t>
            </w:r>
          </w:p>
        </w:tc>
        <w:tc>
          <w:tcPr>
            <w:tcW w:w="2445" w:type="dxa"/>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本项目情况</w:t>
            </w:r>
          </w:p>
        </w:tc>
        <w:tc>
          <w:tcPr>
            <w:tcW w:w="674" w:type="dxa"/>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8" w:type="dxa"/>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rPr>
              <w:t>ZH15082310031</w:t>
            </w:r>
          </w:p>
        </w:tc>
        <w:tc>
          <w:tcPr>
            <w:tcW w:w="508" w:type="dxa"/>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rPr>
              <w:t>乌拉特前旗一般生态空间-水土保持</w:t>
            </w:r>
          </w:p>
        </w:tc>
        <w:tc>
          <w:tcPr>
            <w:tcW w:w="508" w:type="dxa"/>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rPr>
              <w:t>优先保护单元</w:t>
            </w:r>
          </w:p>
        </w:tc>
        <w:tc>
          <w:tcPr>
            <w:tcW w:w="508" w:type="dxa"/>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rPr>
              <w:t>一般生态空间</w:t>
            </w:r>
          </w:p>
        </w:tc>
        <w:tc>
          <w:tcPr>
            <w:tcW w:w="508" w:type="dxa"/>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空间布局约束</w:t>
            </w:r>
          </w:p>
        </w:tc>
        <w:tc>
          <w:tcPr>
            <w:tcW w:w="2618" w:type="dxa"/>
            <w:vAlign w:val="center"/>
          </w:tcPr>
          <w:p>
            <w:pPr>
              <w:keepNext w:val="0"/>
              <w:keepLines w:val="0"/>
              <w:pageBreakBefore w:val="0"/>
              <w:widowControl/>
              <w:kinsoku/>
              <w:wordWrap/>
              <w:overflowPunct/>
              <w:topLinePunct w:val="0"/>
              <w:autoSpaceDE/>
              <w:autoSpaceDN/>
              <w:bidi w:val="0"/>
              <w:adjustRightInd/>
              <w:spacing w:line="240" w:lineRule="auto"/>
              <w:ind w:left="0" w:leftChars="0" w:right="0" w:rightChars="0" w:firstLine="420" w:firstLineChars="200"/>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全面实施保护天然林、退耕还林还牧工程，严禁陡坡垦殖，禁止在二十五度以上陡坡地开垦种植农作物，禁止开垦的范围由旗县级人民政府划定并公告；已经开垦种植农作物的应当按照国家有关规定逐步退耕还林还草；耕地短缺或者已经签订农村土地承包合同、退耕确有困难的，应当根据实际采取相应的水土保持措施。禁止毁林开荒、烧山开荒，合理开发自然资源，保护和恢复自然生态系统，增强区域水土保持能力；禁止在崩塌、滑坡危险区和泥石流易发区从事取土、挖砂、采石等可能造成水土流失的活动。禁止在水土流失重点预防区和重点治理区铲草皮、挖树兜等。</w:t>
            </w:r>
          </w:p>
        </w:tc>
        <w:tc>
          <w:tcPr>
            <w:tcW w:w="2445" w:type="dxa"/>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420" w:firstLineChars="200"/>
              <w:jc w:val="left"/>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rPr>
              <w:t>本项目位于乌拉特前旗沙德格苏木</w:t>
            </w:r>
            <w:r>
              <w:rPr>
                <w:rFonts w:hint="default"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不占用耕地、基本农田、林地等。</w:t>
            </w:r>
          </w:p>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420" w:firstLineChars="200"/>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本项目为不涉及退耕还林还草等；并且本项目建设期不涉及取土、挖砂、采石、铲草皮、挖树等工程。</w:t>
            </w:r>
          </w:p>
        </w:tc>
        <w:tc>
          <w:tcPr>
            <w:tcW w:w="674" w:type="dxa"/>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8" w:type="dxa"/>
            <w:vMerge w:val="restart"/>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rPr>
              <w:t>ZH15082320005</w:t>
            </w:r>
          </w:p>
        </w:tc>
        <w:tc>
          <w:tcPr>
            <w:tcW w:w="508" w:type="dxa"/>
            <w:vMerge w:val="restart"/>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rPr>
              <w:t>乌拉特前旗生态用水补给控制单元</w:t>
            </w:r>
          </w:p>
        </w:tc>
        <w:tc>
          <w:tcPr>
            <w:tcW w:w="508" w:type="dxa"/>
            <w:vMerge w:val="restart"/>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rPr>
              <w:t>重点管控单元</w:t>
            </w:r>
          </w:p>
        </w:tc>
        <w:tc>
          <w:tcPr>
            <w:tcW w:w="508" w:type="dxa"/>
            <w:vMerge w:val="restart"/>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rPr>
              <w:t>大气环境高排放重点管控区、生态用水补给区、地下水开采重点管控区</w:t>
            </w:r>
          </w:p>
        </w:tc>
        <w:tc>
          <w:tcPr>
            <w:tcW w:w="508" w:type="dxa"/>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rPr>
              <w:t>空间布局约束</w:t>
            </w:r>
          </w:p>
        </w:tc>
        <w:tc>
          <w:tcPr>
            <w:tcW w:w="2618" w:type="dxa"/>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420" w:firstLineChars="200"/>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1、执行全市总体准入要求中关于空间布局约束的准入要求。</w:t>
            </w:r>
          </w:p>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420" w:firstLineChars="200"/>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2、严格控制地下水灌区规模，未经批准严禁擅自利用地下水种植高耗水作物。严禁在无、缺水草场开发地下水用于灌溉，严禁擅自改变牧区饲草料地用途。</w:t>
            </w:r>
          </w:p>
        </w:tc>
        <w:tc>
          <w:tcPr>
            <w:tcW w:w="2445"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jc w:val="left"/>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1、根据表1分析，本项目符合</w:t>
            </w:r>
            <w:r>
              <w:rPr>
                <w:rFonts w:hint="default" w:ascii="Times New Roman" w:hAnsi="Times New Roman" w:eastAsia="宋体" w:cs="Times New Roman"/>
                <w:color w:val="auto"/>
                <w:kern w:val="0"/>
                <w:sz w:val="21"/>
                <w:szCs w:val="21"/>
                <w:highlight w:val="none"/>
              </w:rPr>
              <w:t>全市总体准入要求中关于空间布局约束的准入要求</w:t>
            </w:r>
            <w:r>
              <w:rPr>
                <w:rFonts w:hint="default" w:ascii="Times New Roman" w:hAnsi="Times New Roman" w:eastAsia="宋体" w:cs="Times New Roman"/>
                <w:color w:val="auto"/>
                <w:sz w:val="21"/>
                <w:szCs w:val="21"/>
                <w:lang w:val="en-US" w:eastAsia="zh-CN"/>
              </w:rPr>
              <w:t>；</w:t>
            </w:r>
          </w:p>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420" w:firstLineChars="200"/>
              <w:jc w:val="left"/>
              <w:textAlignment w:val="auto"/>
              <w:rPr>
                <w:rFonts w:hint="default" w:ascii="Times New Roman" w:hAnsi="Times New Roman" w:eastAsia="宋体" w:cs="Times New Roman"/>
                <w:color w:val="auto"/>
                <w:kern w:val="0"/>
                <w:sz w:val="21"/>
                <w:szCs w:val="21"/>
                <w:highlight w:val="none"/>
                <w:lang w:val="en-US"/>
              </w:rPr>
            </w:pPr>
            <w:r>
              <w:rPr>
                <w:rFonts w:hint="default" w:ascii="Times New Roman" w:hAnsi="Times New Roman" w:eastAsia="宋体" w:cs="Times New Roman"/>
                <w:color w:val="auto"/>
                <w:sz w:val="21"/>
                <w:szCs w:val="21"/>
                <w:lang w:val="en-US" w:eastAsia="zh-CN"/>
              </w:rPr>
              <w:t>2、本项目不涉及灌溉。</w:t>
            </w:r>
          </w:p>
        </w:tc>
        <w:tc>
          <w:tcPr>
            <w:tcW w:w="674" w:type="dxa"/>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8" w:type="dxa"/>
            <w:vMerge w:val="continue"/>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rPr>
            </w:pPr>
          </w:p>
        </w:tc>
        <w:tc>
          <w:tcPr>
            <w:tcW w:w="508" w:type="dxa"/>
            <w:vMerge w:val="continue"/>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rPr>
            </w:pPr>
          </w:p>
        </w:tc>
        <w:tc>
          <w:tcPr>
            <w:tcW w:w="508" w:type="dxa"/>
            <w:vMerge w:val="continue"/>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rPr>
            </w:pPr>
          </w:p>
        </w:tc>
        <w:tc>
          <w:tcPr>
            <w:tcW w:w="508" w:type="dxa"/>
            <w:vMerge w:val="continue"/>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rPr>
            </w:pPr>
          </w:p>
        </w:tc>
        <w:tc>
          <w:tcPr>
            <w:tcW w:w="508" w:type="dxa"/>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rPr>
              <w:t>污染物排放管控</w:t>
            </w:r>
          </w:p>
        </w:tc>
        <w:tc>
          <w:tcPr>
            <w:tcW w:w="2618" w:type="dxa"/>
            <w:vAlign w:val="center"/>
          </w:tcPr>
          <w:p>
            <w:pPr>
              <w:keepNext w:val="0"/>
              <w:keepLines w:val="0"/>
              <w:pageBreakBefore w:val="0"/>
              <w:kinsoku/>
              <w:wordWrap/>
              <w:overflowPunct/>
              <w:topLinePunct w:val="0"/>
              <w:autoSpaceDE/>
              <w:autoSpaceDN/>
              <w:bidi w:val="0"/>
              <w:adjustRightInd/>
              <w:snapToGrid w:val="0"/>
              <w:ind w:firstLine="420" w:firstLineChars="200"/>
              <w:jc w:val="left"/>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执行全市总体准入要求中关于污染物排放管控的准入要求。</w:t>
            </w:r>
          </w:p>
        </w:tc>
        <w:tc>
          <w:tcPr>
            <w:tcW w:w="2445" w:type="dxa"/>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420" w:firstLineChars="200"/>
              <w:jc w:val="left"/>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根据表</w:t>
            </w:r>
            <w:r>
              <w:rPr>
                <w:rFonts w:hint="default" w:ascii="Times New Roman" w:hAnsi="Times New Roman" w:eastAsia="宋体" w:cs="Times New Roman"/>
                <w:color w:val="auto"/>
                <w:kern w:val="0"/>
                <w:sz w:val="21"/>
                <w:szCs w:val="21"/>
                <w:highlight w:val="none"/>
                <w:lang w:val="en-US" w:eastAsia="zh-CN"/>
              </w:rPr>
              <w:t>1</w:t>
            </w:r>
            <w:r>
              <w:rPr>
                <w:rFonts w:hint="default" w:ascii="Times New Roman" w:hAnsi="Times New Roman" w:eastAsia="宋体" w:cs="Times New Roman"/>
                <w:color w:val="auto"/>
                <w:kern w:val="0"/>
                <w:sz w:val="21"/>
                <w:szCs w:val="21"/>
                <w:highlight w:val="none"/>
              </w:rPr>
              <w:t>分析，本项目符合</w:t>
            </w:r>
            <w:r>
              <w:rPr>
                <w:rFonts w:hint="default" w:ascii="Times New Roman" w:hAnsi="Times New Roman" w:eastAsia="宋体" w:cs="Times New Roman"/>
                <w:color w:val="auto"/>
                <w:kern w:val="0"/>
                <w:sz w:val="21"/>
                <w:szCs w:val="21"/>
                <w:highlight w:val="none"/>
                <w:lang w:val="en-US" w:eastAsia="zh-CN" w:bidi="ar-SA"/>
              </w:rPr>
              <w:t>全市总体准入要求中关于污染物排放管控的准入要求</w:t>
            </w:r>
            <w:r>
              <w:rPr>
                <w:rFonts w:hint="default" w:ascii="Times New Roman" w:hAnsi="Times New Roman" w:eastAsia="宋体" w:cs="Times New Roman"/>
                <w:color w:val="auto"/>
                <w:kern w:val="0"/>
                <w:sz w:val="21"/>
                <w:szCs w:val="21"/>
                <w:highlight w:val="none"/>
                <w:lang w:eastAsia="zh-CN"/>
              </w:rPr>
              <w:t>。</w:t>
            </w:r>
          </w:p>
        </w:tc>
        <w:tc>
          <w:tcPr>
            <w:tcW w:w="674" w:type="dxa"/>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8" w:type="dxa"/>
            <w:vMerge w:val="continue"/>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rPr>
            </w:pPr>
          </w:p>
        </w:tc>
        <w:tc>
          <w:tcPr>
            <w:tcW w:w="508" w:type="dxa"/>
            <w:vMerge w:val="continue"/>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rPr>
            </w:pPr>
          </w:p>
        </w:tc>
        <w:tc>
          <w:tcPr>
            <w:tcW w:w="508" w:type="dxa"/>
            <w:vMerge w:val="continue"/>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rPr>
            </w:pPr>
          </w:p>
        </w:tc>
        <w:tc>
          <w:tcPr>
            <w:tcW w:w="508" w:type="dxa"/>
            <w:vMerge w:val="continue"/>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rPr>
            </w:pPr>
          </w:p>
        </w:tc>
        <w:tc>
          <w:tcPr>
            <w:tcW w:w="508" w:type="dxa"/>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rPr>
              <w:t>环境风险防控</w:t>
            </w:r>
          </w:p>
        </w:tc>
        <w:tc>
          <w:tcPr>
            <w:tcW w:w="2618" w:type="dxa"/>
            <w:vAlign w:val="center"/>
          </w:tcPr>
          <w:p>
            <w:pPr>
              <w:keepNext w:val="0"/>
              <w:keepLines w:val="0"/>
              <w:pageBreakBefore w:val="0"/>
              <w:kinsoku/>
              <w:wordWrap/>
              <w:overflowPunct/>
              <w:topLinePunct w:val="0"/>
              <w:autoSpaceDE/>
              <w:autoSpaceDN/>
              <w:bidi w:val="0"/>
              <w:adjustRightInd/>
              <w:snapToGrid w:val="0"/>
              <w:ind w:firstLine="420" w:firstLineChars="200"/>
              <w:jc w:val="left"/>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执行全市总体准入要求中关于环境风险防控的准入要求。</w:t>
            </w:r>
          </w:p>
        </w:tc>
        <w:tc>
          <w:tcPr>
            <w:tcW w:w="2445" w:type="dxa"/>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420" w:firstLineChars="200"/>
              <w:jc w:val="left"/>
              <w:textAlignment w:val="auto"/>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rPr>
              <w:t>根据表</w:t>
            </w:r>
            <w:r>
              <w:rPr>
                <w:rFonts w:hint="default" w:ascii="Times New Roman" w:hAnsi="Times New Roman" w:eastAsia="宋体" w:cs="Times New Roman"/>
                <w:color w:val="auto"/>
                <w:kern w:val="0"/>
                <w:sz w:val="21"/>
                <w:szCs w:val="21"/>
                <w:highlight w:val="none"/>
                <w:lang w:val="en-US" w:eastAsia="zh-CN"/>
              </w:rPr>
              <w:t>1</w:t>
            </w:r>
            <w:r>
              <w:rPr>
                <w:rFonts w:hint="default" w:ascii="Times New Roman" w:hAnsi="Times New Roman" w:eastAsia="宋体" w:cs="Times New Roman"/>
                <w:color w:val="auto"/>
                <w:kern w:val="0"/>
                <w:sz w:val="21"/>
                <w:szCs w:val="21"/>
                <w:highlight w:val="none"/>
              </w:rPr>
              <w:t>分析，本项目符合全市总体准入要求中关于环境风险防控的准入要求</w:t>
            </w:r>
            <w:r>
              <w:rPr>
                <w:rFonts w:hint="default" w:ascii="Times New Roman" w:hAnsi="Times New Roman" w:eastAsia="宋体" w:cs="Times New Roman"/>
                <w:color w:val="auto"/>
                <w:kern w:val="0"/>
                <w:sz w:val="21"/>
                <w:szCs w:val="21"/>
                <w:highlight w:val="none"/>
                <w:lang w:eastAsia="zh-CN"/>
              </w:rPr>
              <w:t>。</w:t>
            </w:r>
          </w:p>
        </w:tc>
        <w:tc>
          <w:tcPr>
            <w:tcW w:w="674" w:type="dxa"/>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8" w:type="dxa"/>
            <w:vMerge w:val="continue"/>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rPr>
            </w:pPr>
          </w:p>
        </w:tc>
        <w:tc>
          <w:tcPr>
            <w:tcW w:w="508" w:type="dxa"/>
            <w:vMerge w:val="continue"/>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rPr>
            </w:pPr>
          </w:p>
        </w:tc>
        <w:tc>
          <w:tcPr>
            <w:tcW w:w="508" w:type="dxa"/>
            <w:vMerge w:val="continue"/>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rPr>
            </w:pPr>
          </w:p>
        </w:tc>
        <w:tc>
          <w:tcPr>
            <w:tcW w:w="508" w:type="dxa"/>
            <w:vMerge w:val="continue"/>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rPr>
            </w:pPr>
          </w:p>
        </w:tc>
        <w:tc>
          <w:tcPr>
            <w:tcW w:w="508" w:type="dxa"/>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资源利用效率要求</w:t>
            </w:r>
          </w:p>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lang w:val="en-US" w:eastAsia="zh-CN"/>
              </w:rPr>
            </w:pPr>
          </w:p>
        </w:tc>
        <w:tc>
          <w:tcPr>
            <w:tcW w:w="2618" w:type="dxa"/>
            <w:vAlign w:val="center"/>
          </w:tcPr>
          <w:p>
            <w:pPr>
              <w:keepNext w:val="0"/>
              <w:keepLines w:val="0"/>
              <w:pageBreakBefore w:val="0"/>
              <w:kinsoku/>
              <w:wordWrap/>
              <w:overflowPunct/>
              <w:topLinePunct w:val="0"/>
              <w:autoSpaceDE/>
              <w:autoSpaceDN/>
              <w:bidi w:val="0"/>
              <w:adjustRightInd/>
              <w:snapToGrid w:val="0"/>
              <w:ind w:firstLine="420" w:firstLineChars="200"/>
              <w:jc w:val="left"/>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实行地下水“五控”制度。“五控”即严格管控地下水开发利用总量、水位、用途、水质及机电井数量。新建、改建、扩建的高耗水工业项目，禁止擅自使用地下水。食品、制药等项目取用地下水，须经有管理权限的水行政主管部门批准。</w:t>
            </w:r>
          </w:p>
        </w:tc>
        <w:tc>
          <w:tcPr>
            <w:tcW w:w="2445" w:type="dxa"/>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420" w:firstLineChars="200"/>
              <w:jc w:val="left"/>
              <w:textAlignment w:val="auto"/>
              <w:rPr>
                <w:rFonts w:hint="default" w:ascii="Times New Roman" w:hAnsi="Times New Roman" w:eastAsia="宋体" w:cs="Times New Roman"/>
                <w:color w:val="auto"/>
                <w:kern w:val="0"/>
                <w:sz w:val="21"/>
                <w:szCs w:val="21"/>
                <w:highlight w:val="none"/>
                <w:lang w:val="en-US"/>
              </w:rPr>
            </w:pPr>
            <w:r>
              <w:rPr>
                <w:rFonts w:hint="default" w:ascii="Times New Roman" w:hAnsi="Times New Roman" w:eastAsia="宋体" w:cs="Times New Roman"/>
                <w:color w:val="auto"/>
                <w:sz w:val="21"/>
                <w:szCs w:val="21"/>
                <w:lang w:val="en-US" w:eastAsia="zh-CN"/>
              </w:rPr>
              <w:t>本项目生产用水由选矿厂现有高位水池供给，不采用地下水。</w:t>
            </w:r>
          </w:p>
        </w:tc>
        <w:tc>
          <w:tcPr>
            <w:tcW w:w="674" w:type="dxa"/>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Cs w:val="21"/>
                <w:highlight w:val="none"/>
              </w:rPr>
              <w:t>符合</w:t>
            </w:r>
          </w:p>
        </w:tc>
      </w:tr>
    </w:tbl>
    <w:p>
      <w:pPr>
        <w:keepNext w:val="0"/>
        <w:keepLines w:val="0"/>
        <w:pageBreakBefore w:val="0"/>
        <w:widowControl w:val="0"/>
        <w:tabs>
          <w:tab w:val="center" w:pos="4153"/>
          <w:tab w:val="right" w:pos="8306"/>
        </w:tabs>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根据巴彦淖尔市环境管控单元图</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本项目厂区位于</w:t>
      </w:r>
      <w:r>
        <w:rPr>
          <w:rFonts w:hint="default" w:ascii="Times New Roman" w:hAnsi="Times New Roman" w:eastAsia="宋体" w:cs="Times New Roman"/>
          <w:color w:val="auto"/>
          <w:sz w:val="24"/>
          <w:highlight w:val="none"/>
          <w:lang w:val="en-US" w:eastAsia="zh-CN"/>
        </w:rPr>
        <w:t>乌拉特前旗一般生态空间-水土保持</w:t>
      </w:r>
      <w:r>
        <w:rPr>
          <w:rFonts w:hint="default" w:ascii="Times New Roman" w:hAnsi="Times New Roman" w:eastAsia="宋体" w:cs="Times New Roman"/>
          <w:color w:val="auto"/>
          <w:sz w:val="24"/>
          <w:highlight w:val="none"/>
        </w:rPr>
        <w:t>环境管控单元</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环境管控单元编码ZH15082310031</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和乌拉特前旗生态用水补给控制单元</w:t>
      </w:r>
      <w:r>
        <w:rPr>
          <w:rFonts w:hint="default" w:ascii="Times New Roman" w:hAnsi="Times New Roman" w:eastAsia="宋体" w:cs="Times New Roman"/>
          <w:color w:val="auto"/>
          <w:sz w:val="24"/>
          <w:highlight w:val="none"/>
        </w:rPr>
        <w:t>环境管控单元</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环境管控单元编码ZH15082320005</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szCs w:val="24"/>
          <w:highlight w:val="none"/>
        </w:rPr>
        <w:t>从空间布局约束、污染物排放管控、环境风险防控、资源利用效率要求等方面分析</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本项目配套设置环保措施</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环境影响及环境风险可控。</w:t>
      </w:r>
    </w:p>
    <w:p>
      <w:pPr>
        <w:keepNext w:val="0"/>
        <w:keepLines w:val="0"/>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因此</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本项目符合三线一单管控要求。</w:t>
      </w:r>
    </w:p>
    <w:p>
      <w:pPr>
        <w:keepNext w:val="0"/>
        <w:keepLines w:val="0"/>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6</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与《尾矿库设施设计规范》（GB50863-2013）中选址要求分析</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尾矿库库址选择按照《尾矿设施设计规范》（GB50863-2013）规定，应经多方案技术经济比较综合确定，并应符合下列要求：</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1）不宜位于大型工矿企业、大型水源地、重要铁路和公路、水产基地和大型居民区上游；</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2）不宜位于大型居民区及厂区主导风向的上风侧；</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3）不占或少占农田，不迁或少迁居民；</w:t>
      </w:r>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4）不宜位于有开采价值的矿床上面；</w:t>
      </w:r>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5）汇水面积小，有足够的库容；</w:t>
      </w:r>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6）上游式湿排尾矿库有足够的初、终期库长；</w:t>
      </w:r>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7）筑坝工程量小，生产管理方便；</w:t>
      </w:r>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8）应避开地质构造复杂、不良地质现象严重区域；</w:t>
      </w:r>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9</w:t>
      </w:r>
      <w:r>
        <w:rPr>
          <w:rFonts w:hint="default" w:ascii="Times New Roman" w:hAnsi="Times New Roman" w:eastAsia="宋体" w:cs="Times New Roman"/>
          <w:color w:val="auto"/>
          <w:sz w:val="24"/>
          <w:highlight w:val="none"/>
        </w:rPr>
        <w:t>）尾矿输送距离短，能自流或扬程小。</w:t>
      </w:r>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根据以上要求，本项目与《尾矿设施设计规范》（GB50863-2013）中规定的选址要求对比情况见表</w:t>
      </w:r>
      <w:r>
        <w:rPr>
          <w:rFonts w:hint="default" w:ascii="Times New Roman" w:hAnsi="Times New Roman" w:eastAsia="宋体" w:cs="Times New Roman"/>
          <w:color w:val="auto"/>
          <w:sz w:val="24"/>
          <w:highlight w:val="none"/>
          <w:lang w:val="en-US" w:eastAsia="zh-CN"/>
        </w:rPr>
        <w:t>3</w:t>
      </w:r>
      <w:r>
        <w:rPr>
          <w:rFonts w:hint="default" w:ascii="Times New Roman" w:hAnsi="Times New Roman" w:eastAsia="宋体" w:cs="Times New Roman"/>
          <w:color w:val="auto"/>
          <w:sz w:val="24"/>
          <w:highlight w:val="none"/>
        </w:rPr>
        <w:t>。</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jc w:val="center"/>
        <w:textAlignment w:val="auto"/>
        <w:rPr>
          <w:rFonts w:hint="default" w:ascii="Times New Roman" w:hAnsi="Times New Roman" w:eastAsia="宋体" w:cs="Times New Roman"/>
          <w:b/>
          <w:bCs/>
          <w:color w:val="auto"/>
          <w:sz w:val="24"/>
          <w:szCs w:val="32"/>
          <w:highlight w:val="none"/>
        </w:rPr>
      </w:pPr>
      <w:r>
        <w:rPr>
          <w:rFonts w:hint="default" w:ascii="Times New Roman" w:hAnsi="Times New Roman" w:eastAsia="宋体" w:cs="Times New Roman"/>
          <w:b/>
          <w:bCs/>
          <w:color w:val="auto"/>
          <w:sz w:val="24"/>
          <w:szCs w:val="32"/>
          <w:highlight w:val="none"/>
        </w:rPr>
        <w:t>表</w:t>
      </w:r>
      <w:r>
        <w:rPr>
          <w:rFonts w:hint="default" w:ascii="Times New Roman" w:hAnsi="Times New Roman" w:eastAsia="宋体" w:cs="Times New Roman"/>
          <w:b/>
          <w:bCs/>
          <w:color w:val="auto"/>
          <w:sz w:val="24"/>
          <w:szCs w:val="32"/>
          <w:highlight w:val="none"/>
          <w:lang w:val="en-US" w:eastAsia="zh-CN"/>
        </w:rPr>
        <w:t>3</w:t>
      </w:r>
      <w:r>
        <w:rPr>
          <w:rFonts w:hint="default" w:ascii="Times New Roman" w:hAnsi="Times New Roman" w:eastAsia="宋体" w:cs="Times New Roman"/>
          <w:b/>
          <w:bCs/>
          <w:color w:val="auto"/>
          <w:sz w:val="24"/>
          <w:szCs w:val="32"/>
          <w:highlight w:val="none"/>
        </w:rPr>
        <w:t>库址选择合理性分析表</w:t>
      </w:r>
    </w:p>
    <w:tbl>
      <w:tblPr>
        <w:tblStyle w:val="54"/>
        <w:tblW w:w="5004" w:type="pct"/>
        <w:tblInd w:w="17"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466"/>
        <w:gridCol w:w="3233"/>
        <w:gridCol w:w="3753"/>
        <w:gridCol w:w="87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80" w:type="pct"/>
            <w:tcBorders>
              <w:top w:val="single" w:color="auto" w:sz="4" w:space="0"/>
              <w:left w:val="single" w:color="auto" w:sz="4" w:space="0"/>
            </w:tcBorders>
            <w:vAlign w:val="center"/>
          </w:tcPr>
          <w:p>
            <w:pPr>
              <w:pStyle w:val="53"/>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序号</w:t>
            </w:r>
          </w:p>
        </w:tc>
        <w:tc>
          <w:tcPr>
            <w:tcW w:w="1942" w:type="pct"/>
            <w:tcBorders>
              <w:top w:val="single" w:color="auto" w:sz="4" w:space="0"/>
            </w:tcBorders>
            <w:vAlign w:val="center"/>
          </w:tcPr>
          <w:p>
            <w:pPr>
              <w:pStyle w:val="53"/>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规范要求</w:t>
            </w:r>
          </w:p>
        </w:tc>
        <w:tc>
          <w:tcPr>
            <w:tcW w:w="2254" w:type="pct"/>
            <w:tcBorders>
              <w:top w:val="single" w:color="auto" w:sz="4" w:space="0"/>
            </w:tcBorders>
            <w:vAlign w:val="center"/>
          </w:tcPr>
          <w:p>
            <w:pPr>
              <w:pStyle w:val="53"/>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本项目</w:t>
            </w:r>
          </w:p>
        </w:tc>
        <w:tc>
          <w:tcPr>
            <w:tcW w:w="523" w:type="pct"/>
            <w:tcBorders>
              <w:top w:val="single" w:color="auto" w:sz="4" w:space="0"/>
              <w:right w:val="single" w:color="auto" w:sz="4" w:space="0"/>
            </w:tcBorders>
            <w:vAlign w:val="center"/>
          </w:tcPr>
          <w:p>
            <w:pPr>
              <w:pStyle w:val="53"/>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分析判定</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80" w:type="pct"/>
            <w:tcBorders>
              <w:left w:val="single" w:color="auto" w:sz="4" w:space="0"/>
            </w:tcBorders>
            <w:vAlign w:val="center"/>
          </w:tcPr>
          <w:p>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1942" w:type="pct"/>
            <w:vAlign w:val="center"/>
          </w:tcPr>
          <w:p>
            <w:pPr>
              <w:keepNext w:val="0"/>
              <w:keepLines w:val="0"/>
              <w:pageBreakBefore w:val="0"/>
              <w:widowControl w:val="0"/>
              <w:kinsoku/>
              <w:wordWrap/>
              <w:overflowPunct/>
              <w:topLinePunct w:val="0"/>
              <w:autoSpaceDE/>
              <w:autoSpaceDN/>
              <w:bidi w:val="0"/>
              <w:adjustRightInd/>
              <w:snapToGrid/>
              <w:ind w:left="0" w:leftChars="0" w:right="0" w:rightChars="0"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不宜位于大型工矿企业、大型水源地、重要铁路和公路、水产基地和大型居民区上游。</w:t>
            </w:r>
          </w:p>
        </w:tc>
        <w:tc>
          <w:tcPr>
            <w:tcW w:w="2254" w:type="pct"/>
            <w:vAlign w:val="center"/>
          </w:tcPr>
          <w:p>
            <w:pPr>
              <w:keepNext w:val="0"/>
              <w:keepLines w:val="0"/>
              <w:pageBreakBefore w:val="0"/>
              <w:widowControl w:val="0"/>
              <w:kinsoku/>
              <w:wordWrap/>
              <w:overflowPunct/>
              <w:topLinePunct w:val="0"/>
              <w:autoSpaceDE/>
              <w:autoSpaceDN/>
              <w:bidi w:val="0"/>
              <w:adjustRightInd/>
              <w:snapToGrid/>
              <w:ind w:left="0" w:leftChars="0" w:right="0" w:rightChars="0"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本项目</w:t>
            </w:r>
            <w:r>
              <w:rPr>
                <w:rFonts w:hint="default" w:ascii="Times New Roman" w:hAnsi="Times New Roman" w:eastAsia="宋体" w:cs="Times New Roman"/>
                <w:color w:val="auto"/>
                <w:highlight w:val="none"/>
              </w:rPr>
              <w:t>尾矿库</w:t>
            </w:r>
            <w:r>
              <w:rPr>
                <w:rFonts w:hint="default" w:ascii="Times New Roman" w:hAnsi="Times New Roman" w:eastAsia="宋体" w:cs="Times New Roman"/>
                <w:color w:val="auto"/>
                <w:highlight w:val="none"/>
                <w:lang w:val="en-US" w:eastAsia="zh-CN"/>
              </w:rPr>
              <w:t>不在</w:t>
            </w:r>
            <w:r>
              <w:rPr>
                <w:rFonts w:hint="default" w:ascii="Times New Roman" w:hAnsi="Times New Roman" w:eastAsia="宋体" w:cs="Times New Roman"/>
                <w:color w:val="auto"/>
                <w:highlight w:val="none"/>
              </w:rPr>
              <w:t>大型工矿企业、大型水源地、重要铁路和公路、水产基地和大型居民区上游。</w:t>
            </w:r>
          </w:p>
        </w:tc>
        <w:tc>
          <w:tcPr>
            <w:tcW w:w="523" w:type="pct"/>
            <w:tcBorders>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80" w:type="pct"/>
            <w:tcBorders>
              <w:left w:val="single" w:color="auto" w:sz="4" w:space="0"/>
            </w:tcBorders>
            <w:vAlign w:val="center"/>
          </w:tcPr>
          <w:p>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w:t>
            </w:r>
          </w:p>
        </w:tc>
        <w:tc>
          <w:tcPr>
            <w:tcW w:w="1942" w:type="pct"/>
            <w:vAlign w:val="center"/>
          </w:tcPr>
          <w:p>
            <w:pPr>
              <w:keepNext w:val="0"/>
              <w:keepLines w:val="0"/>
              <w:pageBreakBefore w:val="0"/>
              <w:widowControl w:val="0"/>
              <w:kinsoku/>
              <w:wordWrap/>
              <w:overflowPunct/>
              <w:topLinePunct w:val="0"/>
              <w:autoSpaceDE/>
              <w:autoSpaceDN/>
              <w:bidi w:val="0"/>
              <w:adjustRightInd/>
              <w:snapToGrid/>
              <w:ind w:left="0" w:leftChars="0" w:right="0" w:rightChars="0"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不宜位于居民集中区主导风向的上风侧。</w:t>
            </w:r>
          </w:p>
        </w:tc>
        <w:tc>
          <w:tcPr>
            <w:tcW w:w="2254" w:type="pct"/>
            <w:vAlign w:val="center"/>
          </w:tcPr>
          <w:p>
            <w:pPr>
              <w:keepNext w:val="0"/>
              <w:keepLines w:val="0"/>
              <w:pageBreakBefore w:val="0"/>
              <w:widowControl w:val="0"/>
              <w:kinsoku/>
              <w:wordWrap/>
              <w:overflowPunct/>
              <w:topLinePunct w:val="0"/>
              <w:autoSpaceDE/>
              <w:autoSpaceDN/>
              <w:bidi w:val="0"/>
              <w:adjustRightInd/>
              <w:snapToGrid/>
              <w:ind w:left="0" w:leftChars="0" w:right="0" w:rightChars="0"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居民集中区位于尾矿库主导风向的侧风向。</w:t>
            </w:r>
          </w:p>
        </w:tc>
        <w:tc>
          <w:tcPr>
            <w:tcW w:w="523" w:type="pct"/>
            <w:tcBorders>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80" w:type="pct"/>
            <w:tcBorders>
              <w:left w:val="single" w:color="auto" w:sz="4" w:space="0"/>
            </w:tcBorders>
            <w:vAlign w:val="center"/>
          </w:tcPr>
          <w:p>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w:t>
            </w:r>
          </w:p>
        </w:tc>
        <w:tc>
          <w:tcPr>
            <w:tcW w:w="1942" w:type="pct"/>
            <w:vAlign w:val="center"/>
          </w:tcPr>
          <w:p>
            <w:pPr>
              <w:keepNext w:val="0"/>
              <w:keepLines w:val="0"/>
              <w:pageBreakBefore w:val="0"/>
              <w:widowControl w:val="0"/>
              <w:kinsoku/>
              <w:wordWrap/>
              <w:overflowPunct/>
              <w:topLinePunct w:val="0"/>
              <w:autoSpaceDE/>
              <w:autoSpaceDN/>
              <w:bidi w:val="0"/>
              <w:adjustRightInd/>
              <w:snapToGrid/>
              <w:ind w:left="0" w:leftChars="0" w:right="0" w:rightChars="0"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不占或少占农田，不迁或少迁居民。</w:t>
            </w:r>
          </w:p>
        </w:tc>
        <w:tc>
          <w:tcPr>
            <w:tcW w:w="2254" w:type="pct"/>
            <w:vAlign w:val="center"/>
          </w:tcPr>
          <w:p>
            <w:pPr>
              <w:keepNext w:val="0"/>
              <w:keepLines w:val="0"/>
              <w:pageBreakBefore w:val="0"/>
              <w:widowControl w:val="0"/>
              <w:kinsoku/>
              <w:wordWrap/>
              <w:overflowPunct/>
              <w:topLinePunct w:val="0"/>
              <w:autoSpaceDE/>
              <w:autoSpaceDN/>
              <w:bidi w:val="0"/>
              <w:adjustRightInd/>
              <w:snapToGrid/>
              <w:ind w:left="0" w:leftChars="0" w:right="0" w:rightChars="0"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不占用农田，不涉及居民搬迁。</w:t>
            </w:r>
          </w:p>
        </w:tc>
        <w:tc>
          <w:tcPr>
            <w:tcW w:w="523" w:type="pct"/>
            <w:tcBorders>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80" w:type="pct"/>
            <w:tcBorders>
              <w:left w:val="single" w:color="auto" w:sz="4" w:space="0"/>
            </w:tcBorders>
            <w:vAlign w:val="center"/>
          </w:tcPr>
          <w:p>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w:t>
            </w:r>
          </w:p>
        </w:tc>
        <w:tc>
          <w:tcPr>
            <w:tcW w:w="1942" w:type="pct"/>
            <w:vAlign w:val="center"/>
          </w:tcPr>
          <w:p>
            <w:pPr>
              <w:keepNext w:val="0"/>
              <w:keepLines w:val="0"/>
              <w:pageBreakBefore w:val="0"/>
              <w:widowControl w:val="0"/>
              <w:kinsoku/>
              <w:wordWrap/>
              <w:overflowPunct/>
              <w:topLinePunct w:val="0"/>
              <w:autoSpaceDE/>
              <w:autoSpaceDN/>
              <w:bidi w:val="0"/>
              <w:adjustRightInd/>
              <w:snapToGrid/>
              <w:ind w:left="0" w:leftChars="0" w:right="0" w:rightChars="0"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不宜位于有开采价值的矿床上面。</w:t>
            </w:r>
          </w:p>
        </w:tc>
        <w:tc>
          <w:tcPr>
            <w:tcW w:w="2254" w:type="pct"/>
            <w:vAlign w:val="center"/>
          </w:tcPr>
          <w:p>
            <w:pPr>
              <w:keepNext w:val="0"/>
              <w:keepLines w:val="0"/>
              <w:pageBreakBefore w:val="0"/>
              <w:widowControl w:val="0"/>
              <w:kinsoku/>
              <w:wordWrap/>
              <w:overflowPunct/>
              <w:topLinePunct w:val="0"/>
              <w:autoSpaceDE/>
              <w:autoSpaceDN/>
              <w:bidi w:val="0"/>
              <w:adjustRightInd/>
              <w:snapToGrid/>
              <w:ind w:left="0" w:leftChars="0" w:right="0" w:rightChars="0"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尾矿库库区地下无开采价值的矿床。</w:t>
            </w:r>
          </w:p>
        </w:tc>
        <w:tc>
          <w:tcPr>
            <w:tcW w:w="523" w:type="pct"/>
            <w:tcBorders>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80" w:type="pct"/>
            <w:tcBorders>
              <w:left w:val="single" w:color="auto" w:sz="4" w:space="0"/>
            </w:tcBorders>
            <w:vAlign w:val="center"/>
          </w:tcPr>
          <w:p>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w:t>
            </w:r>
          </w:p>
        </w:tc>
        <w:tc>
          <w:tcPr>
            <w:tcW w:w="1942" w:type="pct"/>
            <w:vAlign w:val="center"/>
          </w:tcPr>
          <w:p>
            <w:pPr>
              <w:keepNext w:val="0"/>
              <w:keepLines w:val="0"/>
              <w:pageBreakBefore w:val="0"/>
              <w:widowControl w:val="0"/>
              <w:kinsoku/>
              <w:wordWrap/>
              <w:overflowPunct/>
              <w:topLinePunct w:val="0"/>
              <w:autoSpaceDE/>
              <w:autoSpaceDN/>
              <w:bidi w:val="0"/>
              <w:adjustRightInd/>
              <w:snapToGrid/>
              <w:ind w:left="0" w:leftChars="0" w:right="0" w:rightChars="0"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汇水面积小，有足够的库容。</w:t>
            </w:r>
          </w:p>
        </w:tc>
        <w:tc>
          <w:tcPr>
            <w:tcW w:w="2254" w:type="pct"/>
            <w:vAlign w:val="center"/>
          </w:tcPr>
          <w:p>
            <w:pPr>
              <w:keepNext w:val="0"/>
              <w:keepLines w:val="0"/>
              <w:pageBreakBefore w:val="0"/>
              <w:widowControl w:val="0"/>
              <w:kinsoku/>
              <w:wordWrap/>
              <w:overflowPunct/>
              <w:topLinePunct w:val="0"/>
              <w:autoSpaceDE/>
              <w:autoSpaceDN/>
              <w:bidi w:val="0"/>
              <w:adjustRightInd/>
              <w:snapToGrid/>
              <w:ind w:left="0" w:leftChars="0" w:right="0" w:rightChars="0"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根据《乌拉特前旗西沙德盖钼业有限责任公司年处理300万吨钼矿选矿节能技改扩产项目尾矿库加高扩容工程初步设计》：</w:t>
            </w:r>
            <w:r>
              <w:rPr>
                <w:rFonts w:hint="default" w:ascii="Times New Roman" w:hAnsi="Times New Roman" w:eastAsia="宋体" w:cs="Times New Roman"/>
                <w:color w:val="auto"/>
                <w:highlight w:val="none"/>
              </w:rPr>
              <w:t>通过调洪演算结果可得出，尾矿库运行期间，遭遇设计频率洪水时最小干滩长度、安全超高均能满足规范要求。尾矿库防洪能力满足规范要求。</w:t>
            </w:r>
          </w:p>
        </w:tc>
        <w:tc>
          <w:tcPr>
            <w:tcW w:w="523" w:type="pct"/>
            <w:tcBorders>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80" w:type="pct"/>
            <w:tcBorders>
              <w:left w:val="single" w:color="auto" w:sz="4" w:space="0"/>
            </w:tcBorders>
            <w:vAlign w:val="center"/>
          </w:tcPr>
          <w:p>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w:t>
            </w:r>
          </w:p>
        </w:tc>
        <w:tc>
          <w:tcPr>
            <w:tcW w:w="1942" w:type="pct"/>
            <w:vAlign w:val="center"/>
          </w:tcPr>
          <w:p>
            <w:pPr>
              <w:keepNext w:val="0"/>
              <w:keepLines w:val="0"/>
              <w:pageBreakBefore w:val="0"/>
              <w:widowControl w:val="0"/>
              <w:kinsoku/>
              <w:wordWrap/>
              <w:overflowPunct/>
              <w:topLinePunct w:val="0"/>
              <w:autoSpaceDE/>
              <w:autoSpaceDN/>
              <w:bidi w:val="0"/>
              <w:adjustRightInd/>
              <w:snapToGrid/>
              <w:ind w:left="0" w:leftChars="0" w:right="0" w:rightChars="0" w:firstLine="420" w:firstLineChars="200"/>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上游式湿排尾矿库有足够的初、终期库长</w:t>
            </w:r>
            <w:r>
              <w:rPr>
                <w:rFonts w:hint="default" w:ascii="Times New Roman" w:hAnsi="Times New Roman" w:eastAsia="宋体" w:cs="Times New Roman"/>
                <w:color w:val="auto"/>
                <w:highlight w:val="none"/>
                <w:lang w:eastAsia="zh-CN"/>
              </w:rPr>
              <w:t>。</w:t>
            </w:r>
          </w:p>
        </w:tc>
        <w:tc>
          <w:tcPr>
            <w:tcW w:w="2254" w:type="pct"/>
            <w:vAlign w:val="center"/>
          </w:tcPr>
          <w:p>
            <w:pPr>
              <w:keepNext w:val="0"/>
              <w:keepLines w:val="0"/>
              <w:pageBreakBefore w:val="0"/>
              <w:widowControl w:val="0"/>
              <w:kinsoku/>
              <w:wordWrap/>
              <w:overflowPunct/>
              <w:topLinePunct w:val="0"/>
              <w:autoSpaceDE/>
              <w:autoSpaceDN/>
              <w:bidi w:val="0"/>
              <w:adjustRightInd/>
              <w:snapToGrid/>
              <w:ind w:left="0" w:leftChars="0" w:right="0" w:rightChars="0"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根据《乌拉特前旗西沙德盖钼业有限责任公司年处理300万吨钼矿选矿节能技改扩产项目尾矿库加高扩容工程初步设计》：本次</w:t>
            </w:r>
            <w:r>
              <w:rPr>
                <w:rFonts w:hint="default" w:ascii="Times New Roman" w:hAnsi="Times New Roman" w:eastAsia="宋体" w:cs="Times New Roman"/>
                <w:color w:val="auto"/>
                <w:highlight w:val="none"/>
              </w:rPr>
              <w:t>尾矿坝加高至1495m标高时，总坝高为129m，此时初期坝坝高与总坝高的比值约为1:3.3，满足《尾矿库安全规程》（GB39496-2020）中“5.3.3第6条：上游式尾矿坝的初期坝坝高与总坝高之比值应不小于1/8”的要求。</w:t>
            </w:r>
          </w:p>
        </w:tc>
        <w:tc>
          <w:tcPr>
            <w:tcW w:w="523" w:type="pct"/>
            <w:tcBorders>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80" w:type="pct"/>
            <w:tcBorders>
              <w:left w:val="single" w:color="auto" w:sz="4" w:space="0"/>
            </w:tcBorders>
            <w:vAlign w:val="center"/>
          </w:tcPr>
          <w:p>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highlight w:val="none"/>
              </w:rPr>
              <w:t>7</w:t>
            </w:r>
          </w:p>
        </w:tc>
        <w:tc>
          <w:tcPr>
            <w:tcW w:w="1942" w:type="pct"/>
            <w:vAlign w:val="center"/>
          </w:tcPr>
          <w:p>
            <w:pPr>
              <w:keepNext w:val="0"/>
              <w:keepLines w:val="0"/>
              <w:pageBreakBefore w:val="0"/>
              <w:widowControl w:val="0"/>
              <w:kinsoku/>
              <w:wordWrap/>
              <w:overflowPunct/>
              <w:topLinePunct w:val="0"/>
              <w:autoSpaceDE/>
              <w:autoSpaceDN/>
              <w:bidi w:val="0"/>
              <w:adjustRightInd/>
              <w:snapToGrid/>
              <w:ind w:left="0" w:leftChars="0" w:right="0" w:rightChars="0"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筑坝工程量小，生产管理方便。</w:t>
            </w:r>
          </w:p>
        </w:tc>
        <w:tc>
          <w:tcPr>
            <w:tcW w:w="2254" w:type="pct"/>
            <w:vAlign w:val="center"/>
          </w:tcPr>
          <w:p>
            <w:pPr>
              <w:keepNext w:val="0"/>
              <w:keepLines w:val="0"/>
              <w:pageBreakBefore w:val="0"/>
              <w:widowControl w:val="0"/>
              <w:kinsoku/>
              <w:wordWrap/>
              <w:overflowPunct/>
              <w:topLinePunct w:val="0"/>
              <w:autoSpaceDE/>
              <w:autoSpaceDN/>
              <w:bidi w:val="0"/>
              <w:adjustRightInd/>
              <w:snapToGrid/>
              <w:ind w:left="0" w:leftChars="0" w:right="0" w:rightChars="0"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本项目为山谷型尾矿库，筑坝工程量小，生产管理方便。</w:t>
            </w:r>
          </w:p>
        </w:tc>
        <w:tc>
          <w:tcPr>
            <w:tcW w:w="523" w:type="pct"/>
            <w:tcBorders>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80" w:type="pct"/>
            <w:tcBorders>
              <w:left w:val="single" w:color="auto" w:sz="4" w:space="0"/>
            </w:tcBorders>
            <w:vAlign w:val="center"/>
          </w:tcPr>
          <w:p>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highlight w:val="none"/>
              </w:rPr>
              <w:t>8</w:t>
            </w:r>
          </w:p>
        </w:tc>
        <w:tc>
          <w:tcPr>
            <w:tcW w:w="1942" w:type="pct"/>
            <w:vAlign w:val="center"/>
          </w:tcPr>
          <w:p>
            <w:pPr>
              <w:keepNext w:val="0"/>
              <w:keepLines w:val="0"/>
              <w:pageBreakBefore w:val="0"/>
              <w:widowControl w:val="0"/>
              <w:kinsoku/>
              <w:wordWrap/>
              <w:overflowPunct/>
              <w:topLinePunct w:val="0"/>
              <w:autoSpaceDE/>
              <w:autoSpaceDN/>
              <w:bidi w:val="0"/>
              <w:adjustRightInd/>
              <w:snapToGrid/>
              <w:ind w:left="0" w:leftChars="0" w:right="0" w:rightChars="0"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应避开地质构造复杂、不良地质现象严重区域。</w:t>
            </w:r>
          </w:p>
        </w:tc>
        <w:tc>
          <w:tcPr>
            <w:tcW w:w="2254" w:type="pct"/>
            <w:vAlign w:val="center"/>
          </w:tcPr>
          <w:p>
            <w:pPr>
              <w:keepNext w:val="0"/>
              <w:keepLines w:val="0"/>
              <w:pageBreakBefore w:val="0"/>
              <w:widowControl w:val="0"/>
              <w:kinsoku/>
              <w:wordWrap/>
              <w:overflowPunct/>
              <w:topLinePunct w:val="0"/>
              <w:autoSpaceDE/>
              <w:autoSpaceDN/>
              <w:bidi w:val="0"/>
              <w:adjustRightInd/>
              <w:snapToGrid/>
              <w:ind w:left="0" w:leftChars="0" w:right="0" w:rightChars="0"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根据岩土工程勘察报告，库区无不良地质作用。</w:t>
            </w:r>
          </w:p>
        </w:tc>
        <w:tc>
          <w:tcPr>
            <w:tcW w:w="523" w:type="pct"/>
            <w:tcBorders>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80" w:type="pct"/>
            <w:tcBorders>
              <w:left w:val="single" w:color="auto" w:sz="4" w:space="0"/>
              <w:bottom w:val="single" w:color="auto" w:sz="4" w:space="0"/>
            </w:tcBorders>
            <w:vAlign w:val="center"/>
          </w:tcPr>
          <w:p>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9</w:t>
            </w:r>
          </w:p>
        </w:tc>
        <w:tc>
          <w:tcPr>
            <w:tcW w:w="1942" w:type="pct"/>
            <w:tcBorders>
              <w:bottom w:val="single" w:color="auto" w:sz="4" w:space="0"/>
            </w:tcBorders>
            <w:vAlign w:val="center"/>
          </w:tcPr>
          <w:p>
            <w:pPr>
              <w:keepNext w:val="0"/>
              <w:keepLines w:val="0"/>
              <w:pageBreakBefore w:val="0"/>
              <w:widowControl w:val="0"/>
              <w:kinsoku/>
              <w:wordWrap/>
              <w:overflowPunct/>
              <w:topLinePunct w:val="0"/>
              <w:autoSpaceDE/>
              <w:autoSpaceDN/>
              <w:bidi w:val="0"/>
              <w:adjustRightInd/>
              <w:snapToGrid/>
              <w:ind w:left="0" w:leftChars="0" w:right="0" w:rightChars="0"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尾矿输送距离短，能自流或扬程小。</w:t>
            </w:r>
          </w:p>
        </w:tc>
        <w:tc>
          <w:tcPr>
            <w:tcW w:w="2254" w:type="pct"/>
            <w:tcBorders>
              <w:bottom w:val="single" w:color="auto" w:sz="4" w:space="0"/>
            </w:tcBorders>
            <w:vAlign w:val="center"/>
          </w:tcPr>
          <w:p>
            <w:pPr>
              <w:keepNext w:val="0"/>
              <w:keepLines w:val="0"/>
              <w:pageBreakBefore w:val="0"/>
              <w:widowControl w:val="0"/>
              <w:kinsoku/>
              <w:wordWrap/>
              <w:overflowPunct/>
              <w:topLinePunct w:val="0"/>
              <w:autoSpaceDE/>
              <w:autoSpaceDN/>
              <w:bidi w:val="0"/>
              <w:adjustRightInd/>
              <w:snapToGrid/>
              <w:ind w:left="0" w:leftChars="0" w:right="0" w:rightChars="0"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尾矿库与选矿厂距离短，尾矿通过尾矿泵输送至尾矿库。</w:t>
            </w:r>
          </w:p>
        </w:tc>
        <w:tc>
          <w:tcPr>
            <w:tcW w:w="523" w:type="pct"/>
            <w:tcBorders>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符合</w:t>
            </w:r>
          </w:p>
        </w:tc>
      </w:tr>
    </w:tbl>
    <w:p>
      <w:pPr>
        <w:keepNext w:val="0"/>
        <w:keepLines w:val="0"/>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7</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与《一般工业固体废物贮存和填埋污染控制标准》（GB18599-2020）中选址要求的分析</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sz w:val="24"/>
          <w:szCs w:val="32"/>
          <w:highlight w:val="none"/>
        </w:rPr>
      </w:pPr>
      <w:r>
        <w:rPr>
          <w:rFonts w:hint="default" w:ascii="Times New Roman" w:hAnsi="Times New Roman" w:eastAsia="宋体" w:cs="Times New Roman"/>
          <w:color w:val="auto"/>
          <w:sz w:val="24"/>
          <w:szCs w:val="32"/>
          <w:highlight w:val="none"/>
        </w:rPr>
        <w:t>由尾矿砂浸出试验结果可知，本项目尾矿砂属于I类一般工业固体废物，本</w:t>
      </w:r>
      <w:r>
        <w:rPr>
          <w:rFonts w:hint="default" w:ascii="Times New Roman" w:hAnsi="Times New Roman" w:eastAsia="宋体" w:cs="Times New Roman"/>
          <w:color w:val="auto"/>
          <w:sz w:val="24"/>
          <w:szCs w:val="32"/>
          <w:highlight w:val="none"/>
          <w:lang w:val="en-US" w:eastAsia="zh-CN"/>
        </w:rPr>
        <w:t>项目</w:t>
      </w:r>
      <w:r>
        <w:rPr>
          <w:rFonts w:hint="default" w:ascii="Times New Roman" w:hAnsi="Times New Roman" w:eastAsia="宋体" w:cs="Times New Roman"/>
          <w:color w:val="auto"/>
          <w:sz w:val="24"/>
          <w:szCs w:val="32"/>
          <w:highlight w:val="none"/>
        </w:rPr>
        <w:t>依据《一般工业固体废物贮存和填埋污染控制标准》（GB18599-2020）要求，逐条分析了尾矿库场址选择的合理性，分析结果见表</w:t>
      </w:r>
      <w:r>
        <w:rPr>
          <w:rFonts w:hint="default" w:ascii="Times New Roman" w:hAnsi="Times New Roman" w:eastAsia="宋体" w:cs="Times New Roman"/>
          <w:color w:val="auto"/>
          <w:sz w:val="24"/>
          <w:szCs w:val="32"/>
          <w:highlight w:val="none"/>
          <w:lang w:val="en-US" w:eastAsia="zh-CN"/>
        </w:rPr>
        <w:t>4</w:t>
      </w:r>
      <w:r>
        <w:rPr>
          <w:rFonts w:hint="default" w:ascii="Times New Roman" w:hAnsi="Times New Roman" w:eastAsia="宋体" w:cs="Times New Roman"/>
          <w:color w:val="auto"/>
          <w:sz w:val="24"/>
          <w:szCs w:val="32"/>
          <w:highlight w:val="none"/>
        </w:rPr>
        <w:t>。</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jc w:val="center"/>
        <w:textAlignment w:val="auto"/>
        <w:rPr>
          <w:rFonts w:hint="default" w:ascii="Times New Roman" w:hAnsi="Times New Roman" w:eastAsia="宋体" w:cs="Times New Roman"/>
          <w:b/>
          <w:bCs/>
          <w:color w:val="auto"/>
          <w:sz w:val="24"/>
          <w:szCs w:val="32"/>
          <w:highlight w:val="none"/>
        </w:rPr>
      </w:pPr>
      <w:r>
        <w:rPr>
          <w:rFonts w:hint="default" w:ascii="Times New Roman" w:hAnsi="Times New Roman" w:eastAsia="宋体" w:cs="Times New Roman"/>
          <w:b/>
          <w:bCs/>
          <w:color w:val="auto"/>
          <w:sz w:val="24"/>
          <w:szCs w:val="32"/>
          <w:highlight w:val="none"/>
        </w:rPr>
        <w:t>表</w:t>
      </w:r>
      <w:r>
        <w:rPr>
          <w:rFonts w:hint="default" w:ascii="Times New Roman" w:hAnsi="Times New Roman" w:eastAsia="宋体" w:cs="Times New Roman"/>
          <w:b/>
          <w:bCs/>
          <w:color w:val="auto"/>
          <w:sz w:val="24"/>
          <w:szCs w:val="32"/>
          <w:highlight w:val="none"/>
          <w:lang w:val="en-US" w:eastAsia="zh-CN"/>
        </w:rPr>
        <w:t>4</w:t>
      </w:r>
      <w:r>
        <w:rPr>
          <w:rFonts w:hint="default" w:ascii="Times New Roman" w:hAnsi="Times New Roman" w:eastAsia="宋体" w:cs="Times New Roman"/>
          <w:b/>
          <w:bCs/>
          <w:color w:val="auto"/>
          <w:sz w:val="24"/>
          <w:szCs w:val="32"/>
          <w:highlight w:val="none"/>
        </w:rPr>
        <w:t>一般工业固体废物贮存和填埋污染控制标准对照情况</w:t>
      </w:r>
    </w:p>
    <w:tbl>
      <w:tblPr>
        <w:tblStyle w:val="54"/>
        <w:tblW w:w="511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950"/>
        <w:gridCol w:w="3260"/>
        <w:gridCol w:w="3404"/>
        <w:gridCol w:w="89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92" w:hRule="atLeast"/>
          <w:jc w:val="center"/>
        </w:trPr>
        <w:tc>
          <w:tcPr>
            <w:tcW w:w="558" w:type="pct"/>
            <w:tcBorders>
              <w:top w:val="single" w:color="auto" w:sz="4" w:space="0"/>
              <w:left w:val="single" w:color="auto" w:sz="4" w:space="0"/>
            </w:tcBorders>
            <w:vAlign w:val="center"/>
          </w:tcPr>
          <w:p>
            <w:pPr>
              <w:pageBreakBefore w:val="0"/>
              <w:wordWrap/>
              <w:autoSpaceDE w:val="0"/>
              <w:autoSpaceDN w:val="0"/>
              <w:bidi w:val="0"/>
              <w:adjustRightInd w:val="0"/>
              <w:snapToGrid w:val="0"/>
              <w:ind w:left="0" w:leftChars="0" w:right="0" w:rightChars="0"/>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项目</w:t>
            </w:r>
          </w:p>
        </w:tc>
        <w:tc>
          <w:tcPr>
            <w:tcW w:w="1915" w:type="pct"/>
            <w:tcBorders>
              <w:top w:val="single" w:color="auto" w:sz="4" w:space="0"/>
            </w:tcBorders>
            <w:vAlign w:val="center"/>
          </w:tcPr>
          <w:p>
            <w:pPr>
              <w:pageBreakBefore w:val="0"/>
              <w:wordWrap/>
              <w:autoSpaceDE w:val="0"/>
              <w:autoSpaceDN w:val="0"/>
              <w:bidi w:val="0"/>
              <w:adjustRightInd w:val="0"/>
              <w:snapToGrid w:val="0"/>
              <w:ind w:left="0" w:leftChars="0" w:right="0" w:rightChars="0"/>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建设内容（条件及要求）</w:t>
            </w:r>
          </w:p>
        </w:tc>
        <w:tc>
          <w:tcPr>
            <w:tcW w:w="2000" w:type="pct"/>
            <w:tcBorders>
              <w:top w:val="single" w:color="auto" w:sz="4" w:space="0"/>
            </w:tcBorders>
            <w:vAlign w:val="center"/>
          </w:tcPr>
          <w:p>
            <w:pPr>
              <w:pageBreakBefore w:val="0"/>
              <w:wordWrap/>
              <w:autoSpaceDE w:val="0"/>
              <w:autoSpaceDN w:val="0"/>
              <w:bidi w:val="0"/>
              <w:adjustRightInd w:val="0"/>
              <w:snapToGrid w:val="0"/>
              <w:ind w:left="0" w:leftChars="0" w:right="0" w:rightChars="0"/>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核对本项目具体情况</w:t>
            </w:r>
          </w:p>
        </w:tc>
        <w:tc>
          <w:tcPr>
            <w:tcW w:w="527" w:type="pct"/>
            <w:tcBorders>
              <w:top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分析判定</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78" w:hRule="atLeast"/>
          <w:jc w:val="center"/>
        </w:trPr>
        <w:tc>
          <w:tcPr>
            <w:tcW w:w="558" w:type="pct"/>
            <w:vMerge w:val="restart"/>
            <w:tcBorders>
              <w:lef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4贮存场和填埋场选址要求</w:t>
            </w:r>
          </w:p>
          <w:p>
            <w:pPr>
              <w:pageBreakBefore w:val="0"/>
              <w:wordWrap/>
              <w:bidi w:val="0"/>
              <w:adjustRightInd w:val="0"/>
              <w:snapToGrid w:val="0"/>
              <w:ind w:left="0" w:leftChars="0" w:right="0" w:rightChars="0"/>
              <w:jc w:val="center"/>
              <w:rPr>
                <w:rFonts w:hint="default" w:ascii="Times New Roman" w:hAnsi="Times New Roman" w:eastAsia="宋体" w:cs="Times New Roman"/>
                <w:color w:val="auto"/>
                <w:szCs w:val="21"/>
                <w:highlight w:val="none"/>
              </w:rPr>
            </w:pPr>
          </w:p>
        </w:tc>
        <w:tc>
          <w:tcPr>
            <w:tcW w:w="1915" w:type="pct"/>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firstLine="420" w:firstLineChars="200"/>
              <w:jc w:val="left"/>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4.1一般工业固体废物贮存场、填埋场的选址应符合环境保护法律法规及相关法定规划要求。</w:t>
            </w:r>
          </w:p>
        </w:tc>
        <w:tc>
          <w:tcPr>
            <w:tcW w:w="2000" w:type="pct"/>
            <w:vMerge w:val="restart"/>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firstLine="420" w:firstLineChars="200"/>
              <w:jc w:val="left"/>
              <w:textAlignment w:val="auto"/>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rPr>
              <w:t>本次工程在现有尾矿库基础上加高坝体进行扩容，</w:t>
            </w:r>
            <w:r>
              <w:rPr>
                <w:rFonts w:hint="default" w:ascii="Times New Roman" w:hAnsi="Times New Roman" w:eastAsia="宋体" w:cs="Times New Roman"/>
                <w:color w:val="auto"/>
                <w:szCs w:val="21"/>
                <w:highlight w:val="none"/>
                <w:lang w:val="en-US" w:eastAsia="zh-CN"/>
              </w:rPr>
              <w:t>现有</w:t>
            </w:r>
            <w:r>
              <w:rPr>
                <w:rFonts w:hint="default" w:ascii="Times New Roman" w:hAnsi="Times New Roman" w:eastAsia="宋体" w:cs="Times New Roman"/>
                <w:color w:val="auto"/>
                <w:szCs w:val="21"/>
                <w:highlight w:val="none"/>
              </w:rPr>
              <w:t>尾矿库已取得</w:t>
            </w:r>
            <w:r>
              <w:rPr>
                <w:rFonts w:hint="default" w:ascii="Times New Roman" w:hAnsi="Times New Roman" w:eastAsia="宋体" w:cs="Times New Roman"/>
                <w:color w:val="auto"/>
                <w:szCs w:val="21"/>
                <w:highlight w:val="none"/>
                <w:lang w:val="en-US" w:eastAsia="zh-CN"/>
              </w:rPr>
              <w:t>了</w:t>
            </w:r>
            <w:r>
              <w:rPr>
                <w:rFonts w:hint="default" w:ascii="Times New Roman" w:hAnsi="Times New Roman" w:eastAsia="宋体" w:cs="Times New Roman"/>
                <w:color w:val="auto"/>
                <w:szCs w:val="21"/>
                <w:highlight w:val="none"/>
              </w:rPr>
              <w:t>《乌拉特前旗西沙德盖钼业有限责任公司环境影响报告书》的批复，通过</w:t>
            </w:r>
            <w:r>
              <w:rPr>
                <w:rFonts w:hint="default" w:ascii="Times New Roman" w:hAnsi="Times New Roman" w:eastAsia="宋体" w:cs="Times New Roman"/>
                <w:color w:val="auto"/>
                <w:szCs w:val="21"/>
                <w:highlight w:val="none"/>
                <w:lang w:val="en-US" w:eastAsia="zh-CN"/>
              </w:rPr>
              <w:t>环保</w:t>
            </w:r>
            <w:r>
              <w:rPr>
                <w:rFonts w:hint="default" w:ascii="Times New Roman" w:hAnsi="Times New Roman" w:eastAsia="宋体" w:cs="Times New Roman"/>
                <w:color w:val="auto"/>
                <w:szCs w:val="21"/>
                <w:highlight w:val="none"/>
              </w:rPr>
              <w:t>验收</w:t>
            </w:r>
            <w:r>
              <w:rPr>
                <w:rFonts w:hint="default" w:ascii="Times New Roman" w:hAnsi="Times New Roman" w:eastAsia="宋体" w:cs="Times New Roman"/>
                <w:color w:val="auto"/>
                <w:szCs w:val="21"/>
                <w:highlight w:val="none"/>
                <w:lang w:eastAsia="zh-CN"/>
              </w:rPr>
              <w:t>；</w:t>
            </w:r>
          </w:p>
          <w:p>
            <w:pPr>
              <w:keepNext w:val="0"/>
              <w:keepLines w:val="0"/>
              <w:pageBreakBefore w:val="0"/>
              <w:widowControl w:val="0"/>
              <w:kinsoku/>
              <w:wordWrap/>
              <w:overflowPunct/>
              <w:topLinePunct w:val="0"/>
              <w:autoSpaceDE/>
              <w:autoSpaceDN/>
              <w:bidi w:val="0"/>
              <w:adjustRightInd w:val="0"/>
              <w:snapToGrid w:val="0"/>
              <w:ind w:left="0" w:leftChars="0" w:right="0" w:rightChars="0" w:firstLine="420" w:firstLineChars="200"/>
              <w:jc w:val="left"/>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该尾矿库与周围居民区的距离符合环境影响评价文件及审批意见的规定。</w:t>
            </w:r>
          </w:p>
        </w:tc>
        <w:tc>
          <w:tcPr>
            <w:tcW w:w="527" w:type="pct"/>
            <w:tcBorders>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符合要求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78" w:hRule="atLeast"/>
          <w:jc w:val="center"/>
        </w:trPr>
        <w:tc>
          <w:tcPr>
            <w:tcW w:w="558" w:type="pct"/>
            <w:vMerge w:val="continue"/>
            <w:tcBorders>
              <w:lef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szCs w:val="21"/>
                <w:highlight w:val="none"/>
              </w:rPr>
            </w:pPr>
          </w:p>
        </w:tc>
        <w:tc>
          <w:tcPr>
            <w:tcW w:w="1915" w:type="pct"/>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firstLine="420" w:firstLineChars="200"/>
              <w:jc w:val="left"/>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4.2贮存场、填埋场的位置与周围居民区的距离应依据环境影响评价文件及审批意见确定。</w:t>
            </w:r>
          </w:p>
        </w:tc>
        <w:tc>
          <w:tcPr>
            <w:tcW w:w="2000" w:type="pct"/>
            <w:vMerge w:val="continue"/>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firstLine="420" w:firstLineChars="200"/>
              <w:jc w:val="left"/>
              <w:textAlignment w:val="auto"/>
              <w:rPr>
                <w:rFonts w:hint="default" w:ascii="Times New Roman" w:hAnsi="Times New Roman" w:eastAsia="宋体" w:cs="Times New Roman"/>
                <w:color w:val="auto"/>
                <w:szCs w:val="21"/>
                <w:highlight w:val="none"/>
              </w:rPr>
            </w:pPr>
          </w:p>
        </w:tc>
        <w:tc>
          <w:tcPr>
            <w:tcW w:w="527" w:type="pct"/>
            <w:tcBorders>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符合要求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78" w:hRule="atLeast"/>
          <w:jc w:val="center"/>
        </w:trPr>
        <w:tc>
          <w:tcPr>
            <w:tcW w:w="558" w:type="pct"/>
            <w:vMerge w:val="continue"/>
            <w:tcBorders>
              <w:lef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szCs w:val="21"/>
                <w:highlight w:val="none"/>
              </w:rPr>
            </w:pPr>
          </w:p>
        </w:tc>
        <w:tc>
          <w:tcPr>
            <w:tcW w:w="1915" w:type="pct"/>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firstLine="420" w:firstLineChars="200"/>
              <w:jc w:val="left"/>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4.3贮存场、填埋场不得选在生态保护红线区域、永久基本农田集中区域和其他需要特别保护的区域内。</w:t>
            </w:r>
          </w:p>
        </w:tc>
        <w:tc>
          <w:tcPr>
            <w:tcW w:w="2000" w:type="pct"/>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firstLine="420" w:firstLineChars="200"/>
              <w:jc w:val="left"/>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本项目尾矿库不涉及自然保护区、风景名胜区等需要保护的区域。</w:t>
            </w:r>
          </w:p>
        </w:tc>
        <w:tc>
          <w:tcPr>
            <w:tcW w:w="527" w:type="pct"/>
            <w:tcBorders>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符合要求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78" w:hRule="atLeast"/>
          <w:jc w:val="center"/>
        </w:trPr>
        <w:tc>
          <w:tcPr>
            <w:tcW w:w="558" w:type="pct"/>
            <w:vMerge w:val="continue"/>
            <w:tcBorders>
              <w:lef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szCs w:val="21"/>
                <w:highlight w:val="none"/>
              </w:rPr>
            </w:pPr>
          </w:p>
        </w:tc>
        <w:tc>
          <w:tcPr>
            <w:tcW w:w="1915" w:type="pct"/>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firstLine="420" w:firstLineChars="200"/>
              <w:jc w:val="left"/>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4.4贮存场、填埋场应避开活动断层、溶洞区、天然滑坡或泥石流影响区以及湿地等区域。</w:t>
            </w:r>
          </w:p>
        </w:tc>
        <w:tc>
          <w:tcPr>
            <w:tcW w:w="2000" w:type="pct"/>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firstLine="420" w:firstLineChars="200"/>
              <w:jc w:val="left"/>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本项目尾矿库位置不涉及溶洞区、天然滑坡或泥石流影响区以及湿地等区域。</w:t>
            </w:r>
          </w:p>
        </w:tc>
        <w:tc>
          <w:tcPr>
            <w:tcW w:w="527" w:type="pct"/>
            <w:tcBorders>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符合要求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78" w:hRule="atLeast"/>
          <w:jc w:val="center"/>
        </w:trPr>
        <w:tc>
          <w:tcPr>
            <w:tcW w:w="558" w:type="pct"/>
            <w:vMerge w:val="continue"/>
            <w:tcBorders>
              <w:lef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szCs w:val="21"/>
                <w:highlight w:val="none"/>
              </w:rPr>
            </w:pPr>
          </w:p>
        </w:tc>
        <w:tc>
          <w:tcPr>
            <w:tcW w:w="1915" w:type="pct"/>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firstLine="420" w:firstLineChars="200"/>
              <w:jc w:val="left"/>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4.5贮存场、填埋场不得选在江河、湖泊、运河、渠道、水库最高水位线以下的滩地和岸坡，以及国家和地方长远规划中的水库等人工蓄水设施的淹没区和保护区之内。</w:t>
            </w:r>
          </w:p>
        </w:tc>
        <w:tc>
          <w:tcPr>
            <w:tcW w:w="2000" w:type="pct"/>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firstLine="420" w:firstLineChars="200"/>
              <w:jc w:val="left"/>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本项目尾矿库位置不在江河、湖泊、运河、渠道、水库最高水位线以下的滩地和岸坡，以及国家和地方长远规划中的水库等人工蓄水设施的淹没区和保护区之内。</w:t>
            </w:r>
          </w:p>
        </w:tc>
        <w:tc>
          <w:tcPr>
            <w:tcW w:w="527" w:type="pct"/>
            <w:tcBorders>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符合要求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78" w:hRule="atLeast"/>
          <w:jc w:val="center"/>
        </w:trPr>
        <w:tc>
          <w:tcPr>
            <w:tcW w:w="558" w:type="pct"/>
            <w:tcBorders>
              <w:left w:val="single" w:color="auto" w:sz="4" w:space="0"/>
              <w:bottom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5贮存场和填埋场选址要求</w:t>
            </w:r>
          </w:p>
        </w:tc>
        <w:tc>
          <w:tcPr>
            <w:tcW w:w="1915" w:type="pct"/>
            <w:tcBorders>
              <w:bottom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5.2.1当天然基础层饱和渗透系数不大于1.0×10</w:t>
            </w:r>
            <w:r>
              <w:rPr>
                <w:rFonts w:hint="default" w:ascii="Times New Roman" w:hAnsi="Times New Roman" w:eastAsia="宋体" w:cs="Times New Roman"/>
                <w:color w:val="auto"/>
                <w:sz w:val="21"/>
                <w:szCs w:val="21"/>
                <w:highlight w:val="none"/>
                <w:vertAlign w:val="superscript"/>
              </w:rPr>
              <w:t>-5</w:t>
            </w:r>
            <w:r>
              <w:rPr>
                <w:rFonts w:hint="default" w:ascii="Times New Roman" w:hAnsi="Times New Roman" w:eastAsia="宋体" w:cs="Times New Roman"/>
                <w:color w:val="auto"/>
                <w:sz w:val="21"/>
                <w:szCs w:val="21"/>
                <w:highlight w:val="none"/>
              </w:rPr>
              <w:t>cm/s，且厚度不小于0.75m时，可以采用天然基础层作为防渗衬层。</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5.2.2当天然基础层不能满足5.2.1条防渗要求时，可采用改性压实粘土类衬层或具有同等以上隔水效力的其他材料防渗衬层，其防渗性能应至少相当于渗透系数为1.0×10</w:t>
            </w:r>
            <w:r>
              <w:rPr>
                <w:rFonts w:hint="default" w:ascii="Times New Roman" w:hAnsi="Times New Roman" w:eastAsia="宋体" w:cs="Times New Roman"/>
                <w:color w:val="auto"/>
                <w:sz w:val="21"/>
                <w:szCs w:val="21"/>
                <w:highlight w:val="none"/>
                <w:vertAlign w:val="superscript"/>
              </w:rPr>
              <w:t>-5</w:t>
            </w:r>
            <w:r>
              <w:rPr>
                <w:rFonts w:hint="default" w:ascii="Times New Roman" w:hAnsi="Times New Roman" w:eastAsia="宋体" w:cs="Times New Roman"/>
                <w:color w:val="auto"/>
                <w:sz w:val="21"/>
                <w:szCs w:val="21"/>
                <w:highlight w:val="none"/>
              </w:rPr>
              <w:t>cm/s且厚度为0.75m的天然基础层。</w:t>
            </w:r>
          </w:p>
        </w:tc>
        <w:tc>
          <w:tcPr>
            <w:tcW w:w="2000" w:type="pct"/>
            <w:tcBorders>
              <w:bottom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本次尾矿库加高扩容项目防渗工程包括两部分内容：（1）尾矿库现有库区防渗依托现有防渗措施；（2）紧邻现有尾矿库南侧新增占地上新建尾矿库区防渗措施。</w:t>
            </w:r>
          </w:p>
          <w:p>
            <w:pPr>
              <w:pageBreakBefore w:val="0"/>
              <w:widowControl w:val="0"/>
              <w:kinsoku/>
              <w:wordWrap/>
              <w:overflowPunct/>
              <w:topLinePunct w:val="0"/>
              <w:autoSpaceDE/>
              <w:autoSpaceDN/>
              <w:bidi w:val="0"/>
              <w:snapToGrid w:val="0"/>
              <w:spacing w:line="240" w:lineRule="auto"/>
              <w:ind w:left="0" w:leftChars="0" w:right="0" w:rightChars="0" w:firstLine="422" w:firstLineChars="200"/>
              <w:jc w:val="both"/>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1、现有尾矿库区防渗如下：</w:t>
            </w:r>
          </w:p>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根据《监理报告》可知：现有</w:t>
            </w:r>
            <w:r>
              <w:rPr>
                <w:rFonts w:hint="default" w:ascii="Times New Roman" w:hAnsi="Times New Roman" w:eastAsia="宋体" w:cs="Times New Roman"/>
                <w:color w:val="auto"/>
                <w:sz w:val="21"/>
                <w:szCs w:val="21"/>
                <w:highlight w:val="none"/>
                <w:lang w:eastAsia="zh-CN"/>
              </w:rPr>
              <w:t>尾矿库库底和边坡同样做防渗层，铺设300mm厚级配沙砾石过渡层，300mm厚粘土层（渗透系数不大于10</w:t>
            </w:r>
            <w:r>
              <w:rPr>
                <w:rFonts w:hint="default" w:ascii="Times New Roman" w:hAnsi="Times New Roman" w:eastAsia="宋体" w:cs="Times New Roman"/>
                <w:color w:val="auto"/>
                <w:sz w:val="21"/>
                <w:szCs w:val="21"/>
                <w:highlight w:val="none"/>
                <w:vertAlign w:val="superscript"/>
                <w:lang w:eastAsia="zh-CN"/>
              </w:rPr>
              <w:t>-7</w:t>
            </w:r>
            <w:r>
              <w:rPr>
                <w:rFonts w:hint="default" w:ascii="Times New Roman" w:hAnsi="Times New Roman" w:eastAsia="宋体" w:cs="Times New Roman"/>
                <w:color w:val="auto"/>
                <w:sz w:val="21"/>
                <w:szCs w:val="21"/>
                <w:highlight w:val="none"/>
                <w:lang w:eastAsia="zh-CN"/>
              </w:rPr>
              <w:t>cm/s），1.5mmHDPE土工膜，300mm厚细砂保护层，300mm砂砾石保护层（粒径4-6cm）；初期坝坝体上游坡</w:t>
            </w:r>
            <w:r>
              <w:rPr>
                <w:rFonts w:hint="default" w:ascii="Times New Roman" w:hAnsi="Times New Roman" w:eastAsia="宋体" w:cs="Times New Roman"/>
                <w:color w:val="auto"/>
                <w:sz w:val="21"/>
                <w:szCs w:val="21"/>
                <w:highlight w:val="none"/>
                <w:lang w:val="en-US" w:eastAsia="zh-CN"/>
              </w:rPr>
              <w:t>铺设400mm厚粗砂垫层，然后铺设</w:t>
            </w:r>
            <w:r>
              <w:rPr>
                <w:rFonts w:hint="default" w:ascii="Times New Roman" w:hAnsi="Times New Roman" w:eastAsia="宋体" w:cs="Times New Roman"/>
                <w:color w:val="auto"/>
                <w:sz w:val="21"/>
                <w:szCs w:val="21"/>
                <w:highlight w:val="none"/>
                <w:lang w:eastAsia="zh-CN"/>
              </w:rPr>
              <w:t>500g/m</w:t>
            </w:r>
            <w:r>
              <w:rPr>
                <w:rFonts w:hint="default" w:ascii="Times New Roman" w:hAnsi="Times New Roman" w:eastAsia="宋体" w:cs="Times New Roman"/>
                <w:color w:val="auto"/>
                <w:sz w:val="21"/>
                <w:szCs w:val="21"/>
                <w:highlight w:val="none"/>
                <w:vertAlign w:val="superscript"/>
                <w:lang w:eastAsia="zh-CN"/>
              </w:rPr>
              <w:t>2</w:t>
            </w:r>
            <w:r>
              <w:rPr>
                <w:rFonts w:hint="default" w:ascii="Times New Roman" w:hAnsi="Times New Roman" w:eastAsia="宋体" w:cs="Times New Roman"/>
                <w:color w:val="auto"/>
                <w:sz w:val="21"/>
                <w:szCs w:val="21"/>
                <w:highlight w:val="none"/>
                <w:lang w:val="en-US" w:eastAsia="zh-CN"/>
              </w:rPr>
              <w:t>加筋土工布，最上面铺500mm厚天然砂砾石保护层。</w:t>
            </w:r>
          </w:p>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2017年8月23日原巴彦淖尔市环境保护局以《内蒙古自治区乌拉特前旗西沙德盖钼业有限责任公司10000t/d钼矿采选扩建尾矿库工程竣工环境保护验收意见》（巴环验〔2017〕28号）</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尾矿库做防渗处理，满足Ⅱ类场要求运行和管理</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同意现有尾矿库通过竣工环境保护验收</w:t>
            </w:r>
            <w:r>
              <w:rPr>
                <w:rFonts w:hint="default" w:ascii="Times New Roman" w:hAnsi="Times New Roman" w:eastAsia="宋体" w:cs="Times New Roman"/>
                <w:color w:val="auto"/>
                <w:sz w:val="21"/>
                <w:szCs w:val="21"/>
                <w:highlight w:val="none"/>
                <w:lang w:val="en-US" w:eastAsia="zh-CN"/>
              </w:rPr>
              <w:t>。</w:t>
            </w:r>
          </w:p>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2、紧邻现有尾矿库南侧新增占地部分：尾矿库库底和边坡同样做防渗层，铺设750mm厚粘土层（渗透系数不大于10</w:t>
            </w:r>
            <w:r>
              <w:rPr>
                <w:rFonts w:hint="default" w:ascii="Times New Roman" w:hAnsi="Times New Roman" w:eastAsia="宋体" w:cs="Times New Roman"/>
                <w:color w:val="auto"/>
                <w:sz w:val="21"/>
                <w:szCs w:val="21"/>
                <w:highlight w:val="none"/>
                <w:vertAlign w:val="superscript"/>
                <w:lang w:val="en-US" w:eastAsia="zh-CN"/>
              </w:rPr>
              <w:t>-7</w:t>
            </w:r>
            <w:r>
              <w:rPr>
                <w:rFonts w:hint="default" w:ascii="Times New Roman" w:hAnsi="Times New Roman" w:eastAsia="宋体" w:cs="Times New Roman"/>
                <w:color w:val="auto"/>
                <w:sz w:val="21"/>
                <w:szCs w:val="21"/>
                <w:highlight w:val="none"/>
                <w:lang w:val="en-US" w:eastAsia="zh-CN"/>
              </w:rPr>
              <w:t>cm/s），1.5mmHDPE土工膜，300mm厚细砂保护层，300mm砂砾石保护层（粒径4-6cm）。</w:t>
            </w:r>
          </w:p>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lang w:eastAsia="zh-CN"/>
              </w:rPr>
              <w:t>回水池：坝体内侧及整个水池底部全部采用</w:t>
            </w:r>
            <w:r>
              <w:rPr>
                <w:rFonts w:hint="default" w:ascii="Times New Roman" w:hAnsi="Times New Roman" w:eastAsia="宋体" w:cs="Times New Roman"/>
                <w:color w:val="auto"/>
                <w:sz w:val="21"/>
                <w:szCs w:val="21"/>
                <w:highlight w:val="none"/>
                <w:lang w:val="en-US" w:eastAsia="zh-CN"/>
              </w:rPr>
              <w:t>C30抗渗等级P6混凝土。</w:t>
            </w:r>
          </w:p>
        </w:tc>
        <w:tc>
          <w:tcPr>
            <w:tcW w:w="527" w:type="pct"/>
            <w:tcBorders>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从安全角度分析，现有尾矿库建设符合要求</w:t>
            </w:r>
          </w:p>
        </w:tc>
      </w:tr>
    </w:tbl>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根据上表</w:t>
      </w:r>
      <w:r>
        <w:rPr>
          <w:rFonts w:hint="default" w:ascii="Times New Roman" w:hAnsi="Times New Roman" w:eastAsia="宋体" w:cs="Times New Roman"/>
          <w:color w:val="auto"/>
          <w:sz w:val="24"/>
          <w:highlight w:val="none"/>
          <w:lang w:eastAsia="zh-CN"/>
        </w:rPr>
        <w:t>分析</w:t>
      </w:r>
      <w:r>
        <w:rPr>
          <w:rFonts w:hint="default" w:ascii="Times New Roman" w:hAnsi="Times New Roman" w:eastAsia="宋体" w:cs="Times New Roman"/>
          <w:color w:val="auto"/>
          <w:sz w:val="24"/>
          <w:highlight w:val="none"/>
        </w:rPr>
        <w:t>，本</w:t>
      </w:r>
      <w:r>
        <w:rPr>
          <w:rFonts w:hint="default" w:ascii="Times New Roman" w:hAnsi="Times New Roman" w:eastAsia="宋体" w:cs="Times New Roman"/>
          <w:color w:val="auto"/>
          <w:sz w:val="24"/>
          <w:highlight w:val="none"/>
          <w:lang w:val="en-US" w:eastAsia="zh-CN"/>
        </w:rPr>
        <w:t>项目</w:t>
      </w:r>
      <w:r>
        <w:rPr>
          <w:rFonts w:hint="default" w:ascii="Times New Roman" w:hAnsi="Times New Roman" w:eastAsia="宋体" w:cs="Times New Roman"/>
          <w:color w:val="auto"/>
          <w:sz w:val="24"/>
          <w:highlight w:val="none"/>
        </w:rPr>
        <w:t>尾矿库符合《尾矿设施设计规范》（GB50863-2013）以及《一般工业固体废物贮存和填埋污染控制标准》（GB18599-2020）选址要求分析，该尾矿库用地不涉及永久基本农田，符合乌拉特前旗土地利用总体规划，且取得了巴彦淖尔市应急管理局文件《关于乌拉特前旗西沙德盖钼业有限责任公司年处理300万吨钼矿选矿节能技改扩产项目尾矿库加高扩容工程项目安全设计的批复》。</w:t>
      </w:r>
    </w:p>
    <w:p>
      <w:pPr>
        <w:pageBreakBefore w:val="0"/>
        <w:wordWrap/>
        <w:bidi w:val="0"/>
        <w:spacing w:line="360" w:lineRule="auto"/>
        <w:ind w:left="0" w:leftChars="0" w:right="0" w:rightChars="0" w:firstLine="480" w:firstLineChars="200"/>
        <w:jc w:val="left"/>
        <w:outlineLvl w:val="0"/>
        <w:rPr>
          <w:rFonts w:hint="default" w:ascii="Times New Roman" w:hAnsi="Times New Roman" w:eastAsia="宋体" w:cs="Times New Roman"/>
          <w:color w:val="auto"/>
          <w:sz w:val="24"/>
          <w:highlight w:val="none"/>
        </w:rPr>
      </w:pPr>
      <w:bookmarkStart w:id="76" w:name="_Toc9628"/>
      <w:bookmarkStart w:id="77" w:name="_Toc3141"/>
      <w:bookmarkStart w:id="78" w:name="_Toc3358"/>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8</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选址合理性分析</w:t>
      </w:r>
      <w:bookmarkEnd w:id="76"/>
      <w:bookmarkEnd w:id="77"/>
      <w:bookmarkEnd w:id="78"/>
    </w:p>
    <w:p>
      <w:pPr>
        <w:pageBreakBefore w:val="0"/>
        <w:wordWrap/>
        <w:bidi w:val="0"/>
        <w:spacing w:line="360" w:lineRule="auto"/>
        <w:ind w:left="0" w:leftChars="0" w:right="0" w:rightChars="0" w:firstLine="480" w:firstLineChars="20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本项目在西沙德盖钼业公司现有尾矿库基础上进行</w:t>
      </w:r>
      <w:r>
        <w:rPr>
          <w:rFonts w:hint="default" w:ascii="Times New Roman" w:hAnsi="Times New Roman" w:eastAsia="宋体" w:cs="Times New Roman"/>
          <w:bCs/>
          <w:color w:val="auto"/>
          <w:sz w:val="24"/>
          <w:highlight w:val="none"/>
          <w:lang w:bidi="en-US"/>
        </w:rPr>
        <w:t>加高扩容</w:t>
      </w:r>
      <w:r>
        <w:rPr>
          <w:rFonts w:hint="default" w:ascii="Times New Roman" w:hAnsi="Times New Roman" w:eastAsia="宋体" w:cs="Times New Roman"/>
          <w:bCs/>
          <w:color w:val="auto"/>
          <w:sz w:val="24"/>
          <w:highlight w:val="none"/>
          <w:lang w:eastAsia="zh-CN" w:bidi="en-US"/>
        </w:rPr>
        <w:t>，</w:t>
      </w:r>
      <w:r>
        <w:rPr>
          <w:rFonts w:hint="default" w:ascii="Times New Roman" w:hAnsi="Times New Roman" w:eastAsia="宋体" w:cs="Times New Roman"/>
          <w:color w:val="auto"/>
          <w:sz w:val="24"/>
          <w:highlight w:val="none"/>
        </w:rPr>
        <w:t>尾矿库</w:t>
      </w:r>
      <w:r>
        <w:rPr>
          <w:rFonts w:hint="default" w:ascii="Times New Roman" w:hAnsi="Times New Roman" w:eastAsia="宋体" w:cs="Times New Roman"/>
          <w:color w:val="auto"/>
          <w:sz w:val="24"/>
          <w:highlight w:val="none"/>
          <w:lang w:eastAsia="zh-CN"/>
        </w:rPr>
        <w:t>属</w:t>
      </w:r>
      <w:r>
        <w:rPr>
          <w:rFonts w:hint="default" w:ascii="Times New Roman" w:hAnsi="Times New Roman" w:eastAsia="宋体" w:cs="Times New Roman"/>
          <w:color w:val="auto"/>
          <w:sz w:val="24"/>
          <w:highlight w:val="none"/>
        </w:rPr>
        <w:t>于山谷型尾矿库</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szCs w:val="24"/>
          <w:highlight w:val="none"/>
        </w:rPr>
        <w:t>扩建后，尾矿库</w:t>
      </w:r>
      <w:r>
        <w:rPr>
          <w:rFonts w:hint="default" w:ascii="Times New Roman" w:hAnsi="Times New Roman" w:eastAsia="宋体" w:cs="Times New Roman"/>
          <w:color w:val="auto"/>
          <w:sz w:val="24"/>
          <w:szCs w:val="24"/>
          <w:highlight w:val="none"/>
          <w:lang w:eastAsia="zh-CN"/>
        </w:rPr>
        <w:t>总占地面积</w:t>
      </w:r>
      <w:r>
        <w:rPr>
          <w:rFonts w:hint="default" w:ascii="Times New Roman" w:hAnsi="Times New Roman" w:eastAsia="宋体" w:cs="Times New Roman"/>
          <w:color w:val="auto"/>
          <w:sz w:val="24"/>
          <w:szCs w:val="24"/>
          <w:highlight w:val="none"/>
          <w:lang w:val="en-US" w:eastAsia="zh-CN"/>
        </w:rPr>
        <w:t>591800m</w:t>
      </w:r>
      <w:r>
        <w:rPr>
          <w:rFonts w:hint="default" w:ascii="Times New Roman" w:hAnsi="Times New Roman" w:eastAsia="宋体" w:cs="Times New Roman"/>
          <w:color w:val="auto"/>
          <w:sz w:val="24"/>
          <w:szCs w:val="24"/>
          <w:highlight w:val="none"/>
          <w:vertAlign w:val="superscript"/>
          <w:lang w:val="en-US" w:eastAsia="zh-CN"/>
        </w:rPr>
        <w:t>2</w:t>
      </w:r>
      <w:r>
        <w:rPr>
          <w:rFonts w:hint="default" w:ascii="Times New Roman" w:hAnsi="Times New Roman" w:eastAsia="宋体" w:cs="Times New Roman"/>
          <w:color w:val="auto"/>
          <w:sz w:val="24"/>
          <w:szCs w:val="24"/>
          <w:highlight w:val="none"/>
          <w:lang w:eastAsia="zh-CN"/>
        </w:rPr>
        <w:t>（新增占地面积</w:t>
      </w:r>
      <w:r>
        <w:rPr>
          <w:rFonts w:hint="default" w:ascii="Times New Roman" w:hAnsi="Times New Roman" w:eastAsia="宋体" w:cs="Times New Roman"/>
          <w:color w:val="auto"/>
          <w:sz w:val="24"/>
          <w:szCs w:val="24"/>
          <w:highlight w:val="none"/>
          <w:lang w:val="en-US" w:eastAsia="zh-CN"/>
        </w:rPr>
        <w:t>213144.71m</w:t>
      </w:r>
      <w:r>
        <w:rPr>
          <w:rFonts w:hint="default" w:ascii="Times New Roman" w:hAnsi="Times New Roman" w:eastAsia="宋体" w:cs="Times New Roman"/>
          <w:color w:val="auto"/>
          <w:sz w:val="24"/>
          <w:szCs w:val="24"/>
          <w:highlight w:val="none"/>
          <w:vertAlign w:val="superscript"/>
          <w:lang w:val="en-US" w:eastAsia="zh-CN"/>
        </w:rPr>
        <w:t>2</w:t>
      </w:r>
      <w:r>
        <w:rPr>
          <w:rFonts w:hint="default" w:ascii="Times New Roman" w:hAnsi="Times New Roman" w:eastAsia="宋体" w:cs="Times New Roman"/>
          <w:color w:val="auto"/>
          <w:sz w:val="24"/>
          <w:szCs w:val="24"/>
          <w:highlight w:val="none"/>
          <w:lang w:eastAsia="zh-CN"/>
        </w:rPr>
        <w:t>），新增用地的土地类型主要为</w:t>
      </w:r>
      <w:r>
        <w:rPr>
          <w:rFonts w:hint="default" w:ascii="Times New Roman" w:hAnsi="Times New Roman" w:eastAsia="宋体" w:cs="Times New Roman"/>
          <w:color w:val="auto"/>
          <w:sz w:val="24"/>
          <w:szCs w:val="24"/>
          <w:highlight w:val="none"/>
          <w:lang w:val="en-US" w:eastAsia="zh-CN"/>
        </w:rPr>
        <w:t>其他草原</w:t>
      </w:r>
      <w:r>
        <w:rPr>
          <w:rFonts w:hint="default" w:ascii="Times New Roman" w:hAnsi="Times New Roman" w:eastAsia="宋体" w:cs="Times New Roman"/>
          <w:color w:val="auto"/>
          <w:sz w:val="24"/>
          <w:szCs w:val="24"/>
          <w:highlight w:val="none"/>
          <w:lang w:eastAsia="zh-CN"/>
        </w:rPr>
        <w:t>，不涉及基本草地，目前正在办理征占草地手续；</w:t>
      </w:r>
      <w:r>
        <w:rPr>
          <w:rFonts w:hint="default" w:ascii="Times New Roman" w:hAnsi="Times New Roman" w:eastAsia="宋体" w:cs="Times New Roman"/>
          <w:color w:val="auto"/>
          <w:sz w:val="24"/>
          <w:highlight w:val="none"/>
        </w:rPr>
        <w:t>项目用地不在风景名胜区、国防设施等保护区范围内。</w:t>
      </w:r>
    </w:p>
    <w:p>
      <w:pPr>
        <w:pageBreakBefore w:val="0"/>
        <w:wordWrap/>
        <w:bidi w:val="0"/>
        <w:spacing w:line="360" w:lineRule="auto"/>
        <w:ind w:left="0" w:leftChars="0" w:right="0" w:rightChars="0" w:firstLine="480" w:firstLineChars="200"/>
        <w:jc w:val="left"/>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本项目已取得了巴彦淖尔市应急管理局文件（巴应急基础发</w:t>
      </w:r>
      <w:r>
        <w:rPr>
          <w:rFonts w:hint="default" w:ascii="Times New Roman" w:hAnsi="Times New Roman" w:eastAsia="宋体" w:cs="Times New Roman"/>
          <w:color w:val="auto"/>
          <w:sz w:val="24"/>
          <w:highlight w:val="none"/>
        </w:rPr>
        <w:t>〔202</w:t>
      </w:r>
      <w:r>
        <w:rPr>
          <w:rFonts w:hint="default" w:ascii="Times New Roman" w:hAnsi="Times New Roman" w:eastAsia="宋体" w:cs="Times New Roman"/>
          <w:color w:val="auto"/>
          <w:sz w:val="24"/>
          <w:highlight w:val="none"/>
          <w:lang w:val="en-US" w:eastAsia="zh-CN"/>
        </w:rPr>
        <w:t>3</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32号</w:t>
      </w:r>
      <w:r>
        <w:rPr>
          <w:rFonts w:hint="default" w:ascii="Times New Roman" w:hAnsi="Times New Roman" w:eastAsia="宋体" w:cs="Times New Roman"/>
          <w:color w:val="auto"/>
          <w:sz w:val="24"/>
          <w:highlight w:val="none"/>
          <w:lang w:eastAsia="zh-CN"/>
        </w:rPr>
        <w:t>），项目《安全设施设计》符合《金属非金属矿山建设项目安全设施目录（试行）》和《国家安全监管总局关于印发金属非金属矿山建设项目安全设施设计编写提纲</w:t>
      </w:r>
      <w:r>
        <w:rPr>
          <w:rFonts w:hint="default" w:ascii="Times New Roman" w:hAnsi="Times New Roman" w:eastAsia="宋体" w:cs="Times New Roman"/>
          <w:color w:val="auto"/>
          <w:sz w:val="24"/>
          <w:highlight w:val="none"/>
          <w:lang w:val="en-US" w:eastAsia="zh-CN"/>
        </w:rPr>
        <w:t>的通知</w:t>
      </w:r>
      <w:r>
        <w:rPr>
          <w:rFonts w:hint="default" w:ascii="Times New Roman" w:hAnsi="Times New Roman" w:eastAsia="宋体" w:cs="Times New Roman"/>
          <w:color w:val="auto"/>
          <w:sz w:val="24"/>
          <w:highlight w:val="none"/>
          <w:lang w:eastAsia="zh-CN"/>
        </w:rPr>
        <w:t>》要求以及相关国家和行业标准的规定。</w:t>
      </w:r>
    </w:p>
    <w:p>
      <w:pPr>
        <w:pageBreakBefore w:val="0"/>
        <w:wordWrap/>
        <w:bidi w:val="0"/>
        <w:spacing w:line="360" w:lineRule="auto"/>
        <w:ind w:left="0" w:leftChars="0" w:right="0" w:rightChars="0" w:firstLine="480" w:firstLineChars="20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本项目尾矿库场址符合《一般工业固体废物贮存和填埋污染控制标准》（GB18599-2020</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和《尾矿设施设计规范》（GB50863-2013</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的相关规定</w:t>
      </w:r>
      <w:r>
        <w:rPr>
          <w:rFonts w:hint="default" w:ascii="Times New Roman" w:hAnsi="Times New Roman" w:eastAsia="宋体" w:cs="Times New Roman"/>
          <w:color w:val="auto"/>
          <w:sz w:val="24"/>
          <w:highlight w:val="none"/>
          <w:lang w:eastAsia="zh-CN"/>
        </w:rPr>
        <w:t>；产生的各类污染物均能达标排放，</w:t>
      </w:r>
      <w:r>
        <w:rPr>
          <w:rFonts w:hint="default" w:ascii="Times New Roman" w:hAnsi="Times New Roman" w:eastAsia="宋体" w:cs="Times New Roman"/>
          <w:color w:val="auto"/>
          <w:sz w:val="24"/>
          <w:highlight w:val="none"/>
        </w:rPr>
        <w:t>对周围环境影响较小。</w:t>
      </w:r>
    </w:p>
    <w:p>
      <w:pPr>
        <w:pageBreakBefore w:val="0"/>
        <w:wordWrap/>
        <w:bidi w:val="0"/>
        <w:spacing w:line="360" w:lineRule="auto"/>
        <w:ind w:left="0" w:leftChars="0" w:right="0" w:rightChars="0" w:firstLine="480" w:firstLineChars="20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因此</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本项目选址合理。</w:t>
      </w:r>
    </w:p>
    <w:p>
      <w:pPr>
        <w:pageBreakBefore w:val="0"/>
        <w:wordWrap/>
        <w:bidi w:val="0"/>
        <w:spacing w:line="360" w:lineRule="auto"/>
        <w:ind w:left="0" w:leftChars="0" w:right="0" w:rightChars="0" w:firstLine="480" w:firstLineChars="200"/>
        <w:outlineLvl w:val="0"/>
        <w:rPr>
          <w:rFonts w:hint="default" w:ascii="Times New Roman" w:hAnsi="Times New Roman" w:eastAsia="宋体" w:cs="Times New Roman"/>
          <w:color w:val="auto"/>
          <w:sz w:val="24"/>
          <w:highlight w:val="none"/>
        </w:rPr>
      </w:pPr>
      <w:bookmarkStart w:id="79" w:name="_Toc1239"/>
      <w:bookmarkStart w:id="80" w:name="_Toc22079"/>
      <w:bookmarkStart w:id="81" w:name="_Toc2255"/>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9</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主要结论</w:t>
      </w:r>
      <w:bookmarkEnd w:id="79"/>
      <w:bookmarkEnd w:id="80"/>
      <w:bookmarkEnd w:id="81"/>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乌拉特前旗西沙德盖钼业有限责任公司年处理300万吨钼矿选矿节能技改扩产项目尾矿库加高扩容工程项目建设符合国家产业政策</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符合相关规划要求；采用了经济、可行的“三废”治理措施</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各项污染物均能达标排放；环境风险在可接受的程度；项目建设具有良好的经济效益、社会效益和环境效益。在严格执行和落实设计及环评要求的各项环保措施的基础上</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从环境影响的角度讲该项目是可行的。</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sectPr>
          <w:headerReference r:id="rId13" w:type="default"/>
          <w:footerReference r:id="rId14" w:type="default"/>
          <w:footerReference r:id="rId15" w:type="even"/>
          <w:pgSz w:w="11906" w:h="16838"/>
          <w:pgMar w:top="1440" w:right="1800" w:bottom="1440" w:left="1800" w:header="850" w:footer="1020" w:gutter="0"/>
          <w:pgNumType w:fmt="decimal" w:start="1"/>
          <w:cols w:space="720" w:num="1"/>
          <w:docGrid w:linePitch="312" w:charSpace="0"/>
        </w:sectPr>
      </w:pPr>
    </w:p>
    <w:p>
      <w:pPr>
        <w:pStyle w:val="3"/>
        <w:pageBreakBefore w:val="0"/>
        <w:numPr>
          <w:ilvl w:val="0"/>
          <w:numId w:val="0"/>
        </w:numPr>
        <w:wordWrap/>
        <w:bidi w:val="0"/>
        <w:ind w:left="0" w:leftChars="0" w:right="0" w:rightChars="0" w:firstLine="0" w:firstLineChars="0"/>
        <w:outlineLvl w:val="1"/>
        <w:rPr>
          <w:rFonts w:hint="default" w:ascii="Times New Roman" w:hAnsi="Times New Roman" w:eastAsia="宋体" w:cs="Times New Roman"/>
          <w:b/>
          <w:bCs/>
          <w:color w:val="auto"/>
          <w:sz w:val="32"/>
          <w:szCs w:val="32"/>
          <w:highlight w:val="none"/>
        </w:rPr>
      </w:pPr>
      <w:bookmarkStart w:id="82" w:name="_Toc6946"/>
      <w:bookmarkStart w:id="83" w:name="_Toc7457"/>
      <w:bookmarkStart w:id="84" w:name="_Toc288306144"/>
      <w:r>
        <w:rPr>
          <w:rFonts w:hint="default" w:ascii="Times New Roman" w:hAnsi="Times New Roman" w:eastAsia="宋体" w:cs="Times New Roman"/>
          <w:b/>
          <w:bCs/>
          <w:i w:val="0"/>
          <w:color w:val="auto"/>
          <w:kern w:val="44"/>
          <w:sz w:val="30"/>
          <w:szCs w:val="30"/>
          <w:highlight w:val="none"/>
          <w:lang w:val="en-US" w:eastAsia="zh-CN" w:bidi="ar-SA"/>
        </w:rPr>
        <w:t>1</w:t>
      </w:r>
      <w:r>
        <w:rPr>
          <w:rFonts w:hint="default" w:ascii="Times New Roman" w:hAnsi="Times New Roman" w:eastAsia="宋体" w:cs="Times New Roman"/>
          <w:b/>
          <w:bCs/>
          <w:color w:val="auto"/>
          <w:sz w:val="32"/>
          <w:szCs w:val="32"/>
          <w:highlight w:val="none"/>
        </w:rPr>
        <w:t>总论</w:t>
      </w:r>
      <w:bookmarkEnd w:id="82"/>
      <w:bookmarkEnd w:id="83"/>
      <w:bookmarkEnd w:id="84"/>
    </w:p>
    <w:p>
      <w:pPr>
        <w:pStyle w:val="4"/>
        <w:pageBreakBefore w:val="0"/>
        <w:numPr>
          <w:ilvl w:val="1"/>
          <w:numId w:val="0"/>
        </w:numPr>
        <w:wordWrap/>
        <w:bidi w:val="0"/>
        <w:ind w:left="0" w:leftChars="0" w:right="0" w:rightChars="0" w:firstLine="0" w:firstLineChars="0"/>
        <w:outlineLvl w:val="2"/>
        <w:rPr>
          <w:rFonts w:hint="default" w:ascii="Times New Roman" w:hAnsi="Times New Roman" w:eastAsia="宋体" w:cs="Times New Roman"/>
          <w:b/>
          <w:bCs/>
          <w:color w:val="auto"/>
          <w:highlight w:val="none"/>
        </w:rPr>
      </w:pPr>
      <w:bookmarkStart w:id="85" w:name="_Toc246850520"/>
      <w:bookmarkStart w:id="86" w:name="_Toc166964797"/>
      <w:bookmarkStart w:id="87" w:name="_Toc288306146"/>
      <w:bookmarkStart w:id="88" w:name="_Toc30718"/>
      <w:bookmarkStart w:id="89" w:name="_Toc98215341"/>
      <w:bookmarkStart w:id="90" w:name="_Toc532539984"/>
      <w:bookmarkStart w:id="91" w:name="_Toc237963223"/>
      <w:bookmarkStart w:id="92" w:name="_Toc522190641"/>
      <w:bookmarkStart w:id="93" w:name="_Toc243904663"/>
      <w:bookmarkStart w:id="94" w:name="_Toc100334347"/>
      <w:bookmarkStart w:id="95" w:name="_Toc227651203"/>
      <w:bookmarkStart w:id="96" w:name="_Toc22831"/>
      <w:r>
        <w:rPr>
          <w:rFonts w:hint="default" w:ascii="Times New Roman" w:hAnsi="Times New Roman" w:eastAsia="宋体" w:cs="Times New Roman"/>
          <w:b/>
          <w:bCs/>
          <w:i w:val="0"/>
          <w:color w:val="auto"/>
          <w:kern w:val="2"/>
          <w:sz w:val="28"/>
          <w:szCs w:val="28"/>
          <w:highlight w:val="none"/>
          <w:lang w:val="en-US" w:eastAsia="zh-CN" w:bidi="ar-SA"/>
        </w:rPr>
        <w:t>1.1</w:t>
      </w:r>
      <w:r>
        <w:rPr>
          <w:rFonts w:hint="default" w:ascii="Times New Roman" w:hAnsi="Times New Roman" w:eastAsia="宋体" w:cs="Times New Roman"/>
          <w:b/>
          <w:bCs/>
          <w:color w:val="auto"/>
          <w:highlight w:val="none"/>
        </w:rPr>
        <w:t>评价目的</w:t>
      </w:r>
      <w:bookmarkEnd w:id="85"/>
      <w:bookmarkEnd w:id="86"/>
      <w:bookmarkEnd w:id="87"/>
      <w:bookmarkEnd w:id="88"/>
      <w:bookmarkEnd w:id="89"/>
      <w:bookmarkEnd w:id="90"/>
      <w:bookmarkEnd w:id="91"/>
      <w:bookmarkEnd w:id="92"/>
      <w:bookmarkEnd w:id="93"/>
      <w:bookmarkEnd w:id="94"/>
      <w:bookmarkEnd w:id="95"/>
      <w:bookmarkEnd w:id="96"/>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1</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通过现场调查、资料收集</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评价项目所在地环境质量现状、自然环境现状和社会经济现状。</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2</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对项目进行全面</w:t>
      </w:r>
      <w:r>
        <w:rPr>
          <w:rFonts w:hint="default" w:ascii="Times New Roman" w:hAnsi="Times New Roman" w:eastAsia="宋体" w:cs="Times New Roman"/>
          <w:color w:val="auto"/>
          <w:sz w:val="24"/>
          <w:highlight w:val="none"/>
          <w:lang w:eastAsia="zh-CN"/>
        </w:rPr>
        <w:t>的</w:t>
      </w:r>
      <w:r>
        <w:rPr>
          <w:rFonts w:hint="default" w:ascii="Times New Roman" w:hAnsi="Times New Roman" w:eastAsia="宋体" w:cs="Times New Roman"/>
          <w:color w:val="auto"/>
          <w:sz w:val="24"/>
          <w:highlight w:val="none"/>
        </w:rPr>
        <w:t>工程分析</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确定本项目运</w:t>
      </w:r>
      <w:r>
        <w:rPr>
          <w:rFonts w:hint="default" w:ascii="Times New Roman" w:hAnsi="Times New Roman" w:eastAsia="宋体" w:cs="Times New Roman"/>
          <w:color w:val="auto"/>
          <w:sz w:val="24"/>
          <w:highlight w:val="none"/>
          <w:lang w:eastAsia="zh-CN"/>
        </w:rPr>
        <w:t>营</w:t>
      </w:r>
      <w:r>
        <w:rPr>
          <w:rFonts w:hint="default" w:ascii="Times New Roman" w:hAnsi="Times New Roman" w:eastAsia="宋体" w:cs="Times New Roman"/>
          <w:color w:val="auto"/>
          <w:sz w:val="24"/>
          <w:highlight w:val="none"/>
        </w:rPr>
        <w:t>期对环境产生影响的各种可能途径</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分析项目“三废”排放的达标可行性</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确定对周围环境造成影响的范围和程度。</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3</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论证工程环保措施的可行性</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提出必要的环境保护措施和改进建议</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估算相应的环保投资</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使项目可能对环境造成的不利影响降低</w:t>
      </w:r>
      <w:r>
        <w:rPr>
          <w:rFonts w:hint="default" w:ascii="Times New Roman" w:hAnsi="Times New Roman" w:eastAsia="宋体" w:cs="Times New Roman"/>
          <w:color w:val="auto"/>
          <w:sz w:val="24"/>
          <w:highlight w:val="none"/>
          <w:lang w:eastAsia="zh-CN"/>
        </w:rPr>
        <w:t>到最低程度</w:t>
      </w:r>
      <w:r>
        <w:rPr>
          <w:rFonts w:hint="default" w:ascii="Times New Roman" w:hAnsi="Times New Roman" w:eastAsia="宋体" w:cs="Times New Roman"/>
          <w:color w:val="auto"/>
          <w:sz w:val="24"/>
          <w:highlight w:val="none"/>
        </w:rPr>
        <w:t>。</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4</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以污染物排放浓度达标为基本要求</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辅以污染物总量控制手段</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结合当地环境现状</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从环境保护与可持续发展相互协调和促进的原则出发</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确定项目主要污染物排放量。</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（5</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论证项目建设的环境保护可行性</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给出明确的环评结论</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为工程的环保设计和环保主管部门的环境管理提供科学依据。</w:t>
      </w:r>
    </w:p>
    <w:p>
      <w:pPr>
        <w:pStyle w:val="4"/>
        <w:pageBreakBefore w:val="0"/>
        <w:numPr>
          <w:ilvl w:val="1"/>
          <w:numId w:val="0"/>
        </w:numPr>
        <w:wordWrap/>
        <w:bidi w:val="0"/>
        <w:ind w:left="0" w:leftChars="0" w:right="0" w:rightChars="0" w:firstLine="0" w:firstLineChars="0"/>
        <w:outlineLvl w:val="2"/>
        <w:rPr>
          <w:rFonts w:hint="default" w:ascii="Times New Roman" w:hAnsi="Times New Roman" w:eastAsia="宋体" w:cs="Times New Roman"/>
          <w:b/>
          <w:bCs/>
          <w:color w:val="auto"/>
          <w:highlight w:val="none"/>
        </w:rPr>
      </w:pPr>
      <w:bookmarkStart w:id="97" w:name="_Toc237963224"/>
      <w:bookmarkStart w:id="98" w:name="_Toc227651204"/>
      <w:bookmarkStart w:id="99" w:name="_Toc166964798"/>
      <w:bookmarkStart w:id="100" w:name="_Toc522190642"/>
      <w:bookmarkStart w:id="101" w:name="_Toc98215342"/>
      <w:bookmarkStart w:id="102" w:name="_Toc25490"/>
      <w:bookmarkStart w:id="103" w:name="_Toc246850521"/>
      <w:bookmarkStart w:id="104" w:name="_Toc288306147"/>
      <w:bookmarkStart w:id="105" w:name="_Toc100334348"/>
      <w:bookmarkStart w:id="106" w:name="_Toc532539985"/>
      <w:bookmarkStart w:id="107" w:name="_Toc243904664"/>
      <w:bookmarkStart w:id="108" w:name="_Toc3871"/>
      <w:r>
        <w:rPr>
          <w:rFonts w:hint="default" w:ascii="Times New Roman" w:hAnsi="Times New Roman" w:eastAsia="宋体" w:cs="Times New Roman"/>
          <w:b/>
          <w:bCs/>
          <w:i w:val="0"/>
          <w:color w:val="auto"/>
          <w:kern w:val="2"/>
          <w:sz w:val="28"/>
          <w:szCs w:val="28"/>
          <w:highlight w:val="none"/>
          <w:lang w:val="en-US" w:eastAsia="zh-CN" w:bidi="ar-SA"/>
        </w:rPr>
        <w:t>1.2</w:t>
      </w:r>
      <w:r>
        <w:rPr>
          <w:rFonts w:hint="default" w:ascii="Times New Roman" w:hAnsi="Times New Roman" w:eastAsia="宋体" w:cs="Times New Roman"/>
          <w:b/>
          <w:bCs/>
          <w:color w:val="auto"/>
          <w:highlight w:val="none"/>
        </w:rPr>
        <w:t>编制依据</w:t>
      </w:r>
      <w:bookmarkEnd w:id="97"/>
      <w:bookmarkEnd w:id="98"/>
      <w:bookmarkEnd w:id="99"/>
      <w:bookmarkEnd w:id="100"/>
      <w:bookmarkEnd w:id="101"/>
      <w:bookmarkEnd w:id="102"/>
      <w:bookmarkEnd w:id="103"/>
      <w:bookmarkEnd w:id="104"/>
      <w:bookmarkEnd w:id="105"/>
      <w:bookmarkEnd w:id="106"/>
      <w:bookmarkEnd w:id="107"/>
      <w:bookmarkEnd w:id="108"/>
    </w:p>
    <w:p>
      <w:pPr>
        <w:pStyle w:val="5"/>
        <w:pageBreakBefore w:val="0"/>
        <w:numPr>
          <w:ilvl w:val="2"/>
          <w:numId w:val="0"/>
        </w:numPr>
        <w:wordWrap/>
        <w:bidi w:val="0"/>
        <w:ind w:left="0" w:leftChars="0" w:right="0" w:rightChars="0"/>
        <w:rPr>
          <w:rFonts w:hint="default" w:ascii="Times New Roman" w:hAnsi="Times New Roman" w:eastAsia="宋体" w:cs="Times New Roman"/>
          <w:b/>
          <w:bCs/>
          <w:color w:val="auto"/>
          <w:highlight w:val="none"/>
        </w:rPr>
      </w:pPr>
      <w:bookmarkStart w:id="109" w:name="_Toc11190"/>
      <w:bookmarkStart w:id="110" w:name="_Toc246850522"/>
      <w:bookmarkStart w:id="111" w:name="_Toc288306148"/>
      <w:bookmarkStart w:id="112" w:name="_Toc20640"/>
      <w:bookmarkStart w:id="113" w:name="_Toc22991"/>
      <w:r>
        <w:rPr>
          <w:rFonts w:hint="default" w:ascii="Times New Roman" w:hAnsi="Times New Roman" w:eastAsia="宋体" w:cs="Times New Roman"/>
          <w:b/>
          <w:bCs/>
          <w:i w:val="0"/>
          <w:iCs w:val="0"/>
          <w:caps w:val="0"/>
          <w:smallCaps w:val="0"/>
          <w:strike w:val="0"/>
          <w:dstrike w:val="0"/>
          <w:vanish w:val="0"/>
          <w:color w:val="auto"/>
          <w:spacing w:val="0"/>
          <w:kern w:val="2"/>
          <w:position w:val="0"/>
          <w:sz w:val="24"/>
          <w:szCs w:val="24"/>
          <w:highlight w:val="none"/>
          <w:u w:val="none"/>
          <w:vertAlign w:val="baseline"/>
          <w:lang w:val="en-US" w:eastAsia="zh-CN" w:bidi="ar-SA"/>
          <w14:shadow w14:blurRad="0" w14:dist="0" w14:dir="0" w14:sx="0" w14:sy="0" w14:kx="0" w14:ky="0" w14:algn="none">
            <w14:srgbClr w14:val="000000"/>
          </w14:shadow>
        </w:rPr>
        <w:t>1.2.1</w:t>
      </w:r>
      <w:r>
        <w:rPr>
          <w:rFonts w:hint="default" w:ascii="Times New Roman" w:hAnsi="Times New Roman" w:eastAsia="宋体" w:cs="Times New Roman"/>
          <w:b/>
          <w:bCs/>
          <w:color w:val="auto"/>
          <w:highlight w:val="none"/>
        </w:rPr>
        <w:t>政策、法规</w:t>
      </w:r>
      <w:bookmarkEnd w:id="109"/>
      <w:bookmarkEnd w:id="110"/>
      <w:bookmarkEnd w:id="111"/>
      <w:bookmarkEnd w:id="112"/>
      <w:bookmarkEnd w:id="113"/>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（1</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《中华人民共和国环境保护法》</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2014年4月24日修订通过</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自2015年1月1日起施行；</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2</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《中华人民共和国环境影响评价法》</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2016年7月2日修订通过</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2016年9月1日起施行</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2018年12月29日修订；</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3</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《中华人民共和国水污染防治法》</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2017年6月27日修订通过</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2018年1月1日起施行；</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4</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《中华人民共和国大气污染防治法》</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2015年8月29日修订通过</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201年1月1日起施行</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2018年10月26日修正；</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5</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w:t>
      </w:r>
      <w:r>
        <w:rPr>
          <w:rFonts w:hint="eastAsia" w:cs="Times New Roman"/>
          <w:color w:val="auto"/>
          <w:sz w:val="24"/>
          <w:highlight w:val="none"/>
          <w:lang w:eastAsia="zh-CN"/>
        </w:rPr>
        <w:t>中华人民共和国固体废物污染环境防治法</w:t>
      </w:r>
      <w:bookmarkStart w:id="1639" w:name="_GoBack"/>
      <w:bookmarkEnd w:id="1639"/>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2020年4月29日修订版；</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6</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《中华人民共和国噪声污染防治法》</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中华人民共和国主席令第</w:t>
      </w:r>
      <w:r>
        <w:rPr>
          <w:rFonts w:hint="default" w:ascii="Times New Roman" w:hAnsi="Times New Roman" w:eastAsia="宋体" w:cs="Times New Roman"/>
          <w:color w:val="auto"/>
          <w:sz w:val="24"/>
          <w:highlight w:val="none"/>
          <w:lang w:val="en-US" w:eastAsia="zh-CN"/>
        </w:rPr>
        <w:t>104</w:t>
      </w:r>
      <w:r>
        <w:rPr>
          <w:rFonts w:hint="default" w:ascii="Times New Roman" w:hAnsi="Times New Roman" w:eastAsia="宋体" w:cs="Times New Roman"/>
          <w:color w:val="auto"/>
          <w:sz w:val="24"/>
          <w:highlight w:val="none"/>
        </w:rPr>
        <w:t>号</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2021年12月24日通过</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2022年6月5日起施行；</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7</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《中华人民共和国土壤污染防治法》</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2019年1月1日起施行；</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8</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《建设项目环境影响评价分类管理名录》</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环境保护部令第16号</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2021年1月1日施行；</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9</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《中华人民共和国矿产资源法》</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2009年08月27日修订；</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10</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国务院令第682号《建设项目环境保护管理条例》</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2017年10月1日；</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11</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《产业结构调整指导目录（20</w:t>
      </w:r>
      <w:r>
        <w:rPr>
          <w:rFonts w:hint="default" w:ascii="Times New Roman" w:hAnsi="Times New Roman" w:eastAsia="宋体" w:cs="Times New Roman"/>
          <w:color w:val="auto"/>
          <w:sz w:val="24"/>
          <w:highlight w:val="none"/>
          <w:lang w:val="en-US" w:eastAsia="zh-CN"/>
        </w:rPr>
        <w:t>24</w:t>
      </w:r>
      <w:r>
        <w:rPr>
          <w:rFonts w:hint="default" w:ascii="Times New Roman" w:hAnsi="Times New Roman" w:eastAsia="宋体" w:cs="Times New Roman"/>
          <w:color w:val="auto"/>
          <w:sz w:val="24"/>
          <w:highlight w:val="none"/>
        </w:rPr>
        <w:t>年本</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eastAsia="zh-CN"/>
        </w:rPr>
        <w:t>，中华人民共和国国家发展和改革委员会令第7号，2024年2月1日起施行</w:t>
      </w:r>
      <w:r>
        <w:rPr>
          <w:rFonts w:hint="default" w:ascii="Times New Roman" w:hAnsi="Times New Roman" w:eastAsia="宋体" w:cs="Times New Roman"/>
          <w:color w:val="auto"/>
          <w:sz w:val="24"/>
          <w:highlight w:val="none"/>
        </w:rPr>
        <w:t>；</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12</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《国务院关于印发大气污染防治行动计划的通知》</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国发</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2013</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37号</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2013年9月10日；</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13</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《国务院关于印发水污染防治行动计划的通知》</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国发</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2015</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17号</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2015年4月16日；</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14</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《国务院关于印发土壤污染防治行动计划的通知》</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国发</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2016</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31号</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2016年5月28日；</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15</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《尾矿库安全管理监督规定》（国家安全生产监督管理总局令第38号</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2011年5月4日；</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16</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《关于落实尾矿库专项整治行动工作方案的通知》（环办</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2007</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69号</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2007年6月19日；</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17</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《关于印发深入开展尾矿库综合治理行动方案的通知》（安监总管</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2013</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58号</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18</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《尾矿库环境应急管理工作指南（试行</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环办</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2010</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138号</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2010年9月30日；</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19</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《环境影响评价公众参与办法》（生态环境部部令第4号文</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2019年1月1日；</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20</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《内蒙古自治区环境保护条例》</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2018年12月6日修正；</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21</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内蒙古自治区人民政府办公厅内政办发</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2021</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51号《内蒙古自治区生态环境保护“十四五”规划》</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2021年9月；</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22</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《内蒙古自治区人民政府关于加强矿业生产管理依法保护环境保障民生的紧急通知》内政发电</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2011</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10号；</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23</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《内蒙古自治区人民政府关于进一步规范矿业开发秩序依法保护环境保障民生的指导意见》</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内蒙古自治区人民政府</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内政发</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2011</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81号</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2011年7月13日；</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24</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内蒙古自治区环境保护厅关于落实《内蒙古自治区大气污染防治目标责任书》重点工作部门分工意见的通知</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内环办</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2013</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194号文；</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25</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《内蒙古自治区人民政府关于贯彻落实土壤污染防治行动计划的实施意见》</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内蒙古自治区人民政府</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内政发</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2016</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127号</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2016年11月14日实施；</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2`6</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《内蒙古自治区矿山地质环境治理办法》</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内蒙古自治区人民政府</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政府令第212号</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2015年3月27日实施；</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27</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《内蒙古自治区水土保持规划（2016-2030年</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内蒙古自治区人民政府</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内政办发</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2017</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8号</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2015年1月20日实施；</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28</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《内蒙古自治区人民政府关于自治区主体功能区规划的实施意见》（内政发</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2015</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18号</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2015年1月26日</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29</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《内蒙古自治区防范化解尾矿库安全风险工作实施方案的通知》（内应急字</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2020</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42号</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2020年2月21日；</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30</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《巴彦淖尔市尾矿库专项治理实施方案》（巴政发</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2022</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6号</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31</w:t>
      </w:r>
      <w:r>
        <w:rPr>
          <w:rFonts w:hint="default" w:ascii="Times New Roman" w:hAnsi="Times New Roman" w:eastAsia="宋体" w:cs="Times New Roman"/>
          <w:color w:val="auto"/>
          <w:sz w:val="24"/>
          <w:highlight w:val="none"/>
          <w:lang w:eastAsia="zh-CN"/>
        </w:rPr>
        <w:t>）《巴彦淖尔市人民政府办公室关于巴彦淖尔市2023年生态环境分区管控成果动态更新的通知》（巴政办字〔2023〕106号）</w:t>
      </w:r>
      <w:r>
        <w:rPr>
          <w:rFonts w:hint="default" w:ascii="Times New Roman" w:hAnsi="Times New Roman" w:eastAsia="宋体" w:cs="Times New Roman"/>
          <w:color w:val="auto"/>
          <w:sz w:val="24"/>
          <w:highlight w:val="none"/>
        </w:rPr>
        <w:t>；</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32</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巴彦淖尔市人民政府办公室关于印发《巴彦淖尔市“十四五”生态环境保护规划》的通知</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（巴政办发</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2022</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72号</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w:t>
      </w:r>
    </w:p>
    <w:p>
      <w:pPr>
        <w:pageBreakBefore w:val="0"/>
        <w:wordWrap/>
        <w:bidi w:val="0"/>
        <w:spacing w:line="360" w:lineRule="auto"/>
        <w:ind w:left="0" w:leftChars="0" w:right="0" w:rightChars="0" w:firstLine="480" w:firstLineChars="200"/>
        <w:outlineLvl w:val="0"/>
        <w:rPr>
          <w:rFonts w:hint="default" w:ascii="Times New Roman" w:hAnsi="Times New Roman" w:eastAsia="宋体" w:cs="Times New Roman"/>
          <w:color w:val="auto"/>
          <w:sz w:val="24"/>
          <w:highlight w:val="none"/>
        </w:rPr>
      </w:pPr>
      <w:bookmarkStart w:id="114" w:name="_Toc4156"/>
      <w:bookmarkStart w:id="115" w:name="_Toc15864"/>
      <w:bookmarkStart w:id="116" w:name="_Toc21755"/>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33</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《国家危险废物名录》（2021版</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w:t>
      </w:r>
      <w:bookmarkEnd w:id="114"/>
      <w:bookmarkEnd w:id="115"/>
      <w:bookmarkEnd w:id="116"/>
    </w:p>
    <w:p>
      <w:pPr>
        <w:pStyle w:val="5"/>
        <w:pageBreakBefore w:val="0"/>
        <w:numPr>
          <w:ilvl w:val="2"/>
          <w:numId w:val="0"/>
        </w:numPr>
        <w:wordWrap/>
        <w:bidi w:val="0"/>
        <w:ind w:left="0" w:leftChars="0" w:right="0" w:rightChars="0"/>
        <w:outlineLvl w:val="1"/>
        <w:rPr>
          <w:rFonts w:hint="default" w:ascii="Times New Roman" w:hAnsi="Times New Roman" w:eastAsia="宋体" w:cs="Times New Roman"/>
          <w:b/>
          <w:bCs/>
          <w:color w:val="auto"/>
          <w:highlight w:val="none"/>
        </w:rPr>
      </w:pPr>
      <w:bookmarkStart w:id="117" w:name="_Toc288306149"/>
      <w:bookmarkStart w:id="118" w:name="_Toc246850523"/>
      <w:bookmarkStart w:id="119" w:name="_Toc29817"/>
      <w:bookmarkStart w:id="120" w:name="_Toc29844"/>
      <w:bookmarkStart w:id="121" w:name="_Toc10114"/>
      <w:r>
        <w:rPr>
          <w:rFonts w:hint="default" w:ascii="Times New Roman" w:hAnsi="Times New Roman" w:eastAsia="宋体" w:cs="Times New Roman"/>
          <w:b/>
          <w:bCs/>
          <w:i w:val="0"/>
          <w:iCs w:val="0"/>
          <w:caps w:val="0"/>
          <w:smallCaps w:val="0"/>
          <w:strike w:val="0"/>
          <w:dstrike w:val="0"/>
          <w:vanish w:val="0"/>
          <w:color w:val="auto"/>
          <w:spacing w:val="0"/>
          <w:kern w:val="2"/>
          <w:position w:val="0"/>
          <w:sz w:val="24"/>
          <w:szCs w:val="24"/>
          <w:highlight w:val="none"/>
          <w:u w:val="none"/>
          <w:vertAlign w:val="baseline"/>
          <w:lang w:val="en-US" w:eastAsia="zh-CN" w:bidi="ar-SA"/>
          <w14:shadow w14:blurRad="0" w14:dist="0" w14:dir="0" w14:sx="0" w14:sy="0" w14:kx="0" w14:ky="0" w14:algn="none">
            <w14:srgbClr w14:val="000000"/>
          </w14:shadow>
        </w:rPr>
        <w:t>1.2.2</w:t>
      </w:r>
      <w:r>
        <w:rPr>
          <w:rFonts w:hint="default" w:ascii="Times New Roman" w:hAnsi="Times New Roman" w:eastAsia="宋体" w:cs="Times New Roman"/>
          <w:b/>
          <w:bCs/>
          <w:color w:val="auto"/>
          <w:highlight w:val="none"/>
        </w:rPr>
        <w:t>技术导则</w:t>
      </w:r>
      <w:bookmarkEnd w:id="117"/>
      <w:bookmarkEnd w:id="118"/>
      <w:r>
        <w:rPr>
          <w:rFonts w:hint="default" w:ascii="Times New Roman" w:hAnsi="Times New Roman" w:eastAsia="宋体" w:cs="Times New Roman"/>
          <w:b/>
          <w:bCs/>
          <w:color w:val="auto"/>
          <w:highlight w:val="none"/>
        </w:rPr>
        <w:t>及规范</w:t>
      </w:r>
      <w:bookmarkEnd w:id="119"/>
      <w:bookmarkEnd w:id="120"/>
      <w:bookmarkEnd w:id="121"/>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（1</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《建设项目</w:t>
      </w:r>
      <w:r>
        <w:rPr>
          <w:rFonts w:hint="default" w:ascii="Times New Roman" w:hAnsi="Times New Roman" w:eastAsia="宋体" w:cs="Times New Roman"/>
          <w:color w:val="auto"/>
          <w:sz w:val="24"/>
          <w:highlight w:val="none"/>
          <w:lang w:eastAsia="zh-CN"/>
        </w:rPr>
        <w:t>环境影响评价技术导则</w:t>
      </w:r>
      <w:r>
        <w:rPr>
          <w:rFonts w:hint="default" w:ascii="Times New Roman" w:hAnsi="Times New Roman" w:eastAsia="宋体" w:cs="Times New Roman"/>
          <w:color w:val="auto"/>
          <w:sz w:val="24"/>
          <w:highlight w:val="none"/>
        </w:rPr>
        <w:t>总纲》（HJ2.1-2016</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（2</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bCs/>
          <w:color w:val="auto"/>
          <w:sz w:val="24"/>
          <w:highlight w:val="none"/>
        </w:rPr>
        <w:t>《</w:t>
      </w:r>
      <w:r>
        <w:rPr>
          <w:rFonts w:hint="default" w:ascii="Times New Roman" w:hAnsi="Times New Roman" w:eastAsia="宋体" w:cs="Times New Roman"/>
          <w:bCs/>
          <w:color w:val="auto"/>
          <w:sz w:val="24"/>
          <w:highlight w:val="none"/>
          <w:lang w:eastAsia="zh-CN"/>
        </w:rPr>
        <w:t>环境影响评价技术导则</w:t>
      </w:r>
      <w:r>
        <w:rPr>
          <w:rFonts w:hint="default" w:ascii="Times New Roman" w:hAnsi="Times New Roman" w:eastAsia="宋体" w:cs="Times New Roman"/>
          <w:bCs/>
          <w:color w:val="auto"/>
          <w:sz w:val="24"/>
          <w:highlight w:val="none"/>
        </w:rPr>
        <w:t>大气环境》（HJ2.2-2018</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（3</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eastAsia="zh-CN"/>
        </w:rPr>
        <w:t>环境影响评价技术导则</w:t>
      </w:r>
      <w:r>
        <w:rPr>
          <w:rFonts w:hint="default" w:ascii="Times New Roman" w:hAnsi="Times New Roman" w:eastAsia="宋体" w:cs="Times New Roman"/>
          <w:color w:val="auto"/>
          <w:sz w:val="24"/>
          <w:highlight w:val="none"/>
        </w:rPr>
        <w:t>地表水环境》（HJ2.3-2018</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（4</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eastAsia="zh-CN"/>
        </w:rPr>
        <w:t>环境影响评价技术导则</w:t>
      </w:r>
      <w:r>
        <w:rPr>
          <w:rFonts w:hint="default" w:ascii="Times New Roman" w:hAnsi="Times New Roman" w:eastAsia="宋体" w:cs="Times New Roman"/>
          <w:color w:val="auto"/>
          <w:sz w:val="24"/>
          <w:highlight w:val="none"/>
        </w:rPr>
        <w:t>声环境》（HJ2.4-2021</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（5</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eastAsia="zh-CN"/>
        </w:rPr>
        <w:t>环境影响评价技术导则</w:t>
      </w:r>
      <w:r>
        <w:rPr>
          <w:rFonts w:hint="default" w:ascii="Times New Roman" w:hAnsi="Times New Roman" w:eastAsia="宋体" w:cs="Times New Roman"/>
          <w:color w:val="auto"/>
          <w:sz w:val="24"/>
          <w:highlight w:val="none"/>
        </w:rPr>
        <w:t>地下水环境》（HJ610-2016</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（6</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eastAsia="zh-CN"/>
        </w:rPr>
        <w:t>环境影响评价技术导则</w:t>
      </w:r>
      <w:r>
        <w:rPr>
          <w:rFonts w:hint="default" w:ascii="Times New Roman" w:hAnsi="Times New Roman" w:eastAsia="宋体" w:cs="Times New Roman"/>
          <w:color w:val="auto"/>
          <w:sz w:val="24"/>
          <w:highlight w:val="none"/>
        </w:rPr>
        <w:t>土壤环境（试行</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》（HJ964-2018</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（7</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eastAsia="zh-CN"/>
        </w:rPr>
        <w:t>环境影响评价技术导则</w:t>
      </w:r>
      <w:r>
        <w:rPr>
          <w:rFonts w:hint="default" w:ascii="Times New Roman" w:hAnsi="Times New Roman" w:eastAsia="宋体" w:cs="Times New Roman"/>
          <w:color w:val="auto"/>
          <w:sz w:val="24"/>
          <w:highlight w:val="none"/>
        </w:rPr>
        <w:t>生态影响》（HJ19-2022</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（8</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《建设项目环境风险评价技术导则》（HJ169-2018</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（9</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《尾矿库环境风险评估技术导则》（HJ740-2015</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w:t>
      </w:r>
    </w:p>
    <w:p>
      <w:pPr>
        <w:pageBreakBefore w:val="0"/>
        <w:wordWrap/>
        <w:bidi w:val="0"/>
        <w:spacing w:line="360" w:lineRule="auto"/>
        <w:ind w:left="0" w:leftChars="0" w:right="0" w:rightChars="0" w:firstLine="480" w:firstLineChars="200"/>
        <w:outlineLvl w:val="0"/>
        <w:rPr>
          <w:rFonts w:hint="default" w:ascii="Times New Roman" w:hAnsi="Times New Roman" w:eastAsia="宋体" w:cs="Times New Roman"/>
          <w:color w:val="auto"/>
          <w:sz w:val="24"/>
          <w:highlight w:val="none"/>
        </w:rPr>
      </w:pPr>
      <w:bookmarkStart w:id="122" w:name="_Toc16579"/>
      <w:bookmarkStart w:id="123" w:name="_Toc5827"/>
      <w:r>
        <w:rPr>
          <w:rFonts w:hint="default" w:ascii="Times New Roman" w:hAnsi="Times New Roman" w:eastAsia="宋体" w:cs="Times New Roman"/>
          <w:color w:val="auto"/>
          <w:sz w:val="24"/>
          <w:highlight w:val="none"/>
        </w:rPr>
        <w:t>（10</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《污染源源强核算技术总则》（HJ884-2018</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w:t>
      </w:r>
      <w:bookmarkEnd w:id="122"/>
      <w:bookmarkEnd w:id="123"/>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（11</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《矿山生态环境保护与恢复治理技术规范（试行</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》（HJ651-2013</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w:t>
      </w:r>
    </w:p>
    <w:p>
      <w:pPr>
        <w:pageBreakBefore w:val="0"/>
        <w:wordWrap/>
        <w:bidi w:val="0"/>
        <w:spacing w:line="360" w:lineRule="auto"/>
        <w:ind w:left="0" w:leftChars="0" w:right="0" w:rightChars="0" w:firstLine="480" w:firstLineChars="200"/>
        <w:outlineLvl w:val="0"/>
        <w:rPr>
          <w:rFonts w:hint="default" w:ascii="Times New Roman" w:hAnsi="Times New Roman" w:eastAsia="宋体" w:cs="Times New Roman"/>
          <w:color w:val="auto"/>
          <w:sz w:val="24"/>
          <w:highlight w:val="none"/>
        </w:rPr>
      </w:pPr>
      <w:bookmarkStart w:id="124" w:name="_Toc27536"/>
      <w:bookmarkStart w:id="125" w:name="_Toc23126"/>
      <w:r>
        <w:rPr>
          <w:rFonts w:hint="default" w:ascii="Times New Roman" w:hAnsi="Times New Roman" w:eastAsia="宋体" w:cs="Times New Roman"/>
          <w:color w:val="auto"/>
          <w:sz w:val="24"/>
          <w:highlight w:val="none"/>
        </w:rPr>
        <w:t>（12</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《尾矿设施设计规范》（GB50863-2013</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w:t>
      </w:r>
      <w:bookmarkEnd w:id="124"/>
      <w:bookmarkEnd w:id="125"/>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（13</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《尾矿库安全监测技术规范》（AQ2030-2010</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w:t>
      </w:r>
    </w:p>
    <w:p>
      <w:pPr>
        <w:pStyle w:val="5"/>
        <w:pageBreakBefore w:val="0"/>
        <w:numPr>
          <w:ilvl w:val="2"/>
          <w:numId w:val="0"/>
        </w:numPr>
        <w:wordWrap/>
        <w:bidi w:val="0"/>
        <w:ind w:left="0" w:leftChars="0" w:right="0" w:rightChars="0"/>
        <w:outlineLvl w:val="1"/>
        <w:rPr>
          <w:rFonts w:hint="default" w:ascii="Times New Roman" w:hAnsi="Times New Roman" w:eastAsia="宋体" w:cs="Times New Roman"/>
          <w:b/>
          <w:bCs/>
          <w:color w:val="auto"/>
          <w:highlight w:val="none"/>
        </w:rPr>
      </w:pPr>
      <w:bookmarkStart w:id="126" w:name="_Toc24300"/>
      <w:bookmarkStart w:id="127" w:name="_Toc2551"/>
      <w:bookmarkStart w:id="128" w:name="_Toc28808"/>
      <w:bookmarkStart w:id="129" w:name="_Toc523148912"/>
      <w:bookmarkStart w:id="130" w:name="_Toc246850524"/>
      <w:bookmarkStart w:id="131" w:name="_Toc523134539"/>
      <w:bookmarkStart w:id="132" w:name="_Toc523134326"/>
      <w:bookmarkStart w:id="133" w:name="_Toc523043939"/>
      <w:bookmarkStart w:id="134" w:name="_Toc288306150"/>
      <w:r>
        <w:rPr>
          <w:rFonts w:hint="default" w:ascii="Times New Roman" w:hAnsi="Times New Roman" w:eastAsia="宋体" w:cs="Times New Roman"/>
          <w:b/>
          <w:bCs/>
          <w:i w:val="0"/>
          <w:iCs w:val="0"/>
          <w:caps w:val="0"/>
          <w:smallCaps w:val="0"/>
          <w:strike w:val="0"/>
          <w:dstrike w:val="0"/>
          <w:vanish w:val="0"/>
          <w:color w:val="auto"/>
          <w:spacing w:val="0"/>
          <w:kern w:val="2"/>
          <w:position w:val="0"/>
          <w:sz w:val="24"/>
          <w:szCs w:val="24"/>
          <w:highlight w:val="none"/>
          <w:u w:val="none"/>
          <w:vertAlign w:val="baseline"/>
          <w:lang w:val="en-US" w:eastAsia="zh-CN" w:bidi="ar-SA"/>
          <w14:shadow w14:blurRad="0" w14:dist="0" w14:dir="0" w14:sx="0" w14:sy="0" w14:kx="0" w14:ky="0" w14:algn="none">
            <w14:srgbClr w14:val="000000"/>
          </w14:shadow>
        </w:rPr>
        <w:t>1.2.3</w:t>
      </w:r>
      <w:r>
        <w:rPr>
          <w:rFonts w:hint="default" w:ascii="Times New Roman" w:hAnsi="Times New Roman" w:eastAsia="宋体" w:cs="Times New Roman"/>
          <w:b/>
          <w:bCs/>
          <w:color w:val="auto"/>
          <w:highlight w:val="none"/>
        </w:rPr>
        <w:t>有关技术报告、文件</w:t>
      </w:r>
      <w:bookmarkEnd w:id="126"/>
      <w:bookmarkEnd w:id="127"/>
      <w:bookmarkEnd w:id="128"/>
      <w:bookmarkEnd w:id="129"/>
      <w:bookmarkEnd w:id="130"/>
      <w:bookmarkEnd w:id="131"/>
      <w:bookmarkEnd w:id="132"/>
      <w:bookmarkEnd w:id="133"/>
      <w:bookmarkEnd w:id="134"/>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（1</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环境影响评价报告委托书；</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（2</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项目备案告知书；</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（3</w:t>
      </w:r>
      <w:r>
        <w:rPr>
          <w:rFonts w:hint="default" w:ascii="Times New Roman" w:hAnsi="Times New Roman" w:eastAsia="宋体" w:cs="Times New Roman"/>
          <w:color w:val="auto"/>
          <w:sz w:val="24"/>
          <w:highlight w:val="none"/>
          <w:lang w:eastAsia="zh-CN"/>
        </w:rPr>
        <w:t>）巴彦淖尔市应急管理局文件；</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4</w:t>
      </w:r>
      <w:r>
        <w:rPr>
          <w:rFonts w:hint="default" w:ascii="Times New Roman" w:hAnsi="Times New Roman" w:eastAsia="宋体" w:cs="Times New Roman"/>
          <w:color w:val="auto"/>
          <w:sz w:val="24"/>
          <w:highlight w:val="none"/>
          <w:lang w:eastAsia="zh-CN"/>
        </w:rPr>
        <w:t>）企业事业单位突发环境事件应急预案备案表；</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5</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关于《内蒙古自治区乌拉特前旗西沙德盖钼业有限责任公司10000t/d钼矿采选扩建尾矿库工程环境影响报告书</w:t>
      </w:r>
      <w:r>
        <w:rPr>
          <w:rFonts w:hint="default" w:ascii="Times New Roman" w:hAnsi="Times New Roman" w:eastAsia="宋体" w:cs="Times New Roman"/>
          <w:color w:val="auto"/>
          <w:sz w:val="24"/>
          <w:highlight w:val="none"/>
          <w:lang w:eastAsia="zh-CN"/>
        </w:rPr>
        <w:t>》的</w:t>
      </w:r>
      <w:r>
        <w:rPr>
          <w:rFonts w:hint="default" w:ascii="Times New Roman" w:hAnsi="Times New Roman" w:eastAsia="宋体" w:cs="Times New Roman"/>
          <w:color w:val="auto"/>
          <w:sz w:val="24"/>
          <w:highlight w:val="none"/>
        </w:rPr>
        <w:t>批复；</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6</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巴彦淖尔市环境保护局关于内蒙古自治区乌拉特前旗西沙德盖钼业有限责任公司10000t/d钼矿采选扩建尾矿库工程竣工环境保护验收意见；</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7</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巴彦淖尔市生态环境局乌拉特前旗分局关于核实乌拉特前旗西沙德盖钼业有限责任公司年处理300万吨钼矿选矿节能技改扩产项目尾矿库加高扩容工程项目是否位于饮用水水源保护区的复函；</w:t>
      </w:r>
    </w:p>
    <w:p>
      <w:pPr>
        <w:pStyle w:val="20"/>
        <w:pageBreakBefore w:val="0"/>
        <w:wordWrap/>
        <w:bidi w:val="0"/>
        <w:snapToGrid w:val="0"/>
        <w:spacing w:after="0"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8</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关于核查乌拉特前旗西沙德盖钼业有限责任公司年处理300万吨钼矿选矿节能技改扩产项目尾矿库加高扩容工程项目是否位于生态保护红线的复函；</w:t>
      </w:r>
    </w:p>
    <w:p>
      <w:pPr>
        <w:pageBreakBefore w:val="0"/>
        <w:wordWrap/>
        <w:bidi w:val="0"/>
        <w:spacing w:line="360" w:lineRule="auto"/>
        <w:ind w:left="0" w:leftChars="0" w:right="0" w:rightChars="0" w:firstLine="480" w:firstLineChars="200"/>
        <w:outlineLvl w:val="0"/>
        <w:rPr>
          <w:rFonts w:hint="default" w:ascii="Times New Roman" w:hAnsi="Times New Roman" w:eastAsia="宋体" w:cs="Times New Roman"/>
          <w:color w:val="auto"/>
          <w:sz w:val="24"/>
          <w:highlight w:val="none"/>
        </w:rPr>
      </w:pPr>
      <w:bookmarkStart w:id="135" w:name="_Toc24316"/>
      <w:bookmarkStart w:id="136" w:name="_Toc25408"/>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9</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其他技术资料。</w:t>
      </w:r>
      <w:bookmarkEnd w:id="135"/>
      <w:bookmarkEnd w:id="136"/>
    </w:p>
    <w:p>
      <w:pPr>
        <w:pStyle w:val="4"/>
        <w:pageBreakBefore w:val="0"/>
        <w:numPr>
          <w:ilvl w:val="1"/>
          <w:numId w:val="0"/>
        </w:numPr>
        <w:wordWrap/>
        <w:bidi w:val="0"/>
        <w:ind w:left="0" w:leftChars="0" w:right="0" w:rightChars="0" w:firstLine="0" w:firstLineChars="0"/>
        <w:rPr>
          <w:rFonts w:hint="default" w:ascii="Times New Roman" w:hAnsi="Times New Roman" w:eastAsia="宋体" w:cs="Times New Roman"/>
          <w:b/>
          <w:bCs/>
          <w:color w:val="auto"/>
          <w:highlight w:val="none"/>
        </w:rPr>
      </w:pPr>
      <w:bookmarkStart w:id="137" w:name="_Toc237963229"/>
      <w:bookmarkStart w:id="138" w:name="_Toc243904669"/>
      <w:bookmarkStart w:id="139" w:name="_Toc227651209"/>
      <w:bookmarkStart w:id="140" w:name="_Toc19965"/>
      <w:bookmarkStart w:id="141" w:name="_Toc246850525"/>
      <w:bookmarkStart w:id="142" w:name="_Toc2487"/>
      <w:bookmarkStart w:id="143" w:name="_Toc288306151"/>
      <w:r>
        <w:rPr>
          <w:rFonts w:hint="default" w:ascii="Times New Roman" w:hAnsi="Times New Roman" w:eastAsia="宋体" w:cs="Times New Roman"/>
          <w:b/>
          <w:bCs/>
          <w:i w:val="0"/>
          <w:color w:val="auto"/>
          <w:kern w:val="2"/>
          <w:sz w:val="28"/>
          <w:szCs w:val="28"/>
          <w:highlight w:val="none"/>
          <w:lang w:val="en-US" w:eastAsia="zh-CN" w:bidi="ar-SA"/>
        </w:rPr>
        <w:t>1.3</w:t>
      </w:r>
      <w:r>
        <w:rPr>
          <w:rFonts w:hint="default" w:ascii="Times New Roman" w:hAnsi="Times New Roman" w:eastAsia="宋体" w:cs="Times New Roman"/>
          <w:b/>
          <w:bCs/>
          <w:color w:val="auto"/>
          <w:highlight w:val="none"/>
        </w:rPr>
        <w:t>环境影响因素识别与筛选</w:t>
      </w:r>
      <w:bookmarkEnd w:id="137"/>
      <w:bookmarkEnd w:id="138"/>
      <w:bookmarkEnd w:id="139"/>
      <w:bookmarkEnd w:id="140"/>
      <w:bookmarkEnd w:id="141"/>
      <w:bookmarkEnd w:id="142"/>
      <w:bookmarkEnd w:id="143"/>
    </w:p>
    <w:p>
      <w:pPr>
        <w:pStyle w:val="5"/>
        <w:pageBreakBefore w:val="0"/>
        <w:numPr>
          <w:ilvl w:val="2"/>
          <w:numId w:val="0"/>
        </w:numPr>
        <w:wordWrap/>
        <w:bidi w:val="0"/>
        <w:ind w:left="0" w:leftChars="0" w:right="0" w:rightChars="0"/>
        <w:rPr>
          <w:rFonts w:hint="default" w:ascii="Times New Roman" w:hAnsi="Times New Roman" w:eastAsia="宋体" w:cs="Times New Roman"/>
          <w:b/>
          <w:bCs/>
          <w:color w:val="auto"/>
          <w:highlight w:val="none"/>
        </w:rPr>
      </w:pPr>
      <w:bookmarkStart w:id="144" w:name="_Toc15925"/>
      <w:bookmarkStart w:id="145" w:name="_Toc9466"/>
      <w:bookmarkStart w:id="146" w:name="_Toc288306152"/>
      <w:bookmarkStart w:id="147" w:name="_Toc11725"/>
      <w:bookmarkStart w:id="148" w:name="_Toc246850526"/>
      <w:r>
        <w:rPr>
          <w:rFonts w:hint="default" w:ascii="Times New Roman" w:hAnsi="Times New Roman" w:eastAsia="宋体" w:cs="Times New Roman"/>
          <w:b/>
          <w:bCs/>
          <w:i w:val="0"/>
          <w:iCs w:val="0"/>
          <w:caps w:val="0"/>
          <w:smallCaps w:val="0"/>
          <w:strike w:val="0"/>
          <w:dstrike w:val="0"/>
          <w:vanish w:val="0"/>
          <w:color w:val="auto"/>
          <w:spacing w:val="0"/>
          <w:kern w:val="2"/>
          <w:position w:val="0"/>
          <w:sz w:val="24"/>
          <w:szCs w:val="24"/>
          <w:highlight w:val="none"/>
          <w:u w:val="none"/>
          <w:vertAlign w:val="baseline"/>
          <w:lang w:val="en-US" w:eastAsia="zh-CN" w:bidi="ar-SA"/>
          <w14:shadow w14:blurRad="0" w14:dist="0" w14:dir="0" w14:sx="0" w14:sy="0" w14:kx="0" w14:ky="0" w14:algn="none">
            <w14:srgbClr w14:val="000000"/>
          </w14:shadow>
        </w:rPr>
        <w:t>1.3.1</w:t>
      </w:r>
      <w:r>
        <w:rPr>
          <w:rFonts w:hint="default" w:ascii="Times New Roman" w:hAnsi="Times New Roman" w:eastAsia="宋体" w:cs="Times New Roman"/>
          <w:b/>
          <w:bCs/>
          <w:color w:val="auto"/>
          <w:highlight w:val="none"/>
        </w:rPr>
        <w:t>环境影响因素识别</w:t>
      </w:r>
      <w:bookmarkEnd w:id="144"/>
      <w:bookmarkEnd w:id="145"/>
      <w:bookmarkEnd w:id="146"/>
      <w:bookmarkEnd w:id="147"/>
      <w:bookmarkEnd w:id="148"/>
    </w:p>
    <w:p>
      <w:pPr>
        <w:pageBreakBefore w:val="0"/>
        <w:wordWrap/>
        <w:bidi w:val="0"/>
        <w:spacing w:line="360" w:lineRule="auto"/>
        <w:ind w:left="0" w:leftChars="0" w:right="0" w:rightChars="0" w:firstLine="480" w:firstLineChars="200"/>
        <w:rPr>
          <w:rFonts w:hint="default" w:ascii="Times New Roman" w:hAnsi="Times New Roman" w:eastAsia="宋体" w:cs="Times New Roman"/>
          <w:bCs/>
          <w:color w:val="auto"/>
          <w:sz w:val="24"/>
          <w:highlight w:val="none"/>
        </w:rPr>
      </w:pPr>
      <w:r>
        <w:rPr>
          <w:rFonts w:hint="default" w:ascii="Times New Roman" w:hAnsi="Times New Roman" w:eastAsia="宋体" w:cs="Times New Roman"/>
          <w:color w:val="auto"/>
          <w:sz w:val="24"/>
          <w:highlight w:val="none"/>
        </w:rPr>
        <w:t>该项目的建设</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将对周围环境产生一定的影响</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环境影响因素分析见表1-1。</w:t>
      </w:r>
    </w:p>
    <w:p>
      <w:pPr>
        <w:pageBreakBefore w:val="0"/>
        <w:tabs>
          <w:tab w:val="left" w:pos="3062"/>
        </w:tabs>
        <w:wordWrap/>
        <w:bidi w:val="0"/>
        <w:spacing w:line="360" w:lineRule="auto"/>
        <w:ind w:left="0" w:leftChars="0" w:right="0" w:rightChars="0"/>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表1-1工程环境影响因素分析表</w:t>
      </w:r>
    </w:p>
    <w:tbl>
      <w:tblPr>
        <w:tblStyle w:val="54"/>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28" w:type="dxa"/>
          <w:bottom w:w="0" w:type="dxa"/>
          <w:right w:w="28" w:type="dxa"/>
        </w:tblCellMar>
      </w:tblPr>
      <w:tblGrid>
        <w:gridCol w:w="1254"/>
        <w:gridCol w:w="1254"/>
        <w:gridCol w:w="1254"/>
        <w:gridCol w:w="1254"/>
        <w:gridCol w:w="1254"/>
        <w:gridCol w:w="1255"/>
        <w:gridCol w:w="83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trPr>
        <w:tc>
          <w:tcPr>
            <w:tcW w:w="750"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影响分析</w:t>
            </w:r>
          </w:p>
        </w:tc>
        <w:tc>
          <w:tcPr>
            <w:tcW w:w="750" w:type="pct"/>
            <w:gridSpan w:val="6"/>
            <w:tcBorders>
              <w:top w:val="single" w:color="auto" w:sz="4" w:space="0"/>
              <w:left w:val="single" w:color="auto" w:sz="4" w:space="0"/>
              <w:bottom w:val="single" w:color="auto" w:sz="4" w:space="0"/>
              <w:right w:val="single" w:color="auto" w:sz="4" w:space="0"/>
            </w:tcBorders>
            <w:noWrap/>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自然生态环境</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trPr>
        <w:tc>
          <w:tcPr>
            <w:tcW w:w="750"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项目</w:t>
            </w:r>
          </w:p>
        </w:tc>
        <w:tc>
          <w:tcPr>
            <w:tcW w:w="750" w:type="pct"/>
            <w:tcBorders>
              <w:top w:val="single" w:color="auto" w:sz="4" w:space="0"/>
              <w:left w:val="single" w:color="auto" w:sz="4" w:space="0"/>
              <w:bottom w:val="single" w:color="auto" w:sz="4" w:space="0"/>
              <w:right w:val="single" w:color="auto" w:sz="4" w:space="0"/>
            </w:tcBorders>
            <w:noWrap/>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大</w:t>
            </w:r>
          </w:p>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气</w:t>
            </w:r>
          </w:p>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环</w:t>
            </w:r>
          </w:p>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境</w:t>
            </w:r>
          </w:p>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质</w:t>
            </w:r>
          </w:p>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量</w:t>
            </w:r>
          </w:p>
        </w:tc>
        <w:tc>
          <w:tcPr>
            <w:tcW w:w="750" w:type="pct"/>
            <w:tcBorders>
              <w:top w:val="single" w:color="auto" w:sz="4" w:space="0"/>
              <w:left w:val="single" w:color="auto" w:sz="4" w:space="0"/>
              <w:bottom w:val="single" w:color="auto" w:sz="4" w:space="0"/>
              <w:right w:val="single" w:color="auto" w:sz="4" w:space="0"/>
            </w:tcBorders>
            <w:noWrap/>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地</w:t>
            </w:r>
          </w:p>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下</w:t>
            </w:r>
          </w:p>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水</w:t>
            </w:r>
          </w:p>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水</w:t>
            </w:r>
          </w:p>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量</w:t>
            </w:r>
          </w:p>
        </w:tc>
        <w:tc>
          <w:tcPr>
            <w:tcW w:w="750" w:type="pct"/>
            <w:tcBorders>
              <w:top w:val="single" w:color="auto" w:sz="4" w:space="0"/>
              <w:left w:val="single" w:color="auto" w:sz="4" w:space="0"/>
              <w:bottom w:val="single" w:color="auto" w:sz="4" w:space="0"/>
              <w:right w:val="single" w:color="auto" w:sz="4" w:space="0"/>
            </w:tcBorders>
            <w:noWrap/>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地</w:t>
            </w:r>
          </w:p>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下</w:t>
            </w:r>
          </w:p>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水</w:t>
            </w:r>
          </w:p>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水</w:t>
            </w:r>
          </w:p>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质</w:t>
            </w:r>
          </w:p>
        </w:tc>
        <w:tc>
          <w:tcPr>
            <w:tcW w:w="750" w:type="pct"/>
            <w:tcBorders>
              <w:top w:val="single" w:color="auto" w:sz="4" w:space="0"/>
              <w:left w:val="single" w:color="auto" w:sz="4" w:space="0"/>
              <w:bottom w:val="single" w:color="auto" w:sz="4" w:space="0"/>
              <w:right w:val="single" w:color="auto" w:sz="4" w:space="0"/>
            </w:tcBorders>
            <w:noWrap/>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环</w:t>
            </w:r>
          </w:p>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境</w:t>
            </w:r>
          </w:p>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噪</w:t>
            </w:r>
          </w:p>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声</w:t>
            </w:r>
          </w:p>
        </w:tc>
        <w:tc>
          <w:tcPr>
            <w:tcW w:w="750" w:type="pct"/>
            <w:tcBorders>
              <w:top w:val="single" w:color="auto" w:sz="4" w:space="0"/>
              <w:left w:val="single" w:color="auto" w:sz="4" w:space="0"/>
              <w:bottom w:val="single" w:color="auto" w:sz="4" w:space="0"/>
              <w:right w:val="single" w:color="auto" w:sz="4" w:space="0"/>
            </w:tcBorders>
            <w:noWrap/>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土</w:t>
            </w:r>
          </w:p>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壤</w:t>
            </w:r>
          </w:p>
        </w:tc>
        <w:tc>
          <w:tcPr>
            <w:tcW w:w="750" w:type="pct"/>
            <w:tcBorders>
              <w:top w:val="single" w:color="auto" w:sz="4" w:space="0"/>
              <w:left w:val="single" w:color="auto" w:sz="4" w:space="0"/>
              <w:bottom w:val="single" w:color="auto" w:sz="4" w:space="0"/>
              <w:right w:val="single" w:color="auto" w:sz="4" w:space="0"/>
            </w:tcBorders>
            <w:noWrap/>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植</w:t>
            </w:r>
          </w:p>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被</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trPr>
        <w:tc>
          <w:tcPr>
            <w:tcW w:w="750"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施工期</w:t>
            </w:r>
          </w:p>
        </w:tc>
        <w:tc>
          <w:tcPr>
            <w:tcW w:w="750" w:type="pct"/>
            <w:tcBorders>
              <w:top w:val="single" w:color="auto" w:sz="4" w:space="0"/>
              <w:left w:val="single" w:color="auto" w:sz="4" w:space="0"/>
              <w:bottom w:val="single" w:color="auto" w:sz="4" w:space="0"/>
              <w:right w:val="single" w:color="auto" w:sz="4" w:space="0"/>
            </w:tcBorders>
            <w:noWrap/>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-1S</w:t>
            </w:r>
          </w:p>
        </w:tc>
        <w:tc>
          <w:tcPr>
            <w:tcW w:w="750" w:type="pct"/>
            <w:tcBorders>
              <w:top w:val="single" w:color="auto" w:sz="4" w:space="0"/>
              <w:left w:val="single" w:color="auto" w:sz="4" w:space="0"/>
              <w:bottom w:val="single" w:color="auto" w:sz="4" w:space="0"/>
              <w:right w:val="single" w:color="auto" w:sz="4" w:space="0"/>
            </w:tcBorders>
            <w:noWrap/>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w:t>
            </w:r>
          </w:p>
        </w:tc>
        <w:tc>
          <w:tcPr>
            <w:tcW w:w="750" w:type="pct"/>
            <w:tcBorders>
              <w:top w:val="single" w:color="auto" w:sz="4" w:space="0"/>
              <w:left w:val="single" w:color="auto" w:sz="4" w:space="0"/>
              <w:bottom w:val="single" w:color="auto" w:sz="4" w:space="0"/>
              <w:right w:val="single" w:color="auto" w:sz="4" w:space="0"/>
            </w:tcBorders>
            <w:noWrap/>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w:t>
            </w:r>
          </w:p>
        </w:tc>
        <w:tc>
          <w:tcPr>
            <w:tcW w:w="750" w:type="pct"/>
            <w:tcBorders>
              <w:top w:val="single" w:color="auto" w:sz="4" w:space="0"/>
              <w:left w:val="single" w:color="auto" w:sz="4" w:space="0"/>
              <w:bottom w:val="single" w:color="auto" w:sz="4" w:space="0"/>
              <w:right w:val="single" w:color="auto" w:sz="4" w:space="0"/>
            </w:tcBorders>
            <w:noWrap/>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-1S</w:t>
            </w:r>
          </w:p>
        </w:tc>
        <w:tc>
          <w:tcPr>
            <w:tcW w:w="750" w:type="pct"/>
            <w:tcBorders>
              <w:top w:val="single" w:color="auto" w:sz="4" w:space="0"/>
              <w:left w:val="single" w:color="auto" w:sz="4" w:space="0"/>
              <w:bottom w:val="single" w:color="auto" w:sz="4" w:space="0"/>
              <w:right w:val="single" w:color="auto" w:sz="4" w:space="0"/>
            </w:tcBorders>
            <w:noWrap/>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-1S</w:t>
            </w:r>
          </w:p>
        </w:tc>
        <w:tc>
          <w:tcPr>
            <w:tcW w:w="750" w:type="pct"/>
            <w:tcBorders>
              <w:top w:val="single" w:color="auto" w:sz="4" w:space="0"/>
              <w:left w:val="single" w:color="auto" w:sz="4" w:space="0"/>
              <w:bottom w:val="single" w:color="auto" w:sz="4" w:space="0"/>
              <w:right w:val="single" w:color="auto" w:sz="4" w:space="0"/>
            </w:tcBorders>
            <w:noWrap/>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-1S</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trPr>
        <w:tc>
          <w:tcPr>
            <w:tcW w:w="750"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lang w:eastAsia="zh-CN"/>
              </w:rPr>
              <w:t>运营</w:t>
            </w:r>
            <w:r>
              <w:rPr>
                <w:rFonts w:hint="default" w:ascii="Times New Roman" w:hAnsi="Times New Roman" w:eastAsia="宋体" w:cs="Times New Roman"/>
                <w:color w:val="auto"/>
                <w:szCs w:val="21"/>
                <w:highlight w:val="none"/>
              </w:rPr>
              <w:t>期</w:t>
            </w:r>
          </w:p>
        </w:tc>
        <w:tc>
          <w:tcPr>
            <w:tcW w:w="750" w:type="pct"/>
            <w:tcBorders>
              <w:top w:val="single" w:color="auto" w:sz="4" w:space="0"/>
              <w:left w:val="single" w:color="auto" w:sz="4" w:space="0"/>
              <w:bottom w:val="single" w:color="auto" w:sz="4" w:space="0"/>
              <w:right w:val="single" w:color="auto" w:sz="4" w:space="0"/>
            </w:tcBorders>
            <w:noWrap/>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-1L</w:t>
            </w:r>
          </w:p>
        </w:tc>
        <w:tc>
          <w:tcPr>
            <w:tcW w:w="750" w:type="pct"/>
            <w:tcBorders>
              <w:top w:val="single" w:color="auto" w:sz="4" w:space="0"/>
              <w:left w:val="single" w:color="auto" w:sz="4" w:space="0"/>
              <w:bottom w:val="single" w:color="auto" w:sz="4" w:space="0"/>
              <w:right w:val="single" w:color="auto" w:sz="4" w:space="0"/>
            </w:tcBorders>
            <w:noWrap/>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-1L</w:t>
            </w:r>
          </w:p>
        </w:tc>
        <w:tc>
          <w:tcPr>
            <w:tcW w:w="750" w:type="pct"/>
            <w:tcBorders>
              <w:top w:val="single" w:color="auto" w:sz="4" w:space="0"/>
              <w:left w:val="single" w:color="auto" w:sz="4" w:space="0"/>
              <w:bottom w:val="single" w:color="auto" w:sz="4" w:space="0"/>
              <w:right w:val="single" w:color="auto" w:sz="4" w:space="0"/>
            </w:tcBorders>
            <w:noWrap/>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-1L</w:t>
            </w:r>
          </w:p>
        </w:tc>
        <w:tc>
          <w:tcPr>
            <w:tcW w:w="750" w:type="pct"/>
            <w:tcBorders>
              <w:top w:val="single" w:color="auto" w:sz="4" w:space="0"/>
              <w:left w:val="single" w:color="auto" w:sz="4" w:space="0"/>
              <w:bottom w:val="single" w:color="auto" w:sz="4" w:space="0"/>
              <w:right w:val="single" w:color="auto" w:sz="4" w:space="0"/>
            </w:tcBorders>
            <w:noWrap/>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-1L</w:t>
            </w:r>
          </w:p>
        </w:tc>
        <w:tc>
          <w:tcPr>
            <w:tcW w:w="750" w:type="pct"/>
            <w:tcBorders>
              <w:top w:val="single" w:color="auto" w:sz="4" w:space="0"/>
              <w:left w:val="single" w:color="auto" w:sz="4" w:space="0"/>
              <w:bottom w:val="single" w:color="auto" w:sz="4" w:space="0"/>
              <w:right w:val="single" w:color="auto" w:sz="4" w:space="0"/>
            </w:tcBorders>
            <w:noWrap/>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-1L</w:t>
            </w:r>
          </w:p>
        </w:tc>
        <w:tc>
          <w:tcPr>
            <w:tcW w:w="750" w:type="pct"/>
            <w:tcBorders>
              <w:top w:val="single" w:color="auto" w:sz="4" w:space="0"/>
              <w:left w:val="single" w:color="auto" w:sz="4" w:space="0"/>
              <w:bottom w:val="single" w:color="auto" w:sz="4" w:space="0"/>
              <w:right w:val="single" w:color="auto" w:sz="4" w:space="0"/>
            </w:tcBorders>
            <w:noWrap/>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-1L</w:t>
            </w:r>
          </w:p>
        </w:tc>
      </w:tr>
    </w:tbl>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注</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+表示正面影响</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rPr>
        <w:t>表示负面影响</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0表示影响轻微或无影响；1表示轻度影响；2表示中度影响；3表示重度影响；S表示短期影响；L表示长期影响。</w:t>
      </w:r>
    </w:p>
    <w:p>
      <w:pPr>
        <w:pStyle w:val="5"/>
        <w:pageBreakBefore w:val="0"/>
        <w:numPr>
          <w:ilvl w:val="2"/>
          <w:numId w:val="0"/>
        </w:numPr>
        <w:wordWrap/>
        <w:bidi w:val="0"/>
        <w:ind w:left="0" w:leftChars="0" w:right="0" w:rightChars="0"/>
        <w:rPr>
          <w:rFonts w:hint="default" w:ascii="Times New Roman" w:hAnsi="Times New Roman" w:eastAsia="宋体" w:cs="Times New Roman"/>
          <w:b/>
          <w:bCs/>
          <w:color w:val="auto"/>
          <w:highlight w:val="none"/>
        </w:rPr>
      </w:pPr>
      <w:bookmarkStart w:id="149" w:name="_Toc22709"/>
      <w:bookmarkStart w:id="150" w:name="_Toc288306153"/>
      <w:bookmarkStart w:id="151" w:name="_Toc11864"/>
      <w:bookmarkStart w:id="152" w:name="_Toc260567867"/>
      <w:bookmarkStart w:id="153" w:name="_Toc13554"/>
      <w:r>
        <w:rPr>
          <w:rFonts w:hint="default" w:ascii="Times New Roman" w:hAnsi="Times New Roman" w:eastAsia="宋体" w:cs="Times New Roman"/>
          <w:b/>
          <w:bCs/>
          <w:i w:val="0"/>
          <w:iCs w:val="0"/>
          <w:caps w:val="0"/>
          <w:smallCaps w:val="0"/>
          <w:strike w:val="0"/>
          <w:dstrike w:val="0"/>
          <w:vanish w:val="0"/>
          <w:color w:val="auto"/>
          <w:spacing w:val="0"/>
          <w:kern w:val="2"/>
          <w:position w:val="0"/>
          <w:sz w:val="24"/>
          <w:szCs w:val="24"/>
          <w:highlight w:val="none"/>
          <w:u w:val="none"/>
          <w:vertAlign w:val="baseline"/>
          <w:lang w:val="en-US" w:eastAsia="zh-CN" w:bidi="ar-SA"/>
          <w14:shadow w14:blurRad="0" w14:dist="0" w14:dir="0" w14:sx="0" w14:sy="0" w14:kx="0" w14:ky="0" w14:algn="none">
            <w14:srgbClr w14:val="000000"/>
          </w14:shadow>
        </w:rPr>
        <w:t>1.3.2</w:t>
      </w:r>
      <w:r>
        <w:rPr>
          <w:rFonts w:hint="default" w:ascii="Times New Roman" w:hAnsi="Times New Roman" w:eastAsia="宋体" w:cs="Times New Roman"/>
          <w:b/>
          <w:bCs/>
          <w:color w:val="auto"/>
          <w:highlight w:val="none"/>
        </w:rPr>
        <w:t>评价因子的确定</w:t>
      </w:r>
      <w:bookmarkEnd w:id="149"/>
      <w:bookmarkEnd w:id="150"/>
      <w:bookmarkEnd w:id="151"/>
      <w:bookmarkEnd w:id="152"/>
      <w:bookmarkEnd w:id="153"/>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根据工程的工艺特点、建设内容以及所在区域的环境特点等</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对环境影响因子进行了识别与筛选</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筛选结果见表1-2。</w:t>
      </w:r>
    </w:p>
    <w:p>
      <w:pPr>
        <w:pageBreakBefore w:val="0"/>
        <w:wordWrap/>
        <w:bidi w:val="0"/>
        <w:adjustRightInd w:val="0"/>
        <w:snapToGrid w:val="0"/>
        <w:spacing w:line="360" w:lineRule="auto"/>
        <w:ind w:left="0" w:leftChars="0" w:right="0" w:rightChars="0" w:firstLine="482" w:firstLineChars="200"/>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表1-2评价因子筛选结果一览表</w:t>
      </w:r>
    </w:p>
    <w:tbl>
      <w:tblPr>
        <w:tblStyle w:val="54"/>
        <w:tblW w:w="827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03"/>
        <w:gridCol w:w="5374"/>
        <w:gridCol w:w="170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6" w:type="pct"/>
            <w:tcBorders>
              <w:top w:val="single" w:color="auto" w:sz="4" w:space="0"/>
              <w:lef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类别</w:t>
            </w:r>
          </w:p>
        </w:tc>
        <w:tc>
          <w:tcPr>
            <w:tcW w:w="3245" w:type="pct"/>
            <w:tcBorders>
              <w:top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现状评价因子</w:t>
            </w:r>
          </w:p>
        </w:tc>
        <w:tc>
          <w:tcPr>
            <w:tcW w:w="1027" w:type="pct"/>
            <w:tcBorders>
              <w:top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预测因子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6" w:type="pct"/>
            <w:tcBorders>
              <w:lef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大气环境</w:t>
            </w:r>
          </w:p>
        </w:tc>
        <w:tc>
          <w:tcPr>
            <w:tcW w:w="3245"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SO</w:t>
            </w:r>
            <w:r>
              <w:rPr>
                <w:rFonts w:hint="default" w:ascii="Times New Roman" w:hAnsi="Times New Roman" w:eastAsia="宋体" w:cs="Times New Roman"/>
                <w:color w:val="auto"/>
                <w:szCs w:val="21"/>
                <w:highlight w:val="none"/>
                <w:vertAlign w:val="subscript"/>
              </w:rPr>
              <w:t>2</w:t>
            </w:r>
            <w:r>
              <w:rPr>
                <w:rFonts w:hint="default" w:ascii="Times New Roman" w:hAnsi="Times New Roman" w:eastAsia="宋体" w:cs="Times New Roman"/>
                <w:color w:val="auto"/>
                <w:szCs w:val="21"/>
                <w:highlight w:val="none"/>
              </w:rPr>
              <w:t>、NO</w:t>
            </w:r>
            <w:r>
              <w:rPr>
                <w:rFonts w:hint="default" w:ascii="Times New Roman" w:hAnsi="Times New Roman" w:eastAsia="宋体" w:cs="Times New Roman"/>
                <w:color w:val="auto"/>
                <w:szCs w:val="21"/>
                <w:highlight w:val="none"/>
                <w:vertAlign w:val="subscript"/>
              </w:rPr>
              <w:t>2</w:t>
            </w:r>
            <w:r>
              <w:rPr>
                <w:rFonts w:hint="default" w:ascii="Times New Roman" w:hAnsi="Times New Roman" w:eastAsia="宋体" w:cs="Times New Roman"/>
                <w:color w:val="auto"/>
                <w:szCs w:val="21"/>
                <w:highlight w:val="none"/>
              </w:rPr>
              <w:t>、PM</w:t>
            </w:r>
            <w:r>
              <w:rPr>
                <w:rFonts w:hint="default" w:ascii="Times New Roman" w:hAnsi="Times New Roman" w:eastAsia="宋体" w:cs="Times New Roman"/>
                <w:color w:val="auto"/>
                <w:szCs w:val="21"/>
                <w:highlight w:val="none"/>
                <w:vertAlign w:val="subscript"/>
              </w:rPr>
              <w:t>10</w:t>
            </w:r>
            <w:r>
              <w:rPr>
                <w:rFonts w:hint="default" w:ascii="Times New Roman" w:hAnsi="Times New Roman" w:eastAsia="宋体" w:cs="Times New Roman"/>
                <w:color w:val="auto"/>
                <w:szCs w:val="21"/>
                <w:highlight w:val="none"/>
              </w:rPr>
              <w:t>、PM</w:t>
            </w:r>
            <w:r>
              <w:rPr>
                <w:rFonts w:hint="default" w:ascii="Times New Roman" w:hAnsi="Times New Roman" w:eastAsia="宋体" w:cs="Times New Roman"/>
                <w:color w:val="auto"/>
                <w:szCs w:val="21"/>
                <w:highlight w:val="none"/>
                <w:vertAlign w:val="subscript"/>
              </w:rPr>
              <w:t>2.5</w:t>
            </w:r>
            <w:r>
              <w:rPr>
                <w:rFonts w:hint="default" w:ascii="Times New Roman" w:hAnsi="Times New Roman" w:eastAsia="宋体" w:cs="Times New Roman"/>
                <w:color w:val="auto"/>
                <w:szCs w:val="21"/>
                <w:highlight w:val="none"/>
              </w:rPr>
              <w:t>、</w:t>
            </w:r>
            <w:r>
              <w:rPr>
                <w:rFonts w:hint="default" w:ascii="Times New Roman" w:hAnsi="Times New Roman" w:eastAsia="宋体" w:cs="Times New Roman"/>
                <w:bCs/>
                <w:color w:val="auto"/>
                <w:szCs w:val="21"/>
                <w:highlight w:val="none"/>
              </w:rPr>
              <w:t>CO、O</w:t>
            </w:r>
            <w:r>
              <w:rPr>
                <w:rFonts w:hint="default" w:ascii="Times New Roman" w:hAnsi="Times New Roman" w:eastAsia="宋体" w:cs="Times New Roman"/>
                <w:bCs/>
                <w:color w:val="auto"/>
                <w:szCs w:val="21"/>
                <w:highlight w:val="none"/>
                <w:vertAlign w:val="subscript"/>
              </w:rPr>
              <w:t>3</w:t>
            </w:r>
            <w:r>
              <w:rPr>
                <w:rFonts w:hint="default" w:ascii="Times New Roman" w:hAnsi="Times New Roman" w:eastAsia="宋体" w:cs="Times New Roman"/>
                <w:color w:val="auto"/>
                <w:szCs w:val="21"/>
                <w:highlight w:val="none"/>
              </w:rPr>
              <w:t>、TSP</w:t>
            </w:r>
          </w:p>
        </w:tc>
        <w:tc>
          <w:tcPr>
            <w:tcW w:w="1027" w:type="pct"/>
            <w:tcBorders>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TSP</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26" w:type="pct"/>
            <w:tcBorders>
              <w:lef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地下水环境</w:t>
            </w:r>
          </w:p>
        </w:tc>
        <w:tc>
          <w:tcPr>
            <w:tcW w:w="3245"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bCs/>
                <w:color w:val="auto"/>
                <w:kern w:val="0"/>
                <w:szCs w:val="21"/>
                <w:highlight w:val="none"/>
                <w:lang w:eastAsia="zh-CN"/>
              </w:rPr>
            </w:pPr>
            <w:r>
              <w:rPr>
                <w:rFonts w:hint="default" w:ascii="Times New Roman" w:hAnsi="Times New Roman" w:eastAsia="宋体" w:cs="Times New Roman"/>
                <w:color w:val="auto"/>
                <w:szCs w:val="21"/>
                <w:highlight w:val="none"/>
              </w:rPr>
              <w:t>pH、氨氮、硝酸盐氮、亚硝酸盐氮、挥发酚、（总</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氰化物、砷、汞、铬（六价</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、总硬度、铅、镉、铁、锰、溶解性总固体、耗氧量、氟化物、总大肠菌群、菌落总数、铜、锌、钾、钠、钙、镁、碳酸盐、重碳酸盐、硫酸盐、氯化物、硫化物、硒</w:t>
            </w:r>
            <w:r>
              <w:rPr>
                <w:rFonts w:hint="default" w:ascii="Times New Roman" w:hAnsi="Times New Roman" w:eastAsia="宋体" w:cs="Times New Roman"/>
                <w:color w:val="auto"/>
                <w:szCs w:val="21"/>
                <w:highlight w:val="none"/>
                <w:lang w:eastAsia="zh-CN"/>
              </w:rPr>
              <w:t>、钼</w:t>
            </w:r>
          </w:p>
        </w:tc>
        <w:tc>
          <w:tcPr>
            <w:tcW w:w="1027" w:type="pct"/>
            <w:tcBorders>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eastAsia="zh-CN"/>
              </w:rPr>
              <w:t>化学需氧量、钼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6" w:type="pct"/>
            <w:tcBorders>
              <w:lef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声环境</w:t>
            </w:r>
          </w:p>
        </w:tc>
        <w:tc>
          <w:tcPr>
            <w:tcW w:w="3245"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rPr>
              <w:t>等效连续A声级（Lep</w:t>
            </w:r>
            <w:r>
              <w:rPr>
                <w:rFonts w:hint="default" w:ascii="Times New Roman" w:hAnsi="Times New Roman" w:eastAsia="宋体" w:cs="Times New Roman"/>
                <w:color w:val="auto"/>
                <w:szCs w:val="21"/>
                <w:highlight w:val="none"/>
                <w:lang w:eastAsia="zh-CN"/>
              </w:rPr>
              <w:t>）</w:t>
            </w:r>
          </w:p>
        </w:tc>
        <w:tc>
          <w:tcPr>
            <w:tcW w:w="1027" w:type="pct"/>
            <w:tcBorders>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rPr>
              <w:t>等效连续A声级（Lep</w:t>
            </w:r>
            <w:r>
              <w:rPr>
                <w:rFonts w:hint="default" w:ascii="Times New Roman" w:hAnsi="Times New Roman" w:eastAsia="宋体" w:cs="Times New Roman"/>
                <w:color w:val="auto"/>
                <w:szCs w:val="21"/>
                <w:highlight w:val="no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6" w:type="pct"/>
            <w:tcBorders>
              <w:lef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土壤</w:t>
            </w:r>
          </w:p>
        </w:tc>
        <w:tc>
          <w:tcPr>
            <w:tcW w:w="3245" w:type="pct"/>
            <w:vAlign w:val="center"/>
          </w:tcPr>
          <w:p>
            <w:pPr>
              <w:pStyle w:val="15"/>
              <w:pageBreakBefore w:val="0"/>
              <w:wordWrap/>
              <w:bidi w:val="0"/>
              <w:spacing w:line="240" w:lineRule="auto"/>
              <w:ind w:left="0" w:leftChars="0" w:right="0" w:rightChars="0" w:firstLine="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pH、砷、汞、六价铬、镉、铅、铜、镍、2-氯酚、硝基苯、萘、苯并</w:t>
            </w:r>
            <w:r>
              <w:rPr>
                <w:rFonts w:hint="default" w:ascii="Times New Roman" w:hAnsi="Times New Roman" w:eastAsia="宋体" w:cs="Times New Roman"/>
                <w:color w:val="auto"/>
                <w:sz w:val="21"/>
                <w:szCs w:val="21"/>
                <w:highlight w:val="none"/>
                <w:lang w:eastAsia="zh-CN"/>
              </w:rPr>
              <w:t>（A）</w:t>
            </w:r>
            <w:r>
              <w:rPr>
                <w:rFonts w:hint="default" w:ascii="Times New Roman" w:hAnsi="Times New Roman" w:eastAsia="宋体" w:cs="Times New Roman"/>
                <w:color w:val="auto"/>
                <w:sz w:val="21"/>
                <w:szCs w:val="21"/>
                <w:highlight w:val="none"/>
              </w:rPr>
              <w:t>蒽、苯并（b</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荧蒽、苯并（k</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荧蒽、苯并</w:t>
            </w:r>
            <w:r>
              <w:rPr>
                <w:rFonts w:hint="default" w:ascii="Times New Roman" w:hAnsi="Times New Roman" w:eastAsia="宋体" w:cs="Times New Roman"/>
                <w:color w:val="auto"/>
                <w:sz w:val="21"/>
                <w:szCs w:val="21"/>
                <w:highlight w:val="none"/>
                <w:lang w:eastAsia="zh-CN"/>
              </w:rPr>
              <w:t>（A）</w:t>
            </w:r>
            <w:r>
              <w:rPr>
                <w:rFonts w:hint="default" w:ascii="Times New Roman" w:hAnsi="Times New Roman" w:eastAsia="宋体" w:cs="Times New Roman"/>
                <w:color w:val="auto"/>
                <w:sz w:val="21"/>
                <w:szCs w:val="21"/>
                <w:highlight w:val="none"/>
              </w:rPr>
              <w:t>芘、茚并（1</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2</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3-cd</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芘、䓛、二苯芘（a</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h</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蒽、苯胺、氯乙烯、1</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1-二氯乙烯、二氯甲烷、反式1</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2-二氯乙烯、1</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1-二氯乙烷、顺式1</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2-二氯乙烯、氯仿、1</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1</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1-三氯乙烷、四氯化碳、氯甲烷、1</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2-二氯乙烷、三氯乙烯、1</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2-二氯丙烷、甲苯、1</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1</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2-三氯乙烷、四氯乙烯、氯苯、乙苯、1</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1</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1</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2-四氯乙烷、邻二甲苯、间二甲苯+对二甲苯、苯乙烯、1</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1</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2</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2-四氯乙烷、1</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2</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3-三氯丙烷、1</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4-二氯苯、1</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2-二氯苯</w:t>
            </w:r>
            <w:r>
              <w:rPr>
                <w:rFonts w:hint="default" w:ascii="Times New Roman" w:hAnsi="Times New Roman" w:eastAsia="宋体" w:cs="Times New Roman"/>
                <w:color w:val="auto"/>
                <w:sz w:val="21"/>
                <w:szCs w:val="21"/>
                <w:highlight w:val="none"/>
                <w:lang w:eastAsia="zh-CN"/>
              </w:rPr>
              <w:t>、钼</w:t>
            </w:r>
          </w:p>
        </w:tc>
        <w:tc>
          <w:tcPr>
            <w:tcW w:w="1027" w:type="pct"/>
            <w:tcBorders>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6" w:type="pct"/>
            <w:tcBorders>
              <w:lef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生态</w:t>
            </w:r>
          </w:p>
        </w:tc>
        <w:tc>
          <w:tcPr>
            <w:tcW w:w="3245"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植被类型、土地利用、土壤侵蚀</w:t>
            </w:r>
          </w:p>
        </w:tc>
        <w:tc>
          <w:tcPr>
            <w:tcW w:w="1027" w:type="pct"/>
            <w:tcBorders>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6" w:type="pct"/>
            <w:tcBorders>
              <w:left w:val="single" w:color="auto" w:sz="4" w:space="0"/>
              <w:bottom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环境风险</w:t>
            </w:r>
          </w:p>
        </w:tc>
        <w:tc>
          <w:tcPr>
            <w:tcW w:w="3245" w:type="pct"/>
            <w:tcBorders>
              <w:bottom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rPr>
              <w:t>尾矿库</w:t>
            </w:r>
            <w:r>
              <w:rPr>
                <w:rFonts w:hint="default" w:ascii="Times New Roman" w:hAnsi="Times New Roman" w:eastAsia="宋体" w:cs="Times New Roman"/>
                <w:color w:val="auto"/>
                <w:szCs w:val="21"/>
                <w:highlight w:val="none"/>
                <w:lang w:eastAsia="zh-CN"/>
              </w:rPr>
              <w:t>、废润滑油</w:t>
            </w:r>
          </w:p>
        </w:tc>
        <w:tc>
          <w:tcPr>
            <w:tcW w:w="1027" w:type="pct"/>
            <w:tcBorders>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r>
    </w:tbl>
    <w:p>
      <w:pPr>
        <w:pStyle w:val="5"/>
        <w:pageBreakBefore w:val="0"/>
        <w:numPr>
          <w:ilvl w:val="2"/>
          <w:numId w:val="0"/>
        </w:numPr>
        <w:wordWrap/>
        <w:bidi w:val="0"/>
        <w:adjustRightInd w:val="0"/>
        <w:snapToGrid w:val="0"/>
        <w:ind w:left="0" w:leftChars="0" w:right="0" w:rightChars="0"/>
        <w:rPr>
          <w:rFonts w:hint="default" w:ascii="Times New Roman" w:hAnsi="Times New Roman" w:eastAsia="宋体" w:cs="Times New Roman"/>
          <w:b/>
          <w:bCs/>
          <w:color w:val="auto"/>
          <w:highlight w:val="none"/>
        </w:rPr>
      </w:pPr>
      <w:bookmarkStart w:id="154" w:name="_Toc29212"/>
      <w:bookmarkStart w:id="155" w:name="_Toc246850528"/>
      <w:bookmarkStart w:id="156" w:name="_Toc288306154"/>
      <w:bookmarkStart w:id="157" w:name="_Toc23864"/>
      <w:bookmarkStart w:id="158" w:name="_Toc14755"/>
      <w:r>
        <w:rPr>
          <w:rFonts w:hint="default" w:ascii="Times New Roman" w:hAnsi="Times New Roman" w:eastAsia="宋体" w:cs="Times New Roman"/>
          <w:b/>
          <w:bCs/>
          <w:i w:val="0"/>
          <w:iCs w:val="0"/>
          <w:caps w:val="0"/>
          <w:smallCaps w:val="0"/>
          <w:strike w:val="0"/>
          <w:dstrike w:val="0"/>
          <w:vanish w:val="0"/>
          <w:color w:val="auto"/>
          <w:spacing w:val="0"/>
          <w:kern w:val="2"/>
          <w:position w:val="0"/>
          <w:sz w:val="24"/>
          <w:szCs w:val="24"/>
          <w:highlight w:val="none"/>
          <w:u w:val="none"/>
          <w:vertAlign w:val="baseline"/>
          <w:lang w:val="en-US" w:eastAsia="zh-CN" w:bidi="ar-SA"/>
          <w14:shadow w14:blurRad="0" w14:dist="0" w14:dir="0" w14:sx="0" w14:sy="0" w14:kx="0" w14:ky="0" w14:algn="none">
            <w14:srgbClr w14:val="000000"/>
          </w14:shadow>
        </w:rPr>
        <w:t>1.3.3</w:t>
      </w:r>
      <w:r>
        <w:rPr>
          <w:rFonts w:hint="default" w:ascii="Times New Roman" w:hAnsi="Times New Roman" w:eastAsia="宋体" w:cs="Times New Roman"/>
          <w:b/>
          <w:bCs/>
          <w:color w:val="auto"/>
          <w:highlight w:val="none"/>
        </w:rPr>
        <w:t>评价时段</w:t>
      </w:r>
      <w:bookmarkEnd w:id="154"/>
      <w:bookmarkEnd w:id="155"/>
      <w:bookmarkEnd w:id="156"/>
      <w:bookmarkEnd w:id="157"/>
      <w:bookmarkEnd w:id="158"/>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评价时段分为施工期和运</w:t>
      </w:r>
      <w:r>
        <w:rPr>
          <w:rFonts w:hint="default" w:ascii="Times New Roman" w:hAnsi="Times New Roman" w:eastAsia="宋体" w:cs="Times New Roman"/>
          <w:color w:val="auto"/>
          <w:sz w:val="24"/>
          <w:highlight w:val="none"/>
          <w:lang w:eastAsia="zh-CN"/>
        </w:rPr>
        <w:t>营</w:t>
      </w:r>
      <w:r>
        <w:rPr>
          <w:rFonts w:hint="default" w:ascii="Times New Roman" w:hAnsi="Times New Roman" w:eastAsia="宋体" w:cs="Times New Roman"/>
          <w:color w:val="auto"/>
          <w:sz w:val="24"/>
          <w:highlight w:val="none"/>
        </w:rPr>
        <w:t>期。</w:t>
      </w:r>
    </w:p>
    <w:p>
      <w:pPr>
        <w:pStyle w:val="4"/>
        <w:pageBreakBefore w:val="0"/>
        <w:numPr>
          <w:ilvl w:val="1"/>
          <w:numId w:val="0"/>
        </w:numPr>
        <w:wordWrap/>
        <w:bidi w:val="0"/>
        <w:ind w:left="0" w:leftChars="0" w:right="0" w:rightChars="0" w:firstLine="0" w:firstLineChars="0"/>
        <w:rPr>
          <w:rFonts w:hint="default" w:ascii="Times New Roman" w:hAnsi="Times New Roman" w:eastAsia="宋体" w:cs="Times New Roman"/>
          <w:b/>
          <w:bCs/>
          <w:color w:val="auto"/>
          <w:highlight w:val="none"/>
        </w:rPr>
      </w:pPr>
      <w:bookmarkStart w:id="159" w:name="_Toc98215344"/>
      <w:bookmarkStart w:id="160" w:name="_Toc100334350"/>
      <w:bookmarkStart w:id="161" w:name="_Toc166964800"/>
      <w:bookmarkStart w:id="162" w:name="_Toc288306155"/>
      <w:bookmarkStart w:id="163" w:name="_Toc227651206"/>
      <w:bookmarkStart w:id="164" w:name="_Toc28630"/>
      <w:bookmarkStart w:id="165" w:name="_Toc237963226"/>
      <w:bookmarkStart w:id="166" w:name="_Toc246850530"/>
      <w:bookmarkStart w:id="167" w:name="_Toc243904666"/>
      <w:bookmarkStart w:id="168" w:name="_Toc9099"/>
      <w:r>
        <w:rPr>
          <w:rFonts w:hint="default" w:ascii="Times New Roman" w:hAnsi="Times New Roman" w:eastAsia="宋体" w:cs="Times New Roman"/>
          <w:b/>
          <w:bCs/>
          <w:i w:val="0"/>
          <w:color w:val="auto"/>
          <w:kern w:val="2"/>
          <w:sz w:val="28"/>
          <w:szCs w:val="28"/>
          <w:highlight w:val="none"/>
          <w:lang w:val="en-US" w:eastAsia="zh-CN" w:bidi="ar-SA"/>
        </w:rPr>
        <w:t>1.4</w:t>
      </w:r>
      <w:r>
        <w:rPr>
          <w:rFonts w:hint="default" w:ascii="Times New Roman" w:hAnsi="Times New Roman" w:eastAsia="宋体" w:cs="Times New Roman"/>
          <w:b/>
          <w:bCs/>
          <w:color w:val="auto"/>
          <w:highlight w:val="none"/>
        </w:rPr>
        <w:t>评价工作等级</w:t>
      </w:r>
      <w:bookmarkEnd w:id="159"/>
      <w:bookmarkEnd w:id="160"/>
      <w:r>
        <w:rPr>
          <w:rFonts w:hint="default" w:ascii="Times New Roman" w:hAnsi="Times New Roman" w:eastAsia="宋体" w:cs="Times New Roman"/>
          <w:b/>
          <w:bCs/>
          <w:color w:val="auto"/>
          <w:highlight w:val="none"/>
        </w:rPr>
        <w:t>及评价范围</w:t>
      </w:r>
      <w:bookmarkEnd w:id="161"/>
      <w:bookmarkEnd w:id="162"/>
      <w:bookmarkEnd w:id="163"/>
      <w:bookmarkEnd w:id="164"/>
      <w:bookmarkEnd w:id="165"/>
      <w:bookmarkEnd w:id="166"/>
      <w:bookmarkEnd w:id="167"/>
      <w:bookmarkEnd w:id="168"/>
    </w:p>
    <w:p>
      <w:pPr>
        <w:pStyle w:val="5"/>
        <w:pageBreakBefore w:val="0"/>
        <w:numPr>
          <w:ilvl w:val="2"/>
          <w:numId w:val="0"/>
        </w:numPr>
        <w:wordWrap/>
        <w:bidi w:val="0"/>
        <w:ind w:left="0" w:leftChars="0" w:right="0" w:rightChars="0"/>
        <w:rPr>
          <w:rFonts w:hint="default" w:ascii="Times New Roman" w:hAnsi="Times New Roman" w:eastAsia="宋体" w:cs="Times New Roman"/>
          <w:b/>
          <w:bCs/>
          <w:color w:val="auto"/>
          <w:highlight w:val="none"/>
        </w:rPr>
      </w:pPr>
      <w:bookmarkStart w:id="169" w:name="_Toc31762"/>
      <w:bookmarkStart w:id="170" w:name="_Toc2169"/>
      <w:bookmarkStart w:id="171" w:name="_Toc17860"/>
      <w:bookmarkStart w:id="172" w:name="_Toc288306156"/>
      <w:r>
        <w:rPr>
          <w:rFonts w:hint="default" w:ascii="Times New Roman" w:hAnsi="Times New Roman" w:eastAsia="宋体" w:cs="Times New Roman"/>
          <w:b/>
          <w:bCs/>
          <w:i w:val="0"/>
          <w:iCs w:val="0"/>
          <w:caps w:val="0"/>
          <w:smallCaps w:val="0"/>
          <w:strike w:val="0"/>
          <w:dstrike w:val="0"/>
          <w:vanish w:val="0"/>
          <w:color w:val="auto"/>
          <w:spacing w:val="0"/>
          <w:kern w:val="2"/>
          <w:position w:val="0"/>
          <w:sz w:val="24"/>
          <w:szCs w:val="24"/>
          <w:highlight w:val="none"/>
          <w:u w:val="none"/>
          <w:vertAlign w:val="baseline"/>
          <w:lang w:val="en-US" w:eastAsia="zh-CN" w:bidi="ar-SA"/>
          <w14:shadow w14:blurRad="0" w14:dist="0" w14:dir="0" w14:sx="0" w14:sy="0" w14:kx="0" w14:ky="0" w14:algn="none">
            <w14:srgbClr w14:val="000000"/>
          </w14:shadow>
        </w:rPr>
        <w:t>1.4.1</w:t>
      </w:r>
      <w:r>
        <w:rPr>
          <w:rFonts w:hint="default" w:ascii="Times New Roman" w:hAnsi="Times New Roman" w:eastAsia="宋体" w:cs="Times New Roman"/>
          <w:b/>
          <w:bCs/>
          <w:color w:val="auto"/>
          <w:highlight w:val="none"/>
        </w:rPr>
        <w:t>大气评价等级及评价范围</w:t>
      </w:r>
      <w:bookmarkEnd w:id="169"/>
      <w:bookmarkEnd w:id="170"/>
      <w:bookmarkEnd w:id="171"/>
      <w:bookmarkEnd w:id="172"/>
    </w:p>
    <w:p>
      <w:pPr>
        <w:pageBreakBefore w:val="0"/>
        <w:wordWrap/>
        <w:bidi w:val="0"/>
        <w:spacing w:line="360" w:lineRule="auto"/>
        <w:ind w:left="0" w:leftChars="0" w:right="0" w:rightChars="0" w:firstLine="480" w:firstLineChars="200"/>
        <w:outlineLvl w:val="0"/>
        <w:rPr>
          <w:rFonts w:hint="default" w:ascii="Times New Roman" w:hAnsi="Times New Roman" w:eastAsia="宋体" w:cs="Times New Roman"/>
          <w:color w:val="auto"/>
          <w:sz w:val="24"/>
          <w:highlight w:val="none"/>
          <w:lang w:eastAsia="zh-CN"/>
        </w:rPr>
      </w:pPr>
      <w:bookmarkStart w:id="173" w:name="_Toc3167"/>
      <w:bookmarkStart w:id="174" w:name="_Toc31305"/>
      <w:r>
        <w:rPr>
          <w:rFonts w:hint="default" w:ascii="Times New Roman" w:hAnsi="Times New Roman" w:eastAsia="宋体" w:cs="Times New Roman"/>
          <w:color w:val="auto"/>
          <w:sz w:val="24"/>
          <w:highlight w:val="none"/>
        </w:rPr>
        <w:t>（1</w:t>
      </w:r>
      <w:r>
        <w:rPr>
          <w:rFonts w:hint="default" w:ascii="Times New Roman" w:hAnsi="Times New Roman" w:eastAsia="宋体" w:cs="Times New Roman"/>
          <w:color w:val="auto"/>
          <w:sz w:val="24"/>
          <w:highlight w:val="none"/>
          <w:lang w:eastAsia="zh-CN"/>
        </w:rPr>
        <w:t>）评价等级</w:t>
      </w:r>
      <w:bookmarkEnd w:id="173"/>
      <w:bookmarkEnd w:id="174"/>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w:t>
      </w:r>
      <w:r>
        <w:rPr>
          <w:rFonts w:hint="default" w:ascii="Times New Roman" w:hAnsi="Times New Roman" w:eastAsia="宋体" w:cs="Times New Roman"/>
          <w:color w:val="auto"/>
          <w:sz w:val="24"/>
          <w:highlight w:val="none"/>
          <w:lang w:eastAsia="zh-CN"/>
        </w:rPr>
        <w:t>环境影响评价技术导则</w:t>
      </w:r>
      <w:r>
        <w:rPr>
          <w:rFonts w:hint="default" w:ascii="Times New Roman" w:hAnsi="Times New Roman" w:eastAsia="宋体" w:cs="Times New Roman"/>
          <w:color w:val="auto"/>
          <w:sz w:val="24"/>
          <w:highlight w:val="none"/>
        </w:rPr>
        <w:t>大气环境》（HJ2.2-2018</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中的评价工作等级划分原则</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结合项目的初步工程分析结果选择TSP为主要污染物</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采用AERSCREEN模型分别计算每一种污染物的最大地面浓度占标率Pi（第i个污染物</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及第i个污染物的地面浓度达标准限值10%时所对应的最远距离D</w:t>
      </w:r>
      <w:r>
        <w:rPr>
          <w:rFonts w:hint="default" w:ascii="Times New Roman" w:hAnsi="Times New Roman" w:eastAsia="宋体" w:cs="Times New Roman"/>
          <w:color w:val="auto"/>
          <w:sz w:val="24"/>
          <w:highlight w:val="none"/>
          <w:vertAlign w:val="subscript"/>
        </w:rPr>
        <w:t>10%</w:t>
      </w:r>
      <w:r>
        <w:rPr>
          <w:rFonts w:hint="default" w:ascii="Times New Roman" w:hAnsi="Times New Roman" w:eastAsia="宋体" w:cs="Times New Roman"/>
          <w:color w:val="auto"/>
          <w:sz w:val="24"/>
          <w:highlight w:val="none"/>
        </w:rPr>
        <w:t>。</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最大落地浓度占标率Pi以下式计算</w:t>
      </w:r>
      <w:r>
        <w:rPr>
          <w:rFonts w:hint="default" w:ascii="Times New Roman" w:hAnsi="Times New Roman" w:eastAsia="宋体" w:cs="Times New Roman"/>
          <w:color w:val="auto"/>
          <w:sz w:val="24"/>
          <w:highlight w:val="none"/>
          <w:lang w:eastAsia="zh-CN"/>
        </w:rPr>
        <w:t>：</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lang w:val="en-GB"/>
        </w:rPr>
      </w:pPr>
      <w:bookmarkStart w:id="175" w:name="_Toc246850532"/>
      <w:r>
        <w:rPr>
          <w:rFonts w:hint="default" w:ascii="Times New Roman" w:hAnsi="Times New Roman" w:eastAsia="宋体" w:cs="Times New Roman"/>
          <w:color w:val="auto"/>
          <w:sz w:val="24"/>
          <w:highlight w:val="none"/>
          <w:lang w:val="en-GB"/>
        </w:rPr>
        <w:t>P</w:t>
      </w:r>
      <w:r>
        <w:rPr>
          <w:rFonts w:hint="default" w:ascii="Times New Roman" w:hAnsi="Times New Roman" w:eastAsia="宋体" w:cs="Times New Roman"/>
          <w:color w:val="auto"/>
          <w:sz w:val="24"/>
          <w:highlight w:val="none"/>
          <w:vertAlign w:val="subscript"/>
          <w:lang w:val="en-GB"/>
        </w:rPr>
        <w:t>i</w:t>
      </w:r>
      <w:r>
        <w:rPr>
          <w:rFonts w:hint="default" w:ascii="Times New Roman" w:hAnsi="Times New Roman" w:eastAsia="宋体" w:cs="Times New Roman"/>
          <w:color w:val="auto"/>
          <w:sz w:val="24"/>
          <w:highlight w:val="none"/>
          <w:lang w:val="en-GB"/>
        </w:rPr>
        <w:t>=（C</w:t>
      </w:r>
      <w:r>
        <w:rPr>
          <w:rFonts w:hint="default" w:ascii="Times New Roman" w:hAnsi="Times New Roman" w:eastAsia="宋体" w:cs="Times New Roman"/>
          <w:color w:val="auto"/>
          <w:sz w:val="24"/>
          <w:highlight w:val="none"/>
          <w:vertAlign w:val="subscript"/>
          <w:lang w:val="en-GB"/>
        </w:rPr>
        <w:t>i</w:t>
      </w:r>
      <w:r>
        <w:rPr>
          <w:rFonts w:hint="default" w:ascii="Times New Roman" w:hAnsi="Times New Roman" w:eastAsia="宋体" w:cs="Times New Roman"/>
          <w:color w:val="auto"/>
          <w:sz w:val="24"/>
          <w:highlight w:val="none"/>
          <w:lang w:val="en-GB"/>
        </w:rPr>
        <w:t>/C</w:t>
      </w:r>
      <w:r>
        <w:rPr>
          <w:rFonts w:hint="default" w:ascii="Times New Roman" w:hAnsi="Times New Roman" w:eastAsia="宋体" w:cs="Times New Roman"/>
          <w:color w:val="auto"/>
          <w:sz w:val="24"/>
          <w:highlight w:val="none"/>
          <w:vertAlign w:val="subscript"/>
          <w:lang w:val="en-GB"/>
        </w:rPr>
        <w:t>0i</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×100%</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式中</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P</w:t>
      </w:r>
      <w:r>
        <w:rPr>
          <w:rFonts w:hint="default" w:ascii="Times New Roman" w:hAnsi="Times New Roman" w:eastAsia="宋体" w:cs="Times New Roman"/>
          <w:color w:val="auto"/>
          <w:sz w:val="24"/>
          <w:highlight w:val="none"/>
          <w:vertAlign w:val="subscript"/>
        </w:rPr>
        <w:t>i</w:t>
      </w:r>
      <w:r>
        <w:rPr>
          <w:rFonts w:hint="default" w:ascii="Times New Roman" w:hAnsi="Times New Roman" w:eastAsia="宋体" w:cs="Times New Roman"/>
          <w:color w:val="auto"/>
          <w:sz w:val="24"/>
          <w:highlight w:val="none"/>
        </w:rPr>
        <w:t>——第i个污染物的最大地面浓度占标率</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C</w:t>
      </w:r>
      <w:r>
        <w:rPr>
          <w:rFonts w:hint="default" w:ascii="Times New Roman" w:hAnsi="Times New Roman" w:eastAsia="宋体" w:cs="Times New Roman"/>
          <w:color w:val="auto"/>
          <w:sz w:val="24"/>
          <w:highlight w:val="none"/>
          <w:vertAlign w:val="subscript"/>
        </w:rPr>
        <w:t>i</w:t>
      </w:r>
      <w:r>
        <w:rPr>
          <w:rFonts w:hint="default" w:ascii="Times New Roman" w:hAnsi="Times New Roman" w:eastAsia="宋体" w:cs="Times New Roman"/>
          <w:color w:val="auto"/>
          <w:sz w:val="24"/>
          <w:highlight w:val="none"/>
        </w:rPr>
        <w:t>——采用估算模式计算出的第i个污染物的最大地面浓度</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mg/m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C</w:t>
      </w:r>
      <w:r>
        <w:rPr>
          <w:rFonts w:hint="default" w:ascii="Times New Roman" w:hAnsi="Times New Roman" w:eastAsia="宋体" w:cs="Times New Roman"/>
          <w:color w:val="auto"/>
          <w:sz w:val="24"/>
          <w:highlight w:val="none"/>
          <w:vertAlign w:val="subscript"/>
        </w:rPr>
        <w:t>0i</w:t>
      </w:r>
      <w:r>
        <w:rPr>
          <w:rFonts w:hint="default" w:ascii="Times New Roman" w:hAnsi="Times New Roman" w:eastAsia="宋体" w:cs="Times New Roman"/>
          <w:color w:val="auto"/>
          <w:sz w:val="24"/>
          <w:highlight w:val="none"/>
        </w:rPr>
        <w:t>——第i个污染物的环境空气质量标准</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mg/m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C</w:t>
      </w:r>
      <w:r>
        <w:rPr>
          <w:rFonts w:hint="default" w:ascii="Times New Roman" w:hAnsi="Times New Roman" w:eastAsia="宋体" w:cs="Times New Roman"/>
          <w:color w:val="auto"/>
          <w:sz w:val="24"/>
          <w:highlight w:val="none"/>
          <w:vertAlign w:val="subscript"/>
        </w:rPr>
        <w:t>0i</w:t>
      </w:r>
      <w:r>
        <w:rPr>
          <w:rFonts w:hint="default" w:ascii="Times New Roman" w:hAnsi="Times New Roman" w:eastAsia="宋体" w:cs="Times New Roman"/>
          <w:color w:val="auto"/>
          <w:sz w:val="24"/>
          <w:highlight w:val="none"/>
        </w:rPr>
        <w:t>一般选用《</w:t>
      </w:r>
      <w:r>
        <w:rPr>
          <w:rFonts w:hint="default" w:ascii="Times New Roman" w:hAnsi="Times New Roman" w:eastAsia="宋体" w:cs="Times New Roman"/>
          <w:color w:val="auto"/>
          <w:sz w:val="24"/>
          <w:highlight w:val="none"/>
          <w:lang w:eastAsia="zh-CN"/>
        </w:rPr>
        <w:t>环境影响评价技术导则</w:t>
      </w:r>
      <w:r>
        <w:rPr>
          <w:rFonts w:hint="default" w:ascii="Times New Roman" w:hAnsi="Times New Roman" w:eastAsia="宋体" w:cs="Times New Roman"/>
          <w:color w:val="auto"/>
          <w:sz w:val="24"/>
          <w:highlight w:val="none"/>
        </w:rPr>
        <w:t>大气环境》（HJ2.2-2018</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5.2中确定的各评价因子1小时平均浓度限值。</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对于没有小时浓度限值的污染物</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可取日平均和年平均质量浓度限值的3倍和6倍值。对该标准中未包含的污染物</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可参照（HJ2.2-2018</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附录D中的浓度限值。</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评价工作等级按表1-3的分级判据进行划分。最大地面浓度占标率</w:t>
      </w:r>
      <w:r>
        <w:rPr>
          <w:rFonts w:hint="default" w:ascii="Times New Roman" w:hAnsi="Times New Roman" w:eastAsia="宋体" w:cs="Times New Roman"/>
          <w:i/>
          <w:iCs/>
          <w:color w:val="auto"/>
          <w:sz w:val="24"/>
          <w:highlight w:val="none"/>
        </w:rPr>
        <w:t>Pi</w:t>
      </w:r>
      <w:r>
        <w:rPr>
          <w:rFonts w:hint="default" w:ascii="Times New Roman" w:hAnsi="Times New Roman" w:eastAsia="宋体" w:cs="Times New Roman"/>
          <w:color w:val="auto"/>
          <w:sz w:val="24"/>
          <w:highlight w:val="none"/>
        </w:rPr>
        <w:t>按公式计算</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如污染物数</w:t>
      </w:r>
      <w:r>
        <w:rPr>
          <w:rFonts w:hint="default" w:ascii="Times New Roman" w:hAnsi="Times New Roman" w:eastAsia="宋体" w:cs="Times New Roman"/>
          <w:i/>
          <w:iCs/>
          <w:color w:val="auto"/>
          <w:sz w:val="24"/>
          <w:highlight w:val="none"/>
        </w:rPr>
        <w:t>i</w:t>
      </w:r>
      <w:r>
        <w:rPr>
          <w:rFonts w:hint="default" w:ascii="Times New Roman" w:hAnsi="Times New Roman" w:eastAsia="宋体" w:cs="Times New Roman"/>
          <w:color w:val="auto"/>
          <w:sz w:val="24"/>
          <w:highlight w:val="none"/>
        </w:rPr>
        <w:t>大于1</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取</w:t>
      </w:r>
      <w:r>
        <w:rPr>
          <w:rFonts w:hint="default" w:ascii="Times New Roman" w:hAnsi="Times New Roman" w:eastAsia="宋体" w:cs="Times New Roman"/>
          <w:i/>
          <w:iCs/>
          <w:color w:val="auto"/>
          <w:sz w:val="24"/>
          <w:highlight w:val="none"/>
        </w:rPr>
        <w:t>P</w:t>
      </w:r>
      <w:r>
        <w:rPr>
          <w:rFonts w:hint="default" w:ascii="Times New Roman" w:hAnsi="Times New Roman" w:eastAsia="宋体" w:cs="Times New Roman"/>
          <w:color w:val="auto"/>
          <w:sz w:val="24"/>
          <w:highlight w:val="none"/>
        </w:rPr>
        <w:t>值中最大者（</w:t>
      </w:r>
      <w:r>
        <w:rPr>
          <w:rFonts w:hint="default" w:ascii="Times New Roman" w:hAnsi="Times New Roman" w:eastAsia="宋体" w:cs="Times New Roman"/>
          <w:i/>
          <w:iCs/>
          <w:color w:val="auto"/>
          <w:sz w:val="24"/>
          <w:highlight w:val="none"/>
        </w:rPr>
        <w:t>Pmax</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w:t>
      </w:r>
    </w:p>
    <w:p>
      <w:pPr>
        <w:pageBreakBefore w:val="0"/>
        <w:tabs>
          <w:tab w:val="left" w:pos="3062"/>
        </w:tabs>
        <w:wordWrap/>
        <w:bidi w:val="0"/>
        <w:adjustRightInd w:val="0"/>
        <w:snapToGrid w:val="0"/>
        <w:spacing w:line="360" w:lineRule="auto"/>
        <w:ind w:left="0" w:leftChars="0" w:right="0" w:rightChars="0"/>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表1-3本项目评价工作等级划分依据</w:t>
      </w:r>
    </w:p>
    <w:tbl>
      <w:tblPr>
        <w:tblStyle w:val="54"/>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284"/>
        <w:gridCol w:w="623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40" w:type="pct"/>
            <w:tcBorders>
              <w:top w:val="single" w:color="auto" w:sz="4" w:space="0"/>
              <w:lef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评价工作等级</w:t>
            </w:r>
          </w:p>
        </w:tc>
        <w:tc>
          <w:tcPr>
            <w:tcW w:w="3660" w:type="pct"/>
            <w:tcBorders>
              <w:top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评价工作分级判据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40" w:type="pct"/>
            <w:tcBorders>
              <w:lef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一级</w:t>
            </w:r>
          </w:p>
        </w:tc>
        <w:tc>
          <w:tcPr>
            <w:tcW w:w="3660" w:type="pct"/>
            <w:tcBorders>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color w:val="auto"/>
                <w:szCs w:val="21"/>
                <w:highlight w:val="none"/>
              </w:rPr>
              <w:t>P</w:t>
            </w:r>
            <w:r>
              <w:rPr>
                <w:rFonts w:hint="default" w:ascii="Times New Roman" w:hAnsi="Times New Roman" w:eastAsia="宋体" w:cs="Times New Roman"/>
                <w:color w:val="auto"/>
                <w:szCs w:val="21"/>
                <w:highlight w:val="none"/>
                <w:vertAlign w:val="subscript"/>
              </w:rPr>
              <w:t>max</w:t>
            </w:r>
            <w:r>
              <w:rPr>
                <w:rFonts w:hint="default" w:ascii="Times New Roman" w:hAnsi="Times New Roman" w:eastAsia="宋体" w:cs="Times New Roman"/>
                <w:color w:val="auto"/>
                <w:szCs w:val="21"/>
                <w:highlight w:val="none"/>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40" w:type="pct"/>
            <w:tcBorders>
              <w:lef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二级</w:t>
            </w:r>
          </w:p>
        </w:tc>
        <w:tc>
          <w:tcPr>
            <w:tcW w:w="3660" w:type="pct"/>
            <w:tcBorders>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color w:val="auto"/>
                <w:szCs w:val="21"/>
                <w:highlight w:val="none"/>
              </w:rPr>
              <w:t>1%≤P</w:t>
            </w:r>
            <w:r>
              <w:rPr>
                <w:rFonts w:hint="default" w:ascii="Times New Roman" w:hAnsi="Times New Roman" w:eastAsia="宋体" w:cs="Times New Roman"/>
                <w:color w:val="auto"/>
                <w:szCs w:val="21"/>
                <w:highlight w:val="none"/>
                <w:vertAlign w:val="subscript"/>
              </w:rPr>
              <w:t>max</w:t>
            </w:r>
            <w:r>
              <w:rPr>
                <w:rFonts w:hint="default" w:ascii="Times New Roman" w:hAnsi="Times New Roman" w:eastAsia="宋体" w:cs="Times New Roman"/>
                <w:color w:val="auto"/>
                <w:szCs w:val="21"/>
                <w:highlight w:val="none"/>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40" w:type="pct"/>
            <w:tcBorders>
              <w:left w:val="single" w:color="auto" w:sz="4" w:space="0"/>
              <w:bottom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三级</w:t>
            </w:r>
          </w:p>
        </w:tc>
        <w:tc>
          <w:tcPr>
            <w:tcW w:w="3660" w:type="pct"/>
            <w:tcBorders>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color w:val="auto"/>
                <w:szCs w:val="21"/>
                <w:highlight w:val="none"/>
              </w:rPr>
              <w:t>P</w:t>
            </w:r>
            <w:r>
              <w:rPr>
                <w:rFonts w:hint="default" w:ascii="Times New Roman" w:hAnsi="Times New Roman" w:eastAsia="宋体" w:cs="Times New Roman"/>
                <w:color w:val="auto"/>
                <w:szCs w:val="21"/>
                <w:highlight w:val="none"/>
                <w:vertAlign w:val="subscript"/>
              </w:rPr>
              <w:t>max</w:t>
            </w:r>
            <w:r>
              <w:rPr>
                <w:rFonts w:hint="default" w:ascii="Times New Roman" w:hAnsi="Times New Roman" w:eastAsia="宋体" w:cs="Times New Roman"/>
                <w:color w:val="auto"/>
                <w:szCs w:val="21"/>
                <w:highlight w:val="none"/>
              </w:rPr>
              <w:t>＜1%</w:t>
            </w:r>
          </w:p>
        </w:tc>
      </w:tr>
    </w:tbl>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本项目评价因子和评价标准筛选见表1-4。</w:t>
      </w:r>
    </w:p>
    <w:p>
      <w:pPr>
        <w:pageBreakBefore w:val="0"/>
        <w:tabs>
          <w:tab w:val="left" w:pos="3062"/>
        </w:tabs>
        <w:wordWrap/>
        <w:bidi w:val="0"/>
        <w:spacing w:line="360" w:lineRule="auto"/>
        <w:ind w:left="0" w:leftChars="0" w:right="0" w:rightChars="0"/>
        <w:jc w:val="center"/>
        <w:rPr>
          <w:rFonts w:hint="default" w:ascii="Times New Roman" w:hAnsi="Times New Roman" w:eastAsia="宋体" w:cs="Times New Roman"/>
          <w:b/>
          <w:bCs/>
          <w:snapToGrid w:val="0"/>
          <w:color w:val="auto"/>
          <w:sz w:val="24"/>
          <w:highlight w:val="none"/>
        </w:rPr>
      </w:pPr>
      <w:r>
        <w:rPr>
          <w:rFonts w:hint="default" w:ascii="Times New Roman" w:hAnsi="Times New Roman" w:eastAsia="宋体" w:cs="Times New Roman"/>
          <w:b/>
          <w:bCs/>
          <w:snapToGrid w:val="0"/>
          <w:color w:val="auto"/>
          <w:sz w:val="24"/>
          <w:highlight w:val="none"/>
        </w:rPr>
        <w:t>表1-4评价因子和评价标准表</w:t>
      </w:r>
    </w:p>
    <w:tbl>
      <w:tblPr>
        <w:tblStyle w:val="54"/>
        <w:tblW w:w="5000" w:type="pct"/>
        <w:tblInd w:w="0" w:type="dxa"/>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autofit"/>
        <w:tblCellMar>
          <w:top w:w="0" w:type="dxa"/>
          <w:left w:w="108" w:type="dxa"/>
          <w:bottom w:w="0" w:type="dxa"/>
          <w:right w:w="108" w:type="dxa"/>
        </w:tblCellMar>
      </w:tblPr>
      <w:tblGrid>
        <w:gridCol w:w="1108"/>
        <w:gridCol w:w="1384"/>
        <w:gridCol w:w="1863"/>
        <w:gridCol w:w="4167"/>
      </w:tblGrid>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650" w:type="pct"/>
            <w:tcBorders>
              <w:top w:val="single" w:color="auto" w:sz="4" w:space="0"/>
              <w:left w:val="single" w:color="auto" w:sz="4" w:space="0"/>
              <w:bottom w:val="single" w:color="auto" w:sz="4" w:space="0"/>
              <w:right w:val="single" w:color="auto" w:sz="4" w:space="0"/>
            </w:tcBorders>
            <w:vAlign w:val="center"/>
          </w:tcPr>
          <w:p>
            <w:pPr>
              <w:pageBreakBefore w:val="0"/>
              <w:widowControl/>
              <w:wordWrap/>
              <w:bidi w:val="0"/>
              <w:adjustRightInd w:val="0"/>
              <w:snapToGrid w:val="0"/>
              <w:ind w:left="0" w:leftChars="0" w:right="0" w:rightChars="0"/>
              <w:jc w:val="center"/>
              <w:rPr>
                <w:rFonts w:hint="default" w:ascii="Times New Roman" w:hAnsi="Times New Roman" w:eastAsia="宋体" w:cs="Times New Roman"/>
                <w:b/>
                <w:snapToGrid w:val="0"/>
                <w:color w:val="auto"/>
                <w:szCs w:val="21"/>
                <w:highlight w:val="none"/>
              </w:rPr>
            </w:pPr>
            <w:r>
              <w:rPr>
                <w:rFonts w:hint="default" w:ascii="Times New Roman" w:hAnsi="Times New Roman" w:eastAsia="宋体" w:cs="Times New Roman"/>
                <w:b/>
                <w:snapToGrid w:val="0"/>
                <w:color w:val="auto"/>
                <w:szCs w:val="21"/>
                <w:highlight w:val="none"/>
              </w:rPr>
              <w:t>评价因子</w:t>
            </w:r>
          </w:p>
        </w:tc>
        <w:tc>
          <w:tcPr>
            <w:tcW w:w="812" w:type="pct"/>
            <w:tcBorders>
              <w:top w:val="single" w:color="auto" w:sz="4" w:space="0"/>
              <w:left w:val="single" w:color="auto" w:sz="4" w:space="0"/>
              <w:bottom w:val="single" w:color="auto" w:sz="4" w:space="0"/>
              <w:right w:val="single" w:color="auto" w:sz="4" w:space="0"/>
            </w:tcBorders>
            <w:vAlign w:val="center"/>
          </w:tcPr>
          <w:p>
            <w:pPr>
              <w:pageBreakBefore w:val="0"/>
              <w:widowControl/>
              <w:wordWrap/>
              <w:bidi w:val="0"/>
              <w:adjustRightInd w:val="0"/>
              <w:snapToGrid w:val="0"/>
              <w:ind w:left="0" w:leftChars="0" w:right="0" w:rightChars="0"/>
              <w:jc w:val="center"/>
              <w:rPr>
                <w:rFonts w:hint="default" w:ascii="Times New Roman" w:hAnsi="Times New Roman" w:eastAsia="宋体" w:cs="Times New Roman"/>
                <w:b/>
                <w:snapToGrid w:val="0"/>
                <w:color w:val="auto"/>
                <w:szCs w:val="21"/>
                <w:highlight w:val="none"/>
              </w:rPr>
            </w:pPr>
            <w:r>
              <w:rPr>
                <w:rFonts w:hint="default" w:ascii="Times New Roman" w:hAnsi="Times New Roman" w:eastAsia="宋体" w:cs="Times New Roman"/>
                <w:b/>
                <w:snapToGrid w:val="0"/>
                <w:color w:val="auto"/>
                <w:szCs w:val="21"/>
                <w:highlight w:val="none"/>
              </w:rPr>
              <w:t>平均时段</w:t>
            </w:r>
          </w:p>
        </w:tc>
        <w:tc>
          <w:tcPr>
            <w:tcW w:w="1093" w:type="pct"/>
            <w:tcBorders>
              <w:top w:val="single" w:color="auto" w:sz="4" w:space="0"/>
              <w:left w:val="single" w:color="auto" w:sz="4" w:space="0"/>
              <w:bottom w:val="single" w:color="auto" w:sz="4" w:space="0"/>
              <w:right w:val="single" w:color="auto" w:sz="4" w:space="0"/>
            </w:tcBorders>
            <w:vAlign w:val="center"/>
          </w:tcPr>
          <w:p>
            <w:pPr>
              <w:pageBreakBefore w:val="0"/>
              <w:widowControl/>
              <w:wordWrap/>
              <w:bidi w:val="0"/>
              <w:adjustRightInd w:val="0"/>
              <w:snapToGrid w:val="0"/>
              <w:ind w:left="0" w:leftChars="0" w:right="0" w:rightChars="0"/>
              <w:jc w:val="center"/>
              <w:rPr>
                <w:rFonts w:hint="default" w:ascii="Times New Roman" w:hAnsi="Times New Roman" w:eastAsia="宋体" w:cs="Times New Roman"/>
                <w:b/>
                <w:snapToGrid w:val="0"/>
                <w:color w:val="auto"/>
                <w:szCs w:val="21"/>
                <w:highlight w:val="none"/>
                <w:lang w:eastAsia="zh-CN"/>
              </w:rPr>
            </w:pPr>
            <w:r>
              <w:rPr>
                <w:rFonts w:hint="default" w:ascii="Times New Roman" w:hAnsi="Times New Roman" w:eastAsia="宋体" w:cs="Times New Roman"/>
                <w:b/>
                <w:snapToGrid w:val="0"/>
                <w:color w:val="auto"/>
                <w:szCs w:val="21"/>
                <w:highlight w:val="none"/>
              </w:rPr>
              <w:t>标准值（μg/m</w:t>
            </w:r>
            <w:r>
              <w:rPr>
                <w:rFonts w:hint="default" w:ascii="Times New Roman" w:hAnsi="Times New Roman" w:eastAsia="宋体" w:cs="Times New Roman"/>
                <w:b/>
                <w:snapToGrid w:val="0"/>
                <w:color w:val="auto"/>
                <w:szCs w:val="21"/>
                <w:highlight w:val="none"/>
                <w:vertAlign w:val="superscript"/>
              </w:rPr>
              <w:t>3</w:t>
            </w:r>
            <w:r>
              <w:rPr>
                <w:rFonts w:hint="default" w:ascii="Times New Roman" w:hAnsi="Times New Roman" w:eastAsia="宋体" w:cs="Times New Roman"/>
                <w:b/>
                <w:snapToGrid w:val="0"/>
                <w:color w:val="auto"/>
                <w:szCs w:val="21"/>
                <w:highlight w:val="none"/>
                <w:lang w:eastAsia="zh-CN"/>
              </w:rPr>
              <w:t>）</w:t>
            </w:r>
          </w:p>
        </w:tc>
        <w:tc>
          <w:tcPr>
            <w:tcW w:w="2445" w:type="pct"/>
            <w:tcBorders>
              <w:top w:val="single" w:color="auto" w:sz="4" w:space="0"/>
              <w:left w:val="single" w:color="auto" w:sz="4" w:space="0"/>
              <w:bottom w:val="single" w:color="auto" w:sz="4" w:space="0"/>
              <w:right w:val="single" w:color="auto" w:sz="4" w:space="0"/>
            </w:tcBorders>
            <w:vAlign w:val="center"/>
          </w:tcPr>
          <w:p>
            <w:pPr>
              <w:pageBreakBefore w:val="0"/>
              <w:widowControl/>
              <w:wordWrap/>
              <w:bidi w:val="0"/>
              <w:adjustRightInd w:val="0"/>
              <w:snapToGrid w:val="0"/>
              <w:ind w:left="0" w:leftChars="0" w:right="0" w:rightChars="0"/>
              <w:jc w:val="center"/>
              <w:rPr>
                <w:rFonts w:hint="default" w:ascii="Times New Roman" w:hAnsi="Times New Roman" w:eastAsia="宋体" w:cs="Times New Roman"/>
                <w:b/>
                <w:snapToGrid w:val="0"/>
                <w:color w:val="auto"/>
                <w:szCs w:val="21"/>
                <w:highlight w:val="none"/>
              </w:rPr>
            </w:pPr>
            <w:r>
              <w:rPr>
                <w:rFonts w:hint="default" w:ascii="Times New Roman" w:hAnsi="Times New Roman" w:eastAsia="宋体" w:cs="Times New Roman"/>
                <w:b/>
                <w:snapToGrid w:val="0"/>
                <w:color w:val="auto"/>
                <w:szCs w:val="21"/>
                <w:highlight w:val="none"/>
              </w:rPr>
              <w:t>标准来源</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650" w:type="pct"/>
            <w:tcBorders>
              <w:top w:val="single" w:color="auto" w:sz="4" w:space="0"/>
              <w:left w:val="single" w:color="auto" w:sz="4" w:space="0"/>
              <w:bottom w:val="single" w:color="auto" w:sz="4" w:space="0"/>
              <w:right w:val="single" w:color="auto" w:sz="4" w:space="0"/>
            </w:tcBorders>
            <w:vAlign w:val="center"/>
          </w:tcPr>
          <w:p>
            <w:pPr>
              <w:pageBreakBefore w:val="0"/>
              <w:widowControl/>
              <w:wordWrap/>
              <w:bidi w:val="0"/>
              <w:adjustRightInd w:val="0"/>
              <w:snapToGrid w:val="0"/>
              <w:ind w:left="0" w:leftChars="0" w:right="0" w:rightChars="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snapToGrid w:val="0"/>
                <w:color w:val="auto"/>
                <w:szCs w:val="21"/>
                <w:highlight w:val="none"/>
              </w:rPr>
              <w:t>TSP</w:t>
            </w:r>
          </w:p>
        </w:tc>
        <w:tc>
          <w:tcPr>
            <w:tcW w:w="812" w:type="pct"/>
            <w:tcBorders>
              <w:top w:val="single" w:color="auto" w:sz="4" w:space="0"/>
              <w:left w:val="single" w:color="auto" w:sz="4" w:space="0"/>
              <w:bottom w:val="single" w:color="auto" w:sz="4" w:space="0"/>
              <w:right w:val="single" w:color="auto" w:sz="4" w:space="0"/>
            </w:tcBorders>
            <w:vAlign w:val="center"/>
          </w:tcPr>
          <w:p>
            <w:pPr>
              <w:pageBreakBefore w:val="0"/>
              <w:widowControl/>
              <w:wordWrap/>
              <w:bidi w:val="0"/>
              <w:adjustRightInd w:val="0"/>
              <w:snapToGrid w:val="0"/>
              <w:ind w:left="0" w:leftChars="0" w:right="0" w:rightChars="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color w:val="auto"/>
                <w:szCs w:val="21"/>
                <w:highlight w:val="none"/>
              </w:rPr>
              <w:t>24小时平均</w:t>
            </w:r>
          </w:p>
        </w:tc>
        <w:tc>
          <w:tcPr>
            <w:tcW w:w="1093" w:type="pct"/>
            <w:tcBorders>
              <w:top w:val="single" w:color="auto" w:sz="4" w:space="0"/>
              <w:left w:val="single" w:color="auto" w:sz="4" w:space="0"/>
              <w:bottom w:val="single" w:color="auto" w:sz="4" w:space="0"/>
              <w:right w:val="single" w:color="auto" w:sz="4" w:space="0"/>
            </w:tcBorders>
            <w:vAlign w:val="center"/>
          </w:tcPr>
          <w:p>
            <w:pPr>
              <w:pageBreakBefore w:val="0"/>
              <w:widowControl/>
              <w:wordWrap/>
              <w:bidi w:val="0"/>
              <w:adjustRightInd w:val="0"/>
              <w:snapToGrid w:val="0"/>
              <w:ind w:left="0" w:leftChars="0" w:right="0" w:rightChars="0"/>
              <w:jc w:val="center"/>
              <w:rPr>
                <w:rFonts w:hint="default" w:ascii="Times New Roman" w:hAnsi="Times New Roman" w:eastAsia="宋体" w:cs="Times New Roman"/>
                <w:snapToGrid w:val="0"/>
                <w:color w:val="auto"/>
                <w:szCs w:val="21"/>
                <w:highlight w:val="none"/>
              </w:rPr>
            </w:pPr>
            <w:r>
              <w:rPr>
                <w:rFonts w:hint="default" w:ascii="Times New Roman" w:hAnsi="Times New Roman" w:eastAsia="宋体" w:cs="Times New Roman"/>
                <w:color w:val="auto"/>
                <w:szCs w:val="21"/>
                <w:highlight w:val="none"/>
              </w:rPr>
              <w:t>300</w:t>
            </w:r>
          </w:p>
        </w:tc>
        <w:tc>
          <w:tcPr>
            <w:tcW w:w="2445" w:type="pct"/>
            <w:tcBorders>
              <w:top w:val="single" w:color="auto" w:sz="4" w:space="0"/>
              <w:left w:val="single" w:color="auto" w:sz="4" w:space="0"/>
              <w:bottom w:val="single" w:color="auto" w:sz="4" w:space="0"/>
              <w:right w:val="single" w:color="auto" w:sz="4" w:space="0"/>
            </w:tcBorders>
            <w:vAlign w:val="center"/>
          </w:tcPr>
          <w:p>
            <w:pPr>
              <w:pageBreakBefore w:val="0"/>
              <w:widowControl/>
              <w:wordWrap/>
              <w:bidi w:val="0"/>
              <w:adjustRightInd w:val="0"/>
              <w:snapToGrid w:val="0"/>
              <w:ind w:left="0" w:leftChars="0" w:right="0" w:rightChars="0"/>
              <w:jc w:val="center"/>
              <w:rPr>
                <w:rFonts w:hint="default" w:ascii="Times New Roman" w:hAnsi="Times New Roman" w:eastAsia="宋体" w:cs="Times New Roman"/>
                <w:snapToGrid w:val="0"/>
                <w:color w:val="auto"/>
                <w:szCs w:val="21"/>
                <w:highlight w:val="none"/>
                <w:lang w:eastAsia="zh-CN"/>
              </w:rPr>
            </w:pPr>
            <w:r>
              <w:rPr>
                <w:rFonts w:hint="default" w:ascii="Times New Roman" w:hAnsi="Times New Roman" w:eastAsia="宋体" w:cs="Times New Roman"/>
                <w:snapToGrid w:val="0"/>
                <w:color w:val="auto"/>
                <w:szCs w:val="21"/>
                <w:highlight w:val="none"/>
              </w:rPr>
              <w:t>《环境空气质量标准》（GB3095-2012</w:t>
            </w:r>
            <w:r>
              <w:rPr>
                <w:rFonts w:hint="default" w:ascii="Times New Roman" w:hAnsi="Times New Roman" w:eastAsia="宋体" w:cs="Times New Roman"/>
                <w:snapToGrid w:val="0"/>
                <w:color w:val="auto"/>
                <w:szCs w:val="21"/>
                <w:highlight w:val="none"/>
                <w:lang w:eastAsia="zh-CN"/>
              </w:rPr>
              <w:t>）</w:t>
            </w:r>
          </w:p>
        </w:tc>
      </w:tr>
    </w:tbl>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本项目估算模型参数见表1-5。</w:t>
      </w:r>
    </w:p>
    <w:p>
      <w:pPr>
        <w:pageBreakBefore w:val="0"/>
        <w:tabs>
          <w:tab w:val="left" w:pos="3062"/>
        </w:tabs>
        <w:wordWrap/>
        <w:bidi w:val="0"/>
        <w:spacing w:line="360" w:lineRule="auto"/>
        <w:ind w:left="0" w:leftChars="0" w:right="0" w:rightChars="0"/>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表1-5污染源参数表</w:t>
      </w:r>
    </w:p>
    <w:tbl>
      <w:tblPr>
        <w:tblStyle w:val="54"/>
        <w:tblW w:w="8504"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369"/>
        <w:gridCol w:w="724"/>
        <w:gridCol w:w="886"/>
        <w:gridCol w:w="852"/>
        <w:gridCol w:w="709"/>
        <w:gridCol w:w="709"/>
        <w:gridCol w:w="709"/>
        <w:gridCol w:w="709"/>
        <w:gridCol w:w="709"/>
        <w:gridCol w:w="709"/>
        <w:gridCol w:w="709"/>
        <w:gridCol w:w="710"/>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69" w:type="dxa"/>
            <w:vMerge w:val="restart"/>
            <w:tcBorders>
              <w:top w:val="single" w:color="auto" w:sz="4" w:space="0"/>
              <w:left w:val="single" w:color="auto" w:sz="4" w:space="0"/>
              <w:bottom w:val="single" w:color="auto" w:sz="4" w:space="0"/>
              <w:righ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编号</w:t>
            </w:r>
          </w:p>
        </w:tc>
        <w:tc>
          <w:tcPr>
            <w:tcW w:w="724" w:type="dxa"/>
            <w:vMerge w:val="restart"/>
            <w:tcBorders>
              <w:top w:val="single" w:color="auto" w:sz="4" w:space="0"/>
              <w:left w:val="single" w:color="auto" w:sz="4" w:space="0"/>
              <w:bottom w:val="single" w:color="auto" w:sz="4" w:space="0"/>
              <w:righ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名称</w:t>
            </w:r>
          </w:p>
        </w:tc>
        <w:tc>
          <w:tcPr>
            <w:tcW w:w="1738" w:type="dxa"/>
            <w:gridSpan w:val="2"/>
            <w:tcBorders>
              <w:top w:val="single" w:color="auto" w:sz="4" w:space="0"/>
              <w:left w:val="single" w:color="auto" w:sz="4" w:space="0"/>
              <w:bottom w:val="single" w:color="auto" w:sz="4" w:space="0"/>
              <w:righ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面源起点坐标</w:t>
            </w:r>
          </w:p>
        </w:tc>
        <w:tc>
          <w:tcPr>
            <w:tcW w:w="709" w:type="dxa"/>
            <w:vMerge w:val="restart"/>
            <w:tcBorders>
              <w:top w:val="single" w:color="auto" w:sz="4" w:space="0"/>
              <w:left w:val="single" w:color="auto" w:sz="4" w:space="0"/>
              <w:bottom w:val="single" w:color="auto" w:sz="4" w:space="0"/>
              <w:righ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面源海拔高度/m</w:t>
            </w:r>
          </w:p>
        </w:tc>
        <w:tc>
          <w:tcPr>
            <w:tcW w:w="709" w:type="dxa"/>
            <w:vMerge w:val="restart"/>
            <w:tcBorders>
              <w:top w:val="single" w:color="auto" w:sz="4" w:space="0"/>
              <w:left w:val="single" w:color="auto" w:sz="4" w:space="0"/>
              <w:bottom w:val="single" w:color="auto" w:sz="4" w:space="0"/>
              <w:righ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面源长度</w:t>
            </w:r>
          </w:p>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/m</w:t>
            </w:r>
          </w:p>
        </w:tc>
        <w:tc>
          <w:tcPr>
            <w:tcW w:w="709" w:type="dxa"/>
            <w:vMerge w:val="restart"/>
            <w:tcBorders>
              <w:top w:val="single" w:color="auto" w:sz="4" w:space="0"/>
              <w:left w:val="single" w:color="auto" w:sz="4" w:space="0"/>
              <w:bottom w:val="single" w:color="auto" w:sz="4" w:space="0"/>
              <w:righ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面源宽度</w:t>
            </w:r>
          </w:p>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/m</w:t>
            </w:r>
          </w:p>
        </w:tc>
        <w:tc>
          <w:tcPr>
            <w:tcW w:w="709" w:type="dxa"/>
            <w:vMerge w:val="restart"/>
            <w:tcBorders>
              <w:top w:val="single" w:color="auto" w:sz="4" w:space="0"/>
              <w:left w:val="single" w:color="auto" w:sz="4" w:space="0"/>
              <w:bottom w:val="single" w:color="auto" w:sz="4" w:space="0"/>
              <w:righ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与正北向夹角/°</w:t>
            </w:r>
          </w:p>
        </w:tc>
        <w:tc>
          <w:tcPr>
            <w:tcW w:w="709" w:type="dxa"/>
            <w:vMerge w:val="restart"/>
            <w:tcBorders>
              <w:top w:val="single" w:color="auto" w:sz="4" w:space="0"/>
              <w:left w:val="single" w:color="auto" w:sz="4" w:space="0"/>
              <w:bottom w:val="single" w:color="auto" w:sz="4" w:space="0"/>
              <w:righ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面源有效排放高度/m</w:t>
            </w:r>
          </w:p>
        </w:tc>
        <w:tc>
          <w:tcPr>
            <w:tcW w:w="709" w:type="dxa"/>
            <w:vMerge w:val="restart"/>
            <w:tcBorders>
              <w:top w:val="single" w:color="auto" w:sz="4" w:space="0"/>
              <w:left w:val="single" w:color="auto" w:sz="4" w:space="0"/>
              <w:bottom w:val="single" w:color="auto" w:sz="4" w:space="0"/>
              <w:righ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年排放小时数/h</w:t>
            </w:r>
          </w:p>
        </w:tc>
        <w:tc>
          <w:tcPr>
            <w:tcW w:w="709" w:type="dxa"/>
            <w:vMerge w:val="restart"/>
            <w:tcBorders>
              <w:top w:val="single" w:color="auto" w:sz="4" w:space="0"/>
              <w:left w:val="single" w:color="auto" w:sz="4" w:space="0"/>
              <w:bottom w:val="single" w:color="auto" w:sz="4" w:space="0"/>
              <w:righ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排放工况</w:t>
            </w:r>
          </w:p>
        </w:tc>
        <w:tc>
          <w:tcPr>
            <w:tcW w:w="710" w:type="dxa"/>
            <w:tcBorders>
              <w:top w:val="single" w:color="auto" w:sz="4" w:space="0"/>
              <w:left w:val="single" w:color="auto" w:sz="4" w:space="0"/>
              <w:bottom w:val="single" w:color="auto" w:sz="4" w:space="0"/>
              <w:righ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rPr>
              <w:t>污染物排放速率/（kg/h</w:t>
            </w:r>
            <w:r>
              <w:rPr>
                <w:rFonts w:hint="default" w:ascii="Times New Roman" w:hAnsi="Times New Roman" w:eastAsia="宋体" w:cs="Times New Roman"/>
                <w:color w:val="auto"/>
                <w:szCs w:val="21"/>
                <w:highlight w:val="none"/>
                <w:lang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69" w:type="dxa"/>
            <w:vMerge w:val="continue"/>
            <w:tcBorders>
              <w:top w:val="single" w:color="auto" w:sz="4" w:space="0"/>
              <w:left w:val="single" w:color="auto" w:sz="4" w:space="0"/>
              <w:bottom w:val="single" w:color="auto" w:sz="4" w:space="0"/>
              <w:righ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p>
        </w:tc>
        <w:tc>
          <w:tcPr>
            <w:tcW w:w="724" w:type="dxa"/>
            <w:vMerge w:val="continue"/>
            <w:tcBorders>
              <w:top w:val="single" w:color="auto" w:sz="4" w:space="0"/>
              <w:left w:val="single" w:color="auto" w:sz="4" w:space="0"/>
              <w:bottom w:val="single" w:color="auto" w:sz="4" w:space="0"/>
              <w:righ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p>
        </w:tc>
        <w:tc>
          <w:tcPr>
            <w:tcW w:w="886" w:type="dxa"/>
            <w:tcBorders>
              <w:top w:val="single" w:color="auto" w:sz="4" w:space="0"/>
              <w:left w:val="single" w:color="auto" w:sz="4" w:space="0"/>
              <w:bottom w:val="single" w:color="auto" w:sz="4" w:space="0"/>
              <w:righ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X</w:t>
            </w:r>
          </w:p>
        </w:tc>
        <w:tc>
          <w:tcPr>
            <w:tcW w:w="852" w:type="dxa"/>
            <w:tcBorders>
              <w:top w:val="single" w:color="auto" w:sz="4" w:space="0"/>
              <w:left w:val="single" w:color="auto" w:sz="4" w:space="0"/>
              <w:bottom w:val="single" w:color="auto" w:sz="4" w:space="0"/>
              <w:righ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Y</w:t>
            </w:r>
          </w:p>
        </w:tc>
        <w:tc>
          <w:tcPr>
            <w:tcW w:w="709" w:type="dxa"/>
            <w:vMerge w:val="continue"/>
            <w:tcBorders>
              <w:top w:val="single" w:color="auto" w:sz="4" w:space="0"/>
              <w:left w:val="single" w:color="auto" w:sz="4" w:space="0"/>
              <w:bottom w:val="single" w:color="auto" w:sz="4" w:space="0"/>
              <w:righ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p>
        </w:tc>
        <w:tc>
          <w:tcPr>
            <w:tcW w:w="709" w:type="dxa"/>
            <w:vMerge w:val="continue"/>
            <w:tcBorders>
              <w:top w:val="single" w:color="auto" w:sz="4" w:space="0"/>
              <w:left w:val="single" w:color="auto" w:sz="4" w:space="0"/>
              <w:bottom w:val="single" w:color="auto" w:sz="4" w:space="0"/>
              <w:righ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p>
        </w:tc>
        <w:tc>
          <w:tcPr>
            <w:tcW w:w="709" w:type="dxa"/>
            <w:vMerge w:val="continue"/>
            <w:tcBorders>
              <w:top w:val="single" w:color="auto" w:sz="4" w:space="0"/>
              <w:left w:val="single" w:color="auto" w:sz="4" w:space="0"/>
              <w:bottom w:val="single" w:color="auto" w:sz="4" w:space="0"/>
              <w:righ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p>
        </w:tc>
        <w:tc>
          <w:tcPr>
            <w:tcW w:w="709" w:type="dxa"/>
            <w:vMerge w:val="continue"/>
            <w:tcBorders>
              <w:top w:val="single" w:color="auto" w:sz="4" w:space="0"/>
              <w:left w:val="single" w:color="auto" w:sz="4" w:space="0"/>
              <w:bottom w:val="single" w:color="auto" w:sz="4" w:space="0"/>
              <w:righ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p>
        </w:tc>
        <w:tc>
          <w:tcPr>
            <w:tcW w:w="709" w:type="dxa"/>
            <w:vMerge w:val="continue"/>
            <w:tcBorders>
              <w:top w:val="single" w:color="auto" w:sz="4" w:space="0"/>
              <w:left w:val="single" w:color="auto" w:sz="4" w:space="0"/>
              <w:bottom w:val="single" w:color="auto" w:sz="4" w:space="0"/>
              <w:righ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p>
        </w:tc>
        <w:tc>
          <w:tcPr>
            <w:tcW w:w="709" w:type="dxa"/>
            <w:vMerge w:val="continue"/>
            <w:tcBorders>
              <w:top w:val="single" w:color="auto" w:sz="4" w:space="0"/>
              <w:left w:val="single" w:color="auto" w:sz="4" w:space="0"/>
              <w:bottom w:val="single" w:color="auto" w:sz="4" w:space="0"/>
              <w:righ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p>
        </w:tc>
        <w:tc>
          <w:tcPr>
            <w:tcW w:w="709" w:type="dxa"/>
            <w:vMerge w:val="continue"/>
            <w:tcBorders>
              <w:top w:val="single" w:color="auto" w:sz="4" w:space="0"/>
              <w:left w:val="single" w:color="auto" w:sz="4" w:space="0"/>
              <w:bottom w:val="single" w:color="auto" w:sz="4" w:space="0"/>
              <w:righ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p>
        </w:tc>
        <w:tc>
          <w:tcPr>
            <w:tcW w:w="710" w:type="dxa"/>
            <w:tcBorders>
              <w:top w:val="single" w:color="auto" w:sz="4" w:space="0"/>
              <w:left w:val="single" w:color="auto" w:sz="4" w:space="0"/>
              <w:bottom w:val="single" w:color="auto" w:sz="4" w:space="0"/>
              <w:righ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TSP</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69" w:type="dxa"/>
            <w:tcBorders>
              <w:top w:val="single" w:color="auto" w:sz="4" w:space="0"/>
              <w:left w:val="single" w:color="auto" w:sz="4" w:space="0"/>
              <w:bottom w:val="single" w:color="auto" w:sz="4" w:space="0"/>
              <w:righ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pacing w:val="11"/>
                <w:szCs w:val="21"/>
                <w:highlight w:val="none"/>
              </w:rPr>
              <w:t>1</w:t>
            </w:r>
          </w:p>
        </w:tc>
        <w:tc>
          <w:tcPr>
            <w:tcW w:w="724" w:type="dxa"/>
            <w:tcBorders>
              <w:top w:val="single" w:color="auto" w:sz="4" w:space="0"/>
              <w:left w:val="single" w:color="auto" w:sz="4" w:space="0"/>
              <w:bottom w:val="single" w:color="auto" w:sz="4" w:space="0"/>
              <w:right w:val="single" w:color="auto" w:sz="4" w:space="0"/>
            </w:tcBorders>
            <w:vAlign w:val="center"/>
          </w:tcPr>
          <w:p>
            <w:pPr>
              <w:pageBreakBefore w:val="0"/>
              <w:wordWrap/>
              <w:bidi w:val="0"/>
              <w:snapToGrid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尾矿库干滩</w:t>
            </w:r>
          </w:p>
        </w:tc>
        <w:tc>
          <w:tcPr>
            <w:tcW w:w="886" w:type="dxa"/>
            <w:tcBorders>
              <w:top w:val="single" w:color="auto" w:sz="4" w:space="0"/>
              <w:left w:val="single" w:color="auto" w:sz="4" w:space="0"/>
              <w:bottom w:val="single" w:color="auto" w:sz="4" w:space="0"/>
              <w:righ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40.7993118°</w:t>
            </w:r>
          </w:p>
        </w:tc>
        <w:tc>
          <w:tcPr>
            <w:tcW w:w="852" w:type="dxa"/>
            <w:tcBorders>
              <w:top w:val="single" w:color="auto" w:sz="4" w:space="0"/>
              <w:left w:val="single" w:color="auto" w:sz="4" w:space="0"/>
              <w:bottom w:val="single" w:color="auto" w:sz="4" w:space="0"/>
              <w:righ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109.4244533°</w:t>
            </w:r>
          </w:p>
        </w:tc>
        <w:tc>
          <w:tcPr>
            <w:tcW w:w="709" w:type="dxa"/>
            <w:tcBorders>
              <w:top w:val="single" w:color="auto" w:sz="4" w:space="0"/>
              <w:left w:val="single" w:color="auto" w:sz="4" w:space="0"/>
              <w:bottom w:val="single" w:color="auto" w:sz="4" w:space="0"/>
              <w:right w:val="single" w:color="auto" w:sz="4" w:space="0"/>
            </w:tcBorders>
            <w:vAlign w:val="center"/>
          </w:tcPr>
          <w:p>
            <w:pPr>
              <w:pageBreakBefore w:val="0"/>
              <w:widowControl/>
              <w:wordWrap/>
              <w:bidi w:val="0"/>
              <w:ind w:left="0" w:leftChars="0" w:right="0" w:rightChars="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1432</w:t>
            </w:r>
          </w:p>
        </w:tc>
        <w:tc>
          <w:tcPr>
            <w:tcW w:w="709" w:type="dxa"/>
            <w:tcBorders>
              <w:top w:val="single" w:color="auto" w:sz="4" w:space="0"/>
              <w:left w:val="single" w:color="auto" w:sz="4" w:space="0"/>
              <w:bottom w:val="single" w:color="auto" w:sz="4" w:space="0"/>
              <w:right w:val="single" w:color="auto" w:sz="4" w:space="0"/>
            </w:tcBorders>
            <w:vAlign w:val="center"/>
          </w:tcPr>
          <w:p>
            <w:pPr>
              <w:pageBreakBefore w:val="0"/>
              <w:widowControl/>
              <w:wordWrap/>
              <w:bidi w:val="0"/>
              <w:ind w:left="0" w:leftChars="0" w:right="0" w:rightChars="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lang w:val="en-US" w:eastAsia="zh-CN"/>
              </w:rPr>
              <w:t>3</w:t>
            </w:r>
            <w:r>
              <w:rPr>
                <w:rFonts w:hint="default" w:ascii="Times New Roman" w:hAnsi="Times New Roman" w:eastAsia="宋体" w:cs="Times New Roman"/>
                <w:color w:val="auto"/>
                <w:szCs w:val="21"/>
                <w:highlight w:val="none"/>
              </w:rPr>
              <w:t>00</w:t>
            </w:r>
          </w:p>
        </w:tc>
        <w:tc>
          <w:tcPr>
            <w:tcW w:w="709" w:type="dxa"/>
            <w:tcBorders>
              <w:top w:val="single" w:color="auto" w:sz="4" w:space="0"/>
              <w:left w:val="single" w:color="auto" w:sz="4" w:space="0"/>
              <w:bottom w:val="single" w:color="auto" w:sz="4" w:space="0"/>
              <w:right w:val="single" w:color="auto" w:sz="4" w:space="0"/>
            </w:tcBorders>
            <w:vAlign w:val="center"/>
          </w:tcPr>
          <w:p>
            <w:pPr>
              <w:pageBreakBefore w:val="0"/>
              <w:widowControl/>
              <w:wordWrap/>
              <w:bidi w:val="0"/>
              <w:ind w:left="0" w:leftChars="0" w:right="0" w:rightChars="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lang w:val="en-US" w:eastAsia="zh-CN"/>
              </w:rPr>
              <w:t>4</w:t>
            </w:r>
            <w:r>
              <w:rPr>
                <w:rFonts w:hint="default" w:ascii="Times New Roman" w:hAnsi="Times New Roman" w:eastAsia="宋体" w:cs="Times New Roman"/>
                <w:color w:val="auto"/>
                <w:szCs w:val="21"/>
                <w:highlight w:val="none"/>
              </w:rPr>
              <w:t>0</w:t>
            </w:r>
          </w:p>
        </w:tc>
        <w:tc>
          <w:tcPr>
            <w:tcW w:w="709" w:type="dxa"/>
            <w:tcBorders>
              <w:top w:val="single" w:color="auto" w:sz="4" w:space="0"/>
              <w:left w:val="single" w:color="auto" w:sz="4" w:space="0"/>
              <w:bottom w:val="single" w:color="auto" w:sz="4" w:space="0"/>
              <w:righ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w:t>
            </w:r>
          </w:p>
        </w:tc>
        <w:tc>
          <w:tcPr>
            <w:tcW w:w="709" w:type="dxa"/>
            <w:tcBorders>
              <w:top w:val="single" w:color="auto" w:sz="4" w:space="0"/>
              <w:left w:val="single" w:color="auto" w:sz="4" w:space="0"/>
              <w:bottom w:val="single" w:color="auto" w:sz="4" w:space="0"/>
              <w:righ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val="en-US" w:eastAsia="zh-CN"/>
              </w:rPr>
              <w:t>5</w:t>
            </w:r>
          </w:p>
        </w:tc>
        <w:tc>
          <w:tcPr>
            <w:tcW w:w="709" w:type="dxa"/>
            <w:tcBorders>
              <w:top w:val="single" w:color="auto" w:sz="4" w:space="0"/>
              <w:left w:val="single" w:color="auto" w:sz="4" w:space="0"/>
              <w:bottom w:val="single" w:color="auto" w:sz="4" w:space="0"/>
              <w:righ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8760</w:t>
            </w:r>
          </w:p>
        </w:tc>
        <w:tc>
          <w:tcPr>
            <w:tcW w:w="709" w:type="dxa"/>
            <w:tcBorders>
              <w:top w:val="single" w:color="auto" w:sz="4" w:space="0"/>
              <w:left w:val="single" w:color="auto" w:sz="4" w:space="0"/>
              <w:bottom w:val="single" w:color="auto" w:sz="4" w:space="0"/>
              <w:right w:val="single" w:color="auto" w:sz="4" w:space="0"/>
            </w:tcBorders>
            <w:vAlign w:val="center"/>
          </w:tcPr>
          <w:p>
            <w:pPr>
              <w:pageBreakBefore w:val="0"/>
              <w:wordWrap/>
              <w:bidi w:val="0"/>
              <w:snapToGrid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正常</w:t>
            </w:r>
          </w:p>
        </w:tc>
        <w:tc>
          <w:tcPr>
            <w:tcW w:w="710" w:type="dxa"/>
            <w:tcBorders>
              <w:top w:val="single" w:color="auto" w:sz="4" w:space="0"/>
              <w:left w:val="single" w:color="auto" w:sz="4" w:space="0"/>
              <w:bottom w:val="single" w:color="auto" w:sz="4" w:space="0"/>
              <w:right w:val="single" w:color="auto" w:sz="4" w:space="0"/>
            </w:tcBorders>
            <w:vAlign w:val="center"/>
          </w:tcPr>
          <w:p>
            <w:pPr>
              <w:pageBreakBefore w:val="0"/>
              <w:wordWrap/>
              <w:bidi w:val="0"/>
              <w:snapToGrid w:val="0"/>
              <w:ind w:left="0" w:leftChars="0" w:right="0" w:rightChars="0"/>
              <w:jc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eastAsia="zh-CN"/>
              </w:rPr>
              <w:t>0.099</w:t>
            </w:r>
          </w:p>
        </w:tc>
      </w:tr>
    </w:tbl>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估算模型参数表见表</w:t>
      </w:r>
      <w:r>
        <w:rPr>
          <w:rFonts w:hint="default" w:ascii="Times New Roman" w:hAnsi="Times New Roman" w:eastAsia="宋体" w:cs="Times New Roman"/>
          <w:bCs/>
          <w:color w:val="auto"/>
          <w:sz w:val="24"/>
          <w:highlight w:val="none"/>
        </w:rPr>
        <w:t>1-6。</w:t>
      </w:r>
    </w:p>
    <w:p>
      <w:pPr>
        <w:pageBreakBefore w:val="0"/>
        <w:tabs>
          <w:tab w:val="left" w:pos="3062"/>
        </w:tabs>
        <w:wordWrap/>
        <w:bidi w:val="0"/>
        <w:adjustRightInd w:val="0"/>
        <w:snapToGrid w:val="0"/>
        <w:spacing w:line="360" w:lineRule="auto"/>
        <w:ind w:left="0" w:leftChars="0" w:right="0" w:rightChars="0"/>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表1-6估算模型参数表</w:t>
      </w:r>
    </w:p>
    <w:tbl>
      <w:tblPr>
        <w:tblStyle w:val="54"/>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907"/>
        <w:gridCol w:w="2908"/>
        <w:gridCol w:w="270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11" w:type="pct"/>
            <w:gridSpan w:val="2"/>
            <w:tcBorders>
              <w:top w:val="single" w:color="auto" w:sz="4" w:space="0"/>
              <w:left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baseline"/>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参数</w:t>
            </w:r>
          </w:p>
        </w:tc>
        <w:tc>
          <w:tcPr>
            <w:tcW w:w="1588" w:type="pct"/>
            <w:tcBorders>
              <w:top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baseline"/>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取值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05" w:type="pct"/>
            <w:vMerge w:val="restart"/>
            <w:tcBorders>
              <w:left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baseline"/>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城市/农村选项</w:t>
            </w:r>
          </w:p>
        </w:tc>
        <w:tc>
          <w:tcPr>
            <w:tcW w:w="1705"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baseline"/>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城市/农村</w:t>
            </w:r>
          </w:p>
        </w:tc>
        <w:tc>
          <w:tcPr>
            <w:tcW w:w="1588" w:type="pct"/>
            <w:tcBorders>
              <w:right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baseline"/>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农村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05" w:type="pct"/>
            <w:vMerge w:val="continue"/>
            <w:tcBorders>
              <w:left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baseline"/>
              <w:rPr>
                <w:rFonts w:hint="default" w:ascii="Times New Roman" w:hAnsi="Times New Roman" w:eastAsia="宋体" w:cs="Times New Roman"/>
                <w:color w:val="auto"/>
                <w:szCs w:val="21"/>
                <w:highlight w:val="none"/>
              </w:rPr>
            </w:pPr>
          </w:p>
        </w:tc>
        <w:tc>
          <w:tcPr>
            <w:tcW w:w="1705"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baseline"/>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rPr>
              <w:t>人口数（城市选项时</w:t>
            </w:r>
            <w:r>
              <w:rPr>
                <w:rFonts w:hint="default" w:ascii="Times New Roman" w:hAnsi="Times New Roman" w:eastAsia="宋体" w:cs="Times New Roman"/>
                <w:color w:val="auto"/>
                <w:szCs w:val="21"/>
                <w:highlight w:val="none"/>
                <w:lang w:eastAsia="zh-CN"/>
              </w:rPr>
              <w:t>）</w:t>
            </w:r>
          </w:p>
        </w:tc>
        <w:tc>
          <w:tcPr>
            <w:tcW w:w="1588" w:type="pct"/>
            <w:tcBorders>
              <w:right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baseline"/>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11" w:type="pct"/>
            <w:gridSpan w:val="2"/>
            <w:tcBorders>
              <w:left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baseline"/>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最高环境温度/℃</w:t>
            </w:r>
          </w:p>
        </w:tc>
        <w:tc>
          <w:tcPr>
            <w:tcW w:w="1588" w:type="pct"/>
            <w:tcBorders>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40.0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11" w:type="pct"/>
            <w:gridSpan w:val="2"/>
            <w:tcBorders>
              <w:left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baseline"/>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最低环境温度/℃</w:t>
            </w:r>
          </w:p>
        </w:tc>
        <w:tc>
          <w:tcPr>
            <w:tcW w:w="1588" w:type="pct"/>
            <w:tcBorders>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rPr>
              <w:t>-</w:t>
            </w:r>
            <w:r>
              <w:rPr>
                <w:rFonts w:hint="default" w:ascii="Times New Roman" w:hAnsi="Times New Roman" w:eastAsia="宋体" w:cs="Times New Roman"/>
                <w:color w:val="auto"/>
                <w:szCs w:val="21"/>
                <w:highlight w:val="none"/>
                <w:lang w:val="en-US" w:eastAsia="zh-CN"/>
              </w:rPr>
              <w:t>30.5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11" w:type="pct"/>
            <w:gridSpan w:val="2"/>
            <w:tcBorders>
              <w:left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baseline"/>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土地利用条件</w:t>
            </w:r>
          </w:p>
        </w:tc>
        <w:tc>
          <w:tcPr>
            <w:tcW w:w="1588" w:type="pct"/>
            <w:tcBorders>
              <w:right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baseline"/>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草地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11" w:type="pct"/>
            <w:gridSpan w:val="2"/>
            <w:tcBorders>
              <w:left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baseline"/>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区域湿度条件</w:t>
            </w:r>
          </w:p>
        </w:tc>
        <w:tc>
          <w:tcPr>
            <w:tcW w:w="1588" w:type="pct"/>
            <w:tcBorders>
              <w:right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baseline"/>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干燥气候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05" w:type="pct"/>
            <w:vMerge w:val="restart"/>
            <w:tcBorders>
              <w:left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baseline"/>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是否考虑地形</w:t>
            </w:r>
          </w:p>
        </w:tc>
        <w:tc>
          <w:tcPr>
            <w:tcW w:w="1705"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baseline"/>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考虑地形</w:t>
            </w:r>
          </w:p>
        </w:tc>
        <w:tc>
          <w:tcPr>
            <w:tcW w:w="1588" w:type="pct"/>
            <w:tcBorders>
              <w:right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baseline"/>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05" w:type="pct"/>
            <w:vMerge w:val="continue"/>
            <w:tcBorders>
              <w:left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baseline"/>
              <w:rPr>
                <w:rFonts w:hint="default" w:ascii="Times New Roman" w:hAnsi="Times New Roman" w:eastAsia="宋体" w:cs="Times New Roman"/>
                <w:color w:val="auto"/>
                <w:szCs w:val="21"/>
                <w:highlight w:val="none"/>
              </w:rPr>
            </w:pPr>
          </w:p>
        </w:tc>
        <w:tc>
          <w:tcPr>
            <w:tcW w:w="1705"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baseline"/>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地形数据分辨率/m</w:t>
            </w:r>
          </w:p>
        </w:tc>
        <w:tc>
          <w:tcPr>
            <w:tcW w:w="1588" w:type="pct"/>
            <w:tcBorders>
              <w:right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baseline"/>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05" w:type="pct"/>
            <w:vMerge w:val="restart"/>
            <w:tcBorders>
              <w:left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baseline"/>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是否考虑岸线熏烟</w:t>
            </w:r>
          </w:p>
        </w:tc>
        <w:tc>
          <w:tcPr>
            <w:tcW w:w="1705"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baseline"/>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考虑岸线熏烟</w:t>
            </w:r>
          </w:p>
        </w:tc>
        <w:tc>
          <w:tcPr>
            <w:tcW w:w="1588" w:type="pct"/>
            <w:tcBorders>
              <w:right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baseline"/>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05" w:type="pct"/>
            <w:vMerge w:val="continue"/>
            <w:tcBorders>
              <w:left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baseline"/>
              <w:rPr>
                <w:rFonts w:hint="default" w:ascii="Times New Roman" w:hAnsi="Times New Roman" w:eastAsia="宋体" w:cs="Times New Roman"/>
                <w:color w:val="auto"/>
                <w:szCs w:val="21"/>
                <w:highlight w:val="none"/>
              </w:rPr>
            </w:pPr>
          </w:p>
        </w:tc>
        <w:tc>
          <w:tcPr>
            <w:tcW w:w="1705"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baseline"/>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岸线距离/km</w:t>
            </w:r>
          </w:p>
        </w:tc>
        <w:tc>
          <w:tcPr>
            <w:tcW w:w="1588" w:type="pct"/>
            <w:tcBorders>
              <w:right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baseline"/>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05" w:type="pct"/>
            <w:vMerge w:val="continue"/>
            <w:tcBorders>
              <w:left w:val="single" w:color="auto" w:sz="4" w:space="0"/>
              <w:bottom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baseline"/>
              <w:rPr>
                <w:rFonts w:hint="default" w:ascii="Times New Roman" w:hAnsi="Times New Roman" w:eastAsia="宋体" w:cs="Times New Roman"/>
                <w:color w:val="auto"/>
                <w:szCs w:val="21"/>
                <w:highlight w:val="none"/>
              </w:rPr>
            </w:pPr>
          </w:p>
        </w:tc>
        <w:tc>
          <w:tcPr>
            <w:tcW w:w="1705" w:type="pct"/>
            <w:tcBorders>
              <w:bottom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baseline"/>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岸线方向/°</w:t>
            </w:r>
          </w:p>
        </w:tc>
        <w:tc>
          <w:tcPr>
            <w:tcW w:w="1588" w:type="pct"/>
            <w:tcBorders>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baseline"/>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eastAsia="zh-CN"/>
              </w:rPr>
              <w:t>/</w:t>
            </w:r>
          </w:p>
        </w:tc>
      </w:tr>
    </w:tbl>
    <w:p>
      <w:pPr>
        <w:pageBreakBefore w:val="0"/>
        <w:wordWrap/>
        <w:bidi w:val="0"/>
        <w:spacing w:line="360" w:lineRule="auto"/>
        <w:ind w:left="0" w:leftChars="0" w:right="0" w:rightChars="0" w:firstLine="480" w:firstLineChars="20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按照估算模型计算出本项目大气污染物最大占标率及离源距离见表1-7。</w:t>
      </w:r>
    </w:p>
    <w:p>
      <w:pPr>
        <w:pageBreakBefore w:val="0"/>
        <w:tabs>
          <w:tab w:val="left" w:pos="3062"/>
        </w:tabs>
        <w:wordWrap/>
        <w:bidi w:val="0"/>
        <w:adjustRightInd w:val="0"/>
        <w:snapToGrid w:val="0"/>
        <w:spacing w:line="360" w:lineRule="auto"/>
        <w:ind w:left="0" w:leftChars="0" w:right="0" w:rightChars="0"/>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表1-7尾矿库粉尘估算模型计算结果表</w:t>
      </w:r>
    </w:p>
    <w:tbl>
      <w:tblPr>
        <w:tblStyle w:val="54"/>
        <w:tblW w:w="5000" w:type="pct"/>
        <w:tblInd w:w="108"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74"/>
        <w:gridCol w:w="3478"/>
        <w:gridCol w:w="327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41" w:type="pct"/>
            <w:vMerge w:val="restar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距离</w:t>
            </w:r>
          </w:p>
          <w:p>
            <w:pPr>
              <w:pageBreakBefore w:val="0"/>
              <w:wordWrap/>
              <w:bidi w:val="0"/>
              <w:spacing w:line="240" w:lineRule="auto"/>
              <w:ind w:left="0" w:leftChars="0" w:right="0" w:rightChars="0"/>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m</w:t>
            </w:r>
          </w:p>
        </w:tc>
        <w:tc>
          <w:tcPr>
            <w:tcW w:w="3958" w:type="pct"/>
            <w:gridSpan w:val="2"/>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TSP</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41" w:type="pct"/>
            <w:vMerge w:val="continue"/>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bCs/>
                <w:color w:val="auto"/>
                <w:szCs w:val="21"/>
                <w:highlight w:val="none"/>
              </w:rPr>
            </w:pPr>
          </w:p>
        </w:tc>
        <w:tc>
          <w:tcPr>
            <w:tcW w:w="2040"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bCs/>
                <w:color w:val="auto"/>
                <w:szCs w:val="21"/>
                <w:highlight w:val="none"/>
                <w:lang w:eastAsia="zh-CN"/>
              </w:rPr>
            </w:pPr>
            <w:r>
              <w:rPr>
                <w:rFonts w:hint="default" w:ascii="Times New Roman" w:hAnsi="Times New Roman" w:eastAsia="宋体" w:cs="Times New Roman"/>
                <w:b/>
                <w:bCs/>
                <w:color w:val="auto"/>
                <w:szCs w:val="21"/>
                <w:highlight w:val="none"/>
              </w:rPr>
              <w:t>浓度（μg/m</w:t>
            </w:r>
            <w:r>
              <w:rPr>
                <w:rFonts w:hint="default" w:ascii="Times New Roman" w:hAnsi="Times New Roman" w:eastAsia="宋体" w:cs="Times New Roman"/>
                <w:b/>
                <w:bCs/>
                <w:color w:val="auto"/>
                <w:szCs w:val="21"/>
                <w:highlight w:val="none"/>
                <w:vertAlign w:val="superscript"/>
              </w:rPr>
              <w:t>3</w:t>
            </w:r>
            <w:r>
              <w:rPr>
                <w:rFonts w:hint="default" w:ascii="Times New Roman" w:hAnsi="Times New Roman" w:eastAsia="宋体" w:cs="Times New Roman"/>
                <w:b/>
                <w:bCs/>
                <w:color w:val="auto"/>
                <w:szCs w:val="21"/>
                <w:highlight w:val="none"/>
                <w:lang w:eastAsia="zh-CN"/>
              </w:rPr>
              <w:t>）</w:t>
            </w:r>
          </w:p>
        </w:tc>
        <w:tc>
          <w:tcPr>
            <w:tcW w:w="1918"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bCs/>
                <w:color w:val="auto"/>
                <w:szCs w:val="21"/>
                <w:highlight w:val="none"/>
                <w:lang w:eastAsia="zh-CN"/>
              </w:rPr>
            </w:pPr>
            <w:r>
              <w:rPr>
                <w:rFonts w:hint="default" w:ascii="Times New Roman" w:hAnsi="Times New Roman" w:eastAsia="宋体" w:cs="Times New Roman"/>
                <w:b/>
                <w:bCs/>
                <w:color w:val="auto"/>
                <w:szCs w:val="21"/>
                <w:highlight w:val="none"/>
              </w:rPr>
              <w:t>占标率（%</w:t>
            </w:r>
            <w:r>
              <w:rPr>
                <w:rFonts w:hint="default" w:ascii="Times New Roman" w:hAnsi="Times New Roman" w:eastAsia="宋体" w:cs="Times New Roman"/>
                <w:b/>
                <w:bCs/>
                <w:color w:val="auto"/>
                <w:szCs w:val="21"/>
                <w:highlight w:val="no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41"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10</w:t>
            </w:r>
          </w:p>
        </w:tc>
        <w:tc>
          <w:tcPr>
            <w:tcW w:w="2040"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highlight w:val="none"/>
              </w:rPr>
              <w:t>25.678</w:t>
            </w:r>
          </w:p>
        </w:tc>
        <w:tc>
          <w:tcPr>
            <w:tcW w:w="1918"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highlight w:val="none"/>
              </w:rPr>
              <w:t>2.853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41"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100</w:t>
            </w:r>
          </w:p>
        </w:tc>
        <w:tc>
          <w:tcPr>
            <w:tcW w:w="2040"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highlight w:val="none"/>
              </w:rPr>
              <w:t>29.573</w:t>
            </w:r>
          </w:p>
        </w:tc>
        <w:tc>
          <w:tcPr>
            <w:tcW w:w="1918"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highlight w:val="none"/>
              </w:rPr>
              <w:t>3.286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41"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200</w:t>
            </w:r>
          </w:p>
        </w:tc>
        <w:tc>
          <w:tcPr>
            <w:tcW w:w="2040"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highlight w:val="none"/>
              </w:rPr>
              <w:t>33.91</w:t>
            </w:r>
          </w:p>
        </w:tc>
        <w:tc>
          <w:tcPr>
            <w:tcW w:w="1918"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highlight w:val="none"/>
              </w:rPr>
              <w:t>3.768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41"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300</w:t>
            </w:r>
          </w:p>
        </w:tc>
        <w:tc>
          <w:tcPr>
            <w:tcW w:w="2040"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highlight w:val="none"/>
              </w:rPr>
              <w:t>37.949</w:t>
            </w:r>
          </w:p>
        </w:tc>
        <w:tc>
          <w:tcPr>
            <w:tcW w:w="1918"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highlight w:val="none"/>
              </w:rPr>
              <w:t>4.217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41"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400</w:t>
            </w:r>
          </w:p>
        </w:tc>
        <w:tc>
          <w:tcPr>
            <w:tcW w:w="2040"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highlight w:val="none"/>
              </w:rPr>
              <w:t>41.851</w:t>
            </w:r>
          </w:p>
        </w:tc>
        <w:tc>
          <w:tcPr>
            <w:tcW w:w="1918"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highlight w:val="none"/>
              </w:rPr>
              <w:t>4.650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41"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500</w:t>
            </w:r>
          </w:p>
        </w:tc>
        <w:tc>
          <w:tcPr>
            <w:tcW w:w="2040"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highlight w:val="none"/>
              </w:rPr>
              <w:t>45.848</w:t>
            </w:r>
          </w:p>
        </w:tc>
        <w:tc>
          <w:tcPr>
            <w:tcW w:w="1918"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highlight w:val="none"/>
              </w:rPr>
              <w:t>5.094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41"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600</w:t>
            </w:r>
          </w:p>
        </w:tc>
        <w:tc>
          <w:tcPr>
            <w:tcW w:w="2040"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highlight w:val="none"/>
              </w:rPr>
              <w:t>50.185</w:t>
            </w:r>
          </w:p>
        </w:tc>
        <w:tc>
          <w:tcPr>
            <w:tcW w:w="1918"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highlight w:val="none"/>
              </w:rPr>
              <w:t>5.576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41"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700</w:t>
            </w:r>
          </w:p>
        </w:tc>
        <w:tc>
          <w:tcPr>
            <w:tcW w:w="2040"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highlight w:val="none"/>
              </w:rPr>
              <w:t>54.451</w:t>
            </w:r>
          </w:p>
        </w:tc>
        <w:tc>
          <w:tcPr>
            <w:tcW w:w="1918"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highlight w:val="none"/>
              </w:rPr>
              <w:t>6.050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41"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800</w:t>
            </w:r>
          </w:p>
        </w:tc>
        <w:tc>
          <w:tcPr>
            <w:tcW w:w="2040"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highlight w:val="none"/>
              </w:rPr>
              <w:t>58.794</w:t>
            </w:r>
          </w:p>
        </w:tc>
        <w:tc>
          <w:tcPr>
            <w:tcW w:w="1918"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highlight w:val="none"/>
              </w:rPr>
              <w:t>6.533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41"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900</w:t>
            </w:r>
          </w:p>
        </w:tc>
        <w:tc>
          <w:tcPr>
            <w:tcW w:w="2040"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highlight w:val="none"/>
              </w:rPr>
              <w:t>60.666</w:t>
            </w:r>
          </w:p>
        </w:tc>
        <w:tc>
          <w:tcPr>
            <w:tcW w:w="1918"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highlight w:val="none"/>
              </w:rPr>
              <w:t>6.741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41"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1000</w:t>
            </w:r>
          </w:p>
        </w:tc>
        <w:tc>
          <w:tcPr>
            <w:tcW w:w="2040"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highlight w:val="none"/>
              </w:rPr>
              <w:t>61.374</w:t>
            </w:r>
          </w:p>
        </w:tc>
        <w:tc>
          <w:tcPr>
            <w:tcW w:w="1918"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highlight w:val="none"/>
              </w:rPr>
              <w:t>6.819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41"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1095</w:t>
            </w:r>
          </w:p>
        </w:tc>
        <w:tc>
          <w:tcPr>
            <w:tcW w:w="2040"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highlight w:val="none"/>
              </w:rPr>
              <w:t>61.626</w:t>
            </w:r>
          </w:p>
        </w:tc>
        <w:tc>
          <w:tcPr>
            <w:tcW w:w="1918"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highlight w:val="none"/>
              </w:rPr>
              <w:t>6.847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41"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2000</w:t>
            </w:r>
          </w:p>
        </w:tc>
        <w:tc>
          <w:tcPr>
            <w:tcW w:w="2040"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highlight w:val="none"/>
              </w:rPr>
              <w:t>54.154</w:t>
            </w:r>
          </w:p>
        </w:tc>
        <w:tc>
          <w:tcPr>
            <w:tcW w:w="1918"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highlight w:val="none"/>
              </w:rPr>
              <w:t>6.017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41"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2500</w:t>
            </w:r>
          </w:p>
        </w:tc>
        <w:tc>
          <w:tcPr>
            <w:tcW w:w="2040"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highlight w:val="none"/>
              </w:rPr>
              <w:t>50.393</w:t>
            </w:r>
          </w:p>
        </w:tc>
        <w:tc>
          <w:tcPr>
            <w:tcW w:w="1918"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highlight w:val="none"/>
              </w:rPr>
              <w:t>5.599</w:t>
            </w:r>
          </w:p>
        </w:tc>
      </w:tr>
    </w:tbl>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综合以上分析</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本项目污染源中污染物最大浓度占标率P</w:t>
      </w:r>
      <w:r>
        <w:rPr>
          <w:rFonts w:hint="default" w:ascii="Times New Roman" w:hAnsi="Times New Roman" w:eastAsia="宋体" w:cs="Times New Roman"/>
          <w:color w:val="auto"/>
          <w:sz w:val="24"/>
          <w:highlight w:val="none"/>
          <w:vertAlign w:val="subscript"/>
        </w:rPr>
        <w:t>max</w:t>
      </w:r>
      <w:r>
        <w:rPr>
          <w:rFonts w:hint="default" w:ascii="Times New Roman" w:hAnsi="Times New Roman" w:eastAsia="宋体" w:cs="Times New Roman"/>
          <w:color w:val="auto"/>
          <w:sz w:val="24"/>
          <w:highlight w:val="none"/>
        </w:rPr>
        <w:t>为6.847%&lt;10%</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根据《</w:t>
      </w:r>
      <w:r>
        <w:rPr>
          <w:rFonts w:hint="default" w:ascii="Times New Roman" w:hAnsi="Times New Roman" w:eastAsia="宋体" w:cs="Times New Roman"/>
          <w:color w:val="auto"/>
          <w:sz w:val="24"/>
          <w:highlight w:val="none"/>
          <w:lang w:eastAsia="zh-CN"/>
        </w:rPr>
        <w:t>环境影响评价技术导则</w:t>
      </w:r>
      <w:r>
        <w:rPr>
          <w:rFonts w:hint="default" w:ascii="Times New Roman" w:hAnsi="Times New Roman" w:eastAsia="宋体" w:cs="Times New Roman"/>
          <w:color w:val="auto"/>
          <w:sz w:val="24"/>
          <w:highlight w:val="none"/>
        </w:rPr>
        <w:t>大气环境》（HJ2.2-2018</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规定</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确定本项目大气环境影响评价工作等级为二级。</w:t>
      </w:r>
    </w:p>
    <w:p>
      <w:pPr>
        <w:pageBreakBefore w:val="0"/>
        <w:wordWrap/>
        <w:bidi w:val="0"/>
        <w:spacing w:line="360" w:lineRule="auto"/>
        <w:ind w:left="0" w:leftChars="0" w:right="0" w:rightChars="0" w:firstLine="480" w:firstLineChars="200"/>
        <w:outlineLvl w:val="0"/>
        <w:rPr>
          <w:rFonts w:hint="default" w:ascii="Times New Roman" w:hAnsi="Times New Roman" w:eastAsia="宋体" w:cs="Times New Roman"/>
          <w:color w:val="auto"/>
          <w:sz w:val="24"/>
          <w:highlight w:val="none"/>
        </w:rPr>
      </w:pPr>
      <w:bookmarkStart w:id="176" w:name="_Toc32298"/>
      <w:bookmarkStart w:id="177" w:name="_Toc26971"/>
      <w:r>
        <w:rPr>
          <w:rFonts w:hint="default" w:ascii="Times New Roman" w:hAnsi="Times New Roman" w:eastAsia="宋体" w:cs="Times New Roman"/>
          <w:color w:val="auto"/>
          <w:sz w:val="24"/>
          <w:highlight w:val="none"/>
        </w:rPr>
        <w:t>（2</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评价范围</w:t>
      </w:r>
      <w:bookmarkEnd w:id="176"/>
      <w:bookmarkEnd w:id="177"/>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w:t>
      </w:r>
      <w:r>
        <w:rPr>
          <w:rFonts w:hint="default" w:ascii="Times New Roman" w:hAnsi="Times New Roman" w:eastAsia="宋体" w:cs="Times New Roman"/>
          <w:color w:val="auto"/>
          <w:sz w:val="24"/>
          <w:highlight w:val="none"/>
          <w:lang w:eastAsia="zh-CN"/>
        </w:rPr>
        <w:t>环境影响评价技术导则</w:t>
      </w:r>
      <w:r>
        <w:rPr>
          <w:rFonts w:hint="default" w:ascii="Times New Roman" w:hAnsi="Times New Roman" w:eastAsia="宋体" w:cs="Times New Roman"/>
          <w:color w:val="auto"/>
          <w:sz w:val="24"/>
          <w:highlight w:val="none"/>
        </w:rPr>
        <w:t>大气环境》（HJ2.2-2018</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的规定</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二级</w:t>
      </w:r>
      <w:r>
        <w:rPr>
          <w:rFonts w:hint="default" w:ascii="Times New Roman" w:hAnsi="Times New Roman" w:eastAsia="宋体" w:cs="Times New Roman"/>
          <w:color w:val="auto"/>
          <w:sz w:val="24"/>
          <w:highlight w:val="none"/>
          <w:lang w:eastAsia="zh-CN"/>
        </w:rPr>
        <w:t>评价</w:t>
      </w:r>
      <w:r>
        <w:rPr>
          <w:rFonts w:hint="default" w:ascii="Times New Roman" w:hAnsi="Times New Roman" w:eastAsia="宋体" w:cs="Times New Roman"/>
          <w:color w:val="auto"/>
          <w:sz w:val="24"/>
          <w:highlight w:val="none"/>
        </w:rPr>
        <w:t>范围应以</w:t>
      </w:r>
      <w:r>
        <w:rPr>
          <w:rFonts w:hint="default" w:ascii="Times New Roman" w:hAnsi="Times New Roman" w:eastAsia="宋体" w:cs="Times New Roman"/>
          <w:color w:val="auto"/>
          <w:sz w:val="24"/>
          <w:highlight w:val="none"/>
          <w:lang w:val="en-US" w:eastAsia="zh-CN"/>
        </w:rPr>
        <w:t>尾矿库边界为</w:t>
      </w:r>
      <w:r>
        <w:rPr>
          <w:rFonts w:hint="default" w:ascii="Times New Roman" w:hAnsi="Times New Roman" w:eastAsia="宋体" w:cs="Times New Roman"/>
          <w:color w:val="auto"/>
          <w:sz w:val="24"/>
          <w:highlight w:val="none"/>
        </w:rPr>
        <w:t>中心区域</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边长为5km的矩形区域。</w:t>
      </w:r>
    </w:p>
    <w:bookmarkEnd w:id="175"/>
    <w:p>
      <w:pPr>
        <w:pStyle w:val="5"/>
        <w:pageBreakBefore w:val="0"/>
        <w:numPr>
          <w:ilvl w:val="2"/>
          <w:numId w:val="0"/>
        </w:numPr>
        <w:wordWrap/>
        <w:bidi w:val="0"/>
        <w:ind w:left="0" w:leftChars="0" w:right="0" w:rightChars="0"/>
        <w:outlineLvl w:val="1"/>
        <w:rPr>
          <w:rFonts w:hint="default" w:ascii="Times New Roman" w:hAnsi="Times New Roman" w:eastAsia="宋体" w:cs="Times New Roman"/>
          <w:b/>
          <w:bCs/>
          <w:color w:val="auto"/>
          <w:highlight w:val="none"/>
        </w:rPr>
      </w:pPr>
      <w:bookmarkStart w:id="178" w:name="_Toc19749"/>
      <w:bookmarkStart w:id="179" w:name="_Toc288306157"/>
      <w:bookmarkStart w:id="180" w:name="_Toc10129"/>
      <w:bookmarkStart w:id="181" w:name="_Toc29998"/>
      <w:r>
        <w:rPr>
          <w:rFonts w:hint="default" w:ascii="Times New Roman" w:hAnsi="Times New Roman" w:eastAsia="宋体" w:cs="Times New Roman"/>
          <w:b/>
          <w:bCs/>
          <w:i w:val="0"/>
          <w:iCs w:val="0"/>
          <w:caps w:val="0"/>
          <w:smallCaps w:val="0"/>
          <w:strike w:val="0"/>
          <w:dstrike w:val="0"/>
          <w:vanish w:val="0"/>
          <w:color w:val="auto"/>
          <w:spacing w:val="0"/>
          <w:kern w:val="2"/>
          <w:position w:val="0"/>
          <w:sz w:val="24"/>
          <w:szCs w:val="24"/>
          <w:highlight w:val="none"/>
          <w:u w:val="none"/>
          <w:vertAlign w:val="baseline"/>
          <w:lang w:val="en-US" w:eastAsia="zh-CN" w:bidi="ar-SA"/>
          <w14:shadow w14:blurRad="0" w14:dist="0" w14:dir="0" w14:sx="0" w14:sy="0" w14:kx="0" w14:ky="0" w14:algn="none">
            <w14:srgbClr w14:val="000000"/>
          </w14:shadow>
        </w:rPr>
        <w:t>1.4.2</w:t>
      </w:r>
      <w:r>
        <w:rPr>
          <w:rFonts w:hint="default" w:ascii="Times New Roman" w:hAnsi="Times New Roman" w:eastAsia="宋体" w:cs="Times New Roman"/>
          <w:b/>
          <w:bCs/>
          <w:color w:val="auto"/>
          <w:highlight w:val="none"/>
        </w:rPr>
        <w:t>地表水评价等级及评价范围</w:t>
      </w:r>
      <w:bookmarkEnd w:id="178"/>
      <w:bookmarkEnd w:id="179"/>
      <w:bookmarkEnd w:id="180"/>
      <w:bookmarkEnd w:id="181"/>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szCs w:val="24"/>
          <w:highlight w:val="none"/>
        </w:rPr>
      </w:pPr>
      <w:bookmarkStart w:id="182" w:name="_Toc246850533"/>
      <w:r>
        <w:rPr>
          <w:rFonts w:hint="default" w:ascii="Times New Roman" w:hAnsi="Times New Roman" w:eastAsia="宋体" w:cs="Times New Roman"/>
          <w:color w:val="auto"/>
          <w:sz w:val="24"/>
          <w:szCs w:val="24"/>
          <w:highlight w:val="none"/>
        </w:rPr>
        <w:t>本项目</w:t>
      </w:r>
      <w:r>
        <w:rPr>
          <w:rFonts w:hint="default" w:ascii="Times New Roman" w:hAnsi="Times New Roman" w:eastAsia="宋体" w:cs="Times New Roman"/>
          <w:color w:val="auto"/>
          <w:sz w:val="24"/>
          <w:szCs w:val="24"/>
          <w:highlight w:val="none"/>
          <w:lang w:eastAsia="zh-CN"/>
        </w:rPr>
        <w:t>属</w:t>
      </w:r>
      <w:r>
        <w:rPr>
          <w:rFonts w:hint="default" w:ascii="Times New Roman" w:hAnsi="Times New Roman" w:eastAsia="宋体" w:cs="Times New Roman"/>
          <w:color w:val="auto"/>
          <w:sz w:val="24"/>
          <w:szCs w:val="24"/>
          <w:highlight w:val="none"/>
        </w:rPr>
        <w:t>于水污染影响型建设项目</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bCs/>
          <w:color w:val="auto"/>
          <w:sz w:val="24"/>
          <w:szCs w:val="24"/>
          <w:highlight w:val="none"/>
        </w:rPr>
        <w:t>本项目尾矿水先自流至新建回水池</w:t>
      </w:r>
      <w:r>
        <w:rPr>
          <w:rFonts w:hint="default" w:ascii="Times New Roman" w:hAnsi="Times New Roman" w:eastAsia="宋体"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rPr>
        <w:t>再通过新建回水泵站泵送至选矿厂现有高位水池</w:t>
      </w:r>
      <w:r>
        <w:rPr>
          <w:rFonts w:hint="default" w:ascii="Times New Roman" w:hAnsi="Times New Roman" w:eastAsia="宋体"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rPr>
        <w:t>作为生产用水循环使用</w:t>
      </w:r>
      <w:r>
        <w:rPr>
          <w:rFonts w:hint="default" w:ascii="Times New Roman" w:hAnsi="Times New Roman" w:eastAsia="宋体"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rPr>
        <w:t>无废水排放；本项目无新增劳动定员</w:t>
      </w:r>
      <w:r>
        <w:rPr>
          <w:rFonts w:hint="default" w:ascii="Times New Roman" w:hAnsi="Times New Roman" w:eastAsia="宋体"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rPr>
        <w:t>无新增生活污水</w:t>
      </w:r>
      <w:r>
        <w:rPr>
          <w:rFonts w:hint="default" w:ascii="Times New Roman" w:hAnsi="Times New Roman" w:eastAsia="宋体" w:cs="Times New Roman"/>
          <w:bCs/>
          <w:color w:val="auto"/>
          <w:sz w:val="24"/>
          <w:szCs w:val="24"/>
          <w:highlight w:val="none"/>
          <w:lang w:eastAsia="zh-CN"/>
        </w:rPr>
        <w:t>。</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sz w:val="24"/>
          <w:szCs w:val="32"/>
          <w:highlight w:val="none"/>
        </w:rPr>
      </w:pPr>
      <w:r>
        <w:rPr>
          <w:rFonts w:hint="default" w:ascii="Times New Roman" w:hAnsi="Times New Roman" w:eastAsia="宋体" w:cs="Times New Roman"/>
          <w:color w:val="auto"/>
          <w:sz w:val="24"/>
          <w:szCs w:val="32"/>
          <w:highlight w:val="none"/>
        </w:rPr>
        <w:t>根据《</w:t>
      </w:r>
      <w:r>
        <w:rPr>
          <w:rFonts w:hint="default" w:ascii="Times New Roman" w:hAnsi="Times New Roman" w:eastAsia="宋体" w:cs="Times New Roman"/>
          <w:color w:val="auto"/>
          <w:sz w:val="24"/>
          <w:szCs w:val="32"/>
          <w:highlight w:val="none"/>
          <w:lang w:eastAsia="zh-CN"/>
        </w:rPr>
        <w:t>环境影响评价技术导则</w:t>
      </w:r>
      <w:r>
        <w:rPr>
          <w:rFonts w:hint="default" w:ascii="Times New Roman" w:hAnsi="Times New Roman" w:eastAsia="宋体" w:cs="Times New Roman"/>
          <w:color w:val="auto"/>
          <w:sz w:val="24"/>
          <w:szCs w:val="32"/>
          <w:highlight w:val="none"/>
        </w:rPr>
        <w:t>地表水环境》（HJ2.3-2018</w:t>
      </w:r>
      <w:r>
        <w:rPr>
          <w:rFonts w:hint="default"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rPr>
        <w:t>进行评价等级判定</w:t>
      </w:r>
      <w:r>
        <w:rPr>
          <w:rFonts w:hint="default"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rPr>
        <w:t>见下表。</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jc w:val="center"/>
        <w:textAlignment w:val="auto"/>
        <w:rPr>
          <w:rFonts w:hint="default" w:ascii="Times New Roman" w:hAnsi="Times New Roman" w:eastAsia="宋体" w:cs="Times New Roman"/>
          <w:b/>
          <w:bCs/>
          <w:color w:val="auto"/>
          <w:sz w:val="24"/>
          <w:szCs w:val="32"/>
          <w:highlight w:val="none"/>
        </w:rPr>
      </w:pPr>
      <w:r>
        <w:rPr>
          <w:rFonts w:hint="default" w:ascii="Times New Roman" w:hAnsi="Times New Roman" w:eastAsia="宋体" w:cs="Times New Roman"/>
          <w:b/>
          <w:bCs/>
          <w:color w:val="auto"/>
          <w:sz w:val="24"/>
          <w:szCs w:val="32"/>
          <w:highlight w:val="none"/>
        </w:rPr>
        <w:t>表</w:t>
      </w:r>
      <w:r>
        <w:rPr>
          <w:rFonts w:hint="default" w:ascii="Times New Roman" w:hAnsi="Times New Roman" w:eastAsia="宋体" w:cs="Times New Roman"/>
          <w:b/>
          <w:bCs/>
          <w:color w:val="auto"/>
          <w:sz w:val="24"/>
          <w:szCs w:val="32"/>
          <w:highlight w:val="none"/>
          <w:lang w:val="en-US" w:eastAsia="zh-CN"/>
        </w:rPr>
        <w:t>1-8</w:t>
      </w:r>
      <w:r>
        <w:rPr>
          <w:rFonts w:hint="default" w:ascii="Times New Roman" w:hAnsi="Times New Roman" w:eastAsia="宋体" w:cs="Times New Roman"/>
          <w:b/>
          <w:bCs/>
          <w:color w:val="auto"/>
          <w:sz w:val="24"/>
          <w:szCs w:val="32"/>
          <w:highlight w:val="none"/>
        </w:rPr>
        <w:t>水污染影响型建设项目评价等级判定表</w:t>
      </w:r>
    </w:p>
    <w:tbl>
      <w:tblPr>
        <w:tblStyle w:val="54"/>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948"/>
        <w:gridCol w:w="1949"/>
        <w:gridCol w:w="462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051" w:type="dxa"/>
            <w:vMerge w:val="restart"/>
            <w:tcBorders>
              <w:top w:val="single" w:color="auto" w:sz="4" w:space="0"/>
              <w:left w:val="single" w:color="auto" w:sz="4" w:space="0"/>
              <w:bottom w:val="single" w:color="auto" w:sz="4" w:space="0"/>
              <w:right w:val="single" w:color="auto" w:sz="4" w:space="0"/>
            </w:tcBorders>
            <w:vAlign w:val="center"/>
          </w:tcPr>
          <w:p>
            <w:pPr>
              <w:pageBreakBefore w:val="0"/>
              <w:wordWrap/>
              <w:overflowPunct w:val="0"/>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评级等级</w:t>
            </w:r>
          </w:p>
        </w:tc>
        <w:tc>
          <w:tcPr>
            <w:tcW w:w="6952" w:type="dxa"/>
            <w:gridSpan w:val="2"/>
            <w:tcBorders>
              <w:top w:val="single" w:color="auto" w:sz="4" w:space="0"/>
              <w:left w:val="single" w:color="auto" w:sz="4" w:space="0"/>
              <w:bottom w:val="single" w:color="auto" w:sz="4" w:space="0"/>
              <w:right w:val="single" w:color="auto" w:sz="4" w:space="0"/>
            </w:tcBorders>
            <w:vAlign w:val="center"/>
          </w:tcPr>
          <w:p>
            <w:pPr>
              <w:pageBreakBefore w:val="0"/>
              <w:wordWrap/>
              <w:overflowPunct w:val="0"/>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判定依据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051" w:type="dxa"/>
            <w:vMerge w:val="continue"/>
            <w:tcBorders>
              <w:top w:val="single" w:color="auto" w:sz="4" w:space="0"/>
              <w:left w:val="single" w:color="auto" w:sz="4" w:space="0"/>
              <w:bottom w:val="single" w:color="auto" w:sz="4" w:space="0"/>
              <w:right w:val="single" w:color="auto" w:sz="4" w:space="0"/>
            </w:tcBorders>
            <w:vAlign w:val="center"/>
          </w:tcPr>
          <w:p>
            <w:pPr>
              <w:pageBreakBefore w:val="0"/>
              <w:wordWrap/>
              <w:overflowPunct w:val="0"/>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p>
        </w:tc>
        <w:tc>
          <w:tcPr>
            <w:tcW w:w="2051" w:type="dxa"/>
            <w:tcBorders>
              <w:top w:val="single" w:color="auto" w:sz="4" w:space="0"/>
              <w:left w:val="single" w:color="auto" w:sz="4" w:space="0"/>
              <w:bottom w:val="single" w:color="auto" w:sz="4" w:space="0"/>
              <w:right w:val="single" w:color="auto" w:sz="4" w:space="0"/>
            </w:tcBorders>
            <w:vAlign w:val="center"/>
          </w:tcPr>
          <w:p>
            <w:pPr>
              <w:pageBreakBefore w:val="0"/>
              <w:wordWrap/>
              <w:overflowPunct w:val="0"/>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排放方式</w:t>
            </w:r>
          </w:p>
        </w:tc>
        <w:tc>
          <w:tcPr>
            <w:tcW w:w="4901" w:type="dxa"/>
            <w:tcBorders>
              <w:top w:val="single" w:color="auto" w:sz="4" w:space="0"/>
              <w:left w:val="single" w:color="auto" w:sz="4" w:space="0"/>
              <w:bottom w:val="single" w:color="auto" w:sz="4" w:space="0"/>
              <w:right w:val="single" w:color="auto" w:sz="4" w:space="0"/>
            </w:tcBorders>
            <w:vAlign w:val="center"/>
          </w:tcPr>
          <w:p>
            <w:pPr>
              <w:pageBreakBefore w:val="0"/>
              <w:wordWrap/>
              <w:overflowPunct w:val="0"/>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废水排放量Q/（m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/d</w:t>
            </w:r>
            <w:r>
              <w:rPr>
                <w:rFonts w:hint="default" w:ascii="Times New Roman" w:hAnsi="Times New Roman" w:eastAsia="宋体" w:cs="Times New Roman"/>
                <w:color w:val="auto"/>
                <w:sz w:val="21"/>
                <w:szCs w:val="21"/>
                <w:highlight w:val="none"/>
                <w:lang w:eastAsia="zh-CN"/>
              </w:rPr>
              <w:t>）</w:t>
            </w:r>
          </w:p>
          <w:p>
            <w:pPr>
              <w:pageBreakBefore w:val="0"/>
              <w:wordWrap/>
              <w:overflowPunct w:val="0"/>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水污染物当量W/（量纲一</w:t>
            </w:r>
            <w:r>
              <w:rPr>
                <w:rFonts w:hint="default" w:ascii="Times New Roman" w:hAnsi="Times New Roman" w:eastAsia="宋体" w:cs="Times New Roman"/>
                <w:color w:val="auto"/>
                <w:sz w:val="21"/>
                <w:szCs w:val="21"/>
                <w:highlight w:val="none"/>
                <w:lang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051" w:type="dxa"/>
            <w:tcBorders>
              <w:top w:val="single" w:color="auto" w:sz="4" w:space="0"/>
              <w:left w:val="single" w:color="auto" w:sz="4" w:space="0"/>
              <w:bottom w:val="single" w:color="auto" w:sz="4" w:space="0"/>
              <w:right w:val="single" w:color="auto" w:sz="4" w:space="0"/>
            </w:tcBorders>
            <w:vAlign w:val="center"/>
          </w:tcPr>
          <w:p>
            <w:pPr>
              <w:pageBreakBefore w:val="0"/>
              <w:wordWrap/>
              <w:overflowPunct w:val="0"/>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一级</w:t>
            </w:r>
          </w:p>
        </w:tc>
        <w:tc>
          <w:tcPr>
            <w:tcW w:w="2051" w:type="dxa"/>
            <w:tcBorders>
              <w:top w:val="single" w:color="auto" w:sz="4" w:space="0"/>
              <w:left w:val="single" w:color="auto" w:sz="4" w:space="0"/>
              <w:bottom w:val="single" w:color="auto" w:sz="4" w:space="0"/>
              <w:right w:val="single" w:color="auto" w:sz="4" w:space="0"/>
            </w:tcBorders>
            <w:vAlign w:val="center"/>
          </w:tcPr>
          <w:p>
            <w:pPr>
              <w:pageBreakBefore w:val="0"/>
              <w:wordWrap/>
              <w:overflowPunct w:val="0"/>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直接排放</w:t>
            </w:r>
          </w:p>
        </w:tc>
        <w:tc>
          <w:tcPr>
            <w:tcW w:w="4901" w:type="dxa"/>
            <w:tcBorders>
              <w:top w:val="single" w:color="auto" w:sz="4" w:space="0"/>
              <w:left w:val="single" w:color="auto" w:sz="4" w:space="0"/>
              <w:bottom w:val="single" w:color="auto" w:sz="4" w:space="0"/>
              <w:right w:val="single" w:color="auto" w:sz="4" w:space="0"/>
            </w:tcBorders>
            <w:vAlign w:val="center"/>
          </w:tcPr>
          <w:p>
            <w:pPr>
              <w:pageBreakBefore w:val="0"/>
              <w:wordWrap/>
              <w:overflowPunct w:val="0"/>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Q≥20000或W≥600000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051" w:type="dxa"/>
            <w:tcBorders>
              <w:top w:val="single" w:color="auto" w:sz="4" w:space="0"/>
              <w:left w:val="single" w:color="auto" w:sz="4" w:space="0"/>
              <w:bottom w:val="single" w:color="auto" w:sz="4" w:space="0"/>
              <w:right w:val="single" w:color="auto" w:sz="4" w:space="0"/>
            </w:tcBorders>
            <w:vAlign w:val="center"/>
          </w:tcPr>
          <w:p>
            <w:pPr>
              <w:pageBreakBefore w:val="0"/>
              <w:wordWrap/>
              <w:overflowPunct w:val="0"/>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二级</w:t>
            </w:r>
          </w:p>
        </w:tc>
        <w:tc>
          <w:tcPr>
            <w:tcW w:w="2051" w:type="dxa"/>
            <w:tcBorders>
              <w:top w:val="single" w:color="auto" w:sz="4" w:space="0"/>
              <w:left w:val="single" w:color="auto" w:sz="4" w:space="0"/>
              <w:bottom w:val="single" w:color="auto" w:sz="4" w:space="0"/>
              <w:right w:val="single" w:color="auto" w:sz="4" w:space="0"/>
            </w:tcBorders>
            <w:vAlign w:val="center"/>
          </w:tcPr>
          <w:p>
            <w:pPr>
              <w:pageBreakBefore w:val="0"/>
              <w:wordWrap/>
              <w:overflowPunct w:val="0"/>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直接排放</w:t>
            </w:r>
          </w:p>
        </w:tc>
        <w:tc>
          <w:tcPr>
            <w:tcW w:w="4901" w:type="dxa"/>
            <w:tcBorders>
              <w:top w:val="single" w:color="auto" w:sz="4" w:space="0"/>
              <w:left w:val="single" w:color="auto" w:sz="4" w:space="0"/>
              <w:bottom w:val="single" w:color="auto" w:sz="4" w:space="0"/>
              <w:right w:val="single" w:color="auto" w:sz="4" w:space="0"/>
            </w:tcBorders>
            <w:vAlign w:val="center"/>
          </w:tcPr>
          <w:p>
            <w:pPr>
              <w:pageBreakBefore w:val="0"/>
              <w:wordWrap/>
              <w:overflowPunct w:val="0"/>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其他</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051" w:type="dxa"/>
            <w:tcBorders>
              <w:top w:val="single" w:color="auto" w:sz="4" w:space="0"/>
              <w:left w:val="single" w:color="auto" w:sz="4" w:space="0"/>
              <w:bottom w:val="single" w:color="auto" w:sz="4" w:space="0"/>
              <w:right w:val="single" w:color="auto" w:sz="4" w:space="0"/>
            </w:tcBorders>
            <w:vAlign w:val="center"/>
          </w:tcPr>
          <w:p>
            <w:pPr>
              <w:pageBreakBefore w:val="0"/>
              <w:wordWrap/>
              <w:overflowPunct w:val="0"/>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三级A</w:t>
            </w:r>
          </w:p>
        </w:tc>
        <w:tc>
          <w:tcPr>
            <w:tcW w:w="2051" w:type="dxa"/>
            <w:tcBorders>
              <w:top w:val="single" w:color="auto" w:sz="4" w:space="0"/>
              <w:left w:val="single" w:color="auto" w:sz="4" w:space="0"/>
              <w:bottom w:val="single" w:color="auto" w:sz="4" w:space="0"/>
              <w:right w:val="single" w:color="auto" w:sz="4" w:space="0"/>
            </w:tcBorders>
            <w:vAlign w:val="center"/>
          </w:tcPr>
          <w:p>
            <w:pPr>
              <w:pageBreakBefore w:val="0"/>
              <w:wordWrap/>
              <w:overflowPunct w:val="0"/>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直接排放</w:t>
            </w:r>
          </w:p>
        </w:tc>
        <w:tc>
          <w:tcPr>
            <w:tcW w:w="4901" w:type="dxa"/>
            <w:tcBorders>
              <w:top w:val="single" w:color="auto" w:sz="4" w:space="0"/>
              <w:left w:val="single" w:color="auto" w:sz="4" w:space="0"/>
              <w:bottom w:val="single" w:color="auto" w:sz="4" w:space="0"/>
              <w:right w:val="single" w:color="auto" w:sz="4" w:space="0"/>
            </w:tcBorders>
            <w:vAlign w:val="center"/>
          </w:tcPr>
          <w:p>
            <w:pPr>
              <w:pageBreakBefore w:val="0"/>
              <w:wordWrap/>
              <w:overflowPunct w:val="0"/>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Q＜200且W＜6000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051" w:type="dxa"/>
            <w:tcBorders>
              <w:top w:val="single" w:color="auto" w:sz="4" w:space="0"/>
              <w:left w:val="single" w:color="auto" w:sz="4" w:space="0"/>
              <w:bottom w:val="single" w:color="auto" w:sz="4" w:space="0"/>
              <w:right w:val="single" w:color="auto" w:sz="4" w:space="0"/>
            </w:tcBorders>
            <w:vAlign w:val="center"/>
          </w:tcPr>
          <w:p>
            <w:pPr>
              <w:pageBreakBefore w:val="0"/>
              <w:wordWrap/>
              <w:overflowPunct w:val="0"/>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三级B</w:t>
            </w:r>
          </w:p>
        </w:tc>
        <w:tc>
          <w:tcPr>
            <w:tcW w:w="2051" w:type="dxa"/>
            <w:tcBorders>
              <w:top w:val="single" w:color="auto" w:sz="4" w:space="0"/>
              <w:left w:val="single" w:color="auto" w:sz="4" w:space="0"/>
              <w:bottom w:val="single" w:color="auto" w:sz="4" w:space="0"/>
              <w:right w:val="single" w:color="auto" w:sz="4" w:space="0"/>
            </w:tcBorders>
            <w:vAlign w:val="center"/>
          </w:tcPr>
          <w:p>
            <w:pPr>
              <w:pageBreakBefore w:val="0"/>
              <w:wordWrap/>
              <w:overflowPunct w:val="0"/>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间接排放</w:t>
            </w:r>
          </w:p>
        </w:tc>
        <w:tc>
          <w:tcPr>
            <w:tcW w:w="4901" w:type="dxa"/>
            <w:tcBorders>
              <w:top w:val="single" w:color="auto" w:sz="4" w:space="0"/>
              <w:left w:val="single" w:color="auto" w:sz="4" w:space="0"/>
              <w:bottom w:val="single" w:color="auto" w:sz="4" w:space="0"/>
              <w:right w:val="single" w:color="auto" w:sz="4" w:space="0"/>
            </w:tcBorders>
            <w:vAlign w:val="center"/>
          </w:tcPr>
          <w:p>
            <w:pPr>
              <w:pageBreakBefore w:val="0"/>
              <w:wordWrap/>
              <w:overflowPunct w:val="0"/>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r>
    </w:tbl>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项目废水均</w:t>
      </w:r>
      <w:r>
        <w:rPr>
          <w:rFonts w:hint="default" w:ascii="Times New Roman" w:hAnsi="Times New Roman" w:eastAsia="宋体" w:cs="Times New Roman"/>
          <w:color w:val="auto"/>
          <w:sz w:val="24"/>
          <w:szCs w:val="24"/>
          <w:highlight w:val="none"/>
          <w:lang w:eastAsia="zh-CN"/>
        </w:rPr>
        <w:t>属</w:t>
      </w:r>
      <w:r>
        <w:rPr>
          <w:rFonts w:hint="default" w:ascii="Times New Roman" w:hAnsi="Times New Roman" w:eastAsia="宋体" w:cs="Times New Roman"/>
          <w:color w:val="auto"/>
          <w:sz w:val="24"/>
          <w:szCs w:val="24"/>
          <w:highlight w:val="none"/>
        </w:rPr>
        <w:t>于间接排放</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因此评价等级为三级B。</w:t>
      </w:r>
    </w:p>
    <w:p>
      <w:pPr>
        <w:pageBreakBefore w:val="0"/>
        <w:wordWrap/>
        <w:bidi w:val="0"/>
        <w:spacing w:line="360" w:lineRule="auto"/>
        <w:ind w:left="0" w:leftChars="0" w:right="0" w:rightChars="0" w:firstLine="480" w:firstLineChars="200"/>
        <w:rPr>
          <w:rFonts w:hint="default" w:ascii="Times New Roman" w:hAnsi="Times New Roman" w:eastAsia="宋体" w:cs="Times New Roman"/>
          <w:bCs/>
          <w:color w:val="auto"/>
          <w:sz w:val="24"/>
          <w:szCs w:val="24"/>
          <w:highlight w:val="none"/>
          <w:lang w:eastAsia="zh-CN"/>
        </w:rPr>
      </w:pPr>
      <w:r>
        <w:rPr>
          <w:rFonts w:hint="default" w:ascii="Times New Roman" w:hAnsi="Times New Roman" w:eastAsia="宋体" w:cs="Times New Roman"/>
          <w:color w:val="auto"/>
          <w:sz w:val="24"/>
          <w:szCs w:val="24"/>
          <w:highlight w:val="none"/>
        </w:rPr>
        <w:t>三级B主要评价内容包括水污染控制和水环境影响减缓措施有效性评价</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项目污水处理设施的环境可行性分析</w:t>
      </w:r>
      <w:r>
        <w:rPr>
          <w:rFonts w:hint="default" w:ascii="Times New Roman" w:hAnsi="Times New Roman" w:eastAsia="宋体" w:cs="Times New Roman"/>
          <w:color w:val="auto"/>
          <w:sz w:val="24"/>
          <w:szCs w:val="24"/>
          <w:highlight w:val="none"/>
          <w:lang w:eastAsia="zh-CN"/>
        </w:rPr>
        <w:t>。</w:t>
      </w:r>
    </w:p>
    <w:bookmarkEnd w:id="182"/>
    <w:p>
      <w:pPr>
        <w:pStyle w:val="5"/>
        <w:pageBreakBefore w:val="0"/>
        <w:numPr>
          <w:ilvl w:val="2"/>
          <w:numId w:val="0"/>
        </w:numPr>
        <w:wordWrap/>
        <w:bidi w:val="0"/>
        <w:ind w:left="0" w:leftChars="0" w:right="0" w:rightChars="0"/>
        <w:outlineLvl w:val="1"/>
        <w:rPr>
          <w:rFonts w:hint="default" w:ascii="Times New Roman" w:hAnsi="Times New Roman" w:eastAsia="宋体" w:cs="Times New Roman"/>
          <w:b/>
          <w:bCs/>
          <w:color w:val="auto"/>
          <w:highlight w:val="none"/>
        </w:rPr>
      </w:pPr>
      <w:bookmarkStart w:id="183" w:name="_Toc12852"/>
      <w:bookmarkStart w:id="184" w:name="_Toc32733"/>
      <w:bookmarkStart w:id="185" w:name="_Toc21388"/>
      <w:bookmarkStart w:id="186" w:name="_Toc288306158"/>
      <w:r>
        <w:rPr>
          <w:rFonts w:hint="default" w:ascii="Times New Roman" w:hAnsi="Times New Roman" w:eastAsia="宋体" w:cs="Times New Roman"/>
          <w:b/>
          <w:bCs/>
          <w:i w:val="0"/>
          <w:iCs w:val="0"/>
          <w:caps w:val="0"/>
          <w:smallCaps w:val="0"/>
          <w:strike w:val="0"/>
          <w:dstrike w:val="0"/>
          <w:vanish w:val="0"/>
          <w:color w:val="auto"/>
          <w:spacing w:val="0"/>
          <w:kern w:val="2"/>
          <w:position w:val="0"/>
          <w:sz w:val="24"/>
          <w:szCs w:val="24"/>
          <w:highlight w:val="none"/>
          <w:u w:val="none"/>
          <w:vertAlign w:val="baseline"/>
          <w:lang w:val="en-US" w:eastAsia="zh-CN" w:bidi="ar-SA"/>
          <w14:shadow w14:blurRad="0" w14:dist="0" w14:dir="0" w14:sx="0" w14:sy="0" w14:kx="0" w14:ky="0" w14:algn="none">
            <w14:srgbClr w14:val="000000"/>
          </w14:shadow>
        </w:rPr>
        <w:t>1.4.3</w:t>
      </w:r>
      <w:r>
        <w:rPr>
          <w:rFonts w:hint="default" w:ascii="Times New Roman" w:hAnsi="Times New Roman" w:eastAsia="宋体" w:cs="Times New Roman"/>
          <w:b/>
          <w:bCs/>
          <w:color w:val="auto"/>
          <w:highlight w:val="none"/>
        </w:rPr>
        <w:t>噪声评价等级及评价范围</w:t>
      </w:r>
      <w:bookmarkEnd w:id="183"/>
      <w:bookmarkEnd w:id="184"/>
      <w:bookmarkEnd w:id="185"/>
      <w:bookmarkEnd w:id="186"/>
    </w:p>
    <w:p>
      <w:pPr>
        <w:pageBreakBefore w:val="0"/>
        <w:wordWrap/>
        <w:bidi w:val="0"/>
        <w:spacing w:line="360" w:lineRule="auto"/>
        <w:ind w:left="0" w:leftChars="0" w:right="0" w:rightChars="0" w:firstLine="480" w:firstLineChars="200"/>
        <w:outlineLvl w:val="0"/>
        <w:rPr>
          <w:rFonts w:hint="default" w:ascii="Times New Roman" w:hAnsi="Times New Roman" w:eastAsia="宋体" w:cs="Times New Roman"/>
          <w:color w:val="auto"/>
          <w:sz w:val="24"/>
          <w:highlight w:val="none"/>
          <w:lang w:eastAsia="zh-CN"/>
        </w:rPr>
      </w:pPr>
      <w:bookmarkStart w:id="187" w:name="_Toc1281"/>
      <w:bookmarkStart w:id="188" w:name="_Toc24225"/>
      <w:bookmarkStart w:id="189" w:name="_Toc246850534"/>
      <w:r>
        <w:rPr>
          <w:rFonts w:hint="default" w:ascii="Times New Roman" w:hAnsi="Times New Roman" w:eastAsia="宋体" w:cs="Times New Roman"/>
          <w:color w:val="auto"/>
          <w:sz w:val="24"/>
          <w:highlight w:val="none"/>
        </w:rPr>
        <w:t>（1</w:t>
      </w:r>
      <w:r>
        <w:rPr>
          <w:rFonts w:hint="default" w:ascii="Times New Roman" w:hAnsi="Times New Roman" w:eastAsia="宋体" w:cs="Times New Roman"/>
          <w:color w:val="auto"/>
          <w:sz w:val="24"/>
          <w:highlight w:val="none"/>
          <w:lang w:eastAsia="zh-CN"/>
        </w:rPr>
        <w:t>）评价等级</w:t>
      </w:r>
      <w:bookmarkEnd w:id="187"/>
      <w:bookmarkEnd w:id="188"/>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w:t>
      </w:r>
      <w:r>
        <w:rPr>
          <w:rFonts w:hint="default" w:ascii="Times New Roman" w:hAnsi="Times New Roman" w:eastAsia="宋体" w:cs="Times New Roman"/>
          <w:color w:val="auto"/>
          <w:sz w:val="24"/>
          <w:highlight w:val="none"/>
          <w:lang w:eastAsia="zh-CN"/>
        </w:rPr>
        <w:t>环境影响评价技术导则</w:t>
      </w:r>
      <w:r>
        <w:rPr>
          <w:rFonts w:hint="default" w:ascii="Times New Roman" w:hAnsi="Times New Roman" w:eastAsia="宋体" w:cs="Times New Roman"/>
          <w:color w:val="auto"/>
          <w:sz w:val="24"/>
          <w:highlight w:val="none"/>
        </w:rPr>
        <w:t>声环境》（HJ2.4-2021</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声环境影响评价工作等级划分的原则</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按噪声功能区划规定</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本项目厂址所在地位于《声环境质量标准》（GB3096-2008</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规定的2类标准适用区</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项目周围200m范围内无声环境敏感目标</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因此</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噪声评价工作等级确定为二级。</w:t>
      </w:r>
    </w:p>
    <w:p>
      <w:pPr>
        <w:pageBreakBefore w:val="0"/>
        <w:wordWrap/>
        <w:bidi w:val="0"/>
        <w:spacing w:line="360" w:lineRule="auto"/>
        <w:ind w:left="0" w:leftChars="0" w:right="0" w:rightChars="0" w:firstLine="480" w:firstLineChars="200"/>
        <w:outlineLvl w:val="0"/>
        <w:rPr>
          <w:rFonts w:hint="default" w:ascii="Times New Roman" w:hAnsi="Times New Roman" w:eastAsia="宋体" w:cs="Times New Roman"/>
          <w:color w:val="auto"/>
          <w:sz w:val="24"/>
          <w:highlight w:val="none"/>
        </w:rPr>
      </w:pPr>
      <w:bookmarkStart w:id="190" w:name="_Toc27150"/>
      <w:bookmarkStart w:id="191" w:name="_Toc1688"/>
      <w:r>
        <w:rPr>
          <w:rFonts w:hint="default" w:ascii="Times New Roman" w:hAnsi="Times New Roman" w:eastAsia="宋体" w:cs="Times New Roman"/>
          <w:color w:val="auto"/>
          <w:sz w:val="24"/>
          <w:highlight w:val="none"/>
        </w:rPr>
        <w:t>（2</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评价范围</w:t>
      </w:r>
      <w:bookmarkEnd w:id="190"/>
      <w:bookmarkEnd w:id="191"/>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声环境评价范围为项目边界外200m的范围。</w:t>
      </w:r>
    </w:p>
    <w:p>
      <w:pPr>
        <w:pStyle w:val="5"/>
        <w:pageBreakBefore w:val="0"/>
        <w:numPr>
          <w:ilvl w:val="2"/>
          <w:numId w:val="0"/>
        </w:numPr>
        <w:wordWrap/>
        <w:bidi w:val="0"/>
        <w:ind w:left="0" w:leftChars="0" w:right="0" w:rightChars="0"/>
        <w:outlineLvl w:val="1"/>
        <w:rPr>
          <w:rFonts w:hint="default" w:ascii="Times New Roman" w:hAnsi="Times New Roman" w:eastAsia="宋体" w:cs="Times New Roman"/>
          <w:b/>
          <w:bCs/>
          <w:color w:val="auto"/>
          <w:highlight w:val="none"/>
        </w:rPr>
      </w:pPr>
      <w:bookmarkStart w:id="192" w:name="_Toc12479"/>
      <w:bookmarkStart w:id="193" w:name="_Toc21534"/>
      <w:bookmarkStart w:id="194" w:name="_Toc29838"/>
      <w:r>
        <w:rPr>
          <w:rFonts w:hint="default" w:ascii="Times New Roman" w:hAnsi="Times New Roman" w:eastAsia="宋体" w:cs="Times New Roman"/>
          <w:b/>
          <w:bCs/>
          <w:i w:val="0"/>
          <w:iCs w:val="0"/>
          <w:caps w:val="0"/>
          <w:smallCaps w:val="0"/>
          <w:strike w:val="0"/>
          <w:dstrike w:val="0"/>
          <w:vanish w:val="0"/>
          <w:color w:val="auto"/>
          <w:spacing w:val="0"/>
          <w:kern w:val="2"/>
          <w:position w:val="0"/>
          <w:sz w:val="24"/>
          <w:szCs w:val="24"/>
          <w:highlight w:val="none"/>
          <w:u w:val="none"/>
          <w:vertAlign w:val="baseline"/>
          <w:lang w:val="en-US" w:eastAsia="zh-CN" w:bidi="ar-SA"/>
          <w14:shadow w14:blurRad="0" w14:dist="0" w14:dir="0" w14:sx="0" w14:sy="0" w14:kx="0" w14:ky="0" w14:algn="none">
            <w14:srgbClr w14:val="000000"/>
          </w14:shadow>
        </w:rPr>
        <w:t>1.4.4</w:t>
      </w:r>
      <w:r>
        <w:rPr>
          <w:rFonts w:hint="default" w:ascii="Times New Roman" w:hAnsi="Times New Roman" w:eastAsia="宋体" w:cs="Times New Roman"/>
          <w:b/>
          <w:bCs/>
          <w:color w:val="auto"/>
          <w:highlight w:val="none"/>
        </w:rPr>
        <w:t>地下水评价等级及评价范围</w:t>
      </w:r>
      <w:bookmarkEnd w:id="192"/>
      <w:bookmarkEnd w:id="193"/>
      <w:bookmarkEnd w:id="194"/>
    </w:p>
    <w:p>
      <w:pPr>
        <w:pageBreakBefore w:val="0"/>
        <w:wordWrap/>
        <w:bidi w:val="0"/>
        <w:spacing w:line="360" w:lineRule="auto"/>
        <w:ind w:left="0" w:leftChars="0" w:right="0" w:rightChars="0" w:firstLine="480" w:firstLineChars="200"/>
        <w:outlineLvl w:val="0"/>
        <w:rPr>
          <w:rFonts w:hint="default" w:ascii="Times New Roman" w:hAnsi="Times New Roman" w:eastAsia="宋体" w:cs="Times New Roman"/>
          <w:color w:val="auto"/>
          <w:sz w:val="24"/>
          <w:highlight w:val="none"/>
          <w:lang w:eastAsia="zh-CN"/>
        </w:rPr>
      </w:pPr>
      <w:bookmarkStart w:id="195" w:name="_Toc30748"/>
      <w:bookmarkStart w:id="196" w:name="_Toc8936"/>
      <w:r>
        <w:rPr>
          <w:rFonts w:hint="default" w:ascii="Times New Roman" w:hAnsi="Times New Roman" w:eastAsia="宋体" w:cs="Times New Roman"/>
          <w:color w:val="auto"/>
          <w:sz w:val="24"/>
          <w:highlight w:val="none"/>
        </w:rPr>
        <w:t>（1</w:t>
      </w:r>
      <w:r>
        <w:rPr>
          <w:rFonts w:hint="default" w:ascii="Times New Roman" w:hAnsi="Times New Roman" w:eastAsia="宋体" w:cs="Times New Roman"/>
          <w:color w:val="auto"/>
          <w:sz w:val="24"/>
          <w:highlight w:val="none"/>
          <w:lang w:eastAsia="zh-CN"/>
        </w:rPr>
        <w:t>）评价等级</w:t>
      </w:r>
      <w:bookmarkEnd w:id="195"/>
      <w:bookmarkEnd w:id="196"/>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w:t>
      </w:r>
      <w:r>
        <w:rPr>
          <w:rFonts w:hint="default" w:ascii="Times New Roman" w:hAnsi="Times New Roman" w:eastAsia="宋体" w:cs="Times New Roman"/>
          <w:color w:val="auto"/>
          <w:sz w:val="24"/>
          <w:highlight w:val="none"/>
          <w:lang w:eastAsia="zh-CN"/>
        </w:rPr>
        <w:t>环境影响评价技术导则</w:t>
      </w:r>
      <w:r>
        <w:rPr>
          <w:rFonts w:hint="default" w:ascii="Times New Roman" w:hAnsi="Times New Roman" w:eastAsia="宋体" w:cs="Times New Roman"/>
          <w:color w:val="auto"/>
          <w:sz w:val="24"/>
          <w:highlight w:val="none"/>
        </w:rPr>
        <w:t>地下水环境》（HJ610-2016</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地下水环境评价工作等级划分依据为建设项目所</w:t>
      </w:r>
      <w:r>
        <w:rPr>
          <w:rFonts w:hint="default" w:ascii="Times New Roman" w:hAnsi="Times New Roman" w:eastAsia="宋体" w:cs="Times New Roman"/>
          <w:color w:val="auto"/>
          <w:sz w:val="24"/>
          <w:highlight w:val="none"/>
          <w:lang w:eastAsia="zh-CN"/>
        </w:rPr>
        <w:t>属</w:t>
      </w:r>
      <w:r>
        <w:rPr>
          <w:rFonts w:hint="default" w:ascii="Times New Roman" w:hAnsi="Times New Roman" w:eastAsia="宋体" w:cs="Times New Roman"/>
          <w:color w:val="auto"/>
          <w:sz w:val="24"/>
          <w:highlight w:val="none"/>
        </w:rPr>
        <w:t>的地下水环境影响评价项目类别和建设项目的地下水环境敏感程度。</w:t>
      </w:r>
    </w:p>
    <w:p>
      <w:pPr>
        <w:pageBreakBefore w:val="0"/>
        <w:wordWrap/>
        <w:bidi w:val="0"/>
        <w:spacing w:line="360" w:lineRule="auto"/>
        <w:ind w:left="0" w:leftChars="0" w:right="0" w:rightChars="0" w:firstLine="480" w:firstLineChars="200"/>
        <w:outlineLvl w:val="1"/>
        <w:rPr>
          <w:rFonts w:hint="default" w:ascii="Times New Roman" w:hAnsi="Times New Roman" w:eastAsia="宋体" w:cs="Times New Roman"/>
          <w:color w:val="auto"/>
          <w:sz w:val="24"/>
          <w:highlight w:val="none"/>
        </w:rPr>
      </w:pPr>
      <w:bookmarkStart w:id="197" w:name="_Toc7199"/>
      <w:bookmarkStart w:id="198" w:name="_Toc29116"/>
      <w:r>
        <w:rPr>
          <w:rFonts w:hint="default" w:ascii="Times New Roman" w:hAnsi="Times New Roman" w:eastAsia="宋体" w:cs="Times New Roman"/>
          <w:color w:val="auto"/>
          <w:sz w:val="24"/>
          <w:highlight w:val="none"/>
        </w:rPr>
        <w:t>1</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建设项目所</w:t>
      </w:r>
      <w:r>
        <w:rPr>
          <w:rFonts w:hint="default" w:ascii="Times New Roman" w:hAnsi="Times New Roman" w:eastAsia="宋体" w:cs="Times New Roman"/>
          <w:color w:val="auto"/>
          <w:sz w:val="24"/>
          <w:highlight w:val="none"/>
          <w:lang w:eastAsia="zh-CN"/>
        </w:rPr>
        <w:t>属地</w:t>
      </w:r>
      <w:r>
        <w:rPr>
          <w:rFonts w:hint="default" w:ascii="Times New Roman" w:hAnsi="Times New Roman" w:eastAsia="宋体" w:cs="Times New Roman"/>
          <w:color w:val="auto"/>
          <w:sz w:val="24"/>
          <w:highlight w:val="none"/>
        </w:rPr>
        <w:t>地下水环境影响评价项目类别</w:t>
      </w:r>
      <w:bookmarkEnd w:id="197"/>
      <w:bookmarkEnd w:id="198"/>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w:t>
      </w:r>
      <w:r>
        <w:rPr>
          <w:rFonts w:hint="default" w:ascii="Times New Roman" w:hAnsi="Times New Roman" w:eastAsia="宋体" w:cs="Times New Roman"/>
          <w:color w:val="auto"/>
          <w:sz w:val="24"/>
          <w:highlight w:val="none"/>
          <w:lang w:eastAsia="zh-CN"/>
        </w:rPr>
        <w:t>环境影响评价技术导则</w:t>
      </w:r>
      <w:r>
        <w:rPr>
          <w:rFonts w:hint="default" w:ascii="Times New Roman" w:hAnsi="Times New Roman" w:eastAsia="宋体" w:cs="Times New Roman"/>
          <w:color w:val="auto"/>
          <w:sz w:val="24"/>
          <w:highlight w:val="none"/>
        </w:rPr>
        <w:t>地下水环境》（HJ610-2016</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附录A</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本项目</w:t>
      </w:r>
      <w:r>
        <w:rPr>
          <w:rFonts w:hint="default" w:ascii="Times New Roman" w:hAnsi="Times New Roman" w:eastAsia="宋体" w:cs="Times New Roman"/>
          <w:color w:val="auto"/>
          <w:sz w:val="24"/>
          <w:highlight w:val="none"/>
          <w:lang w:eastAsia="zh-CN"/>
        </w:rPr>
        <w:t>属</w:t>
      </w:r>
      <w:r>
        <w:rPr>
          <w:rFonts w:hint="default" w:ascii="Times New Roman" w:hAnsi="Times New Roman" w:eastAsia="宋体" w:cs="Times New Roman"/>
          <w:color w:val="auto"/>
          <w:sz w:val="24"/>
          <w:highlight w:val="none"/>
        </w:rPr>
        <w:t>于G黑色金</w:t>
      </w:r>
      <w:r>
        <w:rPr>
          <w:rFonts w:hint="default" w:ascii="Times New Roman" w:hAnsi="Times New Roman" w:eastAsia="宋体" w:cs="Times New Roman"/>
          <w:color w:val="auto"/>
          <w:sz w:val="24"/>
          <w:highlight w:val="none"/>
          <w:lang w:eastAsia="zh-CN"/>
        </w:rPr>
        <w:t>属</w:t>
      </w:r>
      <w:r>
        <w:rPr>
          <w:rFonts w:hint="default" w:ascii="Times New Roman" w:hAnsi="Times New Roman" w:eastAsia="宋体" w:cs="Times New Roman"/>
          <w:color w:val="auto"/>
          <w:sz w:val="24"/>
          <w:highlight w:val="none"/>
        </w:rPr>
        <w:t>第42项采选（含单独尾矿库</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类</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尾矿库为I类项目。</w:t>
      </w:r>
    </w:p>
    <w:p>
      <w:pPr>
        <w:pageBreakBefore w:val="0"/>
        <w:wordWrap/>
        <w:bidi w:val="0"/>
        <w:spacing w:line="360" w:lineRule="auto"/>
        <w:ind w:left="0" w:leftChars="0" w:right="0" w:rightChars="0" w:firstLine="480" w:firstLineChars="200"/>
        <w:outlineLvl w:val="1"/>
        <w:rPr>
          <w:rFonts w:hint="default" w:ascii="Times New Roman" w:hAnsi="Times New Roman" w:eastAsia="宋体" w:cs="Times New Roman"/>
          <w:color w:val="auto"/>
          <w:sz w:val="24"/>
          <w:highlight w:val="none"/>
        </w:rPr>
      </w:pPr>
      <w:bookmarkStart w:id="199" w:name="_Toc7957"/>
      <w:bookmarkStart w:id="200" w:name="_Toc27978"/>
      <w:r>
        <w:rPr>
          <w:rFonts w:hint="default" w:ascii="Times New Roman" w:hAnsi="Times New Roman" w:eastAsia="宋体" w:cs="Times New Roman"/>
          <w:color w:val="auto"/>
          <w:sz w:val="24"/>
          <w:highlight w:val="none"/>
        </w:rPr>
        <w:t>2</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建设项目场地</w:t>
      </w:r>
      <w:r>
        <w:rPr>
          <w:rFonts w:hint="default" w:ascii="Times New Roman" w:hAnsi="Times New Roman" w:eastAsia="宋体" w:cs="Times New Roman"/>
          <w:color w:val="auto"/>
          <w:sz w:val="24"/>
          <w:highlight w:val="none"/>
          <w:lang w:eastAsia="zh-CN"/>
        </w:rPr>
        <w:t>的</w:t>
      </w:r>
      <w:r>
        <w:rPr>
          <w:rFonts w:hint="default" w:ascii="Times New Roman" w:hAnsi="Times New Roman" w:eastAsia="宋体" w:cs="Times New Roman"/>
          <w:color w:val="auto"/>
          <w:sz w:val="24"/>
          <w:highlight w:val="none"/>
        </w:rPr>
        <w:t>地下水环境敏感程度</w:t>
      </w:r>
      <w:bookmarkEnd w:id="199"/>
      <w:bookmarkEnd w:id="200"/>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建设项目不在集中式生活饮用水水源地</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也不在生活水源地准保护区外的补给径流区；建设项目场地不在集中式生活饮用水水源地</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也不在生活水源地准保护区外的补给径流区；评价范围内无分散式饮用水水源地</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项目区地下水井用于</w:t>
      </w:r>
      <w:r>
        <w:rPr>
          <w:rFonts w:hint="default" w:ascii="Times New Roman" w:hAnsi="Times New Roman" w:eastAsia="宋体" w:cs="Times New Roman"/>
          <w:color w:val="auto"/>
          <w:sz w:val="24"/>
          <w:highlight w:val="none"/>
          <w:lang w:eastAsia="zh-CN"/>
        </w:rPr>
        <w:t>牧户养殖用水，</w:t>
      </w:r>
      <w:r>
        <w:rPr>
          <w:rFonts w:hint="default" w:ascii="Times New Roman" w:hAnsi="Times New Roman" w:eastAsia="宋体" w:cs="Times New Roman"/>
          <w:color w:val="auto"/>
          <w:sz w:val="24"/>
          <w:highlight w:val="none"/>
        </w:rPr>
        <w:t>不作为</w:t>
      </w:r>
      <w:r>
        <w:rPr>
          <w:rFonts w:hint="default" w:ascii="Times New Roman" w:hAnsi="Times New Roman" w:eastAsia="宋体" w:cs="Times New Roman"/>
          <w:color w:val="auto"/>
          <w:sz w:val="24"/>
          <w:highlight w:val="none"/>
          <w:lang w:eastAsia="zh-CN"/>
        </w:rPr>
        <w:t>生活饮用水源</w:t>
      </w:r>
      <w:r>
        <w:rPr>
          <w:rFonts w:hint="default" w:ascii="Times New Roman" w:hAnsi="Times New Roman" w:eastAsia="宋体" w:cs="Times New Roman"/>
          <w:color w:val="auto"/>
          <w:sz w:val="24"/>
          <w:highlight w:val="none"/>
        </w:rPr>
        <w:t>；故地下水环境敏感程度为不敏感。</w:t>
      </w:r>
    </w:p>
    <w:p>
      <w:pPr>
        <w:pageBreakBefore w:val="0"/>
        <w:tabs>
          <w:tab w:val="left" w:pos="3062"/>
        </w:tabs>
        <w:wordWrap/>
        <w:bidi w:val="0"/>
        <w:spacing w:line="360" w:lineRule="auto"/>
        <w:ind w:left="0" w:leftChars="0" w:right="0" w:rightChars="0"/>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表1-</w:t>
      </w:r>
      <w:r>
        <w:rPr>
          <w:rFonts w:hint="default" w:ascii="Times New Roman" w:hAnsi="Times New Roman" w:eastAsia="宋体" w:cs="Times New Roman"/>
          <w:b/>
          <w:bCs/>
          <w:color w:val="auto"/>
          <w:sz w:val="24"/>
          <w:highlight w:val="none"/>
          <w:lang w:val="en-US" w:eastAsia="zh-CN"/>
        </w:rPr>
        <w:t>9</w:t>
      </w:r>
      <w:r>
        <w:rPr>
          <w:rFonts w:hint="default" w:ascii="Times New Roman" w:hAnsi="Times New Roman" w:eastAsia="宋体" w:cs="Times New Roman"/>
          <w:b/>
          <w:bCs/>
          <w:color w:val="auto"/>
          <w:sz w:val="24"/>
          <w:highlight w:val="none"/>
        </w:rPr>
        <w:t>地下水环境敏感程度分级</w:t>
      </w:r>
    </w:p>
    <w:tbl>
      <w:tblPr>
        <w:tblStyle w:val="54"/>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993"/>
        <w:gridCol w:w="7323"/>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597" w:type="pct"/>
            <w:tcBorders>
              <w:top w:val="single" w:color="auto" w:sz="4" w:space="0"/>
              <w:lef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分级</w:t>
            </w:r>
          </w:p>
        </w:tc>
        <w:tc>
          <w:tcPr>
            <w:tcW w:w="4403" w:type="pct"/>
            <w:tcBorders>
              <w:top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项目场地</w:t>
            </w:r>
            <w:r>
              <w:rPr>
                <w:rFonts w:hint="default" w:ascii="Times New Roman" w:hAnsi="Times New Roman" w:eastAsia="宋体" w:cs="Times New Roman"/>
                <w:b/>
                <w:color w:val="auto"/>
                <w:szCs w:val="21"/>
                <w:highlight w:val="none"/>
                <w:lang w:eastAsia="zh-CN"/>
              </w:rPr>
              <w:t>的</w:t>
            </w:r>
            <w:r>
              <w:rPr>
                <w:rFonts w:hint="default" w:ascii="Times New Roman" w:hAnsi="Times New Roman" w:eastAsia="宋体" w:cs="Times New Roman"/>
                <w:b/>
                <w:color w:val="auto"/>
                <w:szCs w:val="21"/>
                <w:highlight w:val="none"/>
              </w:rPr>
              <w:t>地下水环境敏感特征</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597" w:type="pct"/>
            <w:tcBorders>
              <w:lef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敏感</w:t>
            </w:r>
          </w:p>
        </w:tc>
        <w:tc>
          <w:tcPr>
            <w:tcW w:w="4403" w:type="pct"/>
            <w:tcBorders>
              <w:right w:val="single" w:color="auto" w:sz="4" w:space="0"/>
            </w:tcBorders>
            <w:vAlign w:val="center"/>
          </w:tcPr>
          <w:p>
            <w:pPr>
              <w:pageBreakBefore w:val="0"/>
              <w:wordWrap/>
              <w:bidi w:val="0"/>
              <w:adjustRightInd w:val="0"/>
              <w:snapToGrid w:val="0"/>
              <w:ind w:left="0" w:leftChars="0" w:right="0" w:rightChars="0"/>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集中式饮用水水源地（包括已建成的在用、备用、应急水源地</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在建和规划的水源地</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准保护区；除集中式饮用水水源地以外的国家或地方政府设定的与地下水环境</w:t>
            </w:r>
            <w:r>
              <w:rPr>
                <w:rFonts w:hint="default" w:ascii="Times New Roman" w:hAnsi="Times New Roman" w:eastAsia="宋体" w:cs="Times New Roman"/>
                <w:color w:val="auto"/>
                <w:szCs w:val="21"/>
                <w:highlight w:val="none"/>
                <w:lang w:eastAsia="zh-CN"/>
              </w:rPr>
              <w:t>相关的其他</w:t>
            </w:r>
            <w:r>
              <w:rPr>
                <w:rFonts w:hint="default" w:ascii="Times New Roman" w:hAnsi="Times New Roman" w:eastAsia="宋体" w:cs="Times New Roman"/>
                <w:color w:val="auto"/>
                <w:szCs w:val="21"/>
                <w:highlight w:val="none"/>
              </w:rPr>
              <w:t>保护区</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如热水、矿泉水、温泉等特征地下水资源保护区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597" w:type="pct"/>
            <w:tcBorders>
              <w:left w:val="single" w:color="auto" w:sz="4" w:space="0"/>
              <w:bottom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较敏感</w:t>
            </w:r>
          </w:p>
        </w:tc>
        <w:tc>
          <w:tcPr>
            <w:tcW w:w="4403" w:type="pct"/>
            <w:tcBorders>
              <w:bottom w:val="single" w:color="auto" w:sz="4" w:space="0"/>
              <w:right w:val="single" w:color="auto" w:sz="4" w:space="0"/>
            </w:tcBorders>
            <w:vAlign w:val="center"/>
          </w:tcPr>
          <w:p>
            <w:pPr>
              <w:pageBreakBefore w:val="0"/>
              <w:wordWrap/>
              <w:bidi w:val="0"/>
              <w:adjustRightInd w:val="0"/>
              <w:snapToGrid w:val="0"/>
              <w:ind w:left="0" w:leftChars="0" w:right="0" w:rightChars="0"/>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集中式饮用水水源地（包括已建成的在用、备用、应急水源地</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在建和规划的水源地</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准保护区以外的补给径流区；未划定准保护区的</w:t>
            </w:r>
            <w:r>
              <w:rPr>
                <w:rFonts w:hint="default" w:ascii="Times New Roman" w:hAnsi="Times New Roman" w:eastAsia="宋体" w:cs="Times New Roman"/>
                <w:color w:val="auto"/>
                <w:szCs w:val="21"/>
                <w:highlight w:val="none"/>
                <w:lang w:eastAsia="zh-CN"/>
              </w:rPr>
              <w:t>集中</w:t>
            </w:r>
            <w:r>
              <w:rPr>
                <w:rFonts w:hint="default" w:ascii="Times New Roman" w:hAnsi="Times New Roman" w:eastAsia="宋体" w:cs="Times New Roman"/>
                <w:color w:val="auto"/>
                <w:szCs w:val="21"/>
                <w:highlight w:val="none"/>
              </w:rPr>
              <w:t>式饮用水水</w:t>
            </w:r>
            <w:r>
              <w:rPr>
                <w:rFonts w:hint="default" w:ascii="Times New Roman" w:hAnsi="Times New Roman" w:eastAsia="宋体" w:cs="Times New Roman"/>
                <w:color w:val="auto"/>
                <w:szCs w:val="21"/>
                <w:highlight w:val="none"/>
                <w:lang w:eastAsia="zh-CN"/>
              </w:rPr>
              <w:t>源地，</w:t>
            </w:r>
            <w:r>
              <w:rPr>
                <w:rFonts w:hint="default" w:ascii="Times New Roman" w:hAnsi="Times New Roman" w:eastAsia="宋体" w:cs="Times New Roman"/>
                <w:color w:val="auto"/>
                <w:szCs w:val="21"/>
                <w:highlight w:val="none"/>
              </w:rPr>
              <w:t>其保护区以外的补给径流区；分散式饮用水水源地；特殊地下水资源（如矿泉水、温泉等</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保护区以外的补给径流区；特殊地下水资源（如矿泉水、温泉等</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保护区以外的分布区等</w:t>
            </w:r>
            <w:r>
              <w:rPr>
                <w:rFonts w:hint="default" w:ascii="Times New Roman" w:hAnsi="Times New Roman" w:eastAsia="宋体" w:cs="Times New Roman"/>
                <w:color w:val="auto"/>
                <w:szCs w:val="21"/>
                <w:highlight w:val="none"/>
                <w:lang w:eastAsia="zh-CN"/>
              </w:rPr>
              <w:t>其他未</w:t>
            </w:r>
            <w:r>
              <w:rPr>
                <w:rFonts w:hint="default" w:ascii="Times New Roman" w:hAnsi="Times New Roman" w:eastAsia="宋体" w:cs="Times New Roman"/>
                <w:color w:val="auto"/>
                <w:szCs w:val="21"/>
                <w:highlight w:val="none"/>
              </w:rPr>
              <w:t>列入上述敏感分级的环境敏感区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597" w:type="pct"/>
            <w:tcBorders>
              <w:left w:val="single" w:color="auto" w:sz="4" w:space="0"/>
              <w:bottom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不敏感</w:t>
            </w:r>
          </w:p>
        </w:tc>
        <w:tc>
          <w:tcPr>
            <w:tcW w:w="4403" w:type="pct"/>
            <w:tcBorders>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上述地区之外的其它地区</w:t>
            </w:r>
          </w:p>
        </w:tc>
      </w:tr>
    </w:tbl>
    <w:p>
      <w:pPr>
        <w:pageBreakBefore w:val="0"/>
        <w:wordWrap/>
        <w:bidi w:val="0"/>
        <w:spacing w:line="360" w:lineRule="auto"/>
        <w:ind w:left="0" w:leftChars="0" w:right="0" w:rightChars="0" w:firstLine="480" w:firstLineChars="200"/>
        <w:outlineLvl w:val="1"/>
        <w:rPr>
          <w:rFonts w:hint="default" w:ascii="Times New Roman" w:hAnsi="Times New Roman" w:eastAsia="宋体" w:cs="Times New Roman"/>
          <w:color w:val="auto"/>
          <w:sz w:val="24"/>
          <w:highlight w:val="none"/>
        </w:rPr>
      </w:pPr>
      <w:bookmarkStart w:id="201" w:name="_Toc8558"/>
      <w:bookmarkStart w:id="202" w:name="_Toc11364"/>
      <w:r>
        <w:rPr>
          <w:rFonts w:hint="default" w:ascii="Times New Roman" w:hAnsi="Times New Roman" w:eastAsia="宋体" w:cs="Times New Roman"/>
          <w:color w:val="auto"/>
          <w:sz w:val="24"/>
          <w:highlight w:val="none"/>
        </w:rPr>
        <w:t>3</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地下水环境影响评价等价判定</w:t>
      </w:r>
      <w:bookmarkEnd w:id="201"/>
      <w:bookmarkEnd w:id="202"/>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建设项目地下水环境影响评价工作等级按表1-</w:t>
      </w:r>
      <w:r>
        <w:rPr>
          <w:rFonts w:hint="default" w:ascii="Times New Roman" w:hAnsi="Times New Roman" w:eastAsia="宋体" w:cs="Times New Roman"/>
          <w:color w:val="auto"/>
          <w:sz w:val="24"/>
          <w:highlight w:val="none"/>
          <w:lang w:val="en-US" w:eastAsia="zh-CN"/>
        </w:rPr>
        <w:t>10</w:t>
      </w:r>
      <w:r>
        <w:rPr>
          <w:rFonts w:hint="default" w:ascii="Times New Roman" w:hAnsi="Times New Roman" w:eastAsia="宋体" w:cs="Times New Roman"/>
          <w:color w:val="auto"/>
          <w:sz w:val="24"/>
          <w:highlight w:val="none"/>
        </w:rPr>
        <w:t>进行划分。</w:t>
      </w:r>
    </w:p>
    <w:p>
      <w:pPr>
        <w:pageBreakBefore w:val="0"/>
        <w:tabs>
          <w:tab w:val="left" w:pos="3062"/>
        </w:tabs>
        <w:wordWrap/>
        <w:bidi w:val="0"/>
        <w:spacing w:line="360" w:lineRule="auto"/>
        <w:ind w:left="0" w:leftChars="0" w:right="0" w:rightChars="0"/>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表1-</w:t>
      </w:r>
      <w:r>
        <w:rPr>
          <w:rFonts w:hint="default" w:ascii="Times New Roman" w:hAnsi="Times New Roman" w:eastAsia="宋体" w:cs="Times New Roman"/>
          <w:b/>
          <w:bCs/>
          <w:color w:val="auto"/>
          <w:sz w:val="24"/>
          <w:highlight w:val="none"/>
          <w:lang w:val="en-US" w:eastAsia="zh-CN"/>
        </w:rPr>
        <w:t>10</w:t>
      </w:r>
      <w:r>
        <w:rPr>
          <w:rFonts w:hint="default" w:ascii="Times New Roman" w:hAnsi="Times New Roman" w:eastAsia="宋体" w:cs="Times New Roman"/>
          <w:b/>
          <w:bCs/>
          <w:color w:val="auto"/>
          <w:sz w:val="24"/>
          <w:highlight w:val="none"/>
        </w:rPr>
        <w:t>建设项目地下水环境影响评价工作等级分级表</w:t>
      </w:r>
    </w:p>
    <w:tbl>
      <w:tblPr>
        <w:tblStyle w:val="5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75"/>
        <w:gridCol w:w="1986"/>
        <w:gridCol w:w="2030"/>
        <w:gridCol w:w="21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94" w:type="pct"/>
            <w:tcBorders>
              <w:top w:val="single" w:color="auto" w:sz="4" w:space="0"/>
              <w:left w:val="single" w:color="auto" w:sz="4" w:space="0"/>
              <w:tl2br w:val="single" w:color="auto" w:sz="4" w:space="0"/>
            </w:tcBorders>
            <w:vAlign w:val="center"/>
          </w:tcPr>
          <w:p>
            <w:pPr>
              <w:pageBreakBefore w:val="0"/>
              <w:wordWrap/>
              <w:bidi w:val="0"/>
              <w:adjustRightInd w:val="0"/>
              <w:snapToGrid w:val="0"/>
              <w:ind w:left="0" w:leftChars="0" w:right="0" w:rightChars="0"/>
              <w:jc w:val="right"/>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项目类别</w:t>
            </w:r>
          </w:p>
          <w:p>
            <w:pPr>
              <w:pageBreakBefore w:val="0"/>
              <w:wordWrap/>
              <w:bidi w:val="0"/>
              <w:adjustRightInd w:val="0"/>
              <w:snapToGrid w:val="0"/>
              <w:ind w:left="0" w:leftChars="0" w:right="0" w:rightChars="0"/>
              <w:jc w:val="left"/>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环境敏感程度</w:t>
            </w:r>
          </w:p>
        </w:tc>
        <w:tc>
          <w:tcPr>
            <w:tcW w:w="1165" w:type="pct"/>
            <w:tcBorders>
              <w:top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I类项目</w:t>
            </w:r>
          </w:p>
        </w:tc>
        <w:tc>
          <w:tcPr>
            <w:tcW w:w="1191" w:type="pct"/>
            <w:tcBorders>
              <w:top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lang w:eastAsia="zh-CN"/>
              </w:rPr>
              <w:t>Ⅱ类</w:t>
            </w:r>
            <w:r>
              <w:rPr>
                <w:rFonts w:hint="default" w:ascii="Times New Roman" w:hAnsi="Times New Roman" w:eastAsia="宋体" w:cs="Times New Roman"/>
                <w:color w:val="auto"/>
                <w:kern w:val="0"/>
                <w:szCs w:val="21"/>
                <w:highlight w:val="none"/>
              </w:rPr>
              <w:t>项目</w:t>
            </w:r>
          </w:p>
        </w:tc>
        <w:tc>
          <w:tcPr>
            <w:tcW w:w="1250" w:type="pct"/>
            <w:tcBorders>
              <w:top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lang w:eastAsia="zh-CN"/>
              </w:rPr>
              <w:t>Ⅲ</w:t>
            </w:r>
            <w:r>
              <w:rPr>
                <w:rFonts w:hint="default" w:ascii="Times New Roman" w:hAnsi="Times New Roman" w:eastAsia="宋体" w:cs="Times New Roman"/>
                <w:color w:val="auto"/>
                <w:kern w:val="0"/>
                <w:szCs w:val="21"/>
                <w:highlight w:val="none"/>
              </w:rPr>
              <w:t>类项目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94" w:type="pct"/>
            <w:tcBorders>
              <w:lef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敏感</w:t>
            </w:r>
          </w:p>
        </w:tc>
        <w:tc>
          <w:tcPr>
            <w:tcW w:w="1165" w:type="pct"/>
            <w:tcBorders>
              <w:bottom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一</w:t>
            </w:r>
          </w:p>
        </w:tc>
        <w:tc>
          <w:tcPr>
            <w:tcW w:w="1191" w:type="pct"/>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一</w:t>
            </w:r>
          </w:p>
        </w:tc>
        <w:tc>
          <w:tcPr>
            <w:tcW w:w="1250" w:type="pct"/>
            <w:tcBorders>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1394" w:type="pct"/>
            <w:tcBorders>
              <w:left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较敏感</w:t>
            </w:r>
          </w:p>
        </w:tc>
        <w:tc>
          <w:tcPr>
            <w:tcW w:w="1165"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b/>
                <w:color w:val="auto"/>
                <w:kern w:val="0"/>
                <w:szCs w:val="21"/>
                <w:highlight w:val="none"/>
              </w:rPr>
            </w:pPr>
            <w:r>
              <w:rPr>
                <w:rFonts w:hint="default" w:ascii="Times New Roman" w:hAnsi="Times New Roman" w:eastAsia="宋体" w:cs="Times New Roman"/>
                <w:b/>
                <w:color w:val="auto"/>
                <w:kern w:val="0"/>
                <w:szCs w:val="21"/>
                <w:highlight w:val="none"/>
              </w:rPr>
              <w:t>一</w:t>
            </w:r>
          </w:p>
        </w:tc>
        <w:tc>
          <w:tcPr>
            <w:tcW w:w="1191" w:type="pct"/>
            <w:tcBorders>
              <w:lef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二</w:t>
            </w:r>
          </w:p>
        </w:tc>
        <w:tc>
          <w:tcPr>
            <w:tcW w:w="1250" w:type="pct"/>
            <w:tcBorders>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94" w:type="pct"/>
            <w:tcBorders>
              <w:left w:val="single" w:color="auto" w:sz="4" w:space="0"/>
              <w:bottom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不敏感</w:t>
            </w:r>
          </w:p>
        </w:tc>
        <w:tc>
          <w:tcPr>
            <w:tcW w:w="1165" w:type="pct"/>
            <w:tcBorders>
              <w:top w:val="single" w:color="auto" w:sz="4" w:space="0"/>
              <w:bottom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b/>
                <w:bCs/>
                <w:color w:val="auto"/>
                <w:kern w:val="0"/>
                <w:szCs w:val="21"/>
                <w:highlight w:val="none"/>
              </w:rPr>
              <w:t>二</w:t>
            </w:r>
          </w:p>
        </w:tc>
        <w:tc>
          <w:tcPr>
            <w:tcW w:w="1191" w:type="pct"/>
            <w:tcBorders>
              <w:bottom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三</w:t>
            </w:r>
          </w:p>
        </w:tc>
        <w:tc>
          <w:tcPr>
            <w:tcW w:w="1250" w:type="pct"/>
            <w:tcBorders>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三</w:t>
            </w:r>
          </w:p>
        </w:tc>
      </w:tr>
    </w:tbl>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综上所述</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根据《</w:t>
      </w:r>
      <w:r>
        <w:rPr>
          <w:rFonts w:hint="default" w:ascii="Times New Roman" w:hAnsi="Times New Roman" w:eastAsia="宋体" w:cs="Times New Roman"/>
          <w:color w:val="auto"/>
          <w:sz w:val="24"/>
          <w:highlight w:val="none"/>
          <w:lang w:eastAsia="zh-CN"/>
        </w:rPr>
        <w:t>环境影响评价技术导则</w:t>
      </w:r>
      <w:r>
        <w:rPr>
          <w:rFonts w:hint="default" w:ascii="Times New Roman" w:hAnsi="Times New Roman" w:eastAsia="宋体" w:cs="Times New Roman"/>
          <w:color w:val="auto"/>
          <w:sz w:val="24"/>
          <w:highlight w:val="none"/>
        </w:rPr>
        <w:t>地下水环境》（HJ610-2016</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6.2.2条</w:t>
      </w:r>
      <w:r>
        <w:rPr>
          <w:rFonts w:hint="default" w:ascii="Times New Roman" w:hAnsi="Times New Roman" w:eastAsia="宋体" w:cs="Times New Roman"/>
          <w:color w:val="auto"/>
          <w:sz w:val="24"/>
          <w:highlight w:val="none"/>
          <w:lang w:eastAsia="zh-CN"/>
        </w:rPr>
        <w:t>，本</w:t>
      </w:r>
      <w:r>
        <w:rPr>
          <w:rFonts w:hint="default" w:ascii="Times New Roman" w:hAnsi="Times New Roman" w:eastAsia="宋体" w:cs="Times New Roman"/>
          <w:color w:val="auto"/>
          <w:sz w:val="24"/>
          <w:highlight w:val="none"/>
        </w:rPr>
        <w:t>项目地下水环境影响评价工作等级判定为二级。</w:t>
      </w:r>
    </w:p>
    <w:p>
      <w:pPr>
        <w:pageBreakBefore w:val="0"/>
        <w:wordWrap/>
        <w:bidi w:val="0"/>
        <w:spacing w:line="360" w:lineRule="auto"/>
        <w:ind w:left="0" w:leftChars="0" w:right="0" w:rightChars="0" w:firstLine="480" w:firstLineChars="200"/>
        <w:outlineLvl w:val="0"/>
        <w:rPr>
          <w:rFonts w:hint="default" w:ascii="Times New Roman" w:hAnsi="Times New Roman" w:eastAsia="宋体" w:cs="Times New Roman"/>
          <w:color w:val="auto"/>
          <w:sz w:val="24"/>
          <w:highlight w:val="none"/>
        </w:rPr>
      </w:pPr>
      <w:bookmarkStart w:id="203" w:name="_Toc13254"/>
      <w:bookmarkStart w:id="204" w:name="_Toc22608"/>
      <w:r>
        <w:rPr>
          <w:rFonts w:hint="default" w:ascii="Times New Roman" w:hAnsi="Times New Roman" w:eastAsia="宋体" w:cs="Times New Roman"/>
          <w:color w:val="auto"/>
          <w:sz w:val="24"/>
          <w:highlight w:val="none"/>
        </w:rPr>
        <w:t>（2</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评价范围</w:t>
      </w:r>
      <w:bookmarkEnd w:id="203"/>
      <w:bookmarkEnd w:id="204"/>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rPr>
        <w:t>根据地下水动力学原理</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西沙德盖钼业公司尾矿库位于地势较高处</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污染物进入含水层后向地势较低的冲沟处运移。西沙德盖钼业公司尾矿库</w:t>
      </w:r>
      <w:r>
        <w:rPr>
          <w:rFonts w:hint="default" w:ascii="Times New Roman" w:hAnsi="Times New Roman" w:eastAsia="宋体" w:cs="Times New Roman"/>
          <w:color w:val="auto"/>
          <w:sz w:val="24"/>
          <w:highlight w:val="none"/>
          <w:lang w:eastAsia="zh-CN"/>
        </w:rPr>
        <w:t>属</w:t>
      </w:r>
      <w:r>
        <w:rPr>
          <w:rFonts w:hint="default" w:ascii="Times New Roman" w:hAnsi="Times New Roman" w:eastAsia="宋体" w:cs="Times New Roman"/>
          <w:color w:val="auto"/>
          <w:sz w:val="24"/>
          <w:highlight w:val="none"/>
        </w:rPr>
        <w:t>于山谷型尾矿库</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尾矿库处在一个完整的水文地质单元内</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因此评价范围东西两侧以天然分水岭为边界</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南北向以天然分水岭及河谷等水位线为界</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为一完整的水文地质单元</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以此确定的调查评价面积即项目所在地河谷的汇水面积</w:t>
      </w:r>
      <w:r>
        <w:rPr>
          <w:rFonts w:hint="default" w:ascii="Times New Roman" w:hAnsi="Times New Roman" w:eastAsia="宋体" w:cs="Times New Roman"/>
          <w:color w:val="auto"/>
          <w:sz w:val="24"/>
          <w:highlight w:val="none"/>
          <w:lang w:eastAsia="zh-CN"/>
        </w:rPr>
        <w:t>，尾矿库边界</w:t>
      </w:r>
      <w:r>
        <w:rPr>
          <w:rFonts w:hint="default" w:ascii="Times New Roman" w:hAnsi="Times New Roman" w:eastAsia="宋体" w:cs="Times New Roman"/>
          <w:color w:val="auto"/>
          <w:sz w:val="24"/>
          <w:highlight w:val="none"/>
          <w:lang w:val="en-US" w:eastAsia="zh-CN"/>
        </w:rPr>
        <w:t>南侧（上游）700m、西侧1550m（侧向）、北侧2100m（下游）、东侧800m（侧向），地下水评价面积约</w:t>
      </w:r>
      <w:r>
        <w:rPr>
          <w:rFonts w:hint="default" w:ascii="Times New Roman" w:hAnsi="Times New Roman" w:eastAsia="宋体" w:cs="Times New Roman"/>
          <w:color w:val="auto"/>
          <w:sz w:val="24"/>
          <w:highlight w:val="none"/>
        </w:rPr>
        <w:t>10.93km</w:t>
      </w:r>
      <w:r>
        <w:rPr>
          <w:rFonts w:hint="default" w:ascii="Times New Roman" w:hAnsi="Times New Roman" w:eastAsia="宋体" w:cs="Times New Roman"/>
          <w:color w:val="auto"/>
          <w:sz w:val="24"/>
          <w:highlight w:val="none"/>
          <w:vertAlign w:val="superscript"/>
        </w:rPr>
        <w:t>2</w:t>
      </w:r>
      <w:r>
        <w:rPr>
          <w:rFonts w:hint="default" w:ascii="Times New Roman" w:hAnsi="Times New Roman" w:eastAsia="宋体" w:cs="Times New Roman"/>
          <w:color w:val="auto"/>
          <w:sz w:val="24"/>
          <w:highlight w:val="none"/>
        </w:rPr>
        <w:t>。</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lang w:eastAsia="zh-CN"/>
        </w:rPr>
      </w:pP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lang w:eastAsia="zh-CN"/>
        </w:rPr>
      </w:pPr>
    </w:p>
    <w:p>
      <w:pPr>
        <w:pageBreakBefore w:val="0"/>
        <w:wordWrap/>
        <w:bidi w:val="0"/>
        <w:spacing w:line="360" w:lineRule="auto"/>
        <w:ind w:left="0" w:leftChars="0" w:right="0" w:rightChars="0"/>
        <w:jc w:val="center"/>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drawing>
          <wp:inline distT="0" distB="0" distL="114300" distR="114300">
            <wp:extent cx="5257800" cy="5307965"/>
            <wp:effectExtent l="0" t="0" r="0" b="6985"/>
            <wp:docPr id="16" name="图片 16"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图片1"/>
                    <pic:cNvPicPr>
                      <a:picLocks noChangeAspect="1"/>
                    </pic:cNvPicPr>
                  </pic:nvPicPr>
                  <pic:blipFill>
                    <a:blip r:embed="rId22"/>
                    <a:stretch>
                      <a:fillRect/>
                    </a:stretch>
                  </pic:blipFill>
                  <pic:spPr>
                    <a:xfrm>
                      <a:off x="0" y="0"/>
                      <a:ext cx="5257800" cy="5307965"/>
                    </a:xfrm>
                    <a:prstGeom prst="rect">
                      <a:avLst/>
                    </a:prstGeom>
                  </pic:spPr>
                </pic:pic>
              </a:graphicData>
            </a:graphic>
          </wp:inline>
        </w:drawing>
      </w:r>
    </w:p>
    <w:p>
      <w:pPr>
        <w:pageBreakBefore w:val="0"/>
        <w:wordWrap/>
        <w:bidi w:val="0"/>
        <w:spacing w:line="360" w:lineRule="auto"/>
        <w:ind w:left="0" w:leftChars="0" w:right="0" w:rightChars="0" w:firstLine="482" w:firstLineChars="200"/>
        <w:jc w:val="center"/>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w:t>图1-1地下水评价范围、水质监测布点图</w:t>
      </w:r>
    </w:p>
    <w:p>
      <w:pPr>
        <w:pStyle w:val="5"/>
        <w:pageBreakBefore w:val="0"/>
        <w:numPr>
          <w:ilvl w:val="2"/>
          <w:numId w:val="0"/>
        </w:numPr>
        <w:wordWrap/>
        <w:bidi w:val="0"/>
        <w:ind w:left="0" w:leftChars="0" w:right="0" w:rightChars="0"/>
        <w:outlineLvl w:val="1"/>
        <w:rPr>
          <w:rFonts w:hint="default" w:ascii="Times New Roman" w:hAnsi="Times New Roman" w:eastAsia="宋体" w:cs="Times New Roman"/>
          <w:b/>
          <w:bCs/>
          <w:color w:val="auto"/>
          <w:highlight w:val="none"/>
        </w:rPr>
      </w:pPr>
      <w:bookmarkStart w:id="205" w:name="_Toc18150"/>
      <w:bookmarkStart w:id="206" w:name="_Toc18490"/>
      <w:bookmarkStart w:id="207" w:name="_Toc21941"/>
      <w:r>
        <w:rPr>
          <w:rFonts w:hint="default" w:ascii="Times New Roman" w:hAnsi="Times New Roman" w:eastAsia="宋体" w:cs="Times New Roman"/>
          <w:b/>
          <w:bCs/>
          <w:i w:val="0"/>
          <w:iCs w:val="0"/>
          <w:caps w:val="0"/>
          <w:smallCaps w:val="0"/>
          <w:strike w:val="0"/>
          <w:dstrike w:val="0"/>
          <w:vanish w:val="0"/>
          <w:color w:val="auto"/>
          <w:spacing w:val="0"/>
          <w:kern w:val="2"/>
          <w:position w:val="0"/>
          <w:sz w:val="24"/>
          <w:szCs w:val="24"/>
          <w:highlight w:val="none"/>
          <w:u w:val="none"/>
          <w:vertAlign w:val="baseline"/>
          <w:lang w:val="en-US" w:eastAsia="zh-CN" w:bidi="ar-SA"/>
          <w14:shadow w14:blurRad="0" w14:dist="0" w14:dir="0" w14:sx="0" w14:sy="0" w14:kx="0" w14:ky="0" w14:algn="none">
            <w14:srgbClr w14:val="000000"/>
          </w14:shadow>
        </w:rPr>
        <w:t>1.4.5</w:t>
      </w:r>
      <w:r>
        <w:rPr>
          <w:rFonts w:hint="default" w:ascii="Times New Roman" w:hAnsi="Times New Roman" w:eastAsia="宋体" w:cs="Times New Roman"/>
          <w:b/>
          <w:bCs/>
          <w:color w:val="auto"/>
          <w:highlight w:val="none"/>
        </w:rPr>
        <w:t>土壤评价等级及评价范围</w:t>
      </w:r>
      <w:bookmarkEnd w:id="205"/>
      <w:bookmarkEnd w:id="206"/>
      <w:bookmarkEnd w:id="207"/>
    </w:p>
    <w:p>
      <w:pPr>
        <w:pageBreakBefore w:val="0"/>
        <w:wordWrap/>
        <w:bidi w:val="0"/>
        <w:spacing w:line="360" w:lineRule="auto"/>
        <w:ind w:left="0" w:leftChars="0" w:right="0" w:rightChars="0" w:firstLine="480" w:firstLineChars="200"/>
        <w:outlineLvl w:val="0"/>
        <w:rPr>
          <w:rFonts w:hint="default" w:ascii="Times New Roman" w:hAnsi="Times New Roman" w:eastAsia="宋体" w:cs="Times New Roman"/>
          <w:color w:val="auto"/>
          <w:sz w:val="24"/>
          <w:highlight w:val="none"/>
        </w:rPr>
      </w:pPr>
      <w:bookmarkStart w:id="208" w:name="_Toc9210"/>
      <w:bookmarkStart w:id="209" w:name="_Toc27583"/>
      <w:r>
        <w:rPr>
          <w:rFonts w:hint="default" w:ascii="Times New Roman" w:hAnsi="Times New Roman" w:eastAsia="宋体" w:cs="Times New Roman"/>
          <w:color w:val="auto"/>
          <w:sz w:val="24"/>
          <w:highlight w:val="none"/>
        </w:rPr>
        <w:t>（1</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评价等级</w:t>
      </w:r>
      <w:bookmarkEnd w:id="208"/>
      <w:bookmarkEnd w:id="209"/>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建设项目</w:t>
      </w:r>
      <w:r>
        <w:rPr>
          <w:rFonts w:hint="default" w:ascii="Times New Roman" w:hAnsi="Times New Roman" w:eastAsia="宋体" w:cs="Times New Roman"/>
          <w:color w:val="auto"/>
          <w:sz w:val="24"/>
          <w:highlight w:val="none"/>
          <w:lang w:eastAsia="zh-CN"/>
        </w:rPr>
        <w:t>属</w:t>
      </w:r>
      <w:r>
        <w:rPr>
          <w:rFonts w:hint="default" w:ascii="Times New Roman" w:hAnsi="Times New Roman" w:eastAsia="宋体" w:cs="Times New Roman"/>
          <w:color w:val="auto"/>
          <w:sz w:val="24"/>
          <w:highlight w:val="none"/>
        </w:rPr>
        <w:t>于污染影响型项目</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项目位于西沙德盖钼业公司现有尾矿库</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周围分布有草地</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因此本项目周边的土壤环境敏感程度为敏感</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判别依据见表1-1</w:t>
      </w:r>
      <w:r>
        <w:rPr>
          <w:rFonts w:hint="default" w:ascii="Times New Roman" w:hAnsi="Times New Roman" w:eastAsia="宋体" w:cs="Times New Roman"/>
          <w:color w:val="auto"/>
          <w:sz w:val="24"/>
          <w:highlight w:val="none"/>
          <w:lang w:val="en-US" w:eastAsia="zh-CN"/>
        </w:rPr>
        <w:t>1</w:t>
      </w:r>
      <w:r>
        <w:rPr>
          <w:rFonts w:hint="default" w:ascii="Times New Roman" w:hAnsi="Times New Roman" w:eastAsia="宋体" w:cs="Times New Roman"/>
          <w:color w:val="auto"/>
          <w:sz w:val="24"/>
          <w:highlight w:val="none"/>
        </w:rPr>
        <w:t>。</w:t>
      </w:r>
    </w:p>
    <w:p>
      <w:pPr>
        <w:pageBreakBefore w:val="0"/>
        <w:tabs>
          <w:tab w:val="left" w:pos="3062"/>
        </w:tabs>
        <w:wordWrap/>
        <w:bidi w:val="0"/>
        <w:spacing w:line="360" w:lineRule="auto"/>
        <w:ind w:left="0" w:leftChars="0" w:right="0" w:rightChars="0"/>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表1-1</w:t>
      </w:r>
      <w:r>
        <w:rPr>
          <w:rFonts w:hint="default" w:ascii="Times New Roman" w:hAnsi="Times New Roman" w:eastAsia="宋体" w:cs="Times New Roman"/>
          <w:b/>
          <w:bCs/>
          <w:color w:val="auto"/>
          <w:sz w:val="24"/>
          <w:highlight w:val="none"/>
          <w:lang w:val="en-US" w:eastAsia="zh-CN"/>
        </w:rPr>
        <w:t>1</w:t>
      </w:r>
      <w:r>
        <w:rPr>
          <w:rFonts w:hint="default" w:ascii="Times New Roman" w:hAnsi="Times New Roman" w:eastAsia="宋体" w:cs="Times New Roman"/>
          <w:b/>
          <w:bCs/>
          <w:color w:val="auto"/>
          <w:sz w:val="24"/>
          <w:highlight w:val="none"/>
        </w:rPr>
        <w:t>污染影响型敏感程度分级表</w:t>
      </w:r>
    </w:p>
    <w:tbl>
      <w:tblPr>
        <w:tblStyle w:val="54"/>
        <w:tblW w:w="5000" w:type="pct"/>
        <w:tblInd w:w="0" w:type="dxa"/>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autofit"/>
        <w:tblCellMar>
          <w:top w:w="0" w:type="dxa"/>
          <w:left w:w="108" w:type="dxa"/>
          <w:bottom w:w="0" w:type="dxa"/>
          <w:right w:w="108" w:type="dxa"/>
        </w:tblCellMar>
      </w:tblPr>
      <w:tblGrid>
        <w:gridCol w:w="1674"/>
        <w:gridCol w:w="6848"/>
      </w:tblGrid>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982"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color w:val="auto"/>
                <w:kern w:val="0"/>
                <w:szCs w:val="21"/>
                <w:highlight w:val="none"/>
              </w:rPr>
            </w:pPr>
            <w:r>
              <w:rPr>
                <w:rFonts w:hint="default" w:ascii="Times New Roman" w:hAnsi="Times New Roman" w:eastAsia="宋体" w:cs="Times New Roman"/>
                <w:b/>
                <w:color w:val="auto"/>
                <w:kern w:val="0"/>
                <w:szCs w:val="21"/>
                <w:highlight w:val="none"/>
              </w:rPr>
              <w:t>敏感程度</w:t>
            </w:r>
          </w:p>
        </w:tc>
        <w:tc>
          <w:tcPr>
            <w:tcW w:w="4018"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color w:val="auto"/>
                <w:kern w:val="0"/>
                <w:szCs w:val="21"/>
                <w:highlight w:val="none"/>
              </w:rPr>
            </w:pPr>
            <w:r>
              <w:rPr>
                <w:rFonts w:hint="default" w:ascii="Times New Roman" w:hAnsi="Times New Roman" w:eastAsia="宋体" w:cs="Times New Roman"/>
                <w:b/>
                <w:color w:val="auto"/>
                <w:kern w:val="0"/>
                <w:szCs w:val="21"/>
                <w:highlight w:val="none"/>
              </w:rPr>
              <w:t>判别依据</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982"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敏感</w:t>
            </w:r>
          </w:p>
        </w:tc>
        <w:tc>
          <w:tcPr>
            <w:tcW w:w="4018"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建设项目周边存在耕地、园地、牧草地、饮用水水源地或居民区、学校、医院、疗养院、养老院等土壤环境敏感目标的</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982"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较敏感</w:t>
            </w:r>
          </w:p>
        </w:tc>
        <w:tc>
          <w:tcPr>
            <w:tcW w:w="4018"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建设项目周边存在其他土壤环境敏感目标的</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982"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不敏感</w:t>
            </w:r>
          </w:p>
        </w:tc>
        <w:tc>
          <w:tcPr>
            <w:tcW w:w="4018"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其他情况</w:t>
            </w:r>
          </w:p>
        </w:tc>
      </w:tr>
    </w:tbl>
    <w:p>
      <w:pPr>
        <w:pageBreakBefore w:val="0"/>
        <w:wordWrap/>
        <w:bidi w:val="0"/>
        <w:spacing w:line="360" w:lineRule="auto"/>
        <w:ind w:left="0" w:leftChars="0" w:right="0" w:rightChars="0" w:firstLine="480" w:firstLineChars="20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eastAsia="zh-CN"/>
        </w:rPr>
        <w:t>扩建后</w:t>
      </w:r>
      <w:r>
        <w:rPr>
          <w:rFonts w:hint="default" w:ascii="Times New Roman" w:hAnsi="Times New Roman" w:eastAsia="宋体" w:cs="Times New Roman"/>
          <w:color w:val="auto"/>
          <w:sz w:val="24"/>
          <w:highlight w:val="none"/>
        </w:rPr>
        <w:t>尾矿库</w:t>
      </w:r>
      <w:r>
        <w:rPr>
          <w:rFonts w:hint="default" w:ascii="Times New Roman" w:hAnsi="Times New Roman" w:eastAsia="宋体" w:cs="Times New Roman"/>
          <w:color w:val="auto"/>
          <w:sz w:val="24"/>
          <w:highlight w:val="none"/>
          <w:lang w:eastAsia="zh-CN"/>
        </w:rPr>
        <w:t>总占地面积为</w:t>
      </w:r>
      <w:r>
        <w:rPr>
          <w:rFonts w:hint="default" w:ascii="Times New Roman" w:hAnsi="Times New Roman" w:eastAsia="宋体" w:cs="Times New Roman"/>
          <w:color w:val="auto"/>
          <w:sz w:val="24"/>
          <w:highlight w:val="none"/>
          <w:lang w:val="en-US" w:eastAsia="zh-CN"/>
        </w:rPr>
        <w:t>59.18</w:t>
      </w:r>
      <w:r>
        <w:rPr>
          <w:rFonts w:hint="default" w:ascii="Times New Roman" w:hAnsi="Times New Roman" w:eastAsia="宋体" w:cs="Times New Roman"/>
          <w:color w:val="auto"/>
          <w:sz w:val="24"/>
          <w:highlight w:val="none"/>
        </w:rPr>
        <w:t>hm</w:t>
      </w:r>
      <w:r>
        <w:rPr>
          <w:rFonts w:hint="default" w:ascii="Times New Roman" w:hAnsi="Times New Roman" w:eastAsia="宋体" w:cs="Times New Roman"/>
          <w:color w:val="auto"/>
          <w:sz w:val="24"/>
          <w:highlight w:val="none"/>
          <w:vertAlign w:val="superscript"/>
        </w:rPr>
        <w:t>2</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项目类别</w:t>
      </w:r>
      <w:r>
        <w:rPr>
          <w:rFonts w:hint="default" w:ascii="Times New Roman" w:hAnsi="Times New Roman" w:eastAsia="宋体" w:cs="Times New Roman"/>
          <w:color w:val="auto"/>
          <w:sz w:val="24"/>
          <w:highlight w:val="none"/>
          <w:lang w:eastAsia="zh-CN"/>
        </w:rPr>
        <w:t>尾矿库加高扩容</w:t>
      </w:r>
      <w:r>
        <w:rPr>
          <w:rFonts w:hint="default" w:ascii="Times New Roman" w:hAnsi="Times New Roman" w:eastAsia="宋体" w:cs="Times New Roman"/>
          <w:color w:val="auto"/>
          <w:sz w:val="24"/>
          <w:highlight w:val="none"/>
        </w:rPr>
        <w:t>部分</w:t>
      </w:r>
      <w:r>
        <w:rPr>
          <w:rFonts w:hint="default" w:ascii="Times New Roman" w:hAnsi="Times New Roman" w:eastAsia="宋体" w:cs="Times New Roman"/>
          <w:color w:val="auto"/>
          <w:sz w:val="24"/>
          <w:highlight w:val="none"/>
          <w:lang w:eastAsia="zh-CN"/>
        </w:rPr>
        <w:t>属</w:t>
      </w:r>
      <w:r>
        <w:rPr>
          <w:rFonts w:hint="default" w:ascii="Times New Roman" w:hAnsi="Times New Roman" w:eastAsia="宋体" w:cs="Times New Roman"/>
          <w:color w:val="auto"/>
          <w:sz w:val="24"/>
          <w:highlight w:val="none"/>
        </w:rPr>
        <w:t>于“采矿业”中的其他</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类别等级为</w:t>
      </w:r>
      <w:r>
        <w:rPr>
          <w:rFonts w:hint="default" w:ascii="Times New Roman" w:hAnsi="Times New Roman" w:eastAsia="宋体" w:cs="Times New Roman"/>
          <w:color w:val="auto"/>
          <w:sz w:val="24"/>
          <w:highlight w:val="none"/>
          <w:lang w:eastAsia="zh-CN"/>
        </w:rPr>
        <w:t>Ⅲ</w:t>
      </w:r>
      <w:r>
        <w:rPr>
          <w:rFonts w:hint="default" w:ascii="Times New Roman" w:hAnsi="Times New Roman" w:eastAsia="宋体" w:cs="Times New Roman"/>
          <w:color w:val="auto"/>
          <w:sz w:val="24"/>
          <w:highlight w:val="none"/>
        </w:rPr>
        <w:t>类</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因此建设项目的项目类别按</w:t>
      </w:r>
      <w:r>
        <w:rPr>
          <w:rFonts w:hint="default" w:ascii="Times New Roman" w:hAnsi="Times New Roman" w:eastAsia="宋体" w:cs="Times New Roman"/>
          <w:color w:val="auto"/>
          <w:sz w:val="24"/>
          <w:highlight w:val="none"/>
          <w:lang w:eastAsia="zh-CN"/>
        </w:rPr>
        <w:t>Ⅲ</w:t>
      </w:r>
      <w:r>
        <w:rPr>
          <w:rFonts w:hint="default" w:ascii="Times New Roman" w:hAnsi="Times New Roman" w:eastAsia="宋体" w:cs="Times New Roman"/>
          <w:color w:val="auto"/>
          <w:sz w:val="24"/>
          <w:highlight w:val="none"/>
        </w:rPr>
        <w:t>类划分</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综上</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建设项目土壤评价工作等级为三级</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具体划分情况见表1-1</w:t>
      </w:r>
      <w:r>
        <w:rPr>
          <w:rFonts w:hint="default" w:ascii="Times New Roman" w:hAnsi="Times New Roman" w:eastAsia="宋体" w:cs="Times New Roman"/>
          <w:color w:val="auto"/>
          <w:sz w:val="24"/>
          <w:highlight w:val="none"/>
          <w:lang w:val="en-US" w:eastAsia="zh-CN"/>
        </w:rPr>
        <w:t>2</w:t>
      </w:r>
      <w:r>
        <w:rPr>
          <w:rFonts w:hint="default" w:ascii="Times New Roman" w:hAnsi="Times New Roman" w:eastAsia="宋体" w:cs="Times New Roman"/>
          <w:color w:val="auto"/>
          <w:sz w:val="24"/>
          <w:highlight w:val="none"/>
        </w:rPr>
        <w:t>。</w:t>
      </w:r>
    </w:p>
    <w:p>
      <w:pPr>
        <w:pageBreakBefore w:val="0"/>
        <w:tabs>
          <w:tab w:val="left" w:pos="3062"/>
        </w:tabs>
        <w:wordWrap/>
        <w:bidi w:val="0"/>
        <w:spacing w:line="360" w:lineRule="auto"/>
        <w:ind w:left="0" w:leftChars="0" w:right="0" w:rightChars="0"/>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表1-1</w:t>
      </w:r>
      <w:r>
        <w:rPr>
          <w:rFonts w:hint="default" w:ascii="Times New Roman" w:hAnsi="Times New Roman" w:eastAsia="宋体" w:cs="Times New Roman"/>
          <w:b/>
          <w:bCs/>
          <w:color w:val="auto"/>
          <w:sz w:val="24"/>
          <w:highlight w:val="none"/>
          <w:lang w:val="en-US" w:eastAsia="zh-CN"/>
        </w:rPr>
        <w:t>2</w:t>
      </w:r>
      <w:r>
        <w:rPr>
          <w:rFonts w:hint="default" w:ascii="Times New Roman" w:hAnsi="Times New Roman" w:eastAsia="宋体" w:cs="Times New Roman"/>
          <w:b/>
          <w:bCs/>
          <w:color w:val="auto"/>
          <w:sz w:val="24"/>
          <w:highlight w:val="none"/>
        </w:rPr>
        <w:t>污染影响型评价工作等级划分表</w:t>
      </w:r>
    </w:p>
    <w:tbl>
      <w:tblPr>
        <w:tblStyle w:val="54"/>
        <w:tblW w:w="500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2198"/>
        <w:gridCol w:w="680"/>
        <w:gridCol w:w="681"/>
        <w:gridCol w:w="681"/>
        <w:gridCol w:w="681"/>
        <w:gridCol w:w="681"/>
        <w:gridCol w:w="681"/>
        <w:gridCol w:w="681"/>
        <w:gridCol w:w="681"/>
        <w:gridCol w:w="6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292" w:type="pct"/>
            <w:vMerge w:val="restart"/>
            <w:tcBorders>
              <w:top w:val="single" w:color="auto" w:sz="4" w:space="0"/>
              <w:left w:val="single" w:color="auto" w:sz="4" w:space="0"/>
              <w:bottom w:val="single" w:color="auto" w:sz="4" w:space="0"/>
              <w:right w:val="single" w:color="auto" w:sz="4" w:space="0"/>
              <w:tl2br w:val="single" w:color="auto" w:sz="4" w:space="0"/>
            </w:tcBorders>
          </w:tcPr>
          <w:p>
            <w:pPr>
              <w:pageBreakBefore w:val="0"/>
              <w:wordWrap/>
              <w:bidi w:val="0"/>
              <w:adjustRightInd w:val="0"/>
              <w:snapToGrid w:val="0"/>
              <w:ind w:left="0" w:leftChars="0" w:right="0" w:rightChars="0"/>
              <w:jc w:val="right"/>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占地规模</w:t>
            </w:r>
          </w:p>
          <w:p>
            <w:pPr>
              <w:pageBreakBefore w:val="0"/>
              <w:wordWrap/>
              <w:bidi w:val="0"/>
              <w:adjustRightInd w:val="0"/>
              <w:snapToGrid w:val="0"/>
              <w:ind w:left="0" w:leftChars="0" w:right="0" w:rightChars="0"/>
              <w:jc w:val="left"/>
              <w:rPr>
                <w:rFonts w:hint="default" w:ascii="Times New Roman" w:hAnsi="Times New Roman" w:eastAsia="宋体" w:cs="Times New Roman"/>
                <w:b/>
                <w:color w:val="auto"/>
                <w:szCs w:val="21"/>
                <w:highlight w:val="none"/>
              </w:rPr>
            </w:pPr>
          </w:p>
          <w:p>
            <w:pPr>
              <w:pageBreakBefore w:val="0"/>
              <w:wordWrap/>
              <w:bidi w:val="0"/>
              <w:adjustRightInd w:val="0"/>
              <w:snapToGrid w:val="0"/>
              <w:ind w:left="0" w:leftChars="0" w:right="0" w:rightChars="0" w:firstLine="422" w:firstLineChars="200"/>
              <w:jc w:val="left"/>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评价工作等级</w:t>
            </w:r>
          </w:p>
          <w:p>
            <w:pPr>
              <w:pageBreakBefore w:val="0"/>
              <w:wordWrap/>
              <w:bidi w:val="0"/>
              <w:adjustRightInd w:val="0"/>
              <w:snapToGrid w:val="0"/>
              <w:ind w:left="0" w:leftChars="0" w:right="0" w:rightChars="0"/>
              <w:jc w:val="left"/>
              <w:rPr>
                <w:rFonts w:hint="default" w:ascii="Times New Roman" w:hAnsi="Times New Roman" w:eastAsia="宋体" w:cs="Times New Roman"/>
                <w:b/>
                <w:color w:val="auto"/>
                <w:szCs w:val="21"/>
                <w:highlight w:val="none"/>
              </w:rPr>
            </w:pPr>
          </w:p>
          <w:p>
            <w:pPr>
              <w:pageBreakBefore w:val="0"/>
              <w:wordWrap/>
              <w:bidi w:val="0"/>
              <w:adjustRightInd w:val="0"/>
              <w:snapToGrid w:val="0"/>
              <w:ind w:left="0" w:leftChars="0" w:right="0" w:rightChars="0"/>
              <w:jc w:val="left"/>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敏感程度</w:t>
            </w:r>
          </w:p>
        </w:tc>
        <w:tc>
          <w:tcPr>
            <w:tcW w:w="400" w:type="pct"/>
            <w:gridSpan w:val="3"/>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I类项目</w:t>
            </w:r>
          </w:p>
        </w:tc>
        <w:tc>
          <w:tcPr>
            <w:tcW w:w="400" w:type="pct"/>
            <w:gridSpan w:val="3"/>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bCs/>
                <w:color w:val="auto"/>
                <w:szCs w:val="21"/>
                <w:highlight w:val="none"/>
                <w:lang w:eastAsia="zh-CN"/>
              </w:rPr>
              <w:t>Ⅱ类</w:t>
            </w:r>
            <w:r>
              <w:rPr>
                <w:rFonts w:hint="default" w:ascii="Times New Roman" w:hAnsi="Times New Roman" w:eastAsia="宋体" w:cs="Times New Roman"/>
                <w:b/>
                <w:bCs/>
                <w:color w:val="auto"/>
                <w:szCs w:val="21"/>
                <w:highlight w:val="none"/>
              </w:rPr>
              <w:t>项目</w:t>
            </w:r>
          </w:p>
        </w:tc>
        <w:tc>
          <w:tcPr>
            <w:tcW w:w="400" w:type="pct"/>
            <w:gridSpan w:val="3"/>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lang w:eastAsia="zh-CN"/>
              </w:rPr>
              <w:t>Ⅲ</w:t>
            </w:r>
            <w:r>
              <w:rPr>
                <w:rFonts w:hint="default" w:ascii="Times New Roman" w:hAnsi="Times New Roman" w:eastAsia="宋体" w:cs="Times New Roman"/>
                <w:b/>
                <w:color w:val="auto"/>
                <w:szCs w:val="21"/>
                <w:highlight w:val="none"/>
              </w:rPr>
              <w:t>类项目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36" w:hRule="atLeast"/>
        </w:trPr>
        <w:tc>
          <w:tcPr>
            <w:tcW w:w="1292" w:type="pct"/>
            <w:vMerge w:val="continue"/>
            <w:tcBorders>
              <w:top w:val="single" w:color="auto" w:sz="4" w:space="0"/>
              <w:left w:val="single" w:color="auto" w:sz="4" w:space="0"/>
              <w:bottom w:val="single" w:color="auto" w:sz="4" w:space="0"/>
              <w:right w:val="single" w:color="auto" w:sz="4" w:space="0"/>
            </w:tcBorders>
            <w:vAlign w:val="center"/>
          </w:tcPr>
          <w:p>
            <w:pPr>
              <w:pageBreakBefore w:val="0"/>
              <w:widowControl/>
              <w:wordWrap/>
              <w:bidi w:val="0"/>
              <w:ind w:left="0" w:leftChars="0" w:right="0" w:rightChars="0"/>
              <w:jc w:val="left"/>
              <w:rPr>
                <w:rFonts w:hint="default" w:ascii="Times New Roman" w:hAnsi="Times New Roman" w:eastAsia="宋体" w:cs="Times New Roman"/>
                <w:b/>
                <w:color w:val="auto"/>
                <w:szCs w:val="21"/>
                <w:highlight w:val="none"/>
              </w:rPr>
            </w:pPr>
          </w:p>
        </w:tc>
        <w:tc>
          <w:tcPr>
            <w:tcW w:w="400"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大</w:t>
            </w:r>
          </w:p>
        </w:tc>
        <w:tc>
          <w:tcPr>
            <w:tcW w:w="400"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中</w:t>
            </w:r>
          </w:p>
        </w:tc>
        <w:tc>
          <w:tcPr>
            <w:tcW w:w="400"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小</w:t>
            </w:r>
          </w:p>
        </w:tc>
        <w:tc>
          <w:tcPr>
            <w:tcW w:w="400"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大</w:t>
            </w:r>
          </w:p>
        </w:tc>
        <w:tc>
          <w:tcPr>
            <w:tcW w:w="400"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中</w:t>
            </w:r>
          </w:p>
        </w:tc>
        <w:tc>
          <w:tcPr>
            <w:tcW w:w="400"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小</w:t>
            </w:r>
          </w:p>
        </w:tc>
        <w:tc>
          <w:tcPr>
            <w:tcW w:w="400"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大</w:t>
            </w:r>
          </w:p>
        </w:tc>
        <w:tc>
          <w:tcPr>
            <w:tcW w:w="400"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中</w:t>
            </w:r>
          </w:p>
        </w:tc>
        <w:tc>
          <w:tcPr>
            <w:tcW w:w="400"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292" w:type="pct"/>
            <w:tcBorders>
              <w:top w:val="single" w:color="auto" w:sz="4" w:space="0"/>
              <w:left w:val="single" w:color="auto" w:sz="4" w:space="0"/>
              <w:bottom w:val="single" w:color="auto" w:sz="4" w:space="0"/>
              <w:right w:val="single" w:color="auto" w:sz="4" w:space="0"/>
            </w:tcBorders>
            <w:shd w:val="clear" w:color="auto" w:fill="auto"/>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敏感</w:t>
            </w:r>
          </w:p>
        </w:tc>
        <w:tc>
          <w:tcPr>
            <w:tcW w:w="400" w:type="pct"/>
            <w:tcBorders>
              <w:top w:val="single" w:color="auto" w:sz="4" w:space="0"/>
              <w:left w:val="single" w:color="auto" w:sz="4" w:space="0"/>
              <w:bottom w:val="single" w:color="auto" w:sz="4" w:space="0"/>
              <w:right w:val="single" w:color="auto" w:sz="4" w:space="0"/>
            </w:tcBorders>
            <w:shd w:val="clear" w:color="auto" w:fill="auto"/>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一级</w:t>
            </w:r>
          </w:p>
        </w:tc>
        <w:tc>
          <w:tcPr>
            <w:tcW w:w="400" w:type="pct"/>
            <w:tcBorders>
              <w:top w:val="single" w:color="auto" w:sz="4" w:space="0"/>
              <w:left w:val="single" w:color="auto" w:sz="4" w:space="0"/>
              <w:bottom w:val="single" w:color="auto" w:sz="4" w:space="0"/>
              <w:right w:val="single" w:color="auto" w:sz="4" w:space="0"/>
            </w:tcBorders>
            <w:shd w:val="clear" w:color="auto" w:fill="auto"/>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一级</w:t>
            </w:r>
          </w:p>
        </w:tc>
        <w:tc>
          <w:tcPr>
            <w:tcW w:w="400" w:type="pct"/>
            <w:tcBorders>
              <w:top w:val="single" w:color="auto" w:sz="4" w:space="0"/>
              <w:left w:val="single" w:color="auto" w:sz="4" w:space="0"/>
              <w:bottom w:val="single" w:color="auto" w:sz="4" w:space="0"/>
              <w:right w:val="single" w:color="auto" w:sz="4" w:space="0"/>
            </w:tcBorders>
            <w:shd w:val="clear" w:color="auto" w:fill="auto"/>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一级</w:t>
            </w:r>
          </w:p>
        </w:tc>
        <w:tc>
          <w:tcPr>
            <w:tcW w:w="400" w:type="pct"/>
            <w:tcBorders>
              <w:top w:val="single" w:color="auto" w:sz="4" w:space="0"/>
              <w:left w:val="single" w:color="auto" w:sz="4" w:space="0"/>
              <w:bottom w:val="single" w:color="auto" w:sz="4" w:space="0"/>
              <w:right w:val="single" w:color="auto" w:sz="4" w:space="0"/>
            </w:tcBorders>
            <w:shd w:val="clear" w:color="auto" w:fill="auto"/>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二级</w:t>
            </w:r>
          </w:p>
        </w:tc>
        <w:tc>
          <w:tcPr>
            <w:tcW w:w="400" w:type="pct"/>
            <w:tcBorders>
              <w:top w:val="single" w:color="auto" w:sz="4" w:space="0"/>
              <w:left w:val="single" w:color="auto" w:sz="4" w:space="0"/>
              <w:bottom w:val="single" w:color="auto" w:sz="4" w:space="0"/>
              <w:right w:val="single" w:color="auto" w:sz="4" w:space="0"/>
            </w:tcBorders>
            <w:shd w:val="clear" w:color="auto" w:fill="auto"/>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二级</w:t>
            </w:r>
          </w:p>
        </w:tc>
        <w:tc>
          <w:tcPr>
            <w:tcW w:w="400" w:type="pct"/>
            <w:tcBorders>
              <w:top w:val="single" w:color="auto" w:sz="4" w:space="0"/>
              <w:left w:val="single" w:color="auto" w:sz="4" w:space="0"/>
              <w:bottom w:val="single" w:color="auto" w:sz="4" w:space="0"/>
              <w:right w:val="single" w:color="auto" w:sz="4" w:space="0"/>
            </w:tcBorders>
            <w:shd w:val="clear" w:color="auto" w:fill="auto"/>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二级</w:t>
            </w:r>
          </w:p>
        </w:tc>
        <w:tc>
          <w:tcPr>
            <w:tcW w:w="400" w:type="pct"/>
            <w:tcBorders>
              <w:top w:val="single" w:color="auto" w:sz="4" w:space="0"/>
              <w:left w:val="single" w:color="auto" w:sz="4" w:space="0"/>
              <w:bottom w:val="single" w:color="auto" w:sz="4" w:space="0"/>
              <w:right w:val="single" w:color="auto" w:sz="4" w:space="0"/>
            </w:tcBorders>
            <w:shd w:val="clear" w:color="auto" w:fill="auto"/>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三级</w:t>
            </w:r>
          </w:p>
        </w:tc>
        <w:tc>
          <w:tcPr>
            <w:tcW w:w="400" w:type="pct"/>
            <w:tcBorders>
              <w:top w:val="single" w:color="auto" w:sz="4" w:space="0"/>
              <w:left w:val="single" w:color="auto" w:sz="4" w:space="0"/>
              <w:bottom w:val="single" w:color="auto" w:sz="4" w:space="0"/>
              <w:right w:val="single" w:color="auto" w:sz="4" w:space="0"/>
            </w:tcBorders>
            <w:shd w:val="clear" w:color="auto" w:fill="auto"/>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b/>
                <w:bCs/>
                <w:color w:val="auto"/>
                <w:szCs w:val="21"/>
                <w:highlight w:val="none"/>
              </w:rPr>
              <w:t>三级</w:t>
            </w:r>
          </w:p>
        </w:tc>
        <w:tc>
          <w:tcPr>
            <w:tcW w:w="400" w:type="pct"/>
            <w:tcBorders>
              <w:top w:val="single" w:color="auto" w:sz="4" w:space="0"/>
              <w:left w:val="single" w:color="auto" w:sz="4" w:space="0"/>
              <w:bottom w:val="single" w:color="auto" w:sz="4" w:space="0"/>
              <w:right w:val="single" w:color="auto" w:sz="4" w:space="0"/>
            </w:tcBorders>
            <w:shd w:val="clear" w:color="auto" w:fill="auto"/>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292"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较敏感</w:t>
            </w:r>
          </w:p>
        </w:tc>
        <w:tc>
          <w:tcPr>
            <w:tcW w:w="400"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一级</w:t>
            </w:r>
          </w:p>
        </w:tc>
        <w:tc>
          <w:tcPr>
            <w:tcW w:w="400"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一级</w:t>
            </w:r>
          </w:p>
        </w:tc>
        <w:tc>
          <w:tcPr>
            <w:tcW w:w="400"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二级</w:t>
            </w:r>
          </w:p>
        </w:tc>
        <w:tc>
          <w:tcPr>
            <w:tcW w:w="400"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二级</w:t>
            </w:r>
          </w:p>
        </w:tc>
        <w:tc>
          <w:tcPr>
            <w:tcW w:w="400"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二级</w:t>
            </w:r>
          </w:p>
        </w:tc>
        <w:tc>
          <w:tcPr>
            <w:tcW w:w="400"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三级</w:t>
            </w:r>
          </w:p>
        </w:tc>
        <w:tc>
          <w:tcPr>
            <w:tcW w:w="400"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三级</w:t>
            </w:r>
          </w:p>
        </w:tc>
        <w:tc>
          <w:tcPr>
            <w:tcW w:w="400"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三级</w:t>
            </w:r>
          </w:p>
        </w:tc>
        <w:tc>
          <w:tcPr>
            <w:tcW w:w="400"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292"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bCs/>
                <w:color w:val="auto"/>
                <w:szCs w:val="21"/>
                <w:highlight w:val="none"/>
              </w:rPr>
              <w:t>不敏感</w:t>
            </w:r>
          </w:p>
        </w:tc>
        <w:tc>
          <w:tcPr>
            <w:tcW w:w="400"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一级</w:t>
            </w:r>
          </w:p>
        </w:tc>
        <w:tc>
          <w:tcPr>
            <w:tcW w:w="400"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二级</w:t>
            </w:r>
          </w:p>
        </w:tc>
        <w:tc>
          <w:tcPr>
            <w:tcW w:w="400"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二级</w:t>
            </w:r>
          </w:p>
        </w:tc>
        <w:tc>
          <w:tcPr>
            <w:tcW w:w="400"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二级</w:t>
            </w:r>
          </w:p>
        </w:tc>
        <w:tc>
          <w:tcPr>
            <w:tcW w:w="400"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三级</w:t>
            </w:r>
          </w:p>
        </w:tc>
        <w:tc>
          <w:tcPr>
            <w:tcW w:w="400"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bCs/>
                <w:color w:val="auto"/>
                <w:szCs w:val="21"/>
                <w:highlight w:val="none"/>
              </w:rPr>
              <w:t>三级</w:t>
            </w:r>
          </w:p>
        </w:tc>
        <w:tc>
          <w:tcPr>
            <w:tcW w:w="400"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三级</w:t>
            </w:r>
          </w:p>
        </w:tc>
        <w:tc>
          <w:tcPr>
            <w:tcW w:w="400"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400"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b/>
                <w:bCs/>
                <w:color w:val="auto"/>
                <w:szCs w:val="21"/>
                <w:highlight w:val="none"/>
              </w:rPr>
              <w:t>—</w:t>
            </w:r>
          </w:p>
        </w:tc>
      </w:tr>
    </w:tbl>
    <w:p>
      <w:pPr>
        <w:pageBreakBefore w:val="0"/>
        <w:wordWrap/>
        <w:bidi w:val="0"/>
        <w:spacing w:line="360" w:lineRule="auto"/>
        <w:ind w:left="0" w:leftChars="0" w:right="0" w:rightChars="0" w:firstLine="480" w:firstLineChars="200"/>
        <w:outlineLvl w:val="0"/>
        <w:rPr>
          <w:rFonts w:hint="default" w:ascii="Times New Roman" w:hAnsi="Times New Roman" w:eastAsia="宋体" w:cs="Times New Roman"/>
          <w:color w:val="auto"/>
          <w:sz w:val="24"/>
          <w:szCs w:val="24"/>
          <w:highlight w:val="none"/>
        </w:rPr>
      </w:pPr>
      <w:bookmarkStart w:id="210" w:name="_Toc27768"/>
      <w:bookmarkStart w:id="211" w:name="_Toc18434"/>
      <w:r>
        <w:rPr>
          <w:rFonts w:hint="default" w:ascii="Times New Roman" w:hAnsi="Times New Roman" w:eastAsia="宋体" w:cs="Times New Roman"/>
          <w:color w:val="auto"/>
          <w:sz w:val="24"/>
          <w:szCs w:val="24"/>
          <w:highlight w:val="none"/>
        </w:rPr>
        <w:t>（2</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评价范围</w:t>
      </w:r>
      <w:bookmarkEnd w:id="210"/>
      <w:bookmarkEnd w:id="211"/>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项目厂址占地范围内以及占地范围外50m范围内。</w:t>
      </w:r>
    </w:p>
    <w:p>
      <w:pPr>
        <w:pStyle w:val="5"/>
        <w:pageBreakBefore w:val="0"/>
        <w:numPr>
          <w:ilvl w:val="2"/>
          <w:numId w:val="0"/>
        </w:numPr>
        <w:wordWrap/>
        <w:bidi w:val="0"/>
        <w:spacing w:line="360" w:lineRule="auto"/>
        <w:ind w:left="0" w:leftChars="0" w:right="0" w:rightChars="0"/>
        <w:outlineLvl w:val="1"/>
        <w:rPr>
          <w:rFonts w:hint="default" w:ascii="Times New Roman" w:hAnsi="Times New Roman" w:eastAsia="宋体" w:cs="Times New Roman"/>
          <w:b/>
          <w:bCs/>
          <w:color w:val="auto"/>
          <w:sz w:val="24"/>
          <w:szCs w:val="24"/>
          <w:highlight w:val="none"/>
        </w:rPr>
      </w:pPr>
      <w:bookmarkStart w:id="212" w:name="_Toc18643"/>
      <w:bookmarkStart w:id="213" w:name="_Toc16052"/>
      <w:bookmarkStart w:id="214" w:name="_Toc27814"/>
      <w:r>
        <w:rPr>
          <w:rFonts w:hint="default" w:ascii="Times New Roman" w:hAnsi="Times New Roman" w:eastAsia="宋体" w:cs="Times New Roman"/>
          <w:b/>
          <w:bCs/>
          <w:i w:val="0"/>
          <w:iCs w:val="0"/>
          <w:caps w:val="0"/>
          <w:smallCaps w:val="0"/>
          <w:strike w:val="0"/>
          <w:dstrike w:val="0"/>
          <w:vanish w:val="0"/>
          <w:color w:val="auto"/>
          <w:spacing w:val="0"/>
          <w:kern w:val="2"/>
          <w:position w:val="0"/>
          <w:sz w:val="24"/>
          <w:szCs w:val="24"/>
          <w:highlight w:val="none"/>
          <w:u w:val="none"/>
          <w:vertAlign w:val="baseline"/>
          <w:lang w:val="en-US" w:eastAsia="zh-CN" w:bidi="ar-SA"/>
          <w14:shadow w14:blurRad="0" w14:dist="0" w14:dir="0" w14:sx="0" w14:sy="0" w14:kx="0" w14:ky="0" w14:algn="none">
            <w14:srgbClr w14:val="000000"/>
          </w14:shadow>
        </w:rPr>
        <w:t>1.4.6</w:t>
      </w:r>
      <w:r>
        <w:rPr>
          <w:rFonts w:hint="default" w:ascii="Times New Roman" w:hAnsi="Times New Roman" w:eastAsia="宋体" w:cs="Times New Roman"/>
          <w:b/>
          <w:bCs/>
          <w:color w:val="auto"/>
          <w:sz w:val="24"/>
          <w:szCs w:val="24"/>
          <w:highlight w:val="none"/>
        </w:rPr>
        <w:t>环境风险评价等级及评价范围</w:t>
      </w:r>
      <w:bookmarkEnd w:id="212"/>
      <w:bookmarkEnd w:id="213"/>
      <w:bookmarkEnd w:id="214"/>
    </w:p>
    <w:p>
      <w:pPr>
        <w:pageBreakBefore w:val="0"/>
        <w:wordWrap/>
        <w:bidi w:val="0"/>
        <w:spacing w:line="360" w:lineRule="auto"/>
        <w:ind w:left="0" w:leftChars="0" w:right="0" w:rightChars="0" w:firstLine="480" w:firstLineChars="200"/>
        <w:outlineLvl w:val="0"/>
        <w:rPr>
          <w:rFonts w:hint="default" w:ascii="Times New Roman" w:hAnsi="Times New Roman" w:eastAsia="宋体" w:cs="Times New Roman"/>
          <w:color w:val="auto"/>
          <w:sz w:val="24"/>
          <w:szCs w:val="24"/>
          <w:highlight w:val="none"/>
        </w:rPr>
      </w:pPr>
      <w:bookmarkStart w:id="215" w:name="_Toc29524"/>
      <w:bookmarkStart w:id="216" w:name="_Toc9274"/>
      <w:r>
        <w:rPr>
          <w:rFonts w:hint="default" w:ascii="Times New Roman" w:hAnsi="Times New Roman" w:eastAsia="宋体" w:cs="Times New Roman"/>
          <w:color w:val="auto"/>
          <w:sz w:val="24"/>
          <w:szCs w:val="24"/>
          <w:highlight w:val="none"/>
        </w:rPr>
        <w:t>（1</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评价等级</w:t>
      </w:r>
      <w:bookmarkEnd w:id="215"/>
      <w:bookmarkEnd w:id="216"/>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根据建设项目涉及的物质及工艺系统危险性和所在地的环境敏感性确定环境风险潜势</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按照评价工作等级划分确定评价等级。</w:t>
      </w:r>
    </w:p>
    <w:p>
      <w:pPr>
        <w:pageBreakBefore w:val="0"/>
        <w:wordWrap/>
        <w:bidi w:val="0"/>
        <w:spacing w:line="360" w:lineRule="auto"/>
        <w:ind w:left="0" w:leftChars="0" w:right="0" w:rightChars="0" w:firstLine="482" w:firstLineChars="200"/>
        <w:outlineLvl w:val="1"/>
        <w:rPr>
          <w:rFonts w:hint="default" w:ascii="Times New Roman" w:hAnsi="Times New Roman" w:eastAsia="宋体" w:cs="Times New Roman"/>
          <w:b/>
          <w:bCs/>
          <w:color w:val="auto"/>
          <w:sz w:val="24"/>
          <w:szCs w:val="24"/>
          <w:highlight w:val="none"/>
        </w:rPr>
      </w:pPr>
      <w:bookmarkStart w:id="217" w:name="_Toc4779"/>
      <w:bookmarkStart w:id="218" w:name="_Toc20965"/>
      <w:r>
        <w:rPr>
          <w:rFonts w:hint="default" w:ascii="Times New Roman" w:hAnsi="Times New Roman" w:eastAsia="宋体" w:cs="Times New Roman"/>
          <w:b/>
          <w:bCs/>
          <w:color w:val="auto"/>
          <w:sz w:val="24"/>
          <w:highlight w:val="none"/>
          <w:lang w:eastAsia="zh-CN"/>
        </w:rPr>
        <w:t>1）风险物质</w:t>
      </w:r>
      <w:r>
        <w:rPr>
          <w:rFonts w:hint="default" w:ascii="Times New Roman" w:hAnsi="Times New Roman" w:eastAsia="宋体" w:cs="Times New Roman"/>
          <w:b/>
          <w:bCs/>
          <w:color w:val="auto"/>
          <w:sz w:val="24"/>
          <w:highlight w:val="none"/>
        </w:rPr>
        <w:t>风险评估</w:t>
      </w:r>
      <w:bookmarkEnd w:id="217"/>
      <w:bookmarkEnd w:id="218"/>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根据《建设项目环境风险评价技术导则》（HJ169-2018</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附录B和《危险化学品重大危险源辨识》（GB18218-2018</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判断</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建设项目生产、使用、储存过程中涉及的有毒有害、易燃易爆物质为废润滑油</w:t>
      </w:r>
      <w:r>
        <w:rPr>
          <w:rFonts w:hint="default" w:ascii="Times New Roman" w:hAnsi="Times New Roman" w:eastAsia="宋体" w:cs="Times New Roman"/>
          <w:color w:val="auto"/>
          <w:sz w:val="24"/>
          <w:szCs w:val="24"/>
          <w:highlight w:val="none"/>
          <w:lang w:eastAsia="zh-CN"/>
        </w:rPr>
        <w:t>。</w:t>
      </w:r>
    </w:p>
    <w:p>
      <w:pPr>
        <w:pageBreakBefore w:val="0"/>
        <w:wordWrap/>
        <w:bidi w:val="0"/>
        <w:spacing w:line="360" w:lineRule="auto"/>
        <w:ind w:left="0" w:leftChars="0" w:right="0" w:rightChars="0" w:firstLine="482"/>
        <w:outlineLvl w:val="2"/>
        <w:rPr>
          <w:rFonts w:hint="default" w:ascii="Times New Roman" w:hAnsi="Times New Roman" w:eastAsia="宋体" w:cs="Times New Roman"/>
          <w:b w:val="0"/>
          <w:bCs w:val="0"/>
          <w:color w:val="auto"/>
          <w:sz w:val="24"/>
          <w:szCs w:val="24"/>
          <w:highlight w:val="none"/>
          <w:lang w:eastAsia="zh-CN"/>
        </w:rPr>
      </w:pPr>
      <w:bookmarkStart w:id="219" w:name="_Toc11561"/>
      <w:bookmarkStart w:id="220" w:name="_Toc3899"/>
      <w:r>
        <w:rPr>
          <w:rFonts w:hint="default" w:ascii="Times New Roman" w:hAnsi="Times New Roman" w:eastAsia="宋体" w:cs="Times New Roman"/>
          <w:b w:val="0"/>
          <w:bCs w:val="0"/>
          <w:color w:val="auto"/>
          <w:sz w:val="24"/>
          <w:szCs w:val="24"/>
          <w:highlight w:val="none"/>
        </w:rPr>
        <w:t>①危险物质数量与临界量比值（Q</w:t>
      </w:r>
      <w:r>
        <w:rPr>
          <w:rFonts w:hint="default" w:ascii="Times New Roman" w:hAnsi="Times New Roman" w:eastAsia="宋体" w:cs="Times New Roman"/>
          <w:b w:val="0"/>
          <w:bCs w:val="0"/>
          <w:color w:val="auto"/>
          <w:sz w:val="24"/>
          <w:szCs w:val="24"/>
          <w:highlight w:val="none"/>
          <w:lang w:eastAsia="zh-CN"/>
        </w:rPr>
        <w:t>）</w:t>
      </w:r>
      <w:bookmarkEnd w:id="219"/>
      <w:bookmarkEnd w:id="220"/>
    </w:p>
    <w:p>
      <w:pPr>
        <w:pageBreakBefore w:val="0"/>
        <w:wordWrap/>
        <w:bidi w:val="0"/>
        <w:spacing w:line="360" w:lineRule="auto"/>
        <w:ind w:left="0" w:leftChars="0" w:right="0" w:rightChars="0"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按照《建设项目环境风险评价技术导则》（HJ169-2018</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附录C计算危险物质数量与临界量比值（Q</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w:t>
      </w:r>
    </w:p>
    <w:p>
      <w:pPr>
        <w:pageBreakBefore w:val="0"/>
        <w:wordWrap/>
        <w:bidi w:val="0"/>
        <w:spacing w:line="360" w:lineRule="auto"/>
        <w:ind w:left="0" w:leftChars="0" w:right="0" w:rightChars="0" w:firstLine="480"/>
        <w:jc w:val="center"/>
        <w:rPr>
          <w:rFonts w:hint="default" w:ascii="Times New Roman" w:hAnsi="Times New Roman" w:eastAsia="宋体" w:cs="Times New Roman"/>
          <w:bCs/>
          <w:color w:val="auto"/>
          <w:sz w:val="24"/>
          <w:szCs w:val="24"/>
          <w:highlight w:val="none"/>
        </w:rPr>
      </w:pPr>
      <w:r>
        <w:rPr>
          <w:rFonts w:hint="default" w:ascii="Times New Roman" w:hAnsi="Times New Roman" w:eastAsia="宋体" w:cs="Times New Roman"/>
          <w:bCs/>
          <w:color w:val="auto"/>
          <w:sz w:val="24"/>
          <w:szCs w:val="24"/>
          <w:highlight w:val="none"/>
        </w:rPr>
        <w:t>Q=q</w:t>
      </w:r>
      <w:r>
        <w:rPr>
          <w:rFonts w:hint="default" w:ascii="Times New Roman" w:hAnsi="Times New Roman" w:eastAsia="宋体" w:cs="Times New Roman"/>
          <w:bCs/>
          <w:color w:val="auto"/>
          <w:sz w:val="24"/>
          <w:szCs w:val="24"/>
          <w:highlight w:val="none"/>
          <w:vertAlign w:val="subscript"/>
        </w:rPr>
        <w:t>1</w:t>
      </w:r>
      <w:r>
        <w:rPr>
          <w:rFonts w:hint="default" w:ascii="Times New Roman" w:hAnsi="Times New Roman" w:eastAsia="宋体" w:cs="Times New Roman"/>
          <w:bCs/>
          <w:color w:val="auto"/>
          <w:sz w:val="24"/>
          <w:szCs w:val="24"/>
          <w:highlight w:val="none"/>
        </w:rPr>
        <w:t>/Q</w:t>
      </w:r>
      <w:r>
        <w:rPr>
          <w:rFonts w:hint="default" w:ascii="Times New Roman" w:hAnsi="Times New Roman" w:eastAsia="宋体" w:cs="Times New Roman"/>
          <w:bCs/>
          <w:color w:val="auto"/>
          <w:sz w:val="24"/>
          <w:szCs w:val="24"/>
          <w:highlight w:val="none"/>
          <w:vertAlign w:val="subscript"/>
        </w:rPr>
        <w:t>1</w:t>
      </w:r>
      <w:r>
        <w:rPr>
          <w:rFonts w:hint="default" w:ascii="Times New Roman" w:hAnsi="Times New Roman" w:eastAsia="宋体" w:cs="Times New Roman"/>
          <w:bCs/>
          <w:color w:val="auto"/>
          <w:sz w:val="24"/>
          <w:szCs w:val="24"/>
          <w:highlight w:val="none"/>
        </w:rPr>
        <w:t>+q</w:t>
      </w:r>
      <w:r>
        <w:rPr>
          <w:rFonts w:hint="default" w:ascii="Times New Roman" w:hAnsi="Times New Roman" w:eastAsia="宋体" w:cs="Times New Roman"/>
          <w:bCs/>
          <w:color w:val="auto"/>
          <w:sz w:val="24"/>
          <w:szCs w:val="24"/>
          <w:highlight w:val="none"/>
          <w:vertAlign w:val="subscript"/>
        </w:rPr>
        <w:t>2</w:t>
      </w:r>
      <w:r>
        <w:rPr>
          <w:rFonts w:hint="default" w:ascii="Times New Roman" w:hAnsi="Times New Roman" w:eastAsia="宋体" w:cs="Times New Roman"/>
          <w:bCs/>
          <w:color w:val="auto"/>
          <w:sz w:val="24"/>
          <w:szCs w:val="24"/>
          <w:highlight w:val="none"/>
        </w:rPr>
        <w:t>/Q</w:t>
      </w:r>
      <w:r>
        <w:rPr>
          <w:rFonts w:hint="default" w:ascii="Times New Roman" w:hAnsi="Times New Roman" w:eastAsia="宋体" w:cs="Times New Roman"/>
          <w:bCs/>
          <w:color w:val="auto"/>
          <w:sz w:val="24"/>
          <w:szCs w:val="24"/>
          <w:highlight w:val="none"/>
          <w:vertAlign w:val="subscript"/>
        </w:rPr>
        <w:t>2</w:t>
      </w:r>
      <w:r>
        <w:rPr>
          <w:rFonts w:hint="default" w:ascii="Times New Roman" w:hAnsi="Times New Roman" w:eastAsia="宋体" w:cs="Times New Roman"/>
          <w:bCs/>
          <w:color w:val="auto"/>
          <w:sz w:val="24"/>
          <w:szCs w:val="24"/>
          <w:highlight w:val="none"/>
        </w:rPr>
        <w:t>……＋q</w:t>
      </w:r>
      <w:r>
        <w:rPr>
          <w:rFonts w:hint="default" w:ascii="Times New Roman" w:hAnsi="Times New Roman" w:eastAsia="宋体" w:cs="Times New Roman"/>
          <w:bCs/>
          <w:color w:val="auto"/>
          <w:sz w:val="24"/>
          <w:szCs w:val="24"/>
          <w:highlight w:val="none"/>
          <w:vertAlign w:val="subscript"/>
        </w:rPr>
        <w:t>n</w:t>
      </w:r>
      <w:r>
        <w:rPr>
          <w:rFonts w:hint="default" w:ascii="Times New Roman" w:hAnsi="Times New Roman" w:eastAsia="宋体" w:cs="Times New Roman"/>
          <w:bCs/>
          <w:color w:val="auto"/>
          <w:sz w:val="24"/>
          <w:szCs w:val="24"/>
          <w:highlight w:val="none"/>
        </w:rPr>
        <w:t>/Q</w:t>
      </w:r>
      <w:r>
        <w:rPr>
          <w:rFonts w:hint="default" w:ascii="Times New Roman" w:hAnsi="Times New Roman" w:eastAsia="宋体" w:cs="Times New Roman"/>
          <w:bCs/>
          <w:color w:val="auto"/>
          <w:sz w:val="24"/>
          <w:szCs w:val="24"/>
          <w:highlight w:val="none"/>
          <w:vertAlign w:val="subscript"/>
        </w:rPr>
        <w:t>n</w:t>
      </w:r>
    </w:p>
    <w:p>
      <w:pPr>
        <w:pageBreakBefore w:val="0"/>
        <w:wordWrap/>
        <w:bidi w:val="0"/>
        <w:spacing w:line="360" w:lineRule="auto"/>
        <w:ind w:left="0" w:leftChars="0" w:right="0" w:rightChars="0" w:firstLine="480"/>
        <w:rPr>
          <w:rFonts w:hint="default" w:ascii="Times New Roman" w:hAnsi="Times New Roman" w:eastAsia="宋体" w:cs="Times New Roman"/>
          <w:bCs/>
          <w:color w:val="auto"/>
          <w:sz w:val="24"/>
          <w:szCs w:val="24"/>
          <w:highlight w:val="none"/>
        </w:rPr>
      </w:pPr>
      <w:r>
        <w:rPr>
          <w:rFonts w:hint="default" w:ascii="Times New Roman" w:hAnsi="Times New Roman" w:eastAsia="宋体" w:cs="Times New Roman"/>
          <w:color w:val="auto"/>
          <w:sz w:val="24"/>
          <w:szCs w:val="24"/>
          <w:highlight w:val="none"/>
        </w:rPr>
        <w:t>式中</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bCs/>
          <w:color w:val="auto"/>
          <w:sz w:val="24"/>
          <w:szCs w:val="24"/>
          <w:highlight w:val="none"/>
        </w:rPr>
        <w:t>q</w:t>
      </w:r>
      <w:r>
        <w:rPr>
          <w:rFonts w:hint="default" w:ascii="Times New Roman" w:hAnsi="Times New Roman" w:eastAsia="宋体" w:cs="Times New Roman"/>
          <w:bCs/>
          <w:color w:val="auto"/>
          <w:sz w:val="24"/>
          <w:szCs w:val="24"/>
          <w:highlight w:val="none"/>
          <w:vertAlign w:val="subscript"/>
        </w:rPr>
        <w:t>1</w:t>
      </w:r>
      <w:r>
        <w:rPr>
          <w:rFonts w:hint="default" w:ascii="Times New Roman" w:hAnsi="Times New Roman" w:eastAsia="宋体"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rPr>
        <w:t>q</w:t>
      </w:r>
      <w:r>
        <w:rPr>
          <w:rFonts w:hint="default" w:ascii="Times New Roman" w:hAnsi="Times New Roman" w:eastAsia="宋体" w:cs="Times New Roman"/>
          <w:bCs/>
          <w:color w:val="auto"/>
          <w:sz w:val="24"/>
          <w:szCs w:val="24"/>
          <w:highlight w:val="none"/>
          <w:vertAlign w:val="subscript"/>
        </w:rPr>
        <w:t>2</w:t>
      </w:r>
      <w:r>
        <w:rPr>
          <w:rFonts w:hint="default" w:ascii="Times New Roman" w:hAnsi="Times New Roman" w:eastAsia="宋体" w:cs="Times New Roman"/>
          <w:bCs/>
          <w:color w:val="auto"/>
          <w:sz w:val="24"/>
          <w:szCs w:val="24"/>
          <w:highlight w:val="none"/>
        </w:rPr>
        <w:t>…</w:t>
      </w:r>
      <w:r>
        <w:rPr>
          <w:rFonts w:hint="default" w:ascii="Times New Roman" w:hAnsi="Times New Roman" w:eastAsia="宋体"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rPr>
        <w:t>q</w:t>
      </w:r>
      <w:r>
        <w:rPr>
          <w:rFonts w:hint="default" w:ascii="Times New Roman" w:hAnsi="Times New Roman" w:eastAsia="宋体" w:cs="Times New Roman"/>
          <w:bCs/>
          <w:color w:val="auto"/>
          <w:sz w:val="24"/>
          <w:szCs w:val="24"/>
          <w:highlight w:val="none"/>
          <w:vertAlign w:val="subscript"/>
        </w:rPr>
        <w:t>n</w:t>
      </w:r>
      <w:r>
        <w:rPr>
          <w:rFonts w:hint="default" w:ascii="Times New Roman" w:hAnsi="Times New Roman" w:eastAsia="宋体" w:cs="Times New Roman"/>
          <w:bCs/>
          <w:color w:val="auto"/>
          <w:sz w:val="24"/>
          <w:szCs w:val="24"/>
          <w:highlight w:val="none"/>
        </w:rPr>
        <w:t>为每种危险物质最大存在量</w:t>
      </w:r>
      <w:r>
        <w:rPr>
          <w:rFonts w:hint="default" w:ascii="Times New Roman" w:hAnsi="Times New Roman" w:eastAsia="宋体"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rPr>
        <w:t>t；</w:t>
      </w:r>
    </w:p>
    <w:p>
      <w:pPr>
        <w:pageBreakBefore w:val="0"/>
        <w:wordWrap/>
        <w:bidi w:val="0"/>
        <w:spacing w:line="360" w:lineRule="auto"/>
        <w:ind w:left="0" w:leftChars="0" w:right="0" w:rightChars="0" w:firstLine="480"/>
        <w:rPr>
          <w:rFonts w:hint="default" w:ascii="Times New Roman" w:hAnsi="Times New Roman" w:eastAsia="宋体" w:cs="Times New Roman"/>
          <w:bCs/>
          <w:color w:val="auto"/>
          <w:sz w:val="24"/>
          <w:szCs w:val="24"/>
          <w:highlight w:val="none"/>
        </w:rPr>
      </w:pPr>
      <w:r>
        <w:rPr>
          <w:rFonts w:hint="default" w:ascii="Times New Roman" w:hAnsi="Times New Roman" w:eastAsia="宋体" w:cs="Times New Roman"/>
          <w:bCs/>
          <w:color w:val="auto"/>
          <w:sz w:val="24"/>
          <w:szCs w:val="24"/>
          <w:highlight w:val="none"/>
        </w:rPr>
        <w:t>Q</w:t>
      </w:r>
      <w:r>
        <w:rPr>
          <w:rFonts w:hint="default" w:ascii="Times New Roman" w:hAnsi="Times New Roman" w:eastAsia="宋体" w:cs="Times New Roman"/>
          <w:bCs/>
          <w:color w:val="auto"/>
          <w:sz w:val="24"/>
          <w:szCs w:val="24"/>
          <w:highlight w:val="none"/>
          <w:vertAlign w:val="subscript"/>
        </w:rPr>
        <w:t>1</w:t>
      </w:r>
      <w:r>
        <w:rPr>
          <w:rFonts w:hint="default" w:ascii="Times New Roman" w:hAnsi="Times New Roman" w:eastAsia="宋体"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rPr>
        <w:t>Q</w:t>
      </w:r>
      <w:r>
        <w:rPr>
          <w:rFonts w:hint="default" w:ascii="Times New Roman" w:hAnsi="Times New Roman" w:eastAsia="宋体" w:cs="Times New Roman"/>
          <w:bCs/>
          <w:color w:val="auto"/>
          <w:sz w:val="24"/>
          <w:szCs w:val="24"/>
          <w:highlight w:val="none"/>
          <w:vertAlign w:val="subscript"/>
        </w:rPr>
        <w:t>2</w:t>
      </w:r>
      <w:r>
        <w:rPr>
          <w:rFonts w:hint="default" w:ascii="Times New Roman" w:hAnsi="Times New Roman" w:eastAsia="宋体" w:cs="Times New Roman"/>
          <w:bCs/>
          <w:color w:val="auto"/>
          <w:sz w:val="24"/>
          <w:szCs w:val="24"/>
          <w:highlight w:val="none"/>
        </w:rPr>
        <w:t>…Q</w:t>
      </w:r>
      <w:r>
        <w:rPr>
          <w:rFonts w:hint="default" w:ascii="Times New Roman" w:hAnsi="Times New Roman" w:eastAsia="宋体" w:cs="Times New Roman"/>
          <w:bCs/>
          <w:color w:val="auto"/>
          <w:sz w:val="24"/>
          <w:szCs w:val="24"/>
          <w:highlight w:val="none"/>
          <w:vertAlign w:val="subscript"/>
        </w:rPr>
        <w:t>n</w:t>
      </w:r>
      <w:r>
        <w:rPr>
          <w:rFonts w:hint="default" w:ascii="Times New Roman" w:hAnsi="Times New Roman" w:eastAsia="宋体" w:cs="Times New Roman"/>
          <w:bCs/>
          <w:color w:val="auto"/>
          <w:sz w:val="24"/>
          <w:szCs w:val="24"/>
          <w:highlight w:val="none"/>
        </w:rPr>
        <w:t>为与各危险物质的临界量</w:t>
      </w:r>
      <w:r>
        <w:rPr>
          <w:rFonts w:hint="default" w:ascii="Times New Roman" w:hAnsi="Times New Roman" w:eastAsia="宋体"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rPr>
        <w:t>t。</w:t>
      </w:r>
    </w:p>
    <w:p>
      <w:pPr>
        <w:pageBreakBefore w:val="0"/>
        <w:widowControl w:val="0"/>
        <w:kinsoku/>
        <w:wordWrap/>
        <w:overflowPunct/>
        <w:topLinePunct w:val="0"/>
        <w:autoSpaceDE/>
        <w:autoSpaceDN/>
        <w:bidi w:val="0"/>
        <w:spacing w:line="360" w:lineRule="auto"/>
        <w:ind w:left="0" w:leftChars="0" w:right="0" w:rightChars="0"/>
        <w:jc w:val="center"/>
        <w:rPr>
          <w:rFonts w:hint="default" w:ascii="Times New Roman" w:hAnsi="Times New Roman" w:eastAsia="宋体" w:cs="Times New Roman"/>
          <w:b/>
          <w:color w:val="auto"/>
          <w:sz w:val="24"/>
          <w:szCs w:val="24"/>
          <w:highlight w:val="none"/>
          <w:shd w:val="clear" w:color="auto" w:fill="auto"/>
        </w:rPr>
      </w:pPr>
      <w:r>
        <w:rPr>
          <w:rFonts w:hint="default" w:ascii="Times New Roman" w:hAnsi="Times New Roman" w:eastAsia="宋体" w:cs="Times New Roman"/>
          <w:b/>
          <w:color w:val="auto"/>
          <w:sz w:val="24"/>
          <w:szCs w:val="24"/>
          <w:highlight w:val="none"/>
          <w:shd w:val="clear" w:color="auto" w:fill="auto"/>
        </w:rPr>
        <w:t>表1</w:t>
      </w:r>
      <w:r>
        <w:rPr>
          <w:rFonts w:hint="default" w:ascii="Times New Roman" w:hAnsi="Times New Roman" w:eastAsia="宋体" w:cs="Times New Roman"/>
          <w:b/>
          <w:color w:val="auto"/>
          <w:sz w:val="24"/>
          <w:szCs w:val="24"/>
          <w:highlight w:val="none"/>
          <w:shd w:val="clear" w:color="auto" w:fill="auto"/>
          <w:lang w:val="en-US" w:eastAsia="zh-CN"/>
        </w:rPr>
        <w:t>-13</w:t>
      </w:r>
      <w:r>
        <w:rPr>
          <w:rFonts w:hint="default" w:ascii="Times New Roman" w:hAnsi="Times New Roman" w:eastAsia="宋体" w:cs="Times New Roman"/>
          <w:b/>
          <w:color w:val="auto"/>
          <w:sz w:val="24"/>
          <w:szCs w:val="24"/>
          <w:highlight w:val="none"/>
          <w:shd w:val="clear" w:color="auto" w:fill="auto"/>
        </w:rPr>
        <w:t>项目危险物质名称及临界量</w:t>
      </w:r>
    </w:p>
    <w:tbl>
      <w:tblPr>
        <w:tblStyle w:val="54"/>
        <w:tblW w:w="827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25"/>
        <w:gridCol w:w="1719"/>
        <w:gridCol w:w="1588"/>
        <w:gridCol w:w="1849"/>
        <w:gridCol w:w="159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66"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Cs/>
                <w:color w:val="auto"/>
                <w:sz w:val="21"/>
                <w:szCs w:val="21"/>
                <w:highlight w:val="none"/>
                <w:shd w:val="clear" w:color="auto" w:fill="auto"/>
              </w:rPr>
            </w:pPr>
            <w:r>
              <w:rPr>
                <w:rFonts w:hint="default" w:ascii="Times New Roman" w:hAnsi="Times New Roman" w:eastAsia="宋体" w:cs="Times New Roman"/>
                <w:bCs/>
                <w:color w:val="auto"/>
                <w:sz w:val="21"/>
                <w:szCs w:val="21"/>
                <w:highlight w:val="none"/>
                <w:shd w:val="clear" w:color="auto" w:fill="auto"/>
              </w:rPr>
              <w:t>类别</w:t>
            </w:r>
          </w:p>
        </w:tc>
        <w:tc>
          <w:tcPr>
            <w:tcW w:w="1766"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Cs/>
                <w:color w:val="auto"/>
                <w:sz w:val="21"/>
                <w:szCs w:val="21"/>
                <w:highlight w:val="none"/>
                <w:shd w:val="clear" w:color="auto" w:fill="auto"/>
              </w:rPr>
            </w:pPr>
            <w:r>
              <w:rPr>
                <w:rFonts w:hint="default" w:ascii="Times New Roman" w:hAnsi="Times New Roman" w:eastAsia="宋体" w:cs="Times New Roman"/>
                <w:bCs/>
                <w:color w:val="auto"/>
                <w:sz w:val="21"/>
                <w:szCs w:val="21"/>
                <w:highlight w:val="none"/>
                <w:shd w:val="clear" w:color="auto" w:fill="auto"/>
              </w:rPr>
              <w:t>危险化学品名称</w:t>
            </w:r>
          </w:p>
        </w:tc>
        <w:tc>
          <w:tcPr>
            <w:tcW w:w="1631"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Cs/>
                <w:color w:val="auto"/>
                <w:sz w:val="21"/>
                <w:szCs w:val="21"/>
                <w:highlight w:val="none"/>
                <w:shd w:val="clear" w:color="auto" w:fill="auto"/>
                <w:lang w:eastAsia="zh-CN"/>
              </w:rPr>
            </w:pPr>
            <w:r>
              <w:rPr>
                <w:rFonts w:hint="default" w:ascii="Times New Roman" w:hAnsi="Times New Roman" w:eastAsia="宋体" w:cs="Times New Roman"/>
                <w:bCs/>
                <w:color w:val="auto"/>
                <w:sz w:val="21"/>
                <w:szCs w:val="21"/>
                <w:highlight w:val="none"/>
                <w:shd w:val="clear" w:color="auto" w:fill="auto"/>
              </w:rPr>
              <w:t>临界量</w:t>
            </w:r>
            <w:r>
              <w:rPr>
                <w:rFonts w:hint="default" w:ascii="Times New Roman" w:hAnsi="Times New Roman" w:eastAsia="宋体" w:cs="Times New Roman"/>
                <w:color w:val="auto"/>
                <w:sz w:val="21"/>
                <w:szCs w:val="21"/>
                <w:highlight w:val="none"/>
                <w:shd w:val="clear" w:color="auto" w:fill="auto"/>
              </w:rPr>
              <w:t>Q（t</w:t>
            </w:r>
            <w:r>
              <w:rPr>
                <w:rFonts w:hint="default" w:ascii="Times New Roman" w:hAnsi="Times New Roman" w:eastAsia="宋体" w:cs="Times New Roman"/>
                <w:color w:val="auto"/>
                <w:sz w:val="21"/>
                <w:szCs w:val="21"/>
                <w:highlight w:val="none"/>
                <w:shd w:val="clear" w:color="auto" w:fill="auto"/>
                <w:lang w:eastAsia="zh-CN"/>
              </w:rPr>
              <w:t>）</w:t>
            </w:r>
          </w:p>
        </w:tc>
        <w:tc>
          <w:tcPr>
            <w:tcW w:w="1901" w:type="dxa"/>
            <w:tcBorders>
              <w:top w:val="single" w:color="auto" w:sz="4" w:space="0"/>
              <w:left w:val="single" w:color="auto" w:sz="4" w:space="0"/>
              <w:bottom w:val="single" w:color="auto" w:sz="4" w:space="0"/>
              <w:right w:val="single" w:color="auto" w:sz="4" w:space="0"/>
            </w:tcBorders>
            <w:vAlign w:val="center"/>
          </w:tcPr>
          <w:p>
            <w:pPr>
              <w:pStyle w:val="515"/>
              <w:pageBreakBefore w:val="0"/>
              <w:wordWrap/>
              <w:bidi w:val="0"/>
              <w:adjustRightInd w:val="0"/>
              <w:spacing w:line="240" w:lineRule="auto"/>
              <w:ind w:left="0" w:leftChars="0" w:right="0" w:rightChars="0"/>
              <w:jc w:val="center"/>
              <w:rPr>
                <w:rFonts w:hint="default" w:ascii="Times New Roman" w:hAnsi="Times New Roman" w:eastAsia="宋体" w:cs="Times New Roman"/>
                <w:color w:val="auto"/>
                <w:kern w:val="2"/>
                <w:sz w:val="21"/>
                <w:szCs w:val="21"/>
                <w:highlight w:val="none"/>
                <w:shd w:val="clear" w:color="auto" w:fill="auto"/>
              </w:rPr>
            </w:pPr>
            <w:r>
              <w:rPr>
                <w:rFonts w:hint="default" w:ascii="Times New Roman" w:hAnsi="Times New Roman" w:eastAsia="宋体" w:cs="Times New Roman"/>
                <w:color w:val="auto"/>
                <w:kern w:val="2"/>
                <w:sz w:val="21"/>
                <w:szCs w:val="21"/>
                <w:highlight w:val="none"/>
                <w:shd w:val="clear" w:color="auto" w:fill="auto"/>
              </w:rPr>
              <w:t>最大实际储量</w:t>
            </w:r>
          </w:p>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Cs/>
                <w:color w:val="auto"/>
                <w:sz w:val="21"/>
                <w:szCs w:val="21"/>
                <w:highlight w:val="none"/>
                <w:shd w:val="clear" w:color="auto" w:fill="auto"/>
                <w:lang w:eastAsia="zh-CN"/>
              </w:rPr>
            </w:pPr>
            <w:r>
              <w:rPr>
                <w:rFonts w:hint="default" w:ascii="Times New Roman" w:hAnsi="Times New Roman" w:eastAsia="宋体" w:cs="Times New Roman"/>
                <w:color w:val="auto"/>
                <w:sz w:val="21"/>
                <w:szCs w:val="21"/>
                <w:highlight w:val="none"/>
                <w:shd w:val="clear" w:color="auto" w:fill="auto"/>
              </w:rPr>
              <w:t>q（t</w:t>
            </w:r>
            <w:r>
              <w:rPr>
                <w:rFonts w:hint="default" w:ascii="Times New Roman" w:hAnsi="Times New Roman" w:eastAsia="宋体" w:cs="Times New Roman"/>
                <w:color w:val="auto"/>
                <w:sz w:val="21"/>
                <w:szCs w:val="21"/>
                <w:highlight w:val="none"/>
                <w:shd w:val="clear" w:color="auto" w:fill="auto"/>
                <w:lang w:eastAsia="zh-CN"/>
              </w:rPr>
              <w:t>）</w:t>
            </w:r>
          </w:p>
        </w:tc>
        <w:tc>
          <w:tcPr>
            <w:tcW w:w="1640"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Cs/>
                <w:color w:val="auto"/>
                <w:sz w:val="21"/>
                <w:szCs w:val="21"/>
                <w:highlight w:val="none"/>
                <w:shd w:val="clear" w:color="auto" w:fill="auto"/>
              </w:rPr>
            </w:pPr>
            <w:r>
              <w:rPr>
                <w:rFonts w:hint="default" w:ascii="Times New Roman" w:hAnsi="Times New Roman" w:eastAsia="宋体" w:cs="Times New Roman"/>
                <w:color w:val="auto"/>
                <w:sz w:val="21"/>
                <w:szCs w:val="21"/>
                <w:highlight w:val="none"/>
                <w:shd w:val="clear" w:color="auto" w:fill="auto"/>
              </w:rPr>
              <w:t>q/Q</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66"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shd w:val="clear" w:color="auto" w:fill="auto"/>
              </w:rPr>
            </w:pPr>
            <w:r>
              <w:rPr>
                <w:rFonts w:hint="default" w:ascii="Times New Roman" w:hAnsi="Times New Roman" w:eastAsia="宋体" w:cs="Times New Roman"/>
                <w:color w:val="auto"/>
                <w:sz w:val="21"/>
                <w:szCs w:val="21"/>
                <w:highlight w:val="none"/>
                <w:shd w:val="clear" w:color="auto" w:fill="auto"/>
              </w:rPr>
              <w:t>易燃液体</w:t>
            </w:r>
          </w:p>
        </w:tc>
        <w:tc>
          <w:tcPr>
            <w:tcW w:w="1766"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shd w:val="clear" w:color="auto" w:fill="auto"/>
                <w:lang w:eastAsia="zh-CN"/>
              </w:rPr>
            </w:pPr>
            <w:r>
              <w:rPr>
                <w:rFonts w:hint="default" w:ascii="Times New Roman" w:hAnsi="Times New Roman" w:eastAsia="宋体" w:cs="Times New Roman"/>
                <w:color w:val="auto"/>
                <w:sz w:val="21"/>
                <w:szCs w:val="21"/>
                <w:highlight w:val="none"/>
              </w:rPr>
              <w:t>废润滑油</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shd w:val="clear" w:color="auto" w:fill="auto"/>
                <w:lang w:eastAsia="zh-CN"/>
              </w:rPr>
              <w:t>废矿物油</w:t>
            </w:r>
            <w:r>
              <w:rPr>
                <w:rFonts w:hint="default" w:ascii="Times New Roman" w:hAnsi="Times New Roman" w:eastAsia="宋体" w:cs="Times New Roman"/>
                <w:color w:val="auto"/>
                <w:sz w:val="21"/>
                <w:szCs w:val="21"/>
                <w:highlight w:val="none"/>
                <w:lang w:eastAsia="zh-CN"/>
              </w:rPr>
              <w:t>）</w:t>
            </w:r>
          </w:p>
        </w:tc>
        <w:tc>
          <w:tcPr>
            <w:tcW w:w="1631"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shd w:val="clear" w:color="auto" w:fill="auto"/>
              </w:rPr>
            </w:pPr>
            <w:r>
              <w:rPr>
                <w:rFonts w:hint="default" w:ascii="Times New Roman" w:hAnsi="Times New Roman" w:eastAsia="宋体" w:cs="Times New Roman"/>
                <w:color w:val="auto"/>
                <w:sz w:val="21"/>
                <w:szCs w:val="21"/>
                <w:highlight w:val="none"/>
                <w:shd w:val="clear" w:color="auto" w:fill="auto"/>
              </w:rPr>
              <w:t>2500</w:t>
            </w:r>
          </w:p>
        </w:tc>
        <w:tc>
          <w:tcPr>
            <w:tcW w:w="1901" w:type="dxa"/>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shd w:val="clear" w:color="auto" w:fill="auto"/>
                <w:lang w:val="en-US" w:eastAsia="zh-CN"/>
              </w:rPr>
            </w:pPr>
            <w:r>
              <w:rPr>
                <w:rFonts w:hint="default" w:ascii="Times New Roman" w:hAnsi="Times New Roman" w:eastAsia="宋体" w:cs="Times New Roman"/>
                <w:color w:val="auto"/>
                <w:sz w:val="21"/>
                <w:szCs w:val="21"/>
                <w:highlight w:val="none"/>
                <w:shd w:val="clear" w:color="auto" w:fill="auto"/>
                <w:lang w:val="en-US" w:eastAsia="zh-CN"/>
              </w:rPr>
              <w:t>10</w:t>
            </w:r>
          </w:p>
        </w:tc>
        <w:tc>
          <w:tcPr>
            <w:tcW w:w="1640" w:type="dxa"/>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shd w:val="clear" w:color="auto" w:fill="auto"/>
                <w:lang w:eastAsia="zh-CN"/>
              </w:rPr>
            </w:pPr>
            <w:r>
              <w:rPr>
                <w:rFonts w:hint="default" w:ascii="Times New Roman" w:hAnsi="Times New Roman" w:eastAsia="宋体" w:cs="Times New Roman"/>
                <w:color w:val="auto"/>
                <w:sz w:val="21"/>
                <w:szCs w:val="21"/>
                <w:highlight w:val="none"/>
                <w:shd w:val="clear" w:color="auto" w:fill="auto"/>
                <w:lang w:eastAsia="zh-CN"/>
              </w:rPr>
              <w:t>0.004</w:t>
            </w:r>
          </w:p>
        </w:tc>
      </w:tr>
    </w:tbl>
    <w:p>
      <w:pPr>
        <w:pageBreakBefore w:val="0"/>
        <w:widowControl w:val="0"/>
        <w:kinsoku/>
        <w:wordWrap/>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shd w:val="clear" w:color="auto" w:fill="auto"/>
        </w:rPr>
        <w:t>Q</w:t>
      </w:r>
      <w:r>
        <w:rPr>
          <w:rFonts w:hint="default" w:ascii="Times New Roman" w:hAnsi="Times New Roman" w:eastAsia="宋体" w:cs="Times New Roman"/>
          <w:b w:val="0"/>
          <w:bCs w:val="0"/>
          <w:color w:val="auto"/>
          <w:sz w:val="24"/>
          <w:szCs w:val="24"/>
          <w:highlight w:val="none"/>
          <w:shd w:val="clear" w:color="auto" w:fill="auto"/>
          <w:lang w:val="en-US" w:eastAsia="zh-CN"/>
        </w:rPr>
        <w:t>=10/2500=0.004。</w:t>
      </w:r>
    </w:p>
    <w:p>
      <w:pPr>
        <w:pageBreakBefore w:val="0"/>
        <w:wordWrap/>
        <w:bidi w:val="0"/>
        <w:spacing w:line="360" w:lineRule="auto"/>
        <w:ind w:left="0" w:leftChars="0" w:right="0" w:rightChars="0" w:firstLine="480"/>
        <w:rPr>
          <w:rFonts w:hint="default" w:ascii="Times New Roman" w:hAnsi="Times New Roman" w:eastAsia="宋体" w:cs="Times New Roman"/>
          <w:bCs/>
          <w:color w:val="auto"/>
          <w:sz w:val="24"/>
          <w:szCs w:val="24"/>
          <w:highlight w:val="none"/>
        </w:rPr>
      </w:pPr>
      <w:r>
        <w:rPr>
          <w:rFonts w:hint="default" w:ascii="Times New Roman" w:hAnsi="Times New Roman" w:eastAsia="宋体" w:cs="Times New Roman"/>
          <w:bCs/>
          <w:color w:val="auto"/>
          <w:sz w:val="24"/>
          <w:szCs w:val="24"/>
          <w:highlight w:val="none"/>
        </w:rPr>
        <w:t>当Q＜1时</w:t>
      </w:r>
      <w:r>
        <w:rPr>
          <w:rFonts w:hint="default" w:ascii="Times New Roman" w:hAnsi="Times New Roman" w:eastAsia="宋体"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rPr>
        <w:t>该项目环境风险潜势为</w:t>
      </w:r>
      <w:r>
        <w:rPr>
          <w:rFonts w:hint="default" w:ascii="Times New Roman" w:hAnsi="Times New Roman" w:eastAsia="宋体" w:cs="Times New Roman"/>
          <w:color w:val="auto"/>
          <w:sz w:val="24"/>
          <w:szCs w:val="24"/>
          <w:highlight w:val="none"/>
        </w:rPr>
        <w:t>I</w:t>
      </w:r>
      <w:r>
        <w:rPr>
          <w:rFonts w:hint="default" w:ascii="Times New Roman" w:hAnsi="Times New Roman" w:eastAsia="宋体" w:cs="Times New Roman"/>
          <w:bCs/>
          <w:color w:val="auto"/>
          <w:sz w:val="24"/>
          <w:szCs w:val="24"/>
          <w:highlight w:val="none"/>
        </w:rPr>
        <w:t>。</w:t>
      </w:r>
    </w:p>
    <w:p>
      <w:pPr>
        <w:pageBreakBefore w:val="0"/>
        <w:wordWrap/>
        <w:bidi w:val="0"/>
        <w:spacing w:line="360" w:lineRule="auto"/>
        <w:ind w:left="0" w:leftChars="0" w:right="0" w:rightChars="0"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bCs/>
          <w:color w:val="auto"/>
          <w:sz w:val="24"/>
          <w:szCs w:val="24"/>
          <w:highlight w:val="none"/>
        </w:rPr>
        <w:t>当Q≥1时</w:t>
      </w:r>
      <w:r>
        <w:rPr>
          <w:rFonts w:hint="default" w:ascii="Times New Roman" w:hAnsi="Times New Roman" w:eastAsia="宋体"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rPr>
        <w:t>将Q值划分为</w:t>
      </w:r>
      <w:r>
        <w:rPr>
          <w:rFonts w:hint="default" w:ascii="Times New Roman" w:hAnsi="Times New Roman" w:eastAsia="宋体"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rPr>
        <w:t>（1</w:t>
      </w:r>
      <w:r>
        <w:rPr>
          <w:rFonts w:hint="default" w:ascii="Times New Roman" w:hAnsi="Times New Roman" w:eastAsia="宋体"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rPr>
        <w:t>1≤Q＜10；（2</w:t>
      </w:r>
      <w:r>
        <w:rPr>
          <w:rFonts w:hint="default" w:ascii="Times New Roman" w:hAnsi="Times New Roman" w:eastAsia="宋体"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rPr>
        <w:t>10≤Q＜100；（3</w:t>
      </w:r>
      <w:r>
        <w:rPr>
          <w:rFonts w:hint="default" w:ascii="Times New Roman" w:hAnsi="Times New Roman" w:eastAsia="宋体"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rPr>
        <w:t>Q≥100。</w:t>
      </w:r>
    </w:p>
    <w:p>
      <w:pPr>
        <w:keepNext w:val="0"/>
        <w:keepLines w:val="0"/>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shd w:val="clear" w:color="auto" w:fill="auto"/>
        </w:rPr>
      </w:pPr>
      <w:r>
        <w:rPr>
          <w:rFonts w:hint="default" w:ascii="Times New Roman" w:hAnsi="Times New Roman" w:eastAsia="宋体" w:cs="Times New Roman"/>
          <w:color w:val="auto"/>
          <w:sz w:val="24"/>
          <w:szCs w:val="24"/>
          <w:highlight w:val="none"/>
          <w:shd w:val="clear" w:color="auto" w:fill="auto"/>
        </w:rPr>
        <w:t>参见附录B确定危险物质的临界量。定量分析危险物质数量与临界量的比值（Q</w:t>
      </w:r>
      <w:r>
        <w:rPr>
          <w:rFonts w:hint="default" w:ascii="Times New Roman" w:hAnsi="Times New Roman" w:eastAsia="宋体" w:cs="Times New Roman"/>
          <w:color w:val="auto"/>
          <w:sz w:val="24"/>
          <w:szCs w:val="24"/>
          <w:highlight w:val="none"/>
          <w:shd w:val="clear" w:color="auto" w:fill="auto"/>
          <w:lang w:eastAsia="zh-CN"/>
        </w:rPr>
        <w:t>）</w:t>
      </w:r>
      <w:r>
        <w:rPr>
          <w:rFonts w:hint="default" w:ascii="Times New Roman" w:hAnsi="Times New Roman" w:eastAsia="宋体" w:cs="Times New Roman"/>
          <w:color w:val="auto"/>
          <w:sz w:val="24"/>
          <w:szCs w:val="24"/>
          <w:highlight w:val="none"/>
          <w:shd w:val="clear" w:color="auto" w:fill="auto"/>
        </w:rPr>
        <w:t>和所</w:t>
      </w:r>
      <w:r>
        <w:rPr>
          <w:rFonts w:hint="default" w:ascii="Times New Roman" w:hAnsi="Times New Roman" w:eastAsia="宋体" w:cs="Times New Roman"/>
          <w:color w:val="auto"/>
          <w:sz w:val="24"/>
          <w:szCs w:val="24"/>
          <w:highlight w:val="none"/>
          <w:shd w:val="clear" w:color="auto" w:fill="auto"/>
          <w:lang w:eastAsia="zh-CN"/>
        </w:rPr>
        <w:t>属</w:t>
      </w:r>
      <w:r>
        <w:rPr>
          <w:rFonts w:hint="default" w:ascii="Times New Roman" w:hAnsi="Times New Roman" w:eastAsia="宋体" w:cs="Times New Roman"/>
          <w:color w:val="auto"/>
          <w:sz w:val="24"/>
          <w:szCs w:val="24"/>
          <w:highlight w:val="none"/>
          <w:shd w:val="clear" w:color="auto" w:fill="auto"/>
        </w:rPr>
        <w:t>行业及生产工艺特点（M</w:t>
      </w:r>
      <w:r>
        <w:rPr>
          <w:rFonts w:hint="default" w:ascii="Times New Roman" w:hAnsi="Times New Roman" w:eastAsia="宋体" w:cs="Times New Roman"/>
          <w:color w:val="auto"/>
          <w:sz w:val="24"/>
          <w:szCs w:val="24"/>
          <w:highlight w:val="none"/>
          <w:shd w:val="clear" w:color="auto" w:fill="auto"/>
          <w:lang w:eastAsia="zh-CN"/>
        </w:rPr>
        <w:t>），</w:t>
      </w:r>
      <w:r>
        <w:rPr>
          <w:rFonts w:hint="default" w:ascii="Times New Roman" w:hAnsi="Times New Roman" w:eastAsia="宋体" w:cs="Times New Roman"/>
          <w:color w:val="auto"/>
          <w:sz w:val="24"/>
          <w:szCs w:val="24"/>
          <w:highlight w:val="none"/>
          <w:shd w:val="clear" w:color="auto" w:fill="auto"/>
        </w:rPr>
        <w:t>按附录C对危险物质及工艺系统危险性（P</w:t>
      </w:r>
      <w:r>
        <w:rPr>
          <w:rFonts w:hint="default" w:ascii="Times New Roman" w:hAnsi="Times New Roman" w:eastAsia="宋体" w:cs="Times New Roman"/>
          <w:color w:val="auto"/>
          <w:sz w:val="24"/>
          <w:szCs w:val="24"/>
          <w:highlight w:val="none"/>
          <w:shd w:val="clear" w:color="auto" w:fill="auto"/>
          <w:lang w:eastAsia="zh-CN"/>
        </w:rPr>
        <w:t>）</w:t>
      </w:r>
      <w:r>
        <w:rPr>
          <w:rFonts w:hint="default" w:ascii="Times New Roman" w:hAnsi="Times New Roman" w:eastAsia="宋体" w:cs="Times New Roman"/>
          <w:color w:val="auto"/>
          <w:sz w:val="24"/>
          <w:szCs w:val="24"/>
          <w:highlight w:val="none"/>
          <w:shd w:val="clear" w:color="auto" w:fill="auto"/>
        </w:rPr>
        <w:t>等级进行判断。</w:t>
      </w:r>
    </w:p>
    <w:p>
      <w:pPr>
        <w:pageBreakBefore w:val="0"/>
        <w:widowControl w:val="0"/>
        <w:kinsoku/>
        <w:wordWrap/>
        <w:topLinePunct w:val="0"/>
        <w:autoSpaceDE/>
        <w:autoSpaceDN/>
        <w:bidi w:val="0"/>
        <w:adjustRightInd/>
        <w:snapToGrid/>
        <w:spacing w:line="360" w:lineRule="auto"/>
        <w:ind w:left="0" w:leftChars="0" w:right="0" w:rightChars="0" w:firstLine="480" w:firstLineChars="200"/>
        <w:textAlignment w:val="auto"/>
        <w:outlineLvl w:val="2"/>
        <w:rPr>
          <w:rFonts w:hint="default" w:ascii="Times New Roman" w:hAnsi="Times New Roman" w:eastAsia="宋体" w:cs="Times New Roman"/>
          <w:b w:val="0"/>
          <w:bCs w:val="0"/>
          <w:color w:val="auto"/>
          <w:sz w:val="24"/>
          <w:szCs w:val="24"/>
          <w:highlight w:val="none"/>
        </w:rPr>
      </w:pPr>
      <w:bookmarkStart w:id="221" w:name="_Toc17123"/>
      <w:bookmarkStart w:id="222" w:name="_Toc4882"/>
      <w:r>
        <w:rPr>
          <w:rFonts w:hint="default" w:ascii="Times New Roman" w:hAnsi="Times New Roman" w:eastAsia="宋体" w:cs="Times New Roman"/>
          <w:b w:val="0"/>
          <w:bCs w:val="0"/>
          <w:color w:val="auto"/>
          <w:sz w:val="24"/>
          <w:szCs w:val="24"/>
          <w:highlight w:val="none"/>
        </w:rPr>
        <w:t>②环境风险评价工作等级判断</w:t>
      </w:r>
      <w:bookmarkEnd w:id="221"/>
      <w:bookmarkEnd w:id="222"/>
    </w:p>
    <w:p>
      <w:pPr>
        <w:pageBreakBefore w:val="0"/>
        <w:widowControl w:val="0"/>
        <w:kinsoku/>
        <w:wordWrap/>
        <w:overflowPunct w:val="0"/>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根据《建设项目环境风险评价技术导则》（HJ169-2018</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环境风险评价工作等级划分为一级、二级、三级、简单分析。根据建设项目涉及的物质及工艺系统危险性和所在地的环境敏感性确定环境风险潜势</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按照下表确定评价工作等级。</w:t>
      </w:r>
    </w:p>
    <w:p>
      <w:pPr>
        <w:pageBreakBefore w:val="0"/>
        <w:widowControl w:val="0"/>
        <w:kinsoku/>
        <w:wordWrap/>
        <w:overflowPunct/>
        <w:topLinePunct w:val="0"/>
        <w:autoSpaceDE/>
        <w:autoSpaceDN/>
        <w:bidi w:val="0"/>
        <w:spacing w:line="360" w:lineRule="auto"/>
        <w:ind w:left="0" w:leftChars="0" w:right="0" w:rightChars="0"/>
        <w:jc w:val="center"/>
        <w:rPr>
          <w:rFonts w:hint="default" w:ascii="Times New Roman" w:hAnsi="Times New Roman" w:eastAsia="宋体" w:cs="Times New Roman"/>
          <w:b/>
          <w:color w:val="auto"/>
          <w:sz w:val="24"/>
          <w:szCs w:val="24"/>
          <w:highlight w:val="none"/>
          <w:shd w:val="clear" w:color="auto" w:fill="auto"/>
        </w:rPr>
      </w:pPr>
      <w:r>
        <w:rPr>
          <w:rFonts w:hint="default" w:ascii="Times New Roman" w:hAnsi="Times New Roman" w:eastAsia="宋体" w:cs="Times New Roman"/>
          <w:b/>
          <w:color w:val="auto"/>
          <w:sz w:val="24"/>
          <w:szCs w:val="24"/>
          <w:highlight w:val="none"/>
          <w:shd w:val="clear" w:color="auto" w:fill="auto"/>
        </w:rPr>
        <w:t>表</w:t>
      </w:r>
      <w:r>
        <w:rPr>
          <w:rFonts w:hint="default" w:ascii="Times New Roman" w:hAnsi="Times New Roman" w:eastAsia="宋体" w:cs="Times New Roman"/>
          <w:b/>
          <w:color w:val="auto"/>
          <w:sz w:val="24"/>
          <w:szCs w:val="24"/>
          <w:highlight w:val="none"/>
          <w:shd w:val="clear" w:color="auto" w:fill="auto"/>
          <w:lang w:val="en-US" w:eastAsia="zh-CN"/>
        </w:rPr>
        <w:t>1-14</w:t>
      </w:r>
      <w:r>
        <w:rPr>
          <w:rFonts w:hint="default" w:ascii="Times New Roman" w:hAnsi="Times New Roman" w:eastAsia="宋体" w:cs="Times New Roman"/>
          <w:b/>
          <w:color w:val="auto"/>
          <w:sz w:val="24"/>
          <w:szCs w:val="24"/>
          <w:highlight w:val="none"/>
          <w:shd w:val="clear" w:color="auto" w:fill="auto"/>
        </w:rPr>
        <w:t>环境风险评价工作等级划分表</w:t>
      </w:r>
    </w:p>
    <w:tbl>
      <w:tblPr>
        <w:tblStyle w:val="54"/>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86"/>
        <w:gridCol w:w="1526"/>
        <w:gridCol w:w="1801"/>
        <w:gridCol w:w="2078"/>
        <w:gridCol w:w="152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trPr>
        <w:tc>
          <w:tcPr>
            <w:tcW w:w="1474" w:type="dxa"/>
            <w:tcBorders>
              <w:top w:val="single" w:color="auto" w:sz="4" w:space="0"/>
              <w:left w:val="single" w:color="auto" w:sz="4" w:space="0"/>
            </w:tcBorders>
            <w:tcMar>
              <w:left w:w="0" w:type="dxa"/>
              <w:right w:w="0" w:type="dxa"/>
            </w:tcMar>
            <w:vAlign w:val="center"/>
          </w:tcPr>
          <w:p>
            <w:pPr>
              <w:pageBreakBefore w:val="0"/>
              <w:wordWrap/>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环境风险潜势</w:t>
            </w:r>
          </w:p>
        </w:tc>
        <w:tc>
          <w:tcPr>
            <w:tcW w:w="1622" w:type="dxa"/>
            <w:tcBorders>
              <w:top w:val="single" w:color="auto" w:sz="4" w:space="0"/>
            </w:tcBorders>
            <w:tcMar>
              <w:left w:w="0" w:type="dxa"/>
              <w:right w:w="0" w:type="dxa"/>
            </w:tcMar>
            <w:vAlign w:val="center"/>
          </w:tcPr>
          <w:p>
            <w:pPr>
              <w:pageBreakBefore w:val="0"/>
              <w:wordWrap/>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fldChar w:fldCharType="begin"/>
            </w:r>
            <w:r>
              <w:rPr>
                <w:rFonts w:hint="default" w:ascii="Times New Roman" w:hAnsi="Times New Roman" w:eastAsia="宋体" w:cs="Times New Roman"/>
                <w:color w:val="auto"/>
                <w:sz w:val="21"/>
                <w:szCs w:val="21"/>
                <w:highlight w:val="none"/>
              </w:rPr>
              <w:instrText xml:space="preserve"> = 4 \* ROMAN \* MERGEFORMAT </w:instrText>
            </w:r>
            <w:r>
              <w:rPr>
                <w:rFonts w:hint="default" w:ascii="Times New Roman" w:hAnsi="Times New Roman" w:eastAsia="宋体" w:cs="Times New Roman"/>
                <w:color w:val="auto"/>
                <w:sz w:val="21"/>
                <w:szCs w:val="21"/>
                <w:highlight w:val="none"/>
              </w:rPr>
              <w:fldChar w:fldCharType="separate"/>
            </w:r>
            <w:r>
              <w:rPr>
                <w:rFonts w:hint="default" w:ascii="Times New Roman" w:hAnsi="Times New Roman" w:eastAsia="宋体" w:cs="Times New Roman"/>
                <w:color w:val="auto"/>
                <w:sz w:val="21"/>
                <w:szCs w:val="21"/>
                <w:highlight w:val="none"/>
                <w:lang w:eastAsia="zh-CN"/>
              </w:rPr>
              <w:t>Ⅳ</w:t>
            </w:r>
            <w:r>
              <w:rPr>
                <w:rFonts w:hint="default" w:ascii="Times New Roman" w:hAnsi="Times New Roman" w:eastAsia="宋体" w:cs="Times New Roman"/>
                <w:color w:val="auto"/>
                <w:sz w:val="21"/>
                <w:szCs w:val="21"/>
                <w:highlight w:val="none"/>
              </w:rPr>
              <w:fldChar w:fldCharType="end"/>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rPr>
              <w:fldChar w:fldCharType="begin"/>
            </w:r>
            <w:r>
              <w:rPr>
                <w:rFonts w:hint="default" w:ascii="Times New Roman" w:hAnsi="Times New Roman" w:eastAsia="宋体" w:cs="Times New Roman"/>
                <w:color w:val="auto"/>
                <w:sz w:val="21"/>
                <w:szCs w:val="21"/>
                <w:highlight w:val="none"/>
              </w:rPr>
              <w:instrText xml:space="preserve"> = 4 \* ROMAN \* MERGEFORMAT </w:instrText>
            </w:r>
            <w:r>
              <w:rPr>
                <w:rFonts w:hint="default" w:ascii="Times New Roman" w:hAnsi="Times New Roman" w:eastAsia="宋体" w:cs="Times New Roman"/>
                <w:color w:val="auto"/>
                <w:sz w:val="21"/>
                <w:szCs w:val="21"/>
                <w:highlight w:val="none"/>
              </w:rPr>
              <w:fldChar w:fldCharType="separate"/>
            </w:r>
            <w:r>
              <w:rPr>
                <w:rFonts w:hint="default" w:ascii="Times New Roman" w:hAnsi="Times New Roman" w:eastAsia="宋体" w:cs="Times New Roman"/>
                <w:color w:val="auto"/>
                <w:sz w:val="21"/>
                <w:szCs w:val="21"/>
                <w:highlight w:val="none"/>
                <w:lang w:eastAsia="zh-CN"/>
              </w:rPr>
              <w:t>Ⅳ</w:t>
            </w:r>
            <w:r>
              <w:rPr>
                <w:rFonts w:hint="default" w:ascii="Times New Roman" w:hAnsi="Times New Roman" w:eastAsia="宋体" w:cs="Times New Roman"/>
                <w:color w:val="auto"/>
                <w:sz w:val="21"/>
                <w:szCs w:val="21"/>
                <w:highlight w:val="none"/>
              </w:rPr>
              <w:fldChar w:fldCharType="end"/>
            </w:r>
            <w:r>
              <w:rPr>
                <w:rFonts w:hint="default" w:ascii="Times New Roman" w:hAnsi="Times New Roman" w:eastAsia="宋体" w:cs="Times New Roman"/>
                <w:color w:val="auto"/>
                <w:sz w:val="21"/>
                <w:szCs w:val="21"/>
                <w:highlight w:val="none"/>
              </w:rPr>
              <w:t>+</w:t>
            </w:r>
          </w:p>
        </w:tc>
        <w:tc>
          <w:tcPr>
            <w:tcW w:w="1916" w:type="dxa"/>
            <w:tcBorders>
              <w:top w:val="single" w:color="auto" w:sz="4" w:space="0"/>
            </w:tcBorders>
            <w:tcMar>
              <w:left w:w="0" w:type="dxa"/>
              <w:right w:w="0" w:type="dxa"/>
            </w:tcMar>
            <w:vAlign w:val="center"/>
          </w:tcPr>
          <w:p>
            <w:pPr>
              <w:pageBreakBefore w:val="0"/>
              <w:wordWrap/>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fldChar w:fldCharType="begin"/>
            </w:r>
            <w:r>
              <w:rPr>
                <w:rFonts w:hint="default" w:ascii="Times New Roman" w:hAnsi="Times New Roman" w:eastAsia="宋体" w:cs="Times New Roman"/>
                <w:color w:val="auto"/>
                <w:sz w:val="21"/>
                <w:szCs w:val="21"/>
                <w:highlight w:val="none"/>
              </w:rPr>
              <w:instrText xml:space="preserve"> = 3 \* ROMAN \* MERGEFORMAT </w:instrText>
            </w:r>
            <w:r>
              <w:rPr>
                <w:rFonts w:hint="default" w:ascii="Times New Roman" w:hAnsi="Times New Roman" w:eastAsia="宋体" w:cs="Times New Roman"/>
                <w:color w:val="auto"/>
                <w:sz w:val="21"/>
                <w:szCs w:val="21"/>
                <w:highlight w:val="none"/>
              </w:rPr>
              <w:fldChar w:fldCharType="separate"/>
            </w:r>
            <w:r>
              <w:rPr>
                <w:rFonts w:hint="default" w:ascii="Times New Roman" w:hAnsi="Times New Roman" w:eastAsia="宋体" w:cs="Times New Roman"/>
                <w:color w:val="auto"/>
                <w:sz w:val="21"/>
                <w:szCs w:val="21"/>
                <w:highlight w:val="none"/>
                <w:lang w:eastAsia="zh-CN"/>
              </w:rPr>
              <w:t>Ⅲ</w:t>
            </w:r>
            <w:r>
              <w:rPr>
                <w:rFonts w:hint="default" w:ascii="Times New Roman" w:hAnsi="Times New Roman" w:eastAsia="宋体" w:cs="Times New Roman"/>
                <w:color w:val="auto"/>
                <w:sz w:val="21"/>
                <w:szCs w:val="21"/>
                <w:highlight w:val="none"/>
              </w:rPr>
              <w:fldChar w:fldCharType="end"/>
            </w:r>
          </w:p>
        </w:tc>
        <w:tc>
          <w:tcPr>
            <w:tcW w:w="2210" w:type="dxa"/>
            <w:tcBorders>
              <w:top w:val="single" w:color="auto" w:sz="4" w:space="0"/>
            </w:tcBorders>
            <w:tcMar>
              <w:left w:w="0" w:type="dxa"/>
              <w:right w:w="0" w:type="dxa"/>
            </w:tcMar>
            <w:vAlign w:val="center"/>
          </w:tcPr>
          <w:p>
            <w:pPr>
              <w:pageBreakBefore w:val="0"/>
              <w:wordWrap/>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fldChar w:fldCharType="begin"/>
            </w:r>
            <w:r>
              <w:rPr>
                <w:rFonts w:hint="default" w:ascii="Times New Roman" w:hAnsi="Times New Roman" w:eastAsia="宋体" w:cs="Times New Roman"/>
                <w:color w:val="auto"/>
                <w:sz w:val="21"/>
                <w:szCs w:val="21"/>
                <w:highlight w:val="none"/>
              </w:rPr>
              <w:instrText xml:space="preserve"> = 2 \* ROMAN \* MERGEFORMAT </w:instrText>
            </w:r>
            <w:r>
              <w:rPr>
                <w:rFonts w:hint="default" w:ascii="Times New Roman" w:hAnsi="Times New Roman" w:eastAsia="宋体" w:cs="Times New Roman"/>
                <w:color w:val="auto"/>
                <w:sz w:val="21"/>
                <w:szCs w:val="21"/>
                <w:highlight w:val="none"/>
              </w:rPr>
              <w:fldChar w:fldCharType="separate"/>
            </w:r>
            <w:r>
              <w:rPr>
                <w:rFonts w:hint="default" w:ascii="Times New Roman" w:hAnsi="Times New Roman" w:eastAsia="宋体" w:cs="Times New Roman"/>
                <w:color w:val="auto"/>
                <w:sz w:val="21"/>
                <w:szCs w:val="21"/>
                <w:highlight w:val="none"/>
                <w:lang w:eastAsia="zh-CN"/>
              </w:rPr>
              <w:t>Ⅱ</w:t>
            </w:r>
            <w:r>
              <w:rPr>
                <w:rFonts w:hint="default" w:ascii="Times New Roman" w:hAnsi="Times New Roman" w:eastAsia="宋体" w:cs="Times New Roman"/>
                <w:color w:val="auto"/>
                <w:sz w:val="21"/>
                <w:szCs w:val="21"/>
                <w:highlight w:val="none"/>
              </w:rPr>
              <w:fldChar w:fldCharType="end"/>
            </w:r>
          </w:p>
        </w:tc>
        <w:tc>
          <w:tcPr>
            <w:tcW w:w="1622" w:type="dxa"/>
            <w:tcBorders>
              <w:top w:val="single" w:color="auto" w:sz="4" w:space="0"/>
              <w:right w:val="single" w:color="auto" w:sz="4" w:space="0"/>
            </w:tcBorders>
            <w:tcMar>
              <w:left w:w="0" w:type="dxa"/>
              <w:right w:w="0" w:type="dxa"/>
            </w:tcMar>
            <w:vAlign w:val="center"/>
          </w:tcPr>
          <w:p>
            <w:pPr>
              <w:pageBreakBefore w:val="0"/>
              <w:wordWrap/>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74" w:type="dxa"/>
            <w:tcBorders>
              <w:left w:val="single" w:color="auto" w:sz="4" w:space="0"/>
            </w:tcBorders>
            <w:tcMar>
              <w:left w:w="0" w:type="dxa"/>
              <w:right w:w="0" w:type="dxa"/>
            </w:tcMar>
            <w:vAlign w:val="center"/>
          </w:tcPr>
          <w:p>
            <w:pPr>
              <w:pageBreakBefore w:val="0"/>
              <w:wordWrap/>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评价工作等级</w:t>
            </w:r>
          </w:p>
        </w:tc>
        <w:tc>
          <w:tcPr>
            <w:tcW w:w="1622" w:type="dxa"/>
            <w:tcMar>
              <w:left w:w="0" w:type="dxa"/>
              <w:right w:w="0" w:type="dxa"/>
            </w:tcMar>
            <w:vAlign w:val="center"/>
          </w:tcPr>
          <w:p>
            <w:pPr>
              <w:pageBreakBefore w:val="0"/>
              <w:wordWrap/>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一</w:t>
            </w:r>
          </w:p>
        </w:tc>
        <w:tc>
          <w:tcPr>
            <w:tcW w:w="1916" w:type="dxa"/>
            <w:tcMar>
              <w:left w:w="0" w:type="dxa"/>
              <w:right w:w="0" w:type="dxa"/>
            </w:tcMar>
            <w:vAlign w:val="center"/>
          </w:tcPr>
          <w:p>
            <w:pPr>
              <w:pageBreakBefore w:val="0"/>
              <w:wordWrap/>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二</w:t>
            </w:r>
          </w:p>
        </w:tc>
        <w:tc>
          <w:tcPr>
            <w:tcW w:w="2210" w:type="dxa"/>
            <w:tcMar>
              <w:left w:w="0" w:type="dxa"/>
              <w:right w:w="0" w:type="dxa"/>
            </w:tcMar>
            <w:vAlign w:val="center"/>
          </w:tcPr>
          <w:p>
            <w:pPr>
              <w:pageBreakBefore w:val="0"/>
              <w:wordWrap/>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三</w:t>
            </w:r>
          </w:p>
        </w:tc>
        <w:tc>
          <w:tcPr>
            <w:tcW w:w="1622" w:type="dxa"/>
            <w:tcBorders>
              <w:right w:val="single" w:color="auto" w:sz="4" w:space="0"/>
            </w:tcBorders>
            <w:tcMar>
              <w:left w:w="0" w:type="dxa"/>
              <w:right w:w="0" w:type="dxa"/>
            </w:tcMar>
            <w:vAlign w:val="center"/>
          </w:tcPr>
          <w:p>
            <w:pPr>
              <w:pageBreakBefore w:val="0"/>
              <w:wordWrap/>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简单分析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844" w:type="dxa"/>
            <w:gridSpan w:val="5"/>
            <w:tcBorders>
              <w:left w:val="single" w:color="auto" w:sz="4" w:space="0"/>
              <w:bottom w:val="single" w:color="auto" w:sz="4" w:space="0"/>
              <w:right w:val="single" w:color="auto" w:sz="4" w:space="0"/>
            </w:tcBorders>
            <w:tcMar>
              <w:left w:w="0" w:type="dxa"/>
              <w:right w:w="0" w:type="dxa"/>
            </w:tcMar>
            <w:vAlign w:val="center"/>
          </w:tcPr>
          <w:p>
            <w:pPr>
              <w:pageBreakBefore w:val="0"/>
              <w:wordWrap/>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简单分析是相对于详细评价工作内容而言</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在描述危险物质、环境影响途径、环境危害后果、风险防范措施等方面给出定性的说明</w:t>
            </w:r>
          </w:p>
        </w:tc>
      </w:tr>
    </w:tbl>
    <w:p>
      <w:pPr>
        <w:pageBreakBefore w:val="0"/>
        <w:wordWrap/>
        <w:bidi w:val="0"/>
        <w:spacing w:line="360" w:lineRule="auto"/>
        <w:ind w:left="0" w:leftChars="0" w:right="0" w:rightChars="0" w:firstLine="480"/>
        <w:rPr>
          <w:rFonts w:hint="default" w:ascii="Times New Roman" w:hAnsi="Times New Roman" w:eastAsia="宋体" w:cs="Times New Roman"/>
          <w:color w:val="auto"/>
          <w:sz w:val="24"/>
          <w:szCs w:val="24"/>
          <w:highlight w:val="none"/>
          <w:shd w:val="clear" w:color="auto" w:fill="auto"/>
          <w:lang w:val="en-US" w:eastAsia="zh-CN"/>
        </w:rPr>
      </w:pPr>
      <w:r>
        <w:rPr>
          <w:rFonts w:hint="default" w:ascii="Times New Roman" w:hAnsi="Times New Roman" w:eastAsia="宋体" w:cs="Times New Roman"/>
          <w:bCs/>
          <w:color w:val="auto"/>
          <w:sz w:val="24"/>
          <w:szCs w:val="24"/>
          <w:highlight w:val="none"/>
          <w:lang w:eastAsia="zh-CN"/>
        </w:rPr>
        <w:t>本项目</w:t>
      </w:r>
      <w:r>
        <w:rPr>
          <w:rFonts w:hint="default" w:ascii="Times New Roman" w:hAnsi="Times New Roman" w:eastAsia="宋体" w:cs="Times New Roman"/>
          <w:bCs/>
          <w:color w:val="auto"/>
          <w:sz w:val="24"/>
          <w:szCs w:val="24"/>
          <w:highlight w:val="none"/>
        </w:rPr>
        <w:t>Q＜1时</w:t>
      </w:r>
      <w:r>
        <w:rPr>
          <w:rFonts w:hint="default" w:ascii="Times New Roman" w:hAnsi="Times New Roman" w:eastAsia="宋体"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rPr>
        <w:t>环境风险潜势为</w:t>
      </w:r>
      <w:r>
        <w:rPr>
          <w:rFonts w:hint="default" w:ascii="Times New Roman" w:hAnsi="Times New Roman" w:eastAsia="宋体" w:cs="Times New Roman"/>
          <w:color w:val="auto"/>
          <w:sz w:val="24"/>
          <w:szCs w:val="24"/>
          <w:highlight w:val="none"/>
        </w:rPr>
        <w:t>I</w:t>
      </w:r>
      <w:r>
        <w:rPr>
          <w:rFonts w:hint="default" w:ascii="Times New Roman" w:hAnsi="Times New Roman" w:eastAsia="宋体" w:cs="Times New Roman"/>
          <w:bCs/>
          <w:color w:val="auto"/>
          <w:sz w:val="24"/>
          <w:szCs w:val="24"/>
          <w:highlight w:val="none"/>
          <w:lang w:eastAsia="zh-CN"/>
        </w:rPr>
        <w:t>，</w:t>
      </w:r>
      <w:r>
        <w:rPr>
          <w:rFonts w:hint="default" w:ascii="Times New Roman" w:hAnsi="Times New Roman" w:eastAsia="宋体" w:cs="Times New Roman"/>
          <w:color w:val="auto"/>
          <w:sz w:val="24"/>
          <w:szCs w:val="24"/>
          <w:highlight w:val="none"/>
        </w:rPr>
        <w:t>由上表可知</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本次环境风险评价等级为简单分析</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不设评价范围</w:t>
      </w:r>
      <w:r>
        <w:rPr>
          <w:rFonts w:hint="default" w:ascii="Times New Roman" w:hAnsi="Times New Roman" w:eastAsia="宋体" w:cs="Times New Roman"/>
          <w:color w:val="auto"/>
          <w:sz w:val="24"/>
          <w:szCs w:val="24"/>
          <w:highlight w:val="none"/>
          <w:lang w:val="en-US" w:eastAsia="zh-CN"/>
        </w:rPr>
        <w:t>。</w:t>
      </w:r>
    </w:p>
    <w:p>
      <w:pPr>
        <w:pageBreakBefore w:val="0"/>
        <w:wordWrap/>
        <w:bidi w:val="0"/>
        <w:spacing w:line="360" w:lineRule="auto"/>
        <w:ind w:left="0" w:leftChars="0" w:right="0" w:rightChars="0" w:firstLine="480" w:firstLineChars="200"/>
        <w:outlineLvl w:val="0"/>
        <w:rPr>
          <w:rFonts w:hint="default" w:ascii="Times New Roman" w:hAnsi="Times New Roman" w:eastAsia="宋体" w:cs="Times New Roman"/>
          <w:color w:val="auto"/>
          <w:sz w:val="24"/>
          <w:highlight w:val="none"/>
        </w:rPr>
      </w:pPr>
      <w:bookmarkStart w:id="223" w:name="_Toc9682"/>
      <w:bookmarkStart w:id="224" w:name="_Toc26470"/>
      <w:r>
        <w:rPr>
          <w:rFonts w:hint="default" w:ascii="Times New Roman" w:hAnsi="Times New Roman" w:eastAsia="宋体" w:cs="Times New Roman"/>
          <w:color w:val="auto"/>
          <w:sz w:val="24"/>
          <w:highlight w:val="none"/>
        </w:rPr>
        <w:t>（2</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尾矿库风险评估</w:t>
      </w:r>
      <w:bookmarkEnd w:id="223"/>
      <w:bookmarkEnd w:id="224"/>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本次评价根据《尾矿库环境风险评估技术导则（试行</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》（HJ740-2015</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的要求对尾矿库风险进行评估。</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选矿厂配套尾矿库位于选矿厂</w:t>
      </w:r>
      <w:r>
        <w:rPr>
          <w:rFonts w:hint="default" w:ascii="Times New Roman" w:hAnsi="Times New Roman" w:eastAsia="宋体" w:cs="Times New Roman"/>
          <w:color w:val="auto"/>
          <w:sz w:val="24"/>
          <w:highlight w:val="none"/>
          <w:lang w:eastAsia="zh-CN"/>
        </w:rPr>
        <w:t>西</w:t>
      </w:r>
      <w:r>
        <w:rPr>
          <w:rFonts w:hint="default" w:ascii="Times New Roman" w:hAnsi="Times New Roman" w:eastAsia="宋体" w:cs="Times New Roman"/>
          <w:color w:val="auto"/>
          <w:sz w:val="24"/>
          <w:highlight w:val="none"/>
        </w:rPr>
        <w:t>北侧</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下游无常年地表水体</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尾矿库堆存过程中可能产生塌垮、滑坡、泥石流等地质灾害</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存在着相应的环境风险事故。参照《尾矿库环境风险评估技术导则》（试行</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（HJ740-2015</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从尾矿库的环境危害性（H</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、周边环境敏感性（S</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、控制机制可靠性（R</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三方面进行评分</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将重点环境监管尾矿库环境风险划分为重大、较大、一般三个等级。</w:t>
      </w:r>
    </w:p>
    <w:p>
      <w:pPr>
        <w:pageBreakBefore w:val="0"/>
        <w:wordWrap/>
        <w:bidi w:val="0"/>
        <w:spacing w:line="360" w:lineRule="auto"/>
        <w:ind w:left="0" w:leftChars="0" w:right="0" w:rightChars="0" w:firstLine="480" w:firstLineChars="200"/>
        <w:outlineLvl w:val="1"/>
        <w:rPr>
          <w:rFonts w:hint="default" w:ascii="Times New Roman" w:hAnsi="Times New Roman" w:eastAsia="宋体" w:cs="Times New Roman"/>
          <w:color w:val="auto"/>
          <w:sz w:val="24"/>
          <w:highlight w:val="none"/>
        </w:rPr>
      </w:pPr>
      <w:bookmarkStart w:id="225" w:name="_Toc9621"/>
      <w:bookmarkStart w:id="226" w:name="_Toc163"/>
      <w:r>
        <w:rPr>
          <w:rFonts w:hint="default" w:ascii="Times New Roman" w:hAnsi="Times New Roman" w:eastAsia="宋体" w:cs="Times New Roman"/>
          <w:color w:val="auto"/>
          <w:sz w:val="24"/>
          <w:highlight w:val="none"/>
        </w:rPr>
        <w:t>①尾矿库环境危害性</w:t>
      </w:r>
      <w:bookmarkEnd w:id="225"/>
      <w:bookmarkEnd w:id="226"/>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采用评分方法</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对类型、性质和规模三方面指标进行评分累加求和</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评估尾矿库环境危害性（H</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。尾矿库环境危害性（H</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等别划分指标体系见表1-1</w:t>
      </w:r>
      <w:r>
        <w:rPr>
          <w:rFonts w:hint="default" w:ascii="Times New Roman" w:hAnsi="Times New Roman" w:eastAsia="宋体" w:cs="Times New Roman"/>
          <w:color w:val="auto"/>
          <w:sz w:val="24"/>
          <w:highlight w:val="none"/>
          <w:lang w:val="en-US" w:eastAsia="zh-CN"/>
        </w:rPr>
        <w:t>5</w:t>
      </w:r>
      <w:r>
        <w:rPr>
          <w:rFonts w:hint="default" w:ascii="Times New Roman" w:hAnsi="Times New Roman" w:eastAsia="宋体" w:cs="Times New Roman"/>
          <w:color w:val="auto"/>
          <w:sz w:val="24"/>
          <w:highlight w:val="none"/>
        </w:rPr>
        <w:t>。</w:t>
      </w:r>
    </w:p>
    <w:p>
      <w:pPr>
        <w:pageBreakBefore w:val="0"/>
        <w:tabs>
          <w:tab w:val="left" w:pos="3062"/>
        </w:tabs>
        <w:wordWrap/>
        <w:bidi w:val="0"/>
        <w:spacing w:line="360" w:lineRule="auto"/>
        <w:ind w:left="0" w:leftChars="0" w:right="0" w:rightChars="0"/>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表1-1</w:t>
      </w:r>
      <w:r>
        <w:rPr>
          <w:rFonts w:hint="default" w:ascii="Times New Roman" w:hAnsi="Times New Roman" w:eastAsia="宋体" w:cs="Times New Roman"/>
          <w:b/>
          <w:bCs/>
          <w:color w:val="auto"/>
          <w:sz w:val="24"/>
          <w:highlight w:val="none"/>
          <w:lang w:val="en-US" w:eastAsia="zh-CN"/>
        </w:rPr>
        <w:t>5</w:t>
      </w:r>
      <w:r>
        <w:rPr>
          <w:rFonts w:hint="default" w:ascii="Times New Roman" w:hAnsi="Times New Roman" w:eastAsia="宋体" w:cs="Times New Roman"/>
          <w:b/>
          <w:bCs/>
          <w:color w:val="auto"/>
          <w:sz w:val="24"/>
          <w:highlight w:val="none"/>
        </w:rPr>
        <w:t>尾矿库环境危害性（H</w:t>
      </w:r>
      <w:r>
        <w:rPr>
          <w:rFonts w:hint="default" w:ascii="Times New Roman" w:hAnsi="Times New Roman" w:eastAsia="宋体" w:cs="Times New Roman"/>
          <w:b/>
          <w:bCs/>
          <w:color w:val="auto"/>
          <w:sz w:val="24"/>
          <w:highlight w:val="none"/>
          <w:lang w:eastAsia="zh-CN"/>
        </w:rPr>
        <w:t>）</w:t>
      </w:r>
      <w:r>
        <w:rPr>
          <w:rFonts w:hint="default" w:ascii="Times New Roman" w:hAnsi="Times New Roman" w:eastAsia="宋体" w:cs="Times New Roman"/>
          <w:b/>
          <w:bCs/>
          <w:color w:val="auto"/>
          <w:sz w:val="24"/>
          <w:highlight w:val="none"/>
        </w:rPr>
        <w:t>等别划分指标得分</w:t>
      </w:r>
    </w:p>
    <w:tbl>
      <w:tblPr>
        <w:tblStyle w:val="54"/>
        <w:tblW w:w="827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87"/>
        <w:gridCol w:w="796"/>
        <w:gridCol w:w="796"/>
        <w:gridCol w:w="995"/>
        <w:gridCol w:w="1074"/>
        <w:gridCol w:w="1062"/>
        <w:gridCol w:w="796"/>
        <w:gridCol w:w="1175"/>
        <w:gridCol w:w="7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2" w:type="dxa"/>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序号</w:t>
            </w:r>
          </w:p>
        </w:tc>
        <w:tc>
          <w:tcPr>
            <w:tcW w:w="907" w:type="dxa"/>
            <w:gridSpan w:val="5"/>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指标项目</w:t>
            </w:r>
          </w:p>
        </w:tc>
        <w:tc>
          <w:tcPr>
            <w:tcW w:w="680" w:type="dxa"/>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指标分值</w:t>
            </w:r>
          </w:p>
        </w:tc>
        <w:tc>
          <w:tcPr>
            <w:tcW w:w="981" w:type="dxa"/>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评分依据</w:t>
            </w:r>
          </w:p>
        </w:tc>
        <w:tc>
          <w:tcPr>
            <w:tcW w:w="680" w:type="dxa"/>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2" w:type="dxa"/>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w:t>
            </w:r>
          </w:p>
        </w:tc>
        <w:tc>
          <w:tcPr>
            <w:tcW w:w="680" w:type="dxa"/>
            <w:vMerge w:val="restart"/>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尾矿库环境危害性</w:t>
            </w:r>
          </w:p>
        </w:tc>
        <w:tc>
          <w:tcPr>
            <w:tcW w:w="680" w:type="dxa"/>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类型</w:t>
            </w:r>
          </w:p>
        </w:tc>
        <w:tc>
          <w:tcPr>
            <w:tcW w:w="907" w:type="dxa"/>
            <w:gridSpan w:val="3"/>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矿种类型/固体废物类型/尾矿（或尾矿水</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成分类型</w:t>
            </w:r>
          </w:p>
        </w:tc>
        <w:tc>
          <w:tcPr>
            <w:tcW w:w="680" w:type="dxa"/>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48</w:t>
            </w:r>
          </w:p>
        </w:tc>
        <w:tc>
          <w:tcPr>
            <w:tcW w:w="981" w:type="dxa"/>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eastAsia="zh-CN"/>
              </w:rPr>
              <w:t>重金属矿种（钼）</w:t>
            </w:r>
          </w:p>
        </w:tc>
        <w:tc>
          <w:tcPr>
            <w:tcW w:w="680" w:type="dxa"/>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2" w:type="dxa"/>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w:t>
            </w:r>
          </w:p>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p>
        </w:tc>
        <w:tc>
          <w:tcPr>
            <w:tcW w:w="680" w:type="dxa"/>
            <w:vMerge w:val="continue"/>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p>
        </w:tc>
        <w:tc>
          <w:tcPr>
            <w:tcW w:w="680" w:type="dxa"/>
            <w:vMerge w:val="restart"/>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性质</w:t>
            </w:r>
          </w:p>
        </w:tc>
        <w:tc>
          <w:tcPr>
            <w:tcW w:w="850" w:type="dxa"/>
            <w:vMerge w:val="restart"/>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特征污染物指标浓度情况</w:t>
            </w:r>
          </w:p>
        </w:tc>
        <w:tc>
          <w:tcPr>
            <w:tcW w:w="917" w:type="dxa"/>
            <w:vMerge w:val="restart"/>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浓度倍数情况</w:t>
            </w:r>
          </w:p>
        </w:tc>
        <w:tc>
          <w:tcPr>
            <w:tcW w:w="907" w:type="dxa"/>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pH值</w:t>
            </w:r>
          </w:p>
        </w:tc>
        <w:tc>
          <w:tcPr>
            <w:tcW w:w="680" w:type="dxa"/>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8</w:t>
            </w:r>
          </w:p>
        </w:tc>
        <w:tc>
          <w:tcPr>
            <w:tcW w:w="981" w:type="dxa"/>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rPr>
              <w:t>pH（</w:t>
            </w:r>
            <w:r>
              <w:rPr>
                <w:rFonts w:hint="default" w:ascii="Times New Roman" w:hAnsi="Times New Roman" w:eastAsia="宋体" w:cs="Times New Roman"/>
                <w:color w:val="auto"/>
                <w:szCs w:val="21"/>
                <w:highlight w:val="none"/>
                <w:lang w:val="en-US" w:eastAsia="zh-CN"/>
              </w:rPr>
              <w:t>7.64</w:t>
            </w:r>
            <w:r>
              <w:rPr>
                <w:rFonts w:hint="default" w:ascii="Times New Roman" w:hAnsi="Times New Roman" w:eastAsia="宋体" w:cs="Times New Roman"/>
                <w:color w:val="auto"/>
                <w:szCs w:val="21"/>
                <w:highlight w:val="none"/>
                <w:lang w:eastAsia="zh-CN"/>
              </w:rPr>
              <w:t>）</w:t>
            </w:r>
          </w:p>
        </w:tc>
        <w:tc>
          <w:tcPr>
            <w:tcW w:w="680" w:type="dxa"/>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2" w:type="dxa"/>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3</w:t>
            </w:r>
          </w:p>
        </w:tc>
        <w:tc>
          <w:tcPr>
            <w:tcW w:w="680" w:type="dxa"/>
            <w:vMerge w:val="continue"/>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p>
        </w:tc>
        <w:tc>
          <w:tcPr>
            <w:tcW w:w="680" w:type="dxa"/>
            <w:vMerge w:val="continue"/>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p>
        </w:tc>
        <w:tc>
          <w:tcPr>
            <w:tcW w:w="850" w:type="dxa"/>
            <w:vMerge w:val="continue"/>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p>
        </w:tc>
        <w:tc>
          <w:tcPr>
            <w:tcW w:w="917" w:type="dxa"/>
            <w:vMerge w:val="continue"/>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p>
        </w:tc>
        <w:tc>
          <w:tcPr>
            <w:tcW w:w="907" w:type="dxa"/>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指标最高浓度倍数</w:t>
            </w:r>
          </w:p>
        </w:tc>
        <w:tc>
          <w:tcPr>
            <w:tcW w:w="680" w:type="dxa"/>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14</w:t>
            </w:r>
          </w:p>
        </w:tc>
        <w:tc>
          <w:tcPr>
            <w:tcW w:w="981" w:type="dxa"/>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所有指标浓度倍数均在3倍以下</w:t>
            </w:r>
          </w:p>
        </w:tc>
        <w:tc>
          <w:tcPr>
            <w:tcW w:w="680" w:type="dxa"/>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2" w:type="dxa"/>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4</w:t>
            </w:r>
          </w:p>
        </w:tc>
        <w:tc>
          <w:tcPr>
            <w:tcW w:w="680" w:type="dxa"/>
            <w:vMerge w:val="continue"/>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p>
        </w:tc>
        <w:tc>
          <w:tcPr>
            <w:tcW w:w="680" w:type="dxa"/>
            <w:vMerge w:val="continue"/>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p>
        </w:tc>
        <w:tc>
          <w:tcPr>
            <w:tcW w:w="850" w:type="dxa"/>
            <w:vMerge w:val="continue"/>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p>
        </w:tc>
        <w:tc>
          <w:tcPr>
            <w:tcW w:w="907" w:type="dxa"/>
            <w:gridSpan w:val="2"/>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浓度倍数3倍及以上指标项数</w:t>
            </w:r>
          </w:p>
        </w:tc>
        <w:tc>
          <w:tcPr>
            <w:tcW w:w="680" w:type="dxa"/>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6</w:t>
            </w:r>
          </w:p>
        </w:tc>
        <w:tc>
          <w:tcPr>
            <w:tcW w:w="981" w:type="dxa"/>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无</w:t>
            </w:r>
          </w:p>
        </w:tc>
        <w:tc>
          <w:tcPr>
            <w:tcW w:w="680" w:type="dxa"/>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2" w:type="dxa"/>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5</w:t>
            </w:r>
          </w:p>
        </w:tc>
        <w:tc>
          <w:tcPr>
            <w:tcW w:w="680" w:type="dxa"/>
            <w:vMerge w:val="continue"/>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p>
        </w:tc>
        <w:tc>
          <w:tcPr>
            <w:tcW w:w="680" w:type="dxa"/>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规模</w:t>
            </w:r>
          </w:p>
        </w:tc>
        <w:tc>
          <w:tcPr>
            <w:tcW w:w="907" w:type="dxa"/>
            <w:gridSpan w:val="3"/>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现状库容</w:t>
            </w:r>
          </w:p>
        </w:tc>
        <w:tc>
          <w:tcPr>
            <w:tcW w:w="680" w:type="dxa"/>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24</w:t>
            </w:r>
          </w:p>
        </w:tc>
        <w:tc>
          <w:tcPr>
            <w:tcW w:w="981" w:type="dxa"/>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val="en-US" w:eastAsia="zh-CN"/>
              </w:rPr>
              <w:t>1219.53万</w:t>
            </w:r>
            <w:r>
              <w:rPr>
                <w:rFonts w:hint="default" w:ascii="Times New Roman" w:hAnsi="Times New Roman" w:eastAsia="宋体" w:cs="Times New Roman"/>
                <w:color w:val="auto"/>
                <w:szCs w:val="21"/>
                <w:highlight w:val="none"/>
              </w:rPr>
              <w:t>m</w:t>
            </w:r>
            <w:r>
              <w:rPr>
                <w:rFonts w:hint="default" w:ascii="Times New Roman" w:hAnsi="Times New Roman" w:eastAsia="宋体" w:cs="Times New Roman"/>
                <w:color w:val="auto"/>
                <w:szCs w:val="21"/>
                <w:highlight w:val="none"/>
                <w:vertAlign w:val="superscript"/>
              </w:rPr>
              <w:t>3</w:t>
            </w:r>
            <w:r>
              <w:rPr>
                <w:rFonts w:hint="default" w:ascii="Times New Roman" w:hAnsi="Times New Roman" w:eastAsia="宋体" w:cs="Times New Roman"/>
                <w:color w:val="auto"/>
                <w:szCs w:val="21"/>
                <w:highlight w:val="none"/>
              </w:rPr>
              <w:t>（大于等于1000万方</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小于3000万方</w:t>
            </w:r>
            <w:r>
              <w:rPr>
                <w:rFonts w:hint="default" w:ascii="Times New Roman" w:hAnsi="Times New Roman" w:eastAsia="宋体" w:cs="Times New Roman"/>
                <w:color w:val="auto"/>
                <w:szCs w:val="21"/>
                <w:highlight w:val="none"/>
                <w:lang w:eastAsia="zh-CN"/>
              </w:rPr>
              <w:t>）</w:t>
            </w:r>
          </w:p>
        </w:tc>
        <w:tc>
          <w:tcPr>
            <w:tcW w:w="680" w:type="dxa"/>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18</w:t>
            </w:r>
          </w:p>
        </w:tc>
      </w:tr>
    </w:tbl>
    <w:p>
      <w:pPr>
        <w:pageBreakBefore w:val="0"/>
        <w:tabs>
          <w:tab w:val="left" w:pos="3062"/>
        </w:tabs>
        <w:wordWrap/>
        <w:bidi w:val="0"/>
        <w:spacing w:line="360" w:lineRule="auto"/>
        <w:ind w:left="0" w:leftChars="0" w:right="0" w:rightChars="0" w:firstLine="480" w:firstLineChars="20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依据尾矿库环境危害性等别划分表</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将环境危害性（H</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划分为H1、H2、H3三个等别。尾矿库环境危害性（H</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等别划分表见表1-1</w:t>
      </w:r>
      <w:r>
        <w:rPr>
          <w:rFonts w:hint="default" w:ascii="Times New Roman" w:hAnsi="Times New Roman" w:eastAsia="宋体" w:cs="Times New Roman"/>
          <w:color w:val="auto"/>
          <w:sz w:val="24"/>
          <w:highlight w:val="none"/>
          <w:lang w:val="en-US" w:eastAsia="zh-CN"/>
        </w:rPr>
        <w:t>6</w:t>
      </w:r>
      <w:r>
        <w:rPr>
          <w:rFonts w:hint="default" w:ascii="Times New Roman" w:hAnsi="Times New Roman" w:eastAsia="宋体" w:cs="Times New Roman"/>
          <w:color w:val="auto"/>
          <w:sz w:val="24"/>
          <w:highlight w:val="none"/>
        </w:rPr>
        <w:t>。</w:t>
      </w:r>
    </w:p>
    <w:p>
      <w:pPr>
        <w:pageBreakBefore w:val="0"/>
        <w:tabs>
          <w:tab w:val="left" w:pos="3062"/>
        </w:tabs>
        <w:wordWrap/>
        <w:bidi w:val="0"/>
        <w:spacing w:line="360" w:lineRule="auto"/>
        <w:ind w:left="0" w:leftChars="0" w:right="0" w:rightChars="0"/>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表1-1</w:t>
      </w:r>
      <w:r>
        <w:rPr>
          <w:rFonts w:hint="default" w:ascii="Times New Roman" w:hAnsi="Times New Roman" w:eastAsia="宋体" w:cs="Times New Roman"/>
          <w:b/>
          <w:bCs/>
          <w:color w:val="auto"/>
          <w:sz w:val="24"/>
          <w:highlight w:val="none"/>
          <w:lang w:val="en-US" w:eastAsia="zh-CN"/>
        </w:rPr>
        <w:t>6</w:t>
      </w:r>
      <w:r>
        <w:rPr>
          <w:rFonts w:hint="default" w:ascii="Times New Roman" w:hAnsi="Times New Roman" w:eastAsia="宋体" w:cs="Times New Roman"/>
          <w:b/>
          <w:bCs/>
          <w:color w:val="auto"/>
          <w:sz w:val="24"/>
          <w:highlight w:val="none"/>
        </w:rPr>
        <w:t>尾矿库环境危害性（H</w:t>
      </w:r>
      <w:r>
        <w:rPr>
          <w:rFonts w:hint="default" w:ascii="Times New Roman" w:hAnsi="Times New Roman" w:eastAsia="宋体" w:cs="Times New Roman"/>
          <w:b/>
          <w:bCs/>
          <w:color w:val="auto"/>
          <w:sz w:val="24"/>
          <w:highlight w:val="none"/>
          <w:lang w:eastAsia="zh-CN"/>
        </w:rPr>
        <w:t>）</w:t>
      </w:r>
      <w:r>
        <w:rPr>
          <w:rFonts w:hint="default" w:ascii="Times New Roman" w:hAnsi="Times New Roman" w:eastAsia="宋体" w:cs="Times New Roman"/>
          <w:b/>
          <w:bCs/>
          <w:color w:val="auto"/>
          <w:sz w:val="24"/>
          <w:highlight w:val="none"/>
        </w:rPr>
        <w:t>等别划分表</w:t>
      </w:r>
    </w:p>
    <w:tbl>
      <w:tblPr>
        <w:tblStyle w:val="54"/>
        <w:tblW w:w="827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146"/>
        <w:gridCol w:w="41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4264"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rPr>
              <w:t>尾矿库环境危害性得分（D</w:t>
            </w:r>
            <w:r>
              <w:rPr>
                <w:rFonts w:hint="default" w:ascii="Times New Roman" w:hAnsi="Times New Roman" w:eastAsia="宋体" w:cs="Times New Roman"/>
                <w:color w:val="auto"/>
                <w:szCs w:val="21"/>
                <w:highlight w:val="none"/>
                <w:vertAlign w:val="subscript"/>
              </w:rPr>
              <w:t>H</w:t>
            </w:r>
            <w:r>
              <w:rPr>
                <w:rFonts w:hint="default" w:ascii="Times New Roman" w:hAnsi="Times New Roman" w:eastAsia="宋体" w:cs="Times New Roman"/>
                <w:color w:val="auto"/>
                <w:szCs w:val="21"/>
                <w:highlight w:val="none"/>
                <w:lang w:eastAsia="zh-CN"/>
              </w:rPr>
              <w:t>）</w:t>
            </w:r>
          </w:p>
        </w:tc>
        <w:tc>
          <w:tcPr>
            <w:tcW w:w="4264"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尾矿库环境危害性等别代码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4"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D</w:t>
            </w:r>
            <w:r>
              <w:rPr>
                <w:rFonts w:hint="default" w:ascii="Times New Roman" w:hAnsi="Times New Roman" w:eastAsia="宋体" w:cs="Times New Roman"/>
                <w:color w:val="auto"/>
                <w:szCs w:val="21"/>
                <w:highlight w:val="none"/>
                <w:vertAlign w:val="subscript"/>
              </w:rPr>
              <w:t>H</w:t>
            </w:r>
            <w:r>
              <w:rPr>
                <w:rFonts w:hint="default" w:ascii="Times New Roman" w:hAnsi="Times New Roman" w:eastAsia="宋体" w:cs="Times New Roman"/>
                <w:color w:val="auto"/>
                <w:szCs w:val="21"/>
                <w:highlight w:val="none"/>
              </w:rPr>
              <w:t>＞60</w:t>
            </w:r>
          </w:p>
        </w:tc>
        <w:tc>
          <w:tcPr>
            <w:tcW w:w="4264"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H1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4"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30＜D</w:t>
            </w:r>
            <w:r>
              <w:rPr>
                <w:rFonts w:hint="default" w:ascii="Times New Roman" w:hAnsi="Times New Roman" w:eastAsia="宋体" w:cs="Times New Roman"/>
                <w:color w:val="auto"/>
                <w:szCs w:val="21"/>
                <w:highlight w:val="none"/>
                <w:vertAlign w:val="subscript"/>
              </w:rPr>
              <w:t>H</w:t>
            </w:r>
            <w:r>
              <w:rPr>
                <w:rFonts w:hint="default" w:ascii="Times New Roman" w:hAnsi="Times New Roman" w:eastAsia="宋体" w:cs="Times New Roman"/>
                <w:color w:val="auto"/>
                <w:szCs w:val="21"/>
                <w:highlight w:val="none"/>
              </w:rPr>
              <w:t>≤60</w:t>
            </w:r>
          </w:p>
        </w:tc>
        <w:tc>
          <w:tcPr>
            <w:tcW w:w="4264"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H2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4"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D</w:t>
            </w:r>
            <w:r>
              <w:rPr>
                <w:rFonts w:hint="default" w:ascii="Times New Roman" w:hAnsi="Times New Roman" w:eastAsia="宋体" w:cs="Times New Roman"/>
                <w:color w:val="auto"/>
                <w:szCs w:val="21"/>
                <w:highlight w:val="none"/>
                <w:vertAlign w:val="subscript"/>
              </w:rPr>
              <w:t>H</w:t>
            </w:r>
            <w:r>
              <w:rPr>
                <w:rFonts w:hint="default" w:ascii="Times New Roman" w:hAnsi="Times New Roman" w:eastAsia="宋体" w:cs="Times New Roman"/>
                <w:color w:val="auto"/>
                <w:szCs w:val="21"/>
                <w:highlight w:val="none"/>
              </w:rPr>
              <w:t>≤30</w:t>
            </w:r>
          </w:p>
        </w:tc>
        <w:tc>
          <w:tcPr>
            <w:tcW w:w="4264"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H3</w:t>
            </w:r>
          </w:p>
        </w:tc>
      </w:tr>
    </w:tbl>
    <w:p>
      <w:pPr>
        <w:pageBreakBefore w:val="0"/>
        <w:tabs>
          <w:tab w:val="left" w:pos="3062"/>
        </w:tabs>
        <w:wordWrap/>
        <w:bidi w:val="0"/>
        <w:spacing w:line="360" w:lineRule="auto"/>
        <w:ind w:left="0" w:leftChars="0" w:right="0" w:rightChars="0" w:firstLine="480" w:firstLineChars="20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依据表1-1</w:t>
      </w:r>
      <w:r>
        <w:rPr>
          <w:rFonts w:hint="default" w:ascii="Times New Roman" w:hAnsi="Times New Roman" w:eastAsia="宋体" w:cs="Times New Roman"/>
          <w:color w:val="auto"/>
          <w:sz w:val="24"/>
          <w:highlight w:val="none"/>
          <w:lang w:val="en-US" w:eastAsia="zh-CN"/>
        </w:rPr>
        <w:t>5</w:t>
      </w:r>
      <w:r>
        <w:rPr>
          <w:rFonts w:hint="default" w:ascii="Times New Roman" w:hAnsi="Times New Roman" w:eastAsia="宋体" w:cs="Times New Roman"/>
          <w:color w:val="auto"/>
          <w:sz w:val="24"/>
          <w:highlight w:val="none"/>
        </w:rPr>
        <w:t>、表1-1</w:t>
      </w:r>
      <w:r>
        <w:rPr>
          <w:rFonts w:hint="default" w:ascii="Times New Roman" w:hAnsi="Times New Roman" w:eastAsia="宋体" w:cs="Times New Roman"/>
          <w:color w:val="auto"/>
          <w:sz w:val="24"/>
          <w:highlight w:val="none"/>
          <w:lang w:val="en-US" w:eastAsia="zh-CN"/>
        </w:rPr>
        <w:t>6</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尾矿库环境危害性得分DH=</w:t>
      </w:r>
      <w:r>
        <w:rPr>
          <w:rFonts w:hint="default" w:ascii="Times New Roman" w:hAnsi="Times New Roman" w:eastAsia="宋体" w:cs="Times New Roman"/>
          <w:color w:val="auto"/>
          <w:sz w:val="24"/>
          <w:highlight w:val="none"/>
          <w:lang w:val="en-US" w:eastAsia="zh-CN"/>
        </w:rPr>
        <w:t>66</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rPr>
        <w:t>D</w:t>
      </w:r>
      <w:r>
        <w:rPr>
          <w:rFonts w:hint="default" w:ascii="Times New Roman" w:hAnsi="Times New Roman" w:eastAsia="宋体" w:cs="Times New Roman"/>
          <w:color w:val="auto"/>
          <w:sz w:val="24"/>
          <w:szCs w:val="24"/>
          <w:highlight w:val="none"/>
          <w:vertAlign w:val="subscript"/>
        </w:rPr>
        <w:t>H</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60</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highlight w:val="none"/>
        </w:rPr>
        <w:t>根据尾矿库环境危害性等级划分表</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确定本项目尾矿库风险等级为H</w:t>
      </w:r>
      <w:r>
        <w:rPr>
          <w:rFonts w:hint="default" w:ascii="Times New Roman" w:hAnsi="Times New Roman" w:eastAsia="宋体" w:cs="Times New Roman"/>
          <w:color w:val="auto"/>
          <w:sz w:val="24"/>
          <w:highlight w:val="none"/>
          <w:lang w:val="en-US" w:eastAsia="zh-CN"/>
        </w:rPr>
        <w:t>1</w:t>
      </w:r>
      <w:r>
        <w:rPr>
          <w:rFonts w:hint="default" w:ascii="Times New Roman" w:hAnsi="Times New Roman" w:eastAsia="宋体" w:cs="Times New Roman"/>
          <w:color w:val="auto"/>
          <w:sz w:val="24"/>
          <w:highlight w:val="none"/>
        </w:rPr>
        <w:t>。</w:t>
      </w:r>
    </w:p>
    <w:p>
      <w:pPr>
        <w:pageBreakBefore w:val="0"/>
        <w:tabs>
          <w:tab w:val="left" w:pos="3062"/>
        </w:tabs>
        <w:wordWrap/>
        <w:bidi w:val="0"/>
        <w:spacing w:line="360" w:lineRule="auto"/>
        <w:ind w:left="0" w:leftChars="0" w:right="0" w:rightChars="0" w:firstLine="480" w:firstLineChars="200"/>
        <w:jc w:val="left"/>
        <w:outlineLvl w:val="1"/>
        <w:rPr>
          <w:rFonts w:hint="default" w:ascii="Times New Roman" w:hAnsi="Times New Roman" w:eastAsia="宋体" w:cs="Times New Roman"/>
          <w:color w:val="auto"/>
          <w:sz w:val="24"/>
          <w:highlight w:val="none"/>
        </w:rPr>
      </w:pPr>
      <w:bookmarkStart w:id="227" w:name="_Toc21891"/>
      <w:bookmarkStart w:id="228" w:name="_Toc26997"/>
      <w:r>
        <w:rPr>
          <w:rFonts w:hint="default" w:ascii="Times New Roman" w:hAnsi="Times New Roman" w:eastAsia="宋体" w:cs="Times New Roman"/>
          <w:color w:val="auto"/>
          <w:sz w:val="24"/>
          <w:highlight w:val="none"/>
        </w:rPr>
        <w:t>②尾矿库周边环境敏感性</w:t>
      </w:r>
      <w:bookmarkEnd w:id="227"/>
      <w:bookmarkEnd w:id="228"/>
    </w:p>
    <w:p>
      <w:pPr>
        <w:pageBreakBefore w:val="0"/>
        <w:tabs>
          <w:tab w:val="left" w:pos="3062"/>
        </w:tabs>
        <w:wordWrap/>
        <w:bidi w:val="0"/>
        <w:spacing w:line="360" w:lineRule="auto"/>
        <w:ind w:left="0" w:leftChars="0" w:right="0" w:rightChars="0" w:firstLine="480" w:firstLineChars="20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采用评分法</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对尾矿库下游涉及的跨界情况、周边环境风险受体情况、周边环境功能类别情况三方面指标进行评分</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具体见表1-1</w:t>
      </w:r>
      <w:r>
        <w:rPr>
          <w:rFonts w:hint="default" w:ascii="Times New Roman" w:hAnsi="Times New Roman" w:eastAsia="宋体" w:cs="Times New Roman"/>
          <w:color w:val="auto"/>
          <w:sz w:val="24"/>
          <w:highlight w:val="none"/>
          <w:lang w:val="en-US" w:eastAsia="zh-CN"/>
        </w:rPr>
        <w:t>7</w:t>
      </w:r>
      <w:r>
        <w:rPr>
          <w:rFonts w:hint="default" w:ascii="Times New Roman" w:hAnsi="Times New Roman" w:eastAsia="宋体" w:cs="Times New Roman"/>
          <w:color w:val="auto"/>
          <w:sz w:val="24"/>
          <w:highlight w:val="none"/>
        </w:rPr>
        <w:t>。</w:t>
      </w:r>
    </w:p>
    <w:p>
      <w:pPr>
        <w:pageBreakBefore w:val="0"/>
        <w:tabs>
          <w:tab w:val="left" w:pos="3062"/>
        </w:tabs>
        <w:wordWrap/>
        <w:bidi w:val="0"/>
        <w:spacing w:line="360" w:lineRule="auto"/>
        <w:ind w:left="0" w:leftChars="0" w:right="0" w:rightChars="0"/>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表1-1</w:t>
      </w:r>
      <w:r>
        <w:rPr>
          <w:rFonts w:hint="default" w:ascii="Times New Roman" w:hAnsi="Times New Roman" w:eastAsia="宋体" w:cs="Times New Roman"/>
          <w:b/>
          <w:bCs/>
          <w:color w:val="auto"/>
          <w:sz w:val="24"/>
          <w:highlight w:val="none"/>
          <w:lang w:val="en-US" w:eastAsia="zh-CN"/>
        </w:rPr>
        <w:t>7</w:t>
      </w:r>
      <w:r>
        <w:rPr>
          <w:rFonts w:hint="default" w:ascii="Times New Roman" w:hAnsi="Times New Roman" w:eastAsia="宋体" w:cs="Times New Roman"/>
          <w:b/>
          <w:bCs/>
          <w:color w:val="auto"/>
          <w:sz w:val="24"/>
          <w:highlight w:val="none"/>
        </w:rPr>
        <w:t>尾矿库周边环境敏感性（S</w:t>
      </w:r>
      <w:r>
        <w:rPr>
          <w:rFonts w:hint="default" w:ascii="Times New Roman" w:hAnsi="Times New Roman" w:eastAsia="宋体" w:cs="Times New Roman"/>
          <w:b/>
          <w:bCs/>
          <w:color w:val="auto"/>
          <w:sz w:val="24"/>
          <w:highlight w:val="none"/>
          <w:lang w:eastAsia="zh-CN"/>
        </w:rPr>
        <w:t>）</w:t>
      </w:r>
      <w:r>
        <w:rPr>
          <w:rFonts w:hint="default" w:ascii="Times New Roman" w:hAnsi="Times New Roman" w:eastAsia="宋体" w:cs="Times New Roman"/>
          <w:b/>
          <w:bCs/>
          <w:color w:val="auto"/>
          <w:sz w:val="24"/>
          <w:highlight w:val="none"/>
        </w:rPr>
        <w:t>等级划分指标评分表</w:t>
      </w:r>
    </w:p>
    <w:tbl>
      <w:tblPr>
        <w:tblStyle w:val="54"/>
        <w:tblW w:w="827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1"/>
        <w:gridCol w:w="701"/>
        <w:gridCol w:w="701"/>
        <w:gridCol w:w="701"/>
        <w:gridCol w:w="701"/>
        <w:gridCol w:w="1299"/>
        <w:gridCol w:w="1083"/>
        <w:gridCol w:w="1409"/>
        <w:gridCol w:w="9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7" w:type="dxa"/>
            <w:tcBorders>
              <w:top w:val="single" w:color="auto" w:sz="4" w:space="0"/>
              <w:left w:val="single" w:color="auto" w:sz="4" w:space="0"/>
              <w:bottom w:val="single" w:color="auto" w:sz="4" w:space="0"/>
              <w:right w:val="single" w:color="auto" w:sz="4" w:space="0"/>
            </w:tcBorders>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序号</w:t>
            </w:r>
          </w:p>
        </w:tc>
        <w:tc>
          <w:tcPr>
            <w:tcW w:w="567" w:type="dxa"/>
            <w:gridSpan w:val="5"/>
            <w:tcBorders>
              <w:top w:val="single" w:color="auto" w:sz="4" w:space="0"/>
              <w:left w:val="single" w:color="auto" w:sz="4" w:space="0"/>
              <w:bottom w:val="single" w:color="auto" w:sz="4" w:space="0"/>
              <w:right w:val="single" w:color="auto" w:sz="4" w:space="0"/>
            </w:tcBorders>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指标项目</w:t>
            </w:r>
          </w:p>
        </w:tc>
        <w:tc>
          <w:tcPr>
            <w:tcW w:w="567" w:type="dxa"/>
            <w:tcBorders>
              <w:top w:val="single" w:color="auto" w:sz="4" w:space="0"/>
              <w:left w:val="single" w:color="auto" w:sz="4" w:space="0"/>
              <w:bottom w:val="single" w:color="auto" w:sz="4" w:space="0"/>
              <w:right w:val="single" w:color="auto" w:sz="4" w:space="0"/>
            </w:tcBorders>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指标分值</w:t>
            </w:r>
          </w:p>
        </w:tc>
        <w:tc>
          <w:tcPr>
            <w:tcW w:w="567" w:type="dxa"/>
            <w:tcBorders>
              <w:top w:val="single" w:color="auto" w:sz="4" w:space="0"/>
              <w:left w:val="single" w:color="auto" w:sz="4" w:space="0"/>
              <w:bottom w:val="single" w:color="auto" w:sz="4" w:space="0"/>
              <w:right w:val="single" w:color="auto" w:sz="4" w:space="0"/>
            </w:tcBorders>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评分依据</w:t>
            </w:r>
          </w:p>
        </w:tc>
        <w:tc>
          <w:tcPr>
            <w:tcW w:w="567" w:type="dxa"/>
            <w:tcBorders>
              <w:top w:val="single" w:color="auto" w:sz="4" w:space="0"/>
              <w:left w:val="single" w:color="auto" w:sz="4" w:space="0"/>
              <w:bottom w:val="single" w:color="auto" w:sz="4" w:space="0"/>
              <w:right w:val="single" w:color="auto" w:sz="4" w:space="0"/>
            </w:tcBorders>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7" w:type="dxa"/>
            <w:tcBorders>
              <w:top w:val="single" w:color="auto" w:sz="4" w:space="0"/>
              <w:left w:val="single" w:color="auto" w:sz="4" w:space="0"/>
              <w:bottom w:val="single" w:color="auto" w:sz="4" w:space="0"/>
              <w:right w:val="single" w:color="auto" w:sz="4" w:space="0"/>
            </w:tcBorders>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w:t>
            </w:r>
          </w:p>
        </w:tc>
        <w:tc>
          <w:tcPr>
            <w:tcW w:w="567" w:type="dxa"/>
            <w:vMerge w:val="restart"/>
            <w:tcBorders>
              <w:top w:val="single" w:color="auto" w:sz="4" w:space="0"/>
              <w:left w:val="single" w:color="auto" w:sz="4" w:space="0"/>
              <w:bottom w:val="single" w:color="auto" w:sz="4" w:space="0"/>
              <w:right w:val="single" w:color="auto" w:sz="4" w:space="0"/>
            </w:tcBorders>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尾矿库周边环境敏感性</w:t>
            </w:r>
          </w:p>
        </w:tc>
        <w:tc>
          <w:tcPr>
            <w:tcW w:w="567" w:type="dxa"/>
            <w:vMerge w:val="restart"/>
            <w:tcBorders>
              <w:top w:val="single" w:color="auto" w:sz="4" w:space="0"/>
              <w:left w:val="single" w:color="auto" w:sz="4" w:space="0"/>
              <w:bottom w:val="single" w:color="auto" w:sz="4" w:space="0"/>
              <w:right w:val="single" w:color="auto" w:sz="4" w:space="0"/>
            </w:tcBorders>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下游涉及的跨界情况</w:t>
            </w:r>
          </w:p>
        </w:tc>
        <w:tc>
          <w:tcPr>
            <w:tcW w:w="567" w:type="dxa"/>
            <w:gridSpan w:val="3"/>
            <w:tcBorders>
              <w:top w:val="single" w:color="auto" w:sz="4" w:space="0"/>
              <w:left w:val="single" w:color="auto" w:sz="4" w:space="0"/>
              <w:bottom w:val="single" w:color="auto" w:sz="4" w:space="0"/>
              <w:right w:val="single" w:color="auto" w:sz="4" w:space="0"/>
            </w:tcBorders>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涉及跨界类型</w:t>
            </w:r>
          </w:p>
        </w:tc>
        <w:tc>
          <w:tcPr>
            <w:tcW w:w="567" w:type="dxa"/>
            <w:tcBorders>
              <w:top w:val="single" w:color="auto" w:sz="4" w:space="0"/>
              <w:left w:val="single" w:color="auto" w:sz="4" w:space="0"/>
              <w:bottom w:val="single" w:color="auto" w:sz="4" w:space="0"/>
              <w:right w:val="single" w:color="auto" w:sz="4" w:space="0"/>
            </w:tcBorders>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18</w:t>
            </w:r>
          </w:p>
        </w:tc>
        <w:tc>
          <w:tcPr>
            <w:tcW w:w="1140" w:type="dxa"/>
            <w:tcBorders>
              <w:top w:val="single" w:color="auto" w:sz="4" w:space="0"/>
              <w:left w:val="single" w:color="auto" w:sz="4" w:space="0"/>
              <w:bottom w:val="single" w:color="auto" w:sz="4" w:space="0"/>
              <w:right w:val="single" w:color="auto" w:sz="4" w:space="0"/>
            </w:tcBorders>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无跨界</w:t>
            </w:r>
          </w:p>
        </w:tc>
        <w:tc>
          <w:tcPr>
            <w:tcW w:w="793" w:type="dxa"/>
            <w:tcBorders>
              <w:top w:val="single" w:color="auto" w:sz="4" w:space="0"/>
              <w:left w:val="single" w:color="auto" w:sz="4" w:space="0"/>
              <w:bottom w:val="single" w:color="auto" w:sz="4" w:space="0"/>
              <w:right w:val="single" w:color="auto" w:sz="4" w:space="0"/>
            </w:tcBorders>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7" w:type="dxa"/>
            <w:tcBorders>
              <w:top w:val="single" w:color="auto" w:sz="4" w:space="0"/>
              <w:left w:val="single" w:color="auto" w:sz="4" w:space="0"/>
              <w:bottom w:val="single" w:color="auto" w:sz="4" w:space="0"/>
              <w:right w:val="single" w:color="auto" w:sz="4" w:space="0"/>
            </w:tcBorders>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w:t>
            </w:r>
          </w:p>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p>
        </w:tc>
        <w:tc>
          <w:tcPr>
            <w:tcW w:w="567" w:type="dxa"/>
            <w:vMerge w:val="continue"/>
            <w:tcBorders>
              <w:top w:val="single" w:color="auto" w:sz="4" w:space="0"/>
              <w:left w:val="single" w:color="auto" w:sz="4" w:space="0"/>
              <w:bottom w:val="single" w:color="auto" w:sz="4" w:space="0"/>
              <w:right w:val="single" w:color="auto" w:sz="4" w:space="0"/>
            </w:tcBorders>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p>
        </w:tc>
        <w:tc>
          <w:tcPr>
            <w:tcW w:w="567" w:type="dxa"/>
            <w:vMerge w:val="continue"/>
            <w:tcBorders>
              <w:top w:val="single" w:color="auto" w:sz="4" w:space="0"/>
              <w:left w:val="single" w:color="auto" w:sz="4" w:space="0"/>
              <w:bottom w:val="single" w:color="auto" w:sz="4" w:space="0"/>
              <w:right w:val="single" w:color="auto" w:sz="4" w:space="0"/>
            </w:tcBorders>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p>
        </w:tc>
        <w:tc>
          <w:tcPr>
            <w:tcW w:w="567" w:type="dxa"/>
            <w:gridSpan w:val="3"/>
            <w:tcBorders>
              <w:top w:val="single" w:color="auto" w:sz="4" w:space="0"/>
              <w:left w:val="single" w:color="auto" w:sz="4" w:space="0"/>
              <w:bottom w:val="single" w:color="auto" w:sz="4" w:space="0"/>
              <w:right w:val="single" w:color="auto" w:sz="4" w:space="0"/>
            </w:tcBorders>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涉及跨界距离</w:t>
            </w:r>
          </w:p>
        </w:tc>
        <w:tc>
          <w:tcPr>
            <w:tcW w:w="567" w:type="dxa"/>
            <w:tcBorders>
              <w:top w:val="single" w:color="auto" w:sz="4" w:space="0"/>
              <w:left w:val="single" w:color="auto" w:sz="4" w:space="0"/>
              <w:bottom w:val="single" w:color="auto" w:sz="4" w:space="0"/>
              <w:right w:val="single" w:color="auto" w:sz="4" w:space="0"/>
            </w:tcBorders>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6</w:t>
            </w:r>
          </w:p>
        </w:tc>
        <w:tc>
          <w:tcPr>
            <w:tcW w:w="1140" w:type="dxa"/>
            <w:tcBorders>
              <w:top w:val="single" w:color="auto" w:sz="4" w:space="0"/>
              <w:left w:val="single" w:color="auto" w:sz="4" w:space="0"/>
              <w:bottom w:val="single" w:color="auto" w:sz="4" w:space="0"/>
              <w:right w:val="single" w:color="auto" w:sz="4" w:space="0"/>
            </w:tcBorders>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无跨界</w:t>
            </w:r>
          </w:p>
        </w:tc>
        <w:tc>
          <w:tcPr>
            <w:tcW w:w="793" w:type="dxa"/>
            <w:tcBorders>
              <w:top w:val="single" w:color="auto" w:sz="4" w:space="0"/>
              <w:left w:val="single" w:color="auto" w:sz="4" w:space="0"/>
              <w:bottom w:val="single" w:color="auto" w:sz="4" w:space="0"/>
              <w:right w:val="single" w:color="auto" w:sz="4" w:space="0"/>
            </w:tcBorders>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7" w:type="dxa"/>
            <w:tcBorders>
              <w:top w:val="single" w:color="auto" w:sz="4" w:space="0"/>
              <w:left w:val="single" w:color="auto" w:sz="4" w:space="0"/>
              <w:bottom w:val="single" w:color="auto" w:sz="4" w:space="0"/>
              <w:right w:val="single" w:color="auto" w:sz="4" w:space="0"/>
            </w:tcBorders>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3</w:t>
            </w:r>
          </w:p>
        </w:tc>
        <w:tc>
          <w:tcPr>
            <w:tcW w:w="567" w:type="dxa"/>
            <w:vMerge w:val="continue"/>
            <w:tcBorders>
              <w:top w:val="single" w:color="auto" w:sz="4" w:space="0"/>
              <w:left w:val="single" w:color="auto" w:sz="4" w:space="0"/>
              <w:bottom w:val="single" w:color="auto" w:sz="4" w:space="0"/>
              <w:right w:val="single" w:color="auto" w:sz="4" w:space="0"/>
            </w:tcBorders>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p>
        </w:tc>
        <w:tc>
          <w:tcPr>
            <w:tcW w:w="567" w:type="dxa"/>
            <w:gridSpan w:val="4"/>
            <w:tcBorders>
              <w:top w:val="single" w:color="auto" w:sz="4" w:space="0"/>
              <w:left w:val="single" w:color="auto" w:sz="4" w:space="0"/>
              <w:bottom w:val="single" w:color="auto" w:sz="4" w:space="0"/>
              <w:right w:val="single" w:color="auto" w:sz="4" w:space="0"/>
            </w:tcBorders>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周边环境风险受体情况</w:t>
            </w:r>
          </w:p>
        </w:tc>
        <w:tc>
          <w:tcPr>
            <w:tcW w:w="567" w:type="dxa"/>
            <w:tcBorders>
              <w:top w:val="single" w:color="auto" w:sz="4" w:space="0"/>
              <w:left w:val="single" w:color="auto" w:sz="4" w:space="0"/>
              <w:bottom w:val="single" w:color="auto" w:sz="4" w:space="0"/>
              <w:right w:val="single" w:color="auto" w:sz="4" w:space="0"/>
            </w:tcBorders>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54</w:t>
            </w:r>
          </w:p>
        </w:tc>
        <w:tc>
          <w:tcPr>
            <w:tcW w:w="567" w:type="dxa"/>
            <w:tcBorders>
              <w:top w:val="single" w:color="auto" w:sz="4" w:space="0"/>
              <w:left w:val="single" w:color="auto" w:sz="4" w:space="0"/>
              <w:bottom w:val="single" w:color="auto" w:sz="4" w:space="0"/>
              <w:right w:val="single" w:color="auto" w:sz="4" w:space="0"/>
            </w:tcBorders>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eastAsia="zh-CN"/>
              </w:rPr>
              <w:t>居民（人口</w:t>
            </w:r>
            <w:r>
              <w:rPr>
                <w:rFonts w:hint="default" w:ascii="Times New Roman" w:hAnsi="Times New Roman" w:eastAsia="宋体" w:cs="Times New Roman"/>
                <w:color w:val="auto"/>
                <w:szCs w:val="21"/>
                <w:highlight w:val="none"/>
                <w:lang w:val="en-US" w:eastAsia="zh-CN"/>
              </w:rPr>
              <w:t>200人以下</w:t>
            </w:r>
            <w:r>
              <w:rPr>
                <w:rFonts w:hint="default" w:ascii="Times New Roman" w:hAnsi="Times New Roman" w:eastAsia="宋体" w:cs="Times New Roman"/>
                <w:color w:val="auto"/>
                <w:szCs w:val="21"/>
                <w:highlight w:val="none"/>
                <w:lang w:eastAsia="zh-CN"/>
              </w:rPr>
              <w:t>）</w:t>
            </w:r>
          </w:p>
        </w:tc>
        <w:tc>
          <w:tcPr>
            <w:tcW w:w="793" w:type="dxa"/>
            <w:tcBorders>
              <w:top w:val="single" w:color="auto" w:sz="4" w:space="0"/>
              <w:left w:val="single" w:color="auto" w:sz="4" w:space="0"/>
              <w:bottom w:val="single" w:color="auto" w:sz="4" w:space="0"/>
              <w:right w:val="single" w:color="auto" w:sz="4" w:space="0"/>
            </w:tcBorders>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7" w:type="dxa"/>
            <w:tcBorders>
              <w:top w:val="single" w:color="auto" w:sz="4" w:space="0"/>
              <w:left w:val="single" w:color="auto" w:sz="4" w:space="0"/>
              <w:bottom w:val="single" w:color="auto" w:sz="4" w:space="0"/>
              <w:right w:val="single" w:color="auto" w:sz="4" w:space="0"/>
            </w:tcBorders>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4</w:t>
            </w:r>
          </w:p>
        </w:tc>
        <w:tc>
          <w:tcPr>
            <w:tcW w:w="567" w:type="dxa"/>
            <w:vMerge w:val="continue"/>
            <w:tcBorders>
              <w:top w:val="single" w:color="auto" w:sz="4" w:space="0"/>
              <w:left w:val="single" w:color="auto" w:sz="4" w:space="0"/>
              <w:bottom w:val="single" w:color="auto" w:sz="4" w:space="0"/>
              <w:right w:val="single" w:color="auto" w:sz="4" w:space="0"/>
            </w:tcBorders>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p>
        </w:tc>
        <w:tc>
          <w:tcPr>
            <w:tcW w:w="567" w:type="dxa"/>
            <w:vMerge w:val="restart"/>
            <w:tcBorders>
              <w:top w:val="single" w:color="auto" w:sz="4" w:space="0"/>
              <w:left w:val="single" w:color="auto" w:sz="4" w:space="0"/>
              <w:bottom w:val="single" w:color="auto" w:sz="4" w:space="0"/>
              <w:right w:val="single" w:color="auto" w:sz="4" w:space="0"/>
            </w:tcBorders>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周边环境功能类别情况</w:t>
            </w:r>
          </w:p>
        </w:tc>
        <w:tc>
          <w:tcPr>
            <w:tcW w:w="567" w:type="dxa"/>
            <w:vMerge w:val="restart"/>
            <w:tcBorders>
              <w:top w:val="single" w:color="auto" w:sz="4" w:space="0"/>
              <w:left w:val="single" w:color="auto" w:sz="4" w:space="0"/>
              <w:bottom w:val="single" w:color="auto" w:sz="4" w:space="0"/>
              <w:right w:val="single" w:color="auto" w:sz="4" w:space="0"/>
            </w:tcBorders>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水环境</w:t>
            </w:r>
          </w:p>
        </w:tc>
        <w:tc>
          <w:tcPr>
            <w:tcW w:w="567" w:type="dxa"/>
            <w:vMerge w:val="restart"/>
            <w:tcBorders>
              <w:top w:val="single" w:color="auto" w:sz="4" w:space="0"/>
              <w:left w:val="single" w:color="auto" w:sz="4" w:space="0"/>
              <w:bottom w:val="single" w:color="auto" w:sz="4" w:space="0"/>
              <w:right w:val="single" w:color="auto" w:sz="4" w:space="0"/>
            </w:tcBorders>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下游水体</w:t>
            </w:r>
          </w:p>
        </w:tc>
        <w:tc>
          <w:tcPr>
            <w:tcW w:w="1051" w:type="dxa"/>
            <w:tcBorders>
              <w:top w:val="single" w:color="auto" w:sz="4" w:space="0"/>
              <w:left w:val="single" w:color="auto" w:sz="4" w:space="0"/>
              <w:bottom w:val="single" w:color="auto" w:sz="4" w:space="0"/>
              <w:right w:val="single" w:color="auto" w:sz="4" w:space="0"/>
            </w:tcBorders>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地表水</w:t>
            </w:r>
          </w:p>
        </w:tc>
        <w:tc>
          <w:tcPr>
            <w:tcW w:w="876" w:type="dxa"/>
            <w:vMerge w:val="restart"/>
            <w:tcBorders>
              <w:top w:val="single" w:color="auto" w:sz="4" w:space="0"/>
              <w:left w:val="single" w:color="auto" w:sz="4" w:space="0"/>
              <w:bottom w:val="single" w:color="auto" w:sz="4" w:space="0"/>
              <w:right w:val="single" w:color="auto" w:sz="4" w:space="0"/>
            </w:tcBorders>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9</w:t>
            </w:r>
          </w:p>
        </w:tc>
        <w:tc>
          <w:tcPr>
            <w:tcW w:w="1140" w:type="dxa"/>
            <w:tcBorders>
              <w:top w:val="single" w:color="auto" w:sz="4" w:space="0"/>
              <w:left w:val="single" w:color="auto" w:sz="4" w:space="0"/>
              <w:bottom w:val="single" w:color="auto" w:sz="4" w:space="0"/>
              <w:right w:val="single" w:color="auto" w:sz="4" w:space="0"/>
            </w:tcBorders>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无</w:t>
            </w:r>
          </w:p>
        </w:tc>
        <w:tc>
          <w:tcPr>
            <w:tcW w:w="793" w:type="dxa"/>
            <w:tcBorders>
              <w:top w:val="single" w:color="auto" w:sz="4" w:space="0"/>
              <w:left w:val="single" w:color="auto" w:sz="4" w:space="0"/>
              <w:bottom w:val="single" w:color="auto" w:sz="4" w:space="0"/>
              <w:right w:val="single" w:color="auto" w:sz="4" w:space="0"/>
            </w:tcBorders>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7" w:type="dxa"/>
            <w:tcBorders>
              <w:top w:val="single" w:color="auto" w:sz="4" w:space="0"/>
              <w:left w:val="single" w:color="auto" w:sz="4" w:space="0"/>
              <w:bottom w:val="single" w:color="auto" w:sz="4" w:space="0"/>
              <w:right w:val="single" w:color="auto" w:sz="4" w:space="0"/>
            </w:tcBorders>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5</w:t>
            </w:r>
          </w:p>
        </w:tc>
        <w:tc>
          <w:tcPr>
            <w:tcW w:w="567" w:type="dxa"/>
            <w:vMerge w:val="continue"/>
            <w:tcBorders>
              <w:top w:val="single" w:color="auto" w:sz="4" w:space="0"/>
              <w:left w:val="single" w:color="auto" w:sz="4" w:space="0"/>
              <w:bottom w:val="single" w:color="auto" w:sz="4" w:space="0"/>
              <w:right w:val="single" w:color="auto" w:sz="4" w:space="0"/>
            </w:tcBorders>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p>
        </w:tc>
        <w:tc>
          <w:tcPr>
            <w:tcW w:w="567" w:type="dxa"/>
            <w:vMerge w:val="continue"/>
            <w:tcBorders>
              <w:top w:val="single" w:color="auto" w:sz="4" w:space="0"/>
              <w:left w:val="single" w:color="auto" w:sz="4" w:space="0"/>
              <w:bottom w:val="single" w:color="auto" w:sz="4" w:space="0"/>
              <w:right w:val="single" w:color="auto" w:sz="4" w:space="0"/>
            </w:tcBorders>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p>
        </w:tc>
        <w:tc>
          <w:tcPr>
            <w:tcW w:w="567" w:type="dxa"/>
            <w:vMerge w:val="continue"/>
            <w:tcBorders>
              <w:top w:val="single" w:color="auto" w:sz="4" w:space="0"/>
              <w:left w:val="single" w:color="auto" w:sz="4" w:space="0"/>
              <w:bottom w:val="single" w:color="auto" w:sz="4" w:space="0"/>
              <w:right w:val="single" w:color="auto" w:sz="4" w:space="0"/>
            </w:tcBorders>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p>
        </w:tc>
        <w:tc>
          <w:tcPr>
            <w:tcW w:w="567" w:type="dxa"/>
            <w:vMerge w:val="continue"/>
            <w:tcBorders>
              <w:top w:val="single" w:color="auto" w:sz="4" w:space="0"/>
              <w:left w:val="single" w:color="auto" w:sz="4" w:space="0"/>
              <w:bottom w:val="single" w:color="auto" w:sz="4" w:space="0"/>
              <w:right w:val="single" w:color="auto" w:sz="4" w:space="0"/>
            </w:tcBorders>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p>
        </w:tc>
        <w:tc>
          <w:tcPr>
            <w:tcW w:w="1051" w:type="dxa"/>
            <w:tcBorders>
              <w:top w:val="single" w:color="auto" w:sz="4" w:space="0"/>
              <w:left w:val="single" w:color="auto" w:sz="4" w:space="0"/>
              <w:bottom w:val="single" w:color="auto" w:sz="4" w:space="0"/>
              <w:right w:val="single" w:color="auto" w:sz="4" w:space="0"/>
            </w:tcBorders>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海水</w:t>
            </w:r>
          </w:p>
        </w:tc>
        <w:tc>
          <w:tcPr>
            <w:tcW w:w="876" w:type="dxa"/>
            <w:vMerge w:val="continue"/>
            <w:tcBorders>
              <w:top w:val="single" w:color="auto" w:sz="4" w:space="0"/>
              <w:left w:val="single" w:color="auto" w:sz="4" w:space="0"/>
              <w:bottom w:val="single" w:color="auto" w:sz="4" w:space="0"/>
              <w:right w:val="single" w:color="auto" w:sz="4" w:space="0"/>
            </w:tcBorders>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p>
        </w:tc>
        <w:tc>
          <w:tcPr>
            <w:tcW w:w="1140" w:type="dxa"/>
            <w:tcBorders>
              <w:top w:val="single" w:color="auto" w:sz="4" w:space="0"/>
              <w:left w:val="single" w:color="auto" w:sz="4" w:space="0"/>
              <w:bottom w:val="single" w:color="auto" w:sz="4" w:space="0"/>
              <w:right w:val="single" w:color="auto" w:sz="4" w:space="0"/>
            </w:tcBorders>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无</w:t>
            </w:r>
          </w:p>
        </w:tc>
        <w:tc>
          <w:tcPr>
            <w:tcW w:w="793" w:type="dxa"/>
            <w:tcBorders>
              <w:top w:val="single" w:color="auto" w:sz="4" w:space="0"/>
              <w:left w:val="single" w:color="auto" w:sz="4" w:space="0"/>
              <w:bottom w:val="single" w:color="auto" w:sz="4" w:space="0"/>
              <w:right w:val="single" w:color="auto" w:sz="4" w:space="0"/>
            </w:tcBorders>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7" w:type="dxa"/>
            <w:tcBorders>
              <w:top w:val="single" w:color="auto" w:sz="4" w:space="0"/>
              <w:left w:val="single" w:color="auto" w:sz="4" w:space="0"/>
              <w:bottom w:val="single" w:color="auto" w:sz="4" w:space="0"/>
              <w:right w:val="single" w:color="auto" w:sz="4" w:space="0"/>
            </w:tcBorders>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6</w:t>
            </w:r>
          </w:p>
        </w:tc>
        <w:tc>
          <w:tcPr>
            <w:tcW w:w="567" w:type="dxa"/>
            <w:vMerge w:val="continue"/>
            <w:tcBorders>
              <w:top w:val="single" w:color="auto" w:sz="4" w:space="0"/>
              <w:left w:val="single" w:color="auto" w:sz="4" w:space="0"/>
              <w:bottom w:val="single" w:color="auto" w:sz="4" w:space="0"/>
              <w:right w:val="single" w:color="auto" w:sz="4" w:space="0"/>
            </w:tcBorders>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p>
        </w:tc>
        <w:tc>
          <w:tcPr>
            <w:tcW w:w="567" w:type="dxa"/>
            <w:vMerge w:val="continue"/>
            <w:tcBorders>
              <w:top w:val="single" w:color="auto" w:sz="4" w:space="0"/>
              <w:left w:val="single" w:color="auto" w:sz="4" w:space="0"/>
              <w:bottom w:val="single" w:color="auto" w:sz="4" w:space="0"/>
              <w:right w:val="single" w:color="auto" w:sz="4" w:space="0"/>
            </w:tcBorders>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p>
        </w:tc>
        <w:tc>
          <w:tcPr>
            <w:tcW w:w="567" w:type="dxa"/>
            <w:vMerge w:val="continue"/>
            <w:tcBorders>
              <w:top w:val="single" w:color="auto" w:sz="4" w:space="0"/>
              <w:left w:val="single" w:color="auto" w:sz="4" w:space="0"/>
              <w:bottom w:val="single" w:color="auto" w:sz="4" w:space="0"/>
              <w:right w:val="single" w:color="auto" w:sz="4" w:space="0"/>
            </w:tcBorders>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p>
        </w:tc>
        <w:tc>
          <w:tcPr>
            <w:tcW w:w="567" w:type="dxa"/>
            <w:gridSpan w:val="2"/>
            <w:tcBorders>
              <w:top w:val="single" w:color="auto" w:sz="4" w:space="0"/>
              <w:left w:val="single" w:color="auto" w:sz="4" w:space="0"/>
              <w:bottom w:val="single" w:color="auto" w:sz="4" w:space="0"/>
              <w:right w:val="single" w:color="auto" w:sz="4" w:space="0"/>
            </w:tcBorders>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地下水</w:t>
            </w:r>
          </w:p>
        </w:tc>
        <w:tc>
          <w:tcPr>
            <w:tcW w:w="876" w:type="dxa"/>
            <w:tcBorders>
              <w:top w:val="single" w:color="auto" w:sz="4" w:space="0"/>
              <w:left w:val="single" w:color="auto" w:sz="4" w:space="0"/>
              <w:bottom w:val="single" w:color="auto" w:sz="4" w:space="0"/>
              <w:right w:val="single" w:color="auto" w:sz="4" w:space="0"/>
            </w:tcBorders>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6</w:t>
            </w:r>
          </w:p>
        </w:tc>
        <w:tc>
          <w:tcPr>
            <w:tcW w:w="1140" w:type="dxa"/>
            <w:tcBorders>
              <w:top w:val="single" w:color="auto" w:sz="4" w:space="0"/>
              <w:left w:val="single" w:color="auto" w:sz="4" w:space="0"/>
              <w:bottom w:val="single" w:color="auto" w:sz="4" w:space="0"/>
              <w:right w:val="single" w:color="auto" w:sz="4" w:space="0"/>
            </w:tcBorders>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lang w:eastAsia="zh-CN"/>
              </w:rPr>
              <w:t>三</w:t>
            </w:r>
            <w:r>
              <w:rPr>
                <w:rFonts w:hint="default" w:ascii="Times New Roman" w:hAnsi="Times New Roman" w:eastAsia="宋体" w:cs="Times New Roman"/>
                <w:color w:val="auto"/>
                <w:szCs w:val="21"/>
                <w:highlight w:val="none"/>
              </w:rPr>
              <w:t>类</w:t>
            </w:r>
          </w:p>
        </w:tc>
        <w:tc>
          <w:tcPr>
            <w:tcW w:w="793" w:type="dxa"/>
            <w:tcBorders>
              <w:top w:val="single" w:color="auto" w:sz="4" w:space="0"/>
              <w:left w:val="single" w:color="auto" w:sz="4" w:space="0"/>
              <w:bottom w:val="single" w:color="auto" w:sz="4" w:space="0"/>
              <w:right w:val="single" w:color="auto" w:sz="4" w:space="0"/>
            </w:tcBorders>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val="en-US" w:eastAsia="zh-CN"/>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7" w:type="dxa"/>
            <w:tcBorders>
              <w:top w:val="single" w:color="auto" w:sz="4" w:space="0"/>
              <w:left w:val="single" w:color="auto" w:sz="4" w:space="0"/>
              <w:bottom w:val="single" w:color="auto" w:sz="4" w:space="0"/>
              <w:right w:val="single" w:color="auto" w:sz="4" w:space="0"/>
            </w:tcBorders>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7</w:t>
            </w:r>
          </w:p>
        </w:tc>
        <w:tc>
          <w:tcPr>
            <w:tcW w:w="567" w:type="dxa"/>
            <w:vMerge w:val="continue"/>
            <w:tcBorders>
              <w:top w:val="single" w:color="auto" w:sz="4" w:space="0"/>
              <w:left w:val="single" w:color="auto" w:sz="4" w:space="0"/>
              <w:bottom w:val="single" w:color="auto" w:sz="4" w:space="0"/>
              <w:right w:val="single" w:color="auto" w:sz="4" w:space="0"/>
            </w:tcBorders>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p>
        </w:tc>
        <w:tc>
          <w:tcPr>
            <w:tcW w:w="567" w:type="dxa"/>
            <w:vMerge w:val="continue"/>
            <w:tcBorders>
              <w:top w:val="single" w:color="auto" w:sz="4" w:space="0"/>
              <w:left w:val="single" w:color="auto" w:sz="4" w:space="0"/>
              <w:bottom w:val="single" w:color="auto" w:sz="4" w:space="0"/>
              <w:right w:val="single" w:color="auto" w:sz="4" w:space="0"/>
            </w:tcBorders>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p>
        </w:tc>
        <w:tc>
          <w:tcPr>
            <w:tcW w:w="567" w:type="dxa"/>
            <w:gridSpan w:val="3"/>
            <w:tcBorders>
              <w:top w:val="single" w:color="auto" w:sz="4" w:space="0"/>
              <w:left w:val="single" w:color="auto" w:sz="4" w:space="0"/>
              <w:bottom w:val="single" w:color="auto" w:sz="4" w:space="0"/>
              <w:right w:val="single" w:color="auto" w:sz="4" w:space="0"/>
            </w:tcBorders>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土壤环境</w:t>
            </w:r>
          </w:p>
        </w:tc>
        <w:tc>
          <w:tcPr>
            <w:tcW w:w="567" w:type="dxa"/>
            <w:tcBorders>
              <w:top w:val="single" w:color="auto" w:sz="4" w:space="0"/>
              <w:left w:val="single" w:color="auto" w:sz="4" w:space="0"/>
              <w:bottom w:val="single" w:color="auto" w:sz="4" w:space="0"/>
              <w:right w:val="single" w:color="auto" w:sz="4" w:space="0"/>
            </w:tcBorders>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4</w:t>
            </w:r>
          </w:p>
        </w:tc>
        <w:tc>
          <w:tcPr>
            <w:tcW w:w="1140" w:type="dxa"/>
            <w:tcBorders>
              <w:top w:val="single" w:color="auto" w:sz="4" w:space="0"/>
              <w:left w:val="single" w:color="auto" w:sz="4" w:space="0"/>
              <w:bottom w:val="single" w:color="auto" w:sz="4" w:space="0"/>
              <w:right w:val="single" w:color="auto" w:sz="4" w:space="0"/>
            </w:tcBorders>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rPr>
              <w:t>三类（矿产附近</w:t>
            </w:r>
            <w:r>
              <w:rPr>
                <w:rFonts w:hint="default" w:ascii="Times New Roman" w:hAnsi="Times New Roman" w:eastAsia="宋体" w:cs="Times New Roman"/>
                <w:color w:val="auto"/>
                <w:szCs w:val="21"/>
                <w:highlight w:val="none"/>
                <w:lang w:eastAsia="zh-CN"/>
              </w:rPr>
              <w:t>）</w:t>
            </w:r>
          </w:p>
        </w:tc>
        <w:tc>
          <w:tcPr>
            <w:tcW w:w="793" w:type="dxa"/>
            <w:tcBorders>
              <w:top w:val="single" w:color="auto" w:sz="4" w:space="0"/>
              <w:left w:val="single" w:color="auto" w:sz="4" w:space="0"/>
              <w:bottom w:val="single" w:color="auto" w:sz="4" w:space="0"/>
              <w:right w:val="single" w:color="auto" w:sz="4" w:space="0"/>
            </w:tcBorders>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7" w:type="dxa"/>
            <w:tcBorders>
              <w:top w:val="single" w:color="auto" w:sz="4" w:space="0"/>
              <w:left w:val="single" w:color="auto" w:sz="4" w:space="0"/>
              <w:bottom w:val="single" w:color="auto" w:sz="4" w:space="0"/>
              <w:right w:val="single" w:color="auto" w:sz="4" w:space="0"/>
            </w:tcBorders>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8</w:t>
            </w:r>
          </w:p>
        </w:tc>
        <w:tc>
          <w:tcPr>
            <w:tcW w:w="567" w:type="dxa"/>
            <w:vMerge w:val="continue"/>
            <w:tcBorders>
              <w:top w:val="single" w:color="auto" w:sz="4" w:space="0"/>
              <w:left w:val="single" w:color="auto" w:sz="4" w:space="0"/>
              <w:bottom w:val="single" w:color="auto" w:sz="4" w:space="0"/>
              <w:right w:val="single" w:color="auto" w:sz="4" w:space="0"/>
            </w:tcBorders>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p>
        </w:tc>
        <w:tc>
          <w:tcPr>
            <w:tcW w:w="567" w:type="dxa"/>
            <w:vMerge w:val="continue"/>
            <w:tcBorders>
              <w:top w:val="single" w:color="auto" w:sz="4" w:space="0"/>
              <w:left w:val="single" w:color="auto" w:sz="4" w:space="0"/>
              <w:bottom w:val="single" w:color="auto" w:sz="4" w:space="0"/>
              <w:right w:val="single" w:color="auto" w:sz="4" w:space="0"/>
            </w:tcBorders>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p>
        </w:tc>
        <w:tc>
          <w:tcPr>
            <w:tcW w:w="567" w:type="dxa"/>
            <w:gridSpan w:val="3"/>
            <w:tcBorders>
              <w:top w:val="single" w:color="auto" w:sz="4" w:space="0"/>
              <w:left w:val="single" w:color="auto" w:sz="4" w:space="0"/>
              <w:bottom w:val="single" w:color="auto" w:sz="4" w:space="0"/>
              <w:right w:val="single" w:color="auto" w:sz="4" w:space="0"/>
            </w:tcBorders>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大气环境</w:t>
            </w:r>
          </w:p>
        </w:tc>
        <w:tc>
          <w:tcPr>
            <w:tcW w:w="567" w:type="dxa"/>
            <w:tcBorders>
              <w:top w:val="single" w:color="auto" w:sz="4" w:space="0"/>
              <w:left w:val="single" w:color="auto" w:sz="4" w:space="0"/>
              <w:bottom w:val="single" w:color="auto" w:sz="4" w:space="0"/>
              <w:right w:val="single" w:color="auto" w:sz="4" w:space="0"/>
            </w:tcBorders>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3</w:t>
            </w:r>
          </w:p>
        </w:tc>
        <w:tc>
          <w:tcPr>
            <w:tcW w:w="1140" w:type="dxa"/>
            <w:tcBorders>
              <w:top w:val="single" w:color="auto" w:sz="4" w:space="0"/>
              <w:left w:val="single" w:color="auto" w:sz="4" w:space="0"/>
              <w:bottom w:val="single" w:color="auto" w:sz="4" w:space="0"/>
              <w:right w:val="single" w:color="auto" w:sz="4" w:space="0"/>
            </w:tcBorders>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rPr>
              <w:t>二类（</w:t>
            </w:r>
            <w:r>
              <w:rPr>
                <w:rFonts w:hint="default" w:ascii="Times New Roman" w:hAnsi="Times New Roman" w:eastAsia="宋体" w:cs="Times New Roman"/>
                <w:color w:val="auto"/>
                <w:szCs w:val="21"/>
                <w:highlight w:val="none"/>
                <w:lang w:eastAsia="zh-CN"/>
              </w:rPr>
              <w:t>一般工业</w:t>
            </w:r>
            <w:r>
              <w:rPr>
                <w:rFonts w:hint="default" w:ascii="Times New Roman" w:hAnsi="Times New Roman" w:eastAsia="宋体" w:cs="Times New Roman"/>
                <w:color w:val="auto"/>
                <w:szCs w:val="21"/>
                <w:highlight w:val="none"/>
              </w:rPr>
              <w:t>区</w:t>
            </w:r>
            <w:r>
              <w:rPr>
                <w:rFonts w:hint="default" w:ascii="Times New Roman" w:hAnsi="Times New Roman" w:eastAsia="宋体" w:cs="Times New Roman"/>
                <w:color w:val="auto"/>
                <w:szCs w:val="21"/>
                <w:highlight w:val="none"/>
                <w:lang w:eastAsia="zh-CN"/>
              </w:rPr>
              <w:t>和</w:t>
            </w:r>
            <w:r>
              <w:rPr>
                <w:rFonts w:hint="default" w:ascii="Times New Roman" w:hAnsi="Times New Roman" w:eastAsia="宋体" w:cs="Times New Roman"/>
                <w:color w:val="auto"/>
                <w:szCs w:val="21"/>
                <w:highlight w:val="none"/>
              </w:rPr>
              <w:t>农村地区</w:t>
            </w:r>
            <w:r>
              <w:rPr>
                <w:rFonts w:hint="default" w:ascii="Times New Roman" w:hAnsi="Times New Roman" w:eastAsia="宋体" w:cs="Times New Roman"/>
                <w:color w:val="auto"/>
                <w:szCs w:val="21"/>
                <w:highlight w:val="none"/>
                <w:lang w:eastAsia="zh-CN"/>
              </w:rPr>
              <w:t>）</w:t>
            </w:r>
          </w:p>
        </w:tc>
        <w:tc>
          <w:tcPr>
            <w:tcW w:w="793" w:type="dxa"/>
            <w:tcBorders>
              <w:top w:val="single" w:color="auto" w:sz="4" w:space="0"/>
              <w:left w:val="single" w:color="auto" w:sz="4" w:space="0"/>
              <w:bottom w:val="single" w:color="auto" w:sz="4" w:space="0"/>
              <w:right w:val="single" w:color="auto" w:sz="4" w:space="0"/>
            </w:tcBorders>
            <w:vAlign w:val="center"/>
          </w:tcPr>
          <w:p>
            <w:pPr>
              <w:pageBreakBefore w:val="0"/>
              <w:tabs>
                <w:tab w:val="left" w:pos="3062"/>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1.5</w:t>
            </w:r>
          </w:p>
        </w:tc>
      </w:tr>
    </w:tbl>
    <w:p>
      <w:pPr>
        <w:pageBreakBefore w:val="0"/>
        <w:tabs>
          <w:tab w:val="left" w:pos="3062"/>
        </w:tabs>
        <w:wordWrap/>
        <w:bidi w:val="0"/>
        <w:spacing w:line="360" w:lineRule="auto"/>
        <w:ind w:left="0" w:leftChars="0" w:right="0" w:rightChars="0" w:firstLine="480" w:firstLineChars="20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依据尾矿库周边环境敏感性等别划分表</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将周边环境敏感性（S</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划分为S1、S2、S3三个等别</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尾矿库周边环境敏感性等别划分表见表1-1</w:t>
      </w:r>
      <w:r>
        <w:rPr>
          <w:rFonts w:hint="default" w:ascii="Times New Roman" w:hAnsi="Times New Roman" w:eastAsia="宋体" w:cs="Times New Roman"/>
          <w:color w:val="auto"/>
          <w:sz w:val="24"/>
          <w:highlight w:val="none"/>
          <w:lang w:val="en-US" w:eastAsia="zh-CN"/>
        </w:rPr>
        <w:t>8</w:t>
      </w:r>
      <w:r>
        <w:rPr>
          <w:rFonts w:hint="default" w:ascii="Times New Roman" w:hAnsi="Times New Roman" w:eastAsia="宋体" w:cs="Times New Roman"/>
          <w:color w:val="auto"/>
          <w:sz w:val="24"/>
          <w:highlight w:val="none"/>
        </w:rPr>
        <w:t>。</w:t>
      </w:r>
    </w:p>
    <w:p>
      <w:pPr>
        <w:pageBreakBefore w:val="0"/>
        <w:tabs>
          <w:tab w:val="left" w:pos="3062"/>
        </w:tabs>
        <w:wordWrap/>
        <w:bidi w:val="0"/>
        <w:spacing w:line="360" w:lineRule="auto"/>
        <w:ind w:left="0" w:leftChars="0" w:right="0" w:rightChars="0"/>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表1-1</w:t>
      </w:r>
      <w:r>
        <w:rPr>
          <w:rFonts w:hint="default" w:ascii="Times New Roman" w:hAnsi="Times New Roman" w:eastAsia="宋体" w:cs="Times New Roman"/>
          <w:b/>
          <w:bCs/>
          <w:color w:val="auto"/>
          <w:sz w:val="24"/>
          <w:highlight w:val="none"/>
          <w:lang w:val="en-US" w:eastAsia="zh-CN"/>
        </w:rPr>
        <w:t>8</w:t>
      </w:r>
      <w:r>
        <w:rPr>
          <w:rFonts w:hint="default" w:ascii="Times New Roman" w:hAnsi="Times New Roman" w:eastAsia="宋体" w:cs="Times New Roman"/>
          <w:b/>
          <w:bCs/>
          <w:color w:val="auto"/>
          <w:sz w:val="24"/>
          <w:highlight w:val="none"/>
        </w:rPr>
        <w:t>尾矿库环境危害性（H</w:t>
      </w:r>
      <w:r>
        <w:rPr>
          <w:rFonts w:hint="default" w:ascii="Times New Roman" w:hAnsi="Times New Roman" w:eastAsia="宋体" w:cs="Times New Roman"/>
          <w:b/>
          <w:bCs/>
          <w:color w:val="auto"/>
          <w:sz w:val="24"/>
          <w:highlight w:val="none"/>
          <w:lang w:eastAsia="zh-CN"/>
        </w:rPr>
        <w:t>）</w:t>
      </w:r>
      <w:r>
        <w:rPr>
          <w:rFonts w:hint="default" w:ascii="Times New Roman" w:hAnsi="Times New Roman" w:eastAsia="宋体" w:cs="Times New Roman"/>
          <w:b/>
          <w:bCs/>
          <w:color w:val="auto"/>
          <w:sz w:val="24"/>
          <w:highlight w:val="none"/>
        </w:rPr>
        <w:t>等别划分表</w:t>
      </w:r>
    </w:p>
    <w:tbl>
      <w:tblPr>
        <w:tblStyle w:val="54"/>
        <w:tblW w:w="827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141"/>
        <w:gridCol w:w="41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4" w:type="dxa"/>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rPr>
              <w:t>尾矿库周边环境敏感性得分（Ds</w:t>
            </w:r>
            <w:r>
              <w:rPr>
                <w:rFonts w:hint="default" w:ascii="Times New Roman" w:hAnsi="Times New Roman" w:eastAsia="宋体" w:cs="Times New Roman"/>
                <w:color w:val="auto"/>
                <w:szCs w:val="21"/>
                <w:highlight w:val="none"/>
                <w:lang w:eastAsia="zh-CN"/>
              </w:rPr>
              <w:t>）</w:t>
            </w:r>
          </w:p>
        </w:tc>
        <w:tc>
          <w:tcPr>
            <w:tcW w:w="4264" w:type="dxa"/>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尾矿库周边环境敏感性（S</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等别代码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4" w:type="dxa"/>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Ds＞60</w:t>
            </w:r>
          </w:p>
        </w:tc>
        <w:tc>
          <w:tcPr>
            <w:tcW w:w="4264" w:type="dxa"/>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S1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4" w:type="dxa"/>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30＜Ds≤60</w:t>
            </w:r>
          </w:p>
        </w:tc>
        <w:tc>
          <w:tcPr>
            <w:tcW w:w="4264" w:type="dxa"/>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S2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4" w:type="dxa"/>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Ds≤30</w:t>
            </w:r>
          </w:p>
        </w:tc>
        <w:tc>
          <w:tcPr>
            <w:tcW w:w="4264" w:type="dxa"/>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S3</w:t>
            </w:r>
          </w:p>
        </w:tc>
      </w:tr>
    </w:tbl>
    <w:p>
      <w:pPr>
        <w:pageBreakBefore w:val="0"/>
        <w:tabs>
          <w:tab w:val="left" w:pos="3062"/>
        </w:tabs>
        <w:wordWrap/>
        <w:bidi w:val="0"/>
        <w:spacing w:line="360" w:lineRule="auto"/>
        <w:ind w:left="0" w:leftChars="0" w:right="0" w:rightChars="0" w:firstLine="480" w:firstLineChars="20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依据表1-1</w:t>
      </w:r>
      <w:r>
        <w:rPr>
          <w:rFonts w:hint="default" w:ascii="Times New Roman" w:hAnsi="Times New Roman" w:eastAsia="宋体" w:cs="Times New Roman"/>
          <w:color w:val="auto"/>
          <w:sz w:val="24"/>
          <w:highlight w:val="none"/>
          <w:lang w:val="en-US" w:eastAsia="zh-CN"/>
        </w:rPr>
        <w:t>7</w:t>
      </w:r>
      <w:r>
        <w:rPr>
          <w:rFonts w:hint="default" w:ascii="Times New Roman" w:hAnsi="Times New Roman" w:eastAsia="宋体" w:cs="Times New Roman"/>
          <w:color w:val="auto"/>
          <w:sz w:val="24"/>
          <w:highlight w:val="none"/>
        </w:rPr>
        <w:t>和表1-1</w:t>
      </w:r>
      <w:r>
        <w:rPr>
          <w:rFonts w:hint="default" w:ascii="Times New Roman" w:hAnsi="Times New Roman" w:eastAsia="宋体" w:cs="Times New Roman"/>
          <w:color w:val="auto"/>
          <w:sz w:val="24"/>
          <w:highlight w:val="none"/>
          <w:lang w:val="en-US" w:eastAsia="zh-CN"/>
        </w:rPr>
        <w:t>8</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尾矿库周边环境敏感性得分DS=</w:t>
      </w:r>
      <w:r>
        <w:rPr>
          <w:rFonts w:hint="default" w:ascii="Times New Roman" w:hAnsi="Times New Roman" w:eastAsia="宋体" w:cs="Times New Roman"/>
          <w:color w:val="auto"/>
          <w:sz w:val="24"/>
          <w:highlight w:val="none"/>
          <w:lang w:val="en-US" w:eastAsia="zh-CN"/>
        </w:rPr>
        <w:t>24</w:t>
      </w:r>
      <w:r>
        <w:rPr>
          <w:rFonts w:hint="default" w:ascii="Times New Roman" w:hAnsi="Times New Roman" w:eastAsia="宋体" w:cs="Times New Roman"/>
          <w:color w:val="auto"/>
          <w:sz w:val="24"/>
          <w:highlight w:val="none"/>
        </w:rPr>
        <w:t>.5≤30</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根据尾矿库周边环境敏感性等别划分表</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确定本项目尾矿库风险等级为S3。</w:t>
      </w:r>
    </w:p>
    <w:p>
      <w:pPr>
        <w:pageBreakBefore w:val="0"/>
        <w:tabs>
          <w:tab w:val="left" w:pos="3062"/>
        </w:tabs>
        <w:wordWrap/>
        <w:bidi w:val="0"/>
        <w:spacing w:line="360" w:lineRule="auto"/>
        <w:ind w:left="0" w:leftChars="0" w:right="0" w:rightChars="0" w:firstLine="480" w:firstLineChars="200"/>
        <w:jc w:val="left"/>
        <w:outlineLvl w:val="1"/>
        <w:rPr>
          <w:rFonts w:hint="default" w:ascii="Times New Roman" w:hAnsi="Times New Roman" w:eastAsia="宋体" w:cs="Times New Roman"/>
          <w:color w:val="auto"/>
          <w:sz w:val="24"/>
          <w:highlight w:val="none"/>
        </w:rPr>
      </w:pPr>
      <w:bookmarkStart w:id="229" w:name="_Toc21177"/>
      <w:bookmarkStart w:id="230" w:name="_Toc5716"/>
      <w:r>
        <w:rPr>
          <w:rFonts w:hint="default" w:ascii="Times New Roman" w:hAnsi="Times New Roman" w:eastAsia="宋体" w:cs="Times New Roman"/>
          <w:color w:val="auto"/>
          <w:sz w:val="24"/>
          <w:highlight w:val="none"/>
        </w:rPr>
        <w:t>③尾矿库控制机制可靠性</w:t>
      </w:r>
      <w:bookmarkEnd w:id="229"/>
      <w:bookmarkEnd w:id="230"/>
    </w:p>
    <w:p>
      <w:pPr>
        <w:pageBreakBefore w:val="0"/>
        <w:tabs>
          <w:tab w:val="left" w:pos="3062"/>
        </w:tabs>
        <w:wordWrap/>
        <w:bidi w:val="0"/>
        <w:spacing w:line="360" w:lineRule="auto"/>
        <w:ind w:left="0" w:leftChars="0" w:right="0" w:rightChars="0" w:firstLine="480" w:firstLineChars="20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采用评分法</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对尾矿库的基本情况、自然条件情况、生产安全情况、环境保护情况和历史事件五方面指标进行评分。</w:t>
      </w:r>
    </w:p>
    <w:p>
      <w:pPr>
        <w:pageBreakBefore w:val="0"/>
        <w:tabs>
          <w:tab w:val="left" w:pos="3062"/>
        </w:tabs>
        <w:wordWrap/>
        <w:bidi w:val="0"/>
        <w:spacing w:line="360" w:lineRule="auto"/>
        <w:ind w:left="0" w:leftChars="0" w:right="0" w:rightChars="0"/>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表1-1</w:t>
      </w:r>
      <w:r>
        <w:rPr>
          <w:rFonts w:hint="default" w:ascii="Times New Roman" w:hAnsi="Times New Roman" w:eastAsia="宋体" w:cs="Times New Roman"/>
          <w:b/>
          <w:bCs/>
          <w:color w:val="auto"/>
          <w:sz w:val="24"/>
          <w:highlight w:val="none"/>
          <w:lang w:val="en-US" w:eastAsia="zh-CN"/>
        </w:rPr>
        <w:t>9</w:t>
      </w:r>
      <w:r>
        <w:rPr>
          <w:rFonts w:hint="default" w:ascii="Times New Roman" w:hAnsi="Times New Roman" w:eastAsia="宋体" w:cs="Times New Roman"/>
          <w:b/>
          <w:bCs/>
          <w:color w:val="auto"/>
          <w:sz w:val="24"/>
          <w:highlight w:val="none"/>
        </w:rPr>
        <w:t>尾矿库控制机制可靠性（R</w:t>
      </w:r>
      <w:r>
        <w:rPr>
          <w:rFonts w:hint="default" w:ascii="Times New Roman" w:hAnsi="Times New Roman" w:eastAsia="宋体" w:cs="Times New Roman"/>
          <w:b/>
          <w:bCs/>
          <w:color w:val="auto"/>
          <w:sz w:val="24"/>
          <w:highlight w:val="none"/>
          <w:lang w:eastAsia="zh-CN"/>
        </w:rPr>
        <w:t>）</w:t>
      </w:r>
      <w:r>
        <w:rPr>
          <w:rFonts w:hint="default" w:ascii="Times New Roman" w:hAnsi="Times New Roman" w:eastAsia="宋体" w:cs="Times New Roman"/>
          <w:b/>
          <w:bCs/>
          <w:color w:val="auto"/>
          <w:sz w:val="24"/>
          <w:highlight w:val="none"/>
        </w:rPr>
        <w:t>等别划分指标得分</w:t>
      </w:r>
    </w:p>
    <w:tbl>
      <w:tblPr>
        <w:tblStyle w:val="54"/>
        <w:tblW w:w="827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7"/>
        <w:gridCol w:w="836"/>
        <w:gridCol w:w="926"/>
        <w:gridCol w:w="1200"/>
        <w:gridCol w:w="1070"/>
        <w:gridCol w:w="1070"/>
        <w:gridCol w:w="1070"/>
        <w:gridCol w:w="13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7"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序号</w:t>
            </w:r>
          </w:p>
        </w:tc>
        <w:tc>
          <w:tcPr>
            <w:tcW w:w="4032" w:type="dxa"/>
            <w:gridSpan w:val="4"/>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指标项目</w:t>
            </w:r>
          </w:p>
        </w:tc>
        <w:tc>
          <w:tcPr>
            <w:tcW w:w="1070"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指标分值</w:t>
            </w:r>
          </w:p>
        </w:tc>
        <w:tc>
          <w:tcPr>
            <w:tcW w:w="1070"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实际得分</w:t>
            </w:r>
          </w:p>
        </w:tc>
        <w:tc>
          <w:tcPr>
            <w:tcW w:w="1398"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评分依据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7"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w:t>
            </w:r>
          </w:p>
        </w:tc>
        <w:tc>
          <w:tcPr>
            <w:tcW w:w="836" w:type="dxa"/>
            <w:vMerge w:val="restart"/>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尾矿库控制机制可靠性</w:t>
            </w:r>
          </w:p>
        </w:tc>
        <w:tc>
          <w:tcPr>
            <w:tcW w:w="926" w:type="dxa"/>
            <w:vMerge w:val="restart"/>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基本情况</w:t>
            </w:r>
          </w:p>
        </w:tc>
        <w:tc>
          <w:tcPr>
            <w:tcW w:w="1200" w:type="dxa"/>
            <w:vMerge w:val="restart"/>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堆存</w:t>
            </w:r>
          </w:p>
        </w:tc>
        <w:tc>
          <w:tcPr>
            <w:tcW w:w="1070"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堆存种类</w:t>
            </w:r>
          </w:p>
        </w:tc>
        <w:tc>
          <w:tcPr>
            <w:tcW w:w="1070"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1.5</w:t>
            </w:r>
          </w:p>
        </w:tc>
        <w:tc>
          <w:tcPr>
            <w:tcW w:w="1070"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w:t>
            </w:r>
          </w:p>
        </w:tc>
        <w:tc>
          <w:tcPr>
            <w:tcW w:w="1398"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单一用途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7"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w:t>
            </w:r>
          </w:p>
        </w:tc>
        <w:tc>
          <w:tcPr>
            <w:tcW w:w="836" w:type="dxa"/>
            <w:vMerge w:val="continue"/>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p>
        </w:tc>
        <w:tc>
          <w:tcPr>
            <w:tcW w:w="926" w:type="dxa"/>
            <w:vMerge w:val="continue"/>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p>
        </w:tc>
        <w:tc>
          <w:tcPr>
            <w:tcW w:w="1200" w:type="dxa"/>
            <w:vMerge w:val="continue"/>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p>
        </w:tc>
        <w:tc>
          <w:tcPr>
            <w:tcW w:w="1070"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堆存方式</w:t>
            </w:r>
          </w:p>
        </w:tc>
        <w:tc>
          <w:tcPr>
            <w:tcW w:w="1070"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w:t>
            </w:r>
          </w:p>
        </w:tc>
        <w:tc>
          <w:tcPr>
            <w:tcW w:w="1070"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w:t>
            </w:r>
          </w:p>
        </w:tc>
        <w:tc>
          <w:tcPr>
            <w:tcW w:w="1398"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湿法堆存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7"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3</w:t>
            </w:r>
          </w:p>
        </w:tc>
        <w:tc>
          <w:tcPr>
            <w:tcW w:w="836" w:type="dxa"/>
            <w:vMerge w:val="continue"/>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p>
        </w:tc>
        <w:tc>
          <w:tcPr>
            <w:tcW w:w="926" w:type="dxa"/>
            <w:vMerge w:val="continue"/>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p>
        </w:tc>
        <w:tc>
          <w:tcPr>
            <w:tcW w:w="1200" w:type="dxa"/>
            <w:vMerge w:val="continue"/>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p>
        </w:tc>
        <w:tc>
          <w:tcPr>
            <w:tcW w:w="1070"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坝体透水情况</w:t>
            </w:r>
          </w:p>
        </w:tc>
        <w:tc>
          <w:tcPr>
            <w:tcW w:w="1070"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w:t>
            </w:r>
          </w:p>
        </w:tc>
        <w:tc>
          <w:tcPr>
            <w:tcW w:w="1070"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w:t>
            </w:r>
          </w:p>
        </w:tc>
        <w:tc>
          <w:tcPr>
            <w:tcW w:w="1398"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不透水坝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7"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4</w:t>
            </w:r>
          </w:p>
        </w:tc>
        <w:tc>
          <w:tcPr>
            <w:tcW w:w="836" w:type="dxa"/>
            <w:vMerge w:val="continue"/>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p>
        </w:tc>
        <w:tc>
          <w:tcPr>
            <w:tcW w:w="926" w:type="dxa"/>
            <w:vMerge w:val="continue"/>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p>
        </w:tc>
        <w:tc>
          <w:tcPr>
            <w:tcW w:w="1200" w:type="dxa"/>
            <w:vMerge w:val="restart"/>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输送</w:t>
            </w:r>
          </w:p>
        </w:tc>
        <w:tc>
          <w:tcPr>
            <w:tcW w:w="1070"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输送方式</w:t>
            </w:r>
          </w:p>
        </w:tc>
        <w:tc>
          <w:tcPr>
            <w:tcW w:w="1070"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1.5</w:t>
            </w:r>
          </w:p>
        </w:tc>
        <w:tc>
          <w:tcPr>
            <w:tcW w:w="1070"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w:t>
            </w:r>
          </w:p>
        </w:tc>
        <w:tc>
          <w:tcPr>
            <w:tcW w:w="1398"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管道输送+泵站加压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7"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5</w:t>
            </w:r>
          </w:p>
        </w:tc>
        <w:tc>
          <w:tcPr>
            <w:tcW w:w="836" w:type="dxa"/>
            <w:vMerge w:val="continue"/>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p>
        </w:tc>
        <w:tc>
          <w:tcPr>
            <w:tcW w:w="926" w:type="dxa"/>
            <w:vMerge w:val="continue"/>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p>
        </w:tc>
        <w:tc>
          <w:tcPr>
            <w:tcW w:w="1200" w:type="dxa"/>
            <w:vMerge w:val="continue"/>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p>
        </w:tc>
        <w:tc>
          <w:tcPr>
            <w:tcW w:w="1070"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输送量</w:t>
            </w:r>
          </w:p>
        </w:tc>
        <w:tc>
          <w:tcPr>
            <w:tcW w:w="1070"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w:t>
            </w:r>
          </w:p>
        </w:tc>
        <w:tc>
          <w:tcPr>
            <w:tcW w:w="1070"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0.5</w:t>
            </w:r>
          </w:p>
        </w:tc>
        <w:tc>
          <w:tcPr>
            <w:tcW w:w="1398"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大于等于1000方/日</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小于10000方/日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7"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6</w:t>
            </w:r>
          </w:p>
        </w:tc>
        <w:tc>
          <w:tcPr>
            <w:tcW w:w="836" w:type="dxa"/>
            <w:vMerge w:val="continue"/>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p>
        </w:tc>
        <w:tc>
          <w:tcPr>
            <w:tcW w:w="926" w:type="dxa"/>
            <w:vMerge w:val="continue"/>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p>
        </w:tc>
        <w:tc>
          <w:tcPr>
            <w:tcW w:w="1200" w:type="dxa"/>
            <w:vMerge w:val="continue"/>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p>
        </w:tc>
        <w:tc>
          <w:tcPr>
            <w:tcW w:w="1070"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输送距离</w:t>
            </w:r>
          </w:p>
        </w:tc>
        <w:tc>
          <w:tcPr>
            <w:tcW w:w="1070"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1.5</w:t>
            </w:r>
          </w:p>
        </w:tc>
        <w:tc>
          <w:tcPr>
            <w:tcW w:w="1070"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w:t>
            </w:r>
          </w:p>
        </w:tc>
        <w:tc>
          <w:tcPr>
            <w:tcW w:w="1398"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p>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小于2千米</w:t>
            </w:r>
          </w:p>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7"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7</w:t>
            </w:r>
          </w:p>
        </w:tc>
        <w:tc>
          <w:tcPr>
            <w:tcW w:w="836" w:type="dxa"/>
            <w:vMerge w:val="continue"/>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p>
        </w:tc>
        <w:tc>
          <w:tcPr>
            <w:tcW w:w="926" w:type="dxa"/>
            <w:vMerge w:val="continue"/>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p>
        </w:tc>
        <w:tc>
          <w:tcPr>
            <w:tcW w:w="1200" w:type="dxa"/>
            <w:vMerge w:val="restart"/>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回水</w:t>
            </w:r>
          </w:p>
        </w:tc>
        <w:tc>
          <w:tcPr>
            <w:tcW w:w="1070"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回水方式</w:t>
            </w:r>
          </w:p>
        </w:tc>
        <w:tc>
          <w:tcPr>
            <w:tcW w:w="1070"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w:t>
            </w:r>
          </w:p>
        </w:tc>
        <w:tc>
          <w:tcPr>
            <w:tcW w:w="1070"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0.5</w:t>
            </w:r>
          </w:p>
        </w:tc>
        <w:tc>
          <w:tcPr>
            <w:tcW w:w="1398"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管道输送+泵站加压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7"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8</w:t>
            </w:r>
          </w:p>
        </w:tc>
        <w:tc>
          <w:tcPr>
            <w:tcW w:w="836" w:type="dxa"/>
            <w:vMerge w:val="continue"/>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p>
        </w:tc>
        <w:tc>
          <w:tcPr>
            <w:tcW w:w="926" w:type="dxa"/>
            <w:vMerge w:val="continue"/>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p>
        </w:tc>
        <w:tc>
          <w:tcPr>
            <w:tcW w:w="1200" w:type="dxa"/>
            <w:vMerge w:val="continue"/>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p>
        </w:tc>
        <w:tc>
          <w:tcPr>
            <w:tcW w:w="1070"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回水送量</w:t>
            </w:r>
          </w:p>
        </w:tc>
        <w:tc>
          <w:tcPr>
            <w:tcW w:w="1070"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0.5</w:t>
            </w:r>
          </w:p>
        </w:tc>
        <w:tc>
          <w:tcPr>
            <w:tcW w:w="1070"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rPr>
              <w:t>0</w:t>
            </w:r>
            <w:r>
              <w:rPr>
                <w:rFonts w:hint="default" w:ascii="Times New Roman" w:hAnsi="Times New Roman" w:eastAsia="宋体" w:cs="Times New Roman"/>
                <w:color w:val="auto"/>
                <w:szCs w:val="21"/>
                <w:highlight w:val="none"/>
                <w:lang w:val="en-US" w:eastAsia="zh-CN"/>
              </w:rPr>
              <w:t>.5</w:t>
            </w:r>
          </w:p>
        </w:tc>
        <w:tc>
          <w:tcPr>
            <w:tcW w:w="1398"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eastAsia="zh-CN"/>
              </w:rPr>
              <w:t>大</w:t>
            </w:r>
            <w:r>
              <w:rPr>
                <w:rFonts w:hint="default" w:ascii="Times New Roman" w:hAnsi="Times New Roman" w:eastAsia="宋体" w:cs="Times New Roman"/>
                <w:color w:val="auto"/>
                <w:szCs w:val="21"/>
                <w:highlight w:val="none"/>
              </w:rPr>
              <w:t>于1000方/日</w:t>
            </w:r>
            <w:r>
              <w:rPr>
                <w:rFonts w:hint="default" w:ascii="Times New Roman" w:hAnsi="Times New Roman" w:eastAsia="宋体" w:cs="Times New Roman"/>
                <w:color w:val="auto"/>
                <w:szCs w:val="21"/>
                <w:highlight w:val="none"/>
                <w:lang w:eastAsia="zh-CN"/>
              </w:rPr>
              <w:t>，小于</w:t>
            </w:r>
            <w:r>
              <w:rPr>
                <w:rFonts w:hint="default" w:ascii="Times New Roman" w:hAnsi="Times New Roman" w:eastAsia="宋体" w:cs="Times New Roman"/>
                <w:color w:val="auto"/>
                <w:szCs w:val="21"/>
                <w:highlight w:val="none"/>
                <w:lang w:val="en-US" w:eastAsia="zh-CN"/>
              </w:rPr>
              <w:t>10000</w:t>
            </w:r>
            <w:r>
              <w:rPr>
                <w:rFonts w:hint="default" w:ascii="Times New Roman" w:hAnsi="Times New Roman" w:eastAsia="宋体" w:cs="Times New Roman"/>
                <w:color w:val="auto"/>
                <w:szCs w:val="21"/>
                <w:highlight w:val="none"/>
              </w:rPr>
              <w:t>方/日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7"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9</w:t>
            </w:r>
          </w:p>
        </w:tc>
        <w:tc>
          <w:tcPr>
            <w:tcW w:w="836" w:type="dxa"/>
            <w:vMerge w:val="continue"/>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p>
        </w:tc>
        <w:tc>
          <w:tcPr>
            <w:tcW w:w="926" w:type="dxa"/>
            <w:vMerge w:val="continue"/>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p>
        </w:tc>
        <w:tc>
          <w:tcPr>
            <w:tcW w:w="1200" w:type="dxa"/>
            <w:vMerge w:val="continue"/>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p>
        </w:tc>
        <w:tc>
          <w:tcPr>
            <w:tcW w:w="1070"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回水距离</w:t>
            </w:r>
          </w:p>
        </w:tc>
        <w:tc>
          <w:tcPr>
            <w:tcW w:w="1070"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w:t>
            </w:r>
          </w:p>
        </w:tc>
        <w:tc>
          <w:tcPr>
            <w:tcW w:w="1070"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w:t>
            </w:r>
          </w:p>
        </w:tc>
        <w:tc>
          <w:tcPr>
            <w:tcW w:w="1398"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小于2千米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7"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10</w:t>
            </w:r>
          </w:p>
        </w:tc>
        <w:tc>
          <w:tcPr>
            <w:tcW w:w="836" w:type="dxa"/>
            <w:vMerge w:val="continue"/>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p>
        </w:tc>
        <w:tc>
          <w:tcPr>
            <w:tcW w:w="926" w:type="dxa"/>
            <w:vMerge w:val="continue"/>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p>
        </w:tc>
        <w:tc>
          <w:tcPr>
            <w:tcW w:w="1200" w:type="dxa"/>
            <w:vMerge w:val="restart"/>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防洪</w:t>
            </w:r>
          </w:p>
        </w:tc>
        <w:tc>
          <w:tcPr>
            <w:tcW w:w="1070"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库外截洪设施</w:t>
            </w:r>
          </w:p>
        </w:tc>
        <w:tc>
          <w:tcPr>
            <w:tcW w:w="1070"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w:t>
            </w:r>
          </w:p>
        </w:tc>
        <w:tc>
          <w:tcPr>
            <w:tcW w:w="1070"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val="en-US" w:eastAsia="zh-CN"/>
              </w:rPr>
              <w:t>0</w:t>
            </w:r>
          </w:p>
        </w:tc>
        <w:tc>
          <w:tcPr>
            <w:tcW w:w="1398"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有</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雨污分流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7"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11</w:t>
            </w:r>
          </w:p>
        </w:tc>
        <w:tc>
          <w:tcPr>
            <w:tcW w:w="836" w:type="dxa"/>
            <w:vMerge w:val="continue"/>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p>
        </w:tc>
        <w:tc>
          <w:tcPr>
            <w:tcW w:w="926" w:type="dxa"/>
            <w:vMerge w:val="continue"/>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p>
        </w:tc>
        <w:tc>
          <w:tcPr>
            <w:tcW w:w="1200" w:type="dxa"/>
            <w:vMerge w:val="continue"/>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p>
        </w:tc>
        <w:tc>
          <w:tcPr>
            <w:tcW w:w="1070"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库内排洪设施</w:t>
            </w:r>
          </w:p>
        </w:tc>
        <w:tc>
          <w:tcPr>
            <w:tcW w:w="1070"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w:t>
            </w:r>
          </w:p>
        </w:tc>
        <w:tc>
          <w:tcPr>
            <w:tcW w:w="1070"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w:t>
            </w:r>
          </w:p>
        </w:tc>
        <w:tc>
          <w:tcPr>
            <w:tcW w:w="1398"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有</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仅作为排洪通道。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7"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12</w:t>
            </w:r>
          </w:p>
        </w:tc>
        <w:tc>
          <w:tcPr>
            <w:tcW w:w="836" w:type="dxa"/>
            <w:vMerge w:val="continue"/>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p>
        </w:tc>
        <w:tc>
          <w:tcPr>
            <w:tcW w:w="926"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自然条件情况</w:t>
            </w:r>
          </w:p>
        </w:tc>
        <w:tc>
          <w:tcPr>
            <w:tcW w:w="2270" w:type="dxa"/>
            <w:gridSpan w:val="2"/>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是否处于按《地质灾害危险性评估技术要求（试行</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》评定为“危害性中等”或“危害性大”的区域</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或者处于地质灾害易灾区、岩溶（喀斯特</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地貌区。</w:t>
            </w:r>
          </w:p>
        </w:tc>
        <w:tc>
          <w:tcPr>
            <w:tcW w:w="1070"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9</w:t>
            </w:r>
          </w:p>
        </w:tc>
        <w:tc>
          <w:tcPr>
            <w:tcW w:w="1070"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w:t>
            </w:r>
          </w:p>
        </w:tc>
        <w:tc>
          <w:tcPr>
            <w:tcW w:w="1398"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不处于地质灾害易灾区或岩溶（喀斯特</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区地貌区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7"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13</w:t>
            </w:r>
          </w:p>
        </w:tc>
        <w:tc>
          <w:tcPr>
            <w:tcW w:w="836" w:type="dxa"/>
            <w:vMerge w:val="continue"/>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p>
        </w:tc>
        <w:tc>
          <w:tcPr>
            <w:tcW w:w="926"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生产安全情况</w:t>
            </w:r>
          </w:p>
        </w:tc>
        <w:tc>
          <w:tcPr>
            <w:tcW w:w="2270" w:type="dxa"/>
            <w:gridSpan w:val="2"/>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尾矿库安全度等别</w:t>
            </w:r>
          </w:p>
        </w:tc>
        <w:tc>
          <w:tcPr>
            <w:tcW w:w="1070"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15</w:t>
            </w:r>
          </w:p>
        </w:tc>
        <w:tc>
          <w:tcPr>
            <w:tcW w:w="1070"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w:t>
            </w:r>
          </w:p>
        </w:tc>
        <w:tc>
          <w:tcPr>
            <w:tcW w:w="1398"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正常库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7"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14</w:t>
            </w:r>
          </w:p>
        </w:tc>
        <w:tc>
          <w:tcPr>
            <w:tcW w:w="836" w:type="dxa"/>
            <w:vMerge w:val="continue"/>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p>
        </w:tc>
        <w:tc>
          <w:tcPr>
            <w:tcW w:w="926"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环境保护情况</w:t>
            </w:r>
          </w:p>
        </w:tc>
        <w:tc>
          <w:tcPr>
            <w:tcW w:w="1200"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环保审批</w:t>
            </w:r>
          </w:p>
        </w:tc>
        <w:tc>
          <w:tcPr>
            <w:tcW w:w="1070"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是否通过“三同时”验收</w:t>
            </w:r>
          </w:p>
        </w:tc>
        <w:tc>
          <w:tcPr>
            <w:tcW w:w="1070"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8</w:t>
            </w:r>
          </w:p>
        </w:tc>
        <w:tc>
          <w:tcPr>
            <w:tcW w:w="1070"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w:t>
            </w:r>
          </w:p>
        </w:tc>
        <w:tc>
          <w:tcPr>
            <w:tcW w:w="1398"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7"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15</w:t>
            </w:r>
          </w:p>
        </w:tc>
        <w:tc>
          <w:tcPr>
            <w:tcW w:w="836" w:type="dxa"/>
            <w:vMerge w:val="continue"/>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p>
        </w:tc>
        <w:tc>
          <w:tcPr>
            <w:tcW w:w="926" w:type="dxa"/>
            <w:vMerge w:val="restart"/>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污染防治</w:t>
            </w:r>
          </w:p>
        </w:tc>
        <w:tc>
          <w:tcPr>
            <w:tcW w:w="2270" w:type="dxa"/>
            <w:gridSpan w:val="2"/>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水排放情况</w:t>
            </w:r>
          </w:p>
        </w:tc>
        <w:tc>
          <w:tcPr>
            <w:tcW w:w="1070"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3</w:t>
            </w:r>
          </w:p>
        </w:tc>
        <w:tc>
          <w:tcPr>
            <w:tcW w:w="1070"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w:t>
            </w:r>
          </w:p>
        </w:tc>
        <w:tc>
          <w:tcPr>
            <w:tcW w:w="1398"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不对外排放尾矿水或渗滤液等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7"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16</w:t>
            </w:r>
          </w:p>
        </w:tc>
        <w:tc>
          <w:tcPr>
            <w:tcW w:w="836" w:type="dxa"/>
            <w:vMerge w:val="continue"/>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p>
        </w:tc>
        <w:tc>
          <w:tcPr>
            <w:tcW w:w="926" w:type="dxa"/>
            <w:vMerge w:val="continue"/>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p>
        </w:tc>
        <w:tc>
          <w:tcPr>
            <w:tcW w:w="2270" w:type="dxa"/>
            <w:gridSpan w:val="2"/>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防流失情况</w:t>
            </w:r>
          </w:p>
        </w:tc>
        <w:tc>
          <w:tcPr>
            <w:tcW w:w="1070"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1.5</w:t>
            </w:r>
          </w:p>
        </w:tc>
        <w:tc>
          <w:tcPr>
            <w:tcW w:w="1070"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w:t>
            </w:r>
          </w:p>
        </w:tc>
        <w:tc>
          <w:tcPr>
            <w:tcW w:w="1398"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符合环评等相关要求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7"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17</w:t>
            </w:r>
          </w:p>
        </w:tc>
        <w:tc>
          <w:tcPr>
            <w:tcW w:w="836" w:type="dxa"/>
            <w:vMerge w:val="continue"/>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p>
        </w:tc>
        <w:tc>
          <w:tcPr>
            <w:tcW w:w="926" w:type="dxa"/>
            <w:vMerge w:val="continue"/>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p>
        </w:tc>
        <w:tc>
          <w:tcPr>
            <w:tcW w:w="2270" w:type="dxa"/>
            <w:gridSpan w:val="2"/>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防渗漏情况</w:t>
            </w:r>
          </w:p>
        </w:tc>
        <w:tc>
          <w:tcPr>
            <w:tcW w:w="1070"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2.5</w:t>
            </w:r>
          </w:p>
        </w:tc>
        <w:tc>
          <w:tcPr>
            <w:tcW w:w="1070"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w:t>
            </w:r>
          </w:p>
        </w:tc>
        <w:tc>
          <w:tcPr>
            <w:tcW w:w="1398"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符合环评等相关要求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7"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18</w:t>
            </w:r>
          </w:p>
        </w:tc>
        <w:tc>
          <w:tcPr>
            <w:tcW w:w="836" w:type="dxa"/>
            <w:vMerge w:val="continue"/>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p>
        </w:tc>
        <w:tc>
          <w:tcPr>
            <w:tcW w:w="926" w:type="dxa"/>
            <w:vMerge w:val="continue"/>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p>
        </w:tc>
        <w:tc>
          <w:tcPr>
            <w:tcW w:w="2270" w:type="dxa"/>
            <w:gridSpan w:val="2"/>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防扬散情况</w:t>
            </w:r>
          </w:p>
        </w:tc>
        <w:tc>
          <w:tcPr>
            <w:tcW w:w="1070"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1.5</w:t>
            </w:r>
          </w:p>
        </w:tc>
        <w:tc>
          <w:tcPr>
            <w:tcW w:w="1070"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w:t>
            </w:r>
          </w:p>
        </w:tc>
        <w:tc>
          <w:tcPr>
            <w:tcW w:w="1398"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符合环评等相关要求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7"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19</w:t>
            </w:r>
          </w:p>
        </w:tc>
        <w:tc>
          <w:tcPr>
            <w:tcW w:w="836" w:type="dxa"/>
            <w:vMerge w:val="continue"/>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p>
        </w:tc>
        <w:tc>
          <w:tcPr>
            <w:tcW w:w="926" w:type="dxa"/>
            <w:vMerge w:val="restart"/>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环境应急</w:t>
            </w:r>
          </w:p>
        </w:tc>
        <w:tc>
          <w:tcPr>
            <w:tcW w:w="1200" w:type="dxa"/>
            <w:vMerge w:val="restart"/>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环境应急设施</w:t>
            </w:r>
          </w:p>
        </w:tc>
        <w:tc>
          <w:tcPr>
            <w:tcW w:w="1070"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事故应急池建设情况</w:t>
            </w:r>
          </w:p>
        </w:tc>
        <w:tc>
          <w:tcPr>
            <w:tcW w:w="1070"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5</w:t>
            </w:r>
          </w:p>
        </w:tc>
        <w:tc>
          <w:tcPr>
            <w:tcW w:w="1070"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w:t>
            </w:r>
          </w:p>
        </w:tc>
        <w:tc>
          <w:tcPr>
            <w:tcW w:w="1398"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有</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且符合环评等相关要求。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7"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20</w:t>
            </w:r>
          </w:p>
        </w:tc>
        <w:tc>
          <w:tcPr>
            <w:tcW w:w="836" w:type="dxa"/>
            <w:vMerge w:val="continue"/>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p>
        </w:tc>
        <w:tc>
          <w:tcPr>
            <w:tcW w:w="926" w:type="dxa"/>
            <w:vMerge w:val="continue"/>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p>
        </w:tc>
        <w:tc>
          <w:tcPr>
            <w:tcW w:w="1200" w:type="dxa"/>
            <w:vMerge w:val="continue"/>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p>
        </w:tc>
        <w:tc>
          <w:tcPr>
            <w:tcW w:w="1070"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输送系统环境应急设施建设情况</w:t>
            </w:r>
          </w:p>
        </w:tc>
        <w:tc>
          <w:tcPr>
            <w:tcW w:w="1070"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w:t>
            </w:r>
          </w:p>
        </w:tc>
        <w:tc>
          <w:tcPr>
            <w:tcW w:w="1070"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w:t>
            </w:r>
          </w:p>
        </w:tc>
        <w:tc>
          <w:tcPr>
            <w:tcW w:w="1398"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有</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且符合环评等相关要求。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7"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21</w:t>
            </w:r>
          </w:p>
        </w:tc>
        <w:tc>
          <w:tcPr>
            <w:tcW w:w="836" w:type="dxa"/>
            <w:vMerge w:val="continue"/>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p>
        </w:tc>
        <w:tc>
          <w:tcPr>
            <w:tcW w:w="926" w:type="dxa"/>
            <w:vMerge w:val="continue"/>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p>
        </w:tc>
        <w:tc>
          <w:tcPr>
            <w:tcW w:w="1200" w:type="dxa"/>
            <w:vMerge w:val="continue"/>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p>
        </w:tc>
        <w:tc>
          <w:tcPr>
            <w:tcW w:w="1070"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回水系统环境应急设施建设情况</w:t>
            </w:r>
          </w:p>
        </w:tc>
        <w:tc>
          <w:tcPr>
            <w:tcW w:w="1070"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1.5</w:t>
            </w:r>
          </w:p>
        </w:tc>
        <w:tc>
          <w:tcPr>
            <w:tcW w:w="1070"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w:t>
            </w:r>
          </w:p>
        </w:tc>
        <w:tc>
          <w:tcPr>
            <w:tcW w:w="1398"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有</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且符合环评等相关要求。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7"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22</w:t>
            </w:r>
          </w:p>
        </w:tc>
        <w:tc>
          <w:tcPr>
            <w:tcW w:w="836" w:type="dxa"/>
            <w:vMerge w:val="continue"/>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p>
        </w:tc>
        <w:tc>
          <w:tcPr>
            <w:tcW w:w="926" w:type="dxa"/>
            <w:vMerge w:val="continue"/>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p>
        </w:tc>
        <w:tc>
          <w:tcPr>
            <w:tcW w:w="2270" w:type="dxa"/>
            <w:gridSpan w:val="2"/>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环境应急预案</w:t>
            </w:r>
          </w:p>
        </w:tc>
        <w:tc>
          <w:tcPr>
            <w:tcW w:w="1070"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6.5</w:t>
            </w:r>
          </w:p>
        </w:tc>
        <w:tc>
          <w:tcPr>
            <w:tcW w:w="1070"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w:t>
            </w:r>
          </w:p>
        </w:tc>
        <w:tc>
          <w:tcPr>
            <w:tcW w:w="1398"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lang w:eastAsia="zh-CN"/>
              </w:rPr>
              <w:t>已编制</w:t>
            </w:r>
            <w:r>
              <w:rPr>
                <w:rFonts w:hint="default" w:ascii="Times New Roman" w:hAnsi="Times New Roman" w:eastAsia="宋体" w:cs="Times New Roman"/>
                <w:color w:val="auto"/>
                <w:szCs w:val="21"/>
                <w:highlight w:val="none"/>
              </w:rPr>
              <w:t>环境应急预案</w:t>
            </w:r>
            <w:r>
              <w:rPr>
                <w:rFonts w:hint="default" w:ascii="Times New Roman" w:hAnsi="Times New Roman" w:eastAsia="宋体" w:cs="Times New Roman"/>
                <w:color w:val="auto"/>
                <w:szCs w:val="21"/>
                <w:highlight w:val="none"/>
                <w:lang w:eastAsia="zh-CN"/>
              </w:rPr>
              <w:t>并报备，现场落实情况基本符合预案设计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7"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23</w:t>
            </w:r>
          </w:p>
        </w:tc>
        <w:tc>
          <w:tcPr>
            <w:tcW w:w="836" w:type="dxa"/>
            <w:vMerge w:val="continue"/>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p>
        </w:tc>
        <w:tc>
          <w:tcPr>
            <w:tcW w:w="926" w:type="dxa"/>
            <w:vMerge w:val="continue"/>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p>
        </w:tc>
        <w:tc>
          <w:tcPr>
            <w:tcW w:w="2270" w:type="dxa"/>
            <w:gridSpan w:val="2"/>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环境应急资源</w:t>
            </w:r>
          </w:p>
        </w:tc>
        <w:tc>
          <w:tcPr>
            <w:tcW w:w="1070"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w:t>
            </w:r>
          </w:p>
        </w:tc>
        <w:tc>
          <w:tcPr>
            <w:tcW w:w="1070"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w:t>
            </w:r>
          </w:p>
        </w:tc>
        <w:tc>
          <w:tcPr>
            <w:tcW w:w="1398"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lang w:eastAsia="zh-CN"/>
              </w:rPr>
              <w:t>设置了应急资源，基本符合预案设计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7"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24</w:t>
            </w:r>
          </w:p>
        </w:tc>
        <w:tc>
          <w:tcPr>
            <w:tcW w:w="836" w:type="dxa"/>
            <w:vMerge w:val="continue"/>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p>
        </w:tc>
        <w:tc>
          <w:tcPr>
            <w:tcW w:w="926" w:type="dxa"/>
            <w:vMerge w:val="continue"/>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p>
        </w:tc>
        <w:tc>
          <w:tcPr>
            <w:tcW w:w="1200" w:type="dxa"/>
            <w:vMerge w:val="restart"/>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环境监测预警与日常检查</w:t>
            </w:r>
          </w:p>
        </w:tc>
        <w:tc>
          <w:tcPr>
            <w:tcW w:w="1070"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监测预警</w:t>
            </w:r>
          </w:p>
        </w:tc>
        <w:tc>
          <w:tcPr>
            <w:tcW w:w="1070"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w:t>
            </w:r>
          </w:p>
        </w:tc>
        <w:tc>
          <w:tcPr>
            <w:tcW w:w="1070"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w:t>
            </w:r>
          </w:p>
        </w:tc>
        <w:tc>
          <w:tcPr>
            <w:tcW w:w="1398"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val="en-US" w:eastAsia="zh-CN"/>
              </w:rPr>
              <w:t>制定了监测预警方案，</w:t>
            </w:r>
            <w:r>
              <w:rPr>
                <w:rFonts w:hint="default" w:ascii="Times New Roman" w:hAnsi="Times New Roman" w:eastAsia="宋体" w:cs="Times New Roman"/>
                <w:color w:val="auto"/>
                <w:szCs w:val="21"/>
                <w:highlight w:val="none"/>
                <w:lang w:eastAsia="zh-CN"/>
              </w:rPr>
              <w:t>基本符合预案设计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7"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25</w:t>
            </w:r>
          </w:p>
        </w:tc>
        <w:tc>
          <w:tcPr>
            <w:tcW w:w="836" w:type="dxa"/>
            <w:vMerge w:val="continue"/>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p>
        </w:tc>
        <w:tc>
          <w:tcPr>
            <w:tcW w:w="926" w:type="dxa"/>
            <w:vMerge w:val="continue"/>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p>
        </w:tc>
        <w:tc>
          <w:tcPr>
            <w:tcW w:w="1200" w:type="dxa"/>
            <w:vMerge w:val="continue"/>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p>
        </w:tc>
        <w:tc>
          <w:tcPr>
            <w:tcW w:w="1070"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日常检查</w:t>
            </w:r>
          </w:p>
        </w:tc>
        <w:tc>
          <w:tcPr>
            <w:tcW w:w="1070"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w:t>
            </w:r>
          </w:p>
        </w:tc>
        <w:tc>
          <w:tcPr>
            <w:tcW w:w="1070"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w:t>
            </w:r>
          </w:p>
        </w:tc>
        <w:tc>
          <w:tcPr>
            <w:tcW w:w="1398"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val="en-US" w:eastAsia="zh-CN"/>
              </w:rPr>
              <w:t>制定了日常检查工作方案，</w:t>
            </w:r>
            <w:r>
              <w:rPr>
                <w:rFonts w:hint="default" w:ascii="Times New Roman" w:hAnsi="Times New Roman" w:eastAsia="宋体" w:cs="Times New Roman"/>
                <w:color w:val="auto"/>
                <w:szCs w:val="21"/>
                <w:highlight w:val="none"/>
                <w:lang w:eastAsia="zh-CN"/>
              </w:rPr>
              <w:t>基本符合预案设计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7"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26</w:t>
            </w:r>
          </w:p>
        </w:tc>
        <w:tc>
          <w:tcPr>
            <w:tcW w:w="836" w:type="dxa"/>
            <w:vMerge w:val="continue"/>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p>
        </w:tc>
        <w:tc>
          <w:tcPr>
            <w:tcW w:w="926" w:type="dxa"/>
            <w:vMerge w:val="continue"/>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p>
        </w:tc>
        <w:tc>
          <w:tcPr>
            <w:tcW w:w="1200" w:type="dxa"/>
            <w:vMerge w:val="restart"/>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环境安全隐患排查与治理</w:t>
            </w:r>
          </w:p>
        </w:tc>
        <w:tc>
          <w:tcPr>
            <w:tcW w:w="1070"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环境安全隐患排查</w:t>
            </w:r>
          </w:p>
        </w:tc>
        <w:tc>
          <w:tcPr>
            <w:tcW w:w="1070"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3</w:t>
            </w:r>
          </w:p>
        </w:tc>
        <w:tc>
          <w:tcPr>
            <w:tcW w:w="1070"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w:t>
            </w:r>
          </w:p>
        </w:tc>
        <w:tc>
          <w:tcPr>
            <w:tcW w:w="1398"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val="en-US" w:eastAsia="zh-CN"/>
              </w:rPr>
              <w:t>制定了环境安全隐患排查工作方案，</w:t>
            </w:r>
            <w:r>
              <w:rPr>
                <w:rFonts w:hint="default" w:ascii="Times New Roman" w:hAnsi="Times New Roman" w:eastAsia="宋体" w:cs="Times New Roman"/>
                <w:color w:val="auto"/>
                <w:szCs w:val="21"/>
                <w:highlight w:val="none"/>
                <w:lang w:eastAsia="zh-CN"/>
              </w:rPr>
              <w:t>基本符合预案设计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7"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27</w:t>
            </w:r>
          </w:p>
        </w:tc>
        <w:tc>
          <w:tcPr>
            <w:tcW w:w="836" w:type="dxa"/>
            <w:vMerge w:val="continue"/>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p>
        </w:tc>
        <w:tc>
          <w:tcPr>
            <w:tcW w:w="926" w:type="dxa"/>
            <w:vMerge w:val="continue"/>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p>
        </w:tc>
        <w:tc>
          <w:tcPr>
            <w:tcW w:w="1200" w:type="dxa"/>
            <w:vMerge w:val="continue"/>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p>
        </w:tc>
        <w:tc>
          <w:tcPr>
            <w:tcW w:w="1070"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环境安全隐患治理</w:t>
            </w:r>
          </w:p>
        </w:tc>
        <w:tc>
          <w:tcPr>
            <w:tcW w:w="1070"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2.5</w:t>
            </w:r>
          </w:p>
        </w:tc>
        <w:tc>
          <w:tcPr>
            <w:tcW w:w="1070"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w:t>
            </w:r>
          </w:p>
        </w:tc>
        <w:tc>
          <w:tcPr>
            <w:tcW w:w="1398"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val="en-US" w:eastAsia="zh-CN"/>
              </w:rPr>
              <w:t>定期进行安全隐患排查，</w:t>
            </w:r>
          </w:p>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eastAsia="zh-CN"/>
              </w:rPr>
              <w:t>基本符合预案设计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7"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28</w:t>
            </w:r>
          </w:p>
        </w:tc>
        <w:tc>
          <w:tcPr>
            <w:tcW w:w="836" w:type="dxa"/>
            <w:vMerge w:val="continue"/>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p>
        </w:tc>
        <w:tc>
          <w:tcPr>
            <w:tcW w:w="926" w:type="dxa"/>
            <w:vMerge w:val="continue"/>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p>
        </w:tc>
        <w:tc>
          <w:tcPr>
            <w:tcW w:w="1200"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环境违法与环境纠纷情况</w:t>
            </w:r>
          </w:p>
        </w:tc>
        <w:tc>
          <w:tcPr>
            <w:tcW w:w="1070"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近三年来是否存在环境违法行为或与周边存在环境纠纷</w:t>
            </w:r>
          </w:p>
        </w:tc>
        <w:tc>
          <w:tcPr>
            <w:tcW w:w="1070"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7</w:t>
            </w:r>
          </w:p>
        </w:tc>
        <w:tc>
          <w:tcPr>
            <w:tcW w:w="1070"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w:t>
            </w:r>
          </w:p>
        </w:tc>
        <w:tc>
          <w:tcPr>
            <w:tcW w:w="1398"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7"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29</w:t>
            </w:r>
          </w:p>
        </w:tc>
        <w:tc>
          <w:tcPr>
            <w:tcW w:w="836" w:type="dxa"/>
            <w:vMerge w:val="continue"/>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p>
        </w:tc>
        <w:tc>
          <w:tcPr>
            <w:tcW w:w="926" w:type="dxa"/>
            <w:vMerge w:val="restart"/>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历史事件情况</w:t>
            </w:r>
          </w:p>
        </w:tc>
        <w:tc>
          <w:tcPr>
            <w:tcW w:w="1200" w:type="dxa"/>
            <w:vMerge w:val="restart"/>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rPr>
              <w:t>近三年来发生事故或事件情况（包括安全和环境方面</w:t>
            </w:r>
            <w:r>
              <w:rPr>
                <w:rFonts w:hint="default" w:ascii="Times New Roman" w:hAnsi="Times New Roman" w:eastAsia="宋体" w:cs="Times New Roman"/>
                <w:color w:val="auto"/>
                <w:szCs w:val="21"/>
                <w:highlight w:val="none"/>
                <w:lang w:eastAsia="zh-CN"/>
              </w:rPr>
              <w:t>）</w:t>
            </w:r>
          </w:p>
        </w:tc>
        <w:tc>
          <w:tcPr>
            <w:tcW w:w="1070"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事件等级</w:t>
            </w:r>
          </w:p>
        </w:tc>
        <w:tc>
          <w:tcPr>
            <w:tcW w:w="1070"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8</w:t>
            </w:r>
          </w:p>
        </w:tc>
        <w:tc>
          <w:tcPr>
            <w:tcW w:w="1070"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val="en-US" w:eastAsia="zh-CN"/>
              </w:rPr>
              <w:t>6</w:t>
            </w:r>
          </w:p>
        </w:tc>
        <w:tc>
          <w:tcPr>
            <w:tcW w:w="1398"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eastAsia="zh-CN"/>
              </w:rPr>
              <w:t>发生过较大事故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7"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30</w:t>
            </w:r>
          </w:p>
        </w:tc>
        <w:tc>
          <w:tcPr>
            <w:tcW w:w="836" w:type="dxa"/>
            <w:vMerge w:val="continue"/>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p>
        </w:tc>
        <w:tc>
          <w:tcPr>
            <w:tcW w:w="926" w:type="dxa"/>
            <w:vMerge w:val="continue"/>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p>
        </w:tc>
        <w:tc>
          <w:tcPr>
            <w:tcW w:w="1200" w:type="dxa"/>
            <w:vMerge w:val="continue"/>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p>
        </w:tc>
        <w:tc>
          <w:tcPr>
            <w:tcW w:w="1070"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事件次数</w:t>
            </w:r>
          </w:p>
        </w:tc>
        <w:tc>
          <w:tcPr>
            <w:tcW w:w="1070"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3</w:t>
            </w:r>
          </w:p>
        </w:tc>
        <w:tc>
          <w:tcPr>
            <w:tcW w:w="1070"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1.5</w:t>
            </w:r>
          </w:p>
        </w:tc>
        <w:tc>
          <w:tcPr>
            <w:tcW w:w="1398" w:type="dxa"/>
            <w:vAlign w:val="center"/>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val="en-US" w:eastAsia="zh-CN"/>
              </w:rPr>
              <w:t>1次</w:t>
            </w:r>
          </w:p>
        </w:tc>
      </w:tr>
    </w:tbl>
    <w:p>
      <w:pPr>
        <w:pageBreakBefore w:val="0"/>
        <w:tabs>
          <w:tab w:val="left" w:pos="3062"/>
        </w:tabs>
        <w:wordWrap/>
        <w:bidi w:val="0"/>
        <w:spacing w:line="360" w:lineRule="auto"/>
        <w:ind w:left="0" w:leftChars="0" w:right="0" w:rightChars="0"/>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表1-</w:t>
      </w:r>
      <w:r>
        <w:rPr>
          <w:rFonts w:hint="default" w:ascii="Times New Roman" w:hAnsi="Times New Roman" w:eastAsia="宋体" w:cs="Times New Roman"/>
          <w:b/>
          <w:bCs/>
          <w:color w:val="auto"/>
          <w:sz w:val="24"/>
          <w:highlight w:val="none"/>
          <w:lang w:val="en-US" w:eastAsia="zh-CN"/>
        </w:rPr>
        <w:t>20</w:t>
      </w:r>
      <w:r>
        <w:rPr>
          <w:rFonts w:hint="default" w:ascii="Times New Roman" w:hAnsi="Times New Roman" w:eastAsia="宋体" w:cs="Times New Roman"/>
          <w:b/>
          <w:bCs/>
          <w:color w:val="auto"/>
          <w:sz w:val="24"/>
          <w:highlight w:val="none"/>
        </w:rPr>
        <w:t>尾矿库控制机制可靠性（R</w:t>
      </w:r>
      <w:r>
        <w:rPr>
          <w:rFonts w:hint="default" w:ascii="Times New Roman" w:hAnsi="Times New Roman" w:eastAsia="宋体" w:cs="Times New Roman"/>
          <w:b/>
          <w:bCs/>
          <w:color w:val="auto"/>
          <w:sz w:val="24"/>
          <w:highlight w:val="none"/>
          <w:lang w:eastAsia="zh-CN"/>
        </w:rPr>
        <w:t>）</w:t>
      </w:r>
      <w:r>
        <w:rPr>
          <w:rFonts w:hint="default" w:ascii="Times New Roman" w:hAnsi="Times New Roman" w:eastAsia="宋体" w:cs="Times New Roman"/>
          <w:b/>
          <w:bCs/>
          <w:color w:val="auto"/>
          <w:sz w:val="24"/>
          <w:highlight w:val="none"/>
        </w:rPr>
        <w:t>等别划分表</w:t>
      </w:r>
    </w:p>
    <w:tbl>
      <w:tblPr>
        <w:tblStyle w:val="54"/>
        <w:tblW w:w="827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141"/>
        <w:gridCol w:w="41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4" w:type="dxa"/>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rPr>
              <w:t>尾矿库控制机制可靠性（DR</w:t>
            </w:r>
            <w:r>
              <w:rPr>
                <w:rFonts w:hint="default" w:ascii="Times New Roman" w:hAnsi="Times New Roman" w:eastAsia="宋体" w:cs="Times New Roman"/>
                <w:color w:val="auto"/>
                <w:szCs w:val="21"/>
                <w:highlight w:val="none"/>
                <w:lang w:eastAsia="zh-CN"/>
              </w:rPr>
              <w:t>）</w:t>
            </w:r>
          </w:p>
        </w:tc>
        <w:tc>
          <w:tcPr>
            <w:tcW w:w="4264" w:type="dxa"/>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尾矿库环境危害性（R</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等别代码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4" w:type="dxa"/>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DR＞60</w:t>
            </w:r>
          </w:p>
        </w:tc>
        <w:tc>
          <w:tcPr>
            <w:tcW w:w="4264" w:type="dxa"/>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R1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4" w:type="dxa"/>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30＜DR≤60</w:t>
            </w:r>
          </w:p>
        </w:tc>
        <w:tc>
          <w:tcPr>
            <w:tcW w:w="4264" w:type="dxa"/>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R2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64" w:type="dxa"/>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DR≤30</w:t>
            </w:r>
          </w:p>
        </w:tc>
        <w:tc>
          <w:tcPr>
            <w:tcW w:w="4264" w:type="dxa"/>
          </w:tcPr>
          <w:p>
            <w:pPr>
              <w:pageBreakBefore w:val="0"/>
              <w:tabs>
                <w:tab w:val="left" w:pos="3062"/>
              </w:tabs>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R3</w:t>
            </w:r>
          </w:p>
        </w:tc>
      </w:tr>
    </w:tbl>
    <w:p>
      <w:pPr>
        <w:pageBreakBefore w:val="0"/>
        <w:tabs>
          <w:tab w:val="left" w:pos="3062"/>
        </w:tabs>
        <w:wordWrap/>
        <w:bidi w:val="0"/>
        <w:spacing w:line="360" w:lineRule="auto"/>
        <w:ind w:left="0" w:leftChars="0" w:right="0" w:rightChars="0" w:firstLine="480" w:firstLineChars="20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依据表1-1</w:t>
      </w:r>
      <w:r>
        <w:rPr>
          <w:rFonts w:hint="default" w:ascii="Times New Roman" w:hAnsi="Times New Roman" w:eastAsia="宋体" w:cs="Times New Roman"/>
          <w:color w:val="auto"/>
          <w:sz w:val="24"/>
          <w:highlight w:val="none"/>
          <w:lang w:val="en-US" w:eastAsia="zh-CN"/>
        </w:rPr>
        <w:t>9</w:t>
      </w:r>
      <w:r>
        <w:rPr>
          <w:rFonts w:hint="default" w:ascii="Times New Roman" w:hAnsi="Times New Roman" w:eastAsia="宋体" w:cs="Times New Roman"/>
          <w:color w:val="auto"/>
          <w:sz w:val="24"/>
          <w:highlight w:val="none"/>
        </w:rPr>
        <w:t>和表1-</w:t>
      </w:r>
      <w:r>
        <w:rPr>
          <w:rFonts w:hint="default" w:ascii="Times New Roman" w:hAnsi="Times New Roman" w:eastAsia="宋体" w:cs="Times New Roman"/>
          <w:color w:val="auto"/>
          <w:sz w:val="24"/>
          <w:highlight w:val="none"/>
          <w:lang w:val="en-US" w:eastAsia="zh-CN"/>
        </w:rPr>
        <w:t>20</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对照尾矿库控制机制可靠性（R</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指标评分表及尾矿库控制机制可靠性等别划分表</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尾矿库控制机制可靠性得分DR=1</w:t>
      </w:r>
      <w:r>
        <w:rPr>
          <w:rFonts w:hint="default" w:ascii="Times New Roman" w:hAnsi="Times New Roman" w:eastAsia="宋体" w:cs="Times New Roman"/>
          <w:color w:val="auto"/>
          <w:sz w:val="24"/>
          <w:highlight w:val="none"/>
          <w:lang w:val="en-US" w:eastAsia="zh-CN"/>
        </w:rPr>
        <w:t>7</w:t>
      </w:r>
      <w:r>
        <w:rPr>
          <w:rFonts w:hint="default" w:ascii="Times New Roman" w:hAnsi="Times New Roman" w:eastAsia="宋体" w:cs="Times New Roman"/>
          <w:color w:val="auto"/>
          <w:sz w:val="24"/>
          <w:highlight w:val="none"/>
        </w:rPr>
        <w:t>≤30</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本项目尾矿库风险等级为R3。</w:t>
      </w:r>
    </w:p>
    <w:p>
      <w:pPr>
        <w:pageBreakBefore w:val="0"/>
        <w:tabs>
          <w:tab w:val="left" w:pos="3062"/>
        </w:tabs>
        <w:wordWrap/>
        <w:bidi w:val="0"/>
        <w:spacing w:line="360" w:lineRule="auto"/>
        <w:ind w:left="0" w:leftChars="0" w:right="0" w:rightChars="0" w:firstLine="480" w:firstLineChars="200"/>
        <w:jc w:val="left"/>
        <w:outlineLvl w:val="0"/>
        <w:rPr>
          <w:rFonts w:hint="default" w:ascii="Times New Roman" w:hAnsi="Times New Roman" w:eastAsia="宋体" w:cs="Times New Roman"/>
          <w:color w:val="auto"/>
          <w:sz w:val="24"/>
          <w:highlight w:val="none"/>
        </w:rPr>
      </w:pPr>
      <w:bookmarkStart w:id="231" w:name="_Toc1856"/>
      <w:bookmarkStart w:id="232" w:name="_Toc10158"/>
      <w:r>
        <w:rPr>
          <w:rFonts w:hint="default" w:ascii="Times New Roman" w:hAnsi="Times New Roman" w:eastAsia="宋体" w:cs="Times New Roman"/>
          <w:color w:val="auto"/>
          <w:sz w:val="24"/>
          <w:highlight w:val="none"/>
        </w:rPr>
        <w:t>（3</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评价工作级别划分</w:t>
      </w:r>
      <w:bookmarkEnd w:id="231"/>
      <w:bookmarkEnd w:id="232"/>
    </w:p>
    <w:p>
      <w:pPr>
        <w:pageBreakBefore w:val="0"/>
        <w:tabs>
          <w:tab w:val="left" w:pos="3062"/>
        </w:tabs>
        <w:wordWrap/>
        <w:bidi w:val="0"/>
        <w:spacing w:line="360" w:lineRule="auto"/>
        <w:ind w:left="0" w:leftChars="0" w:right="0" w:rightChars="0" w:firstLine="480" w:firstLineChars="20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根据《尾矿库环境风险评估技术导则（试行</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》（HJ740-2015</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综合尾矿库环境危害性（H</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、周边环境敏感性（S</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、控制机制可靠性（R</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三方面的等别</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对照尾矿库环境风险等级划分矩阵表</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将尾矿库环境风险划分为重大、较大、一般三个等级。确定本项目尾矿库环境风险等级为“一般（</w:t>
      </w:r>
      <w:r>
        <w:rPr>
          <w:rFonts w:hint="default" w:ascii="Times New Roman" w:hAnsi="Times New Roman" w:eastAsia="宋体" w:cs="Times New Roman"/>
          <w:color w:val="auto"/>
          <w:sz w:val="24"/>
          <w:highlight w:val="none"/>
          <w:lang w:eastAsia="zh-CN"/>
        </w:rPr>
        <w:t>H1S3R3）</w:t>
      </w:r>
      <w:r>
        <w:rPr>
          <w:rFonts w:hint="default" w:ascii="Times New Roman" w:hAnsi="Times New Roman" w:eastAsia="宋体" w:cs="Times New Roman"/>
          <w:color w:val="auto"/>
          <w:sz w:val="24"/>
          <w:highlight w:val="none"/>
        </w:rPr>
        <w:t>”。</w:t>
      </w:r>
    </w:p>
    <w:p>
      <w:pPr>
        <w:pageBreakBefore w:val="0"/>
        <w:tabs>
          <w:tab w:val="left" w:pos="3062"/>
        </w:tabs>
        <w:wordWrap/>
        <w:bidi w:val="0"/>
        <w:spacing w:line="360" w:lineRule="auto"/>
        <w:ind w:left="0" w:leftChars="0" w:right="0" w:rightChars="0"/>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表1-</w:t>
      </w:r>
      <w:r>
        <w:rPr>
          <w:rFonts w:hint="default" w:ascii="Times New Roman" w:hAnsi="Times New Roman" w:eastAsia="宋体" w:cs="Times New Roman"/>
          <w:b/>
          <w:bCs/>
          <w:color w:val="auto"/>
          <w:sz w:val="24"/>
          <w:highlight w:val="none"/>
          <w:lang w:val="en-US" w:eastAsia="zh-CN"/>
        </w:rPr>
        <w:t>21</w:t>
      </w:r>
      <w:r>
        <w:rPr>
          <w:rFonts w:hint="default" w:ascii="Times New Roman" w:hAnsi="Times New Roman" w:eastAsia="宋体" w:cs="Times New Roman"/>
          <w:b/>
          <w:bCs/>
          <w:color w:val="auto"/>
          <w:sz w:val="24"/>
          <w:highlight w:val="none"/>
        </w:rPr>
        <w:t>尾矿库环境风险等级划分矩阵</w:t>
      </w:r>
    </w:p>
    <w:tbl>
      <w:tblPr>
        <w:tblStyle w:val="54"/>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43"/>
        <w:gridCol w:w="1866"/>
        <w:gridCol w:w="2245"/>
        <w:gridCol w:w="2156"/>
        <w:gridCol w:w="161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trPr>
        <w:tc>
          <w:tcPr>
            <w:tcW w:w="377" w:type="pct"/>
            <w:vMerge w:val="restart"/>
            <w:tcBorders>
              <w:top w:val="single" w:color="auto" w:sz="4" w:space="0"/>
              <w:lef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序号</w:t>
            </w:r>
          </w:p>
        </w:tc>
        <w:tc>
          <w:tcPr>
            <w:tcW w:w="3677" w:type="pct"/>
            <w:gridSpan w:val="3"/>
            <w:tcBorders>
              <w:top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情形</w:t>
            </w:r>
          </w:p>
        </w:tc>
        <w:tc>
          <w:tcPr>
            <w:tcW w:w="946" w:type="pct"/>
            <w:vMerge w:val="restart"/>
            <w:tcBorders>
              <w:top w:val="single" w:color="auto" w:sz="4" w:space="0"/>
              <w:righ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环境风险等级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7" w:type="pct"/>
            <w:vMerge w:val="continue"/>
            <w:tcBorders>
              <w:lef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b/>
                <w:color w:val="auto"/>
                <w:szCs w:val="21"/>
                <w:highlight w:val="none"/>
              </w:rPr>
            </w:pPr>
          </w:p>
        </w:tc>
        <w:tc>
          <w:tcPr>
            <w:tcW w:w="1095" w:type="pct"/>
            <w:vAlign w:val="center"/>
          </w:tcPr>
          <w:p>
            <w:pPr>
              <w:pageBreakBefore w:val="0"/>
              <w:wordWrap/>
              <w:bidi w:val="0"/>
              <w:ind w:left="0" w:leftChars="0" w:right="0" w:rightChars="0"/>
              <w:jc w:val="center"/>
              <w:rPr>
                <w:rFonts w:hint="default" w:ascii="Times New Roman" w:hAnsi="Times New Roman" w:eastAsia="宋体" w:cs="Times New Roman"/>
                <w:b/>
                <w:color w:val="auto"/>
                <w:szCs w:val="21"/>
                <w:highlight w:val="none"/>
                <w:lang w:eastAsia="zh-CN"/>
              </w:rPr>
            </w:pPr>
            <w:r>
              <w:rPr>
                <w:rFonts w:hint="default" w:ascii="Times New Roman" w:hAnsi="Times New Roman" w:eastAsia="宋体" w:cs="Times New Roman"/>
                <w:b/>
                <w:color w:val="auto"/>
                <w:szCs w:val="21"/>
                <w:highlight w:val="none"/>
              </w:rPr>
              <w:t>环境危害性（H</w:t>
            </w:r>
            <w:r>
              <w:rPr>
                <w:rFonts w:hint="default" w:ascii="Times New Roman" w:hAnsi="Times New Roman" w:eastAsia="宋体" w:cs="Times New Roman"/>
                <w:b/>
                <w:color w:val="auto"/>
                <w:szCs w:val="21"/>
                <w:highlight w:val="none"/>
                <w:lang w:eastAsia="zh-CN"/>
              </w:rPr>
              <w:t>）</w:t>
            </w:r>
          </w:p>
        </w:tc>
        <w:tc>
          <w:tcPr>
            <w:tcW w:w="1317" w:type="pct"/>
            <w:vAlign w:val="center"/>
          </w:tcPr>
          <w:p>
            <w:pPr>
              <w:pageBreakBefore w:val="0"/>
              <w:wordWrap/>
              <w:bidi w:val="0"/>
              <w:ind w:left="0" w:leftChars="0" w:right="0" w:rightChars="0"/>
              <w:jc w:val="center"/>
              <w:rPr>
                <w:rFonts w:hint="default" w:ascii="Times New Roman" w:hAnsi="Times New Roman" w:eastAsia="宋体" w:cs="Times New Roman"/>
                <w:b/>
                <w:color w:val="auto"/>
                <w:szCs w:val="21"/>
                <w:highlight w:val="none"/>
                <w:lang w:eastAsia="zh-CN"/>
              </w:rPr>
            </w:pPr>
            <w:r>
              <w:rPr>
                <w:rFonts w:hint="default" w:ascii="Times New Roman" w:hAnsi="Times New Roman" w:eastAsia="宋体" w:cs="Times New Roman"/>
                <w:b/>
                <w:color w:val="auto"/>
                <w:szCs w:val="21"/>
                <w:highlight w:val="none"/>
              </w:rPr>
              <w:t>周边环境敏感性（S</w:t>
            </w:r>
            <w:r>
              <w:rPr>
                <w:rFonts w:hint="default" w:ascii="Times New Roman" w:hAnsi="Times New Roman" w:eastAsia="宋体" w:cs="Times New Roman"/>
                <w:b/>
                <w:color w:val="auto"/>
                <w:szCs w:val="21"/>
                <w:highlight w:val="none"/>
                <w:lang w:eastAsia="zh-CN"/>
              </w:rPr>
              <w:t>）</w:t>
            </w:r>
          </w:p>
        </w:tc>
        <w:tc>
          <w:tcPr>
            <w:tcW w:w="1265" w:type="pct"/>
            <w:vAlign w:val="center"/>
          </w:tcPr>
          <w:p>
            <w:pPr>
              <w:pageBreakBefore w:val="0"/>
              <w:wordWrap/>
              <w:bidi w:val="0"/>
              <w:ind w:left="0" w:leftChars="0" w:right="0" w:rightChars="0"/>
              <w:jc w:val="center"/>
              <w:rPr>
                <w:rFonts w:hint="default" w:ascii="Times New Roman" w:hAnsi="Times New Roman" w:eastAsia="宋体" w:cs="Times New Roman"/>
                <w:b/>
                <w:color w:val="auto"/>
                <w:szCs w:val="21"/>
                <w:highlight w:val="none"/>
                <w:lang w:eastAsia="zh-CN"/>
              </w:rPr>
            </w:pPr>
            <w:r>
              <w:rPr>
                <w:rFonts w:hint="default" w:ascii="Times New Roman" w:hAnsi="Times New Roman" w:eastAsia="宋体" w:cs="Times New Roman"/>
                <w:b/>
                <w:color w:val="auto"/>
                <w:szCs w:val="21"/>
                <w:highlight w:val="none"/>
              </w:rPr>
              <w:t>控制机制可靠性（R</w:t>
            </w:r>
            <w:r>
              <w:rPr>
                <w:rFonts w:hint="default" w:ascii="Times New Roman" w:hAnsi="Times New Roman" w:eastAsia="宋体" w:cs="Times New Roman"/>
                <w:b/>
                <w:color w:val="auto"/>
                <w:szCs w:val="21"/>
                <w:highlight w:val="none"/>
                <w:lang w:eastAsia="zh-CN"/>
              </w:rPr>
              <w:t>）</w:t>
            </w:r>
          </w:p>
        </w:tc>
        <w:tc>
          <w:tcPr>
            <w:tcW w:w="946" w:type="pct"/>
            <w:vMerge w:val="continue"/>
            <w:tcBorders>
              <w:righ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7" w:type="pct"/>
            <w:tcBorders>
              <w:lef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w:t>
            </w:r>
          </w:p>
        </w:tc>
        <w:tc>
          <w:tcPr>
            <w:tcW w:w="1095" w:type="pct"/>
            <w:vMerge w:val="restart"/>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b/>
                <w:bCs/>
                <w:color w:val="auto"/>
                <w:szCs w:val="21"/>
                <w:highlight w:val="none"/>
              </w:rPr>
              <w:t>H</w:t>
            </w:r>
            <w:r>
              <w:rPr>
                <w:rFonts w:hint="default" w:ascii="Times New Roman" w:hAnsi="Times New Roman" w:eastAsia="宋体" w:cs="Times New Roman"/>
                <w:b/>
                <w:bCs/>
                <w:color w:val="auto"/>
                <w:szCs w:val="21"/>
                <w:highlight w:val="none"/>
                <w:lang w:val="en-US" w:eastAsia="zh-CN"/>
              </w:rPr>
              <w:t>1</w:t>
            </w:r>
          </w:p>
        </w:tc>
        <w:tc>
          <w:tcPr>
            <w:tcW w:w="1317" w:type="pct"/>
            <w:vMerge w:val="restart"/>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S1</w:t>
            </w:r>
          </w:p>
        </w:tc>
        <w:tc>
          <w:tcPr>
            <w:tcW w:w="1265" w:type="pct"/>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R1</w:t>
            </w:r>
          </w:p>
        </w:tc>
        <w:tc>
          <w:tcPr>
            <w:tcW w:w="946" w:type="pct"/>
            <w:tcBorders>
              <w:righ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重大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7" w:type="pct"/>
            <w:tcBorders>
              <w:lef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w:t>
            </w:r>
          </w:p>
        </w:tc>
        <w:tc>
          <w:tcPr>
            <w:tcW w:w="1095" w:type="pct"/>
            <w:vMerge w:val="continue"/>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p>
        </w:tc>
        <w:tc>
          <w:tcPr>
            <w:tcW w:w="1317" w:type="pct"/>
            <w:vMerge w:val="continue"/>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p>
        </w:tc>
        <w:tc>
          <w:tcPr>
            <w:tcW w:w="1265" w:type="pct"/>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R2</w:t>
            </w:r>
          </w:p>
        </w:tc>
        <w:tc>
          <w:tcPr>
            <w:tcW w:w="946" w:type="pct"/>
            <w:tcBorders>
              <w:righ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重大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7" w:type="pct"/>
            <w:tcBorders>
              <w:lef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3</w:t>
            </w:r>
          </w:p>
        </w:tc>
        <w:tc>
          <w:tcPr>
            <w:tcW w:w="1095" w:type="pct"/>
            <w:vMerge w:val="continue"/>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p>
        </w:tc>
        <w:tc>
          <w:tcPr>
            <w:tcW w:w="1317" w:type="pct"/>
            <w:vMerge w:val="continue"/>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p>
        </w:tc>
        <w:tc>
          <w:tcPr>
            <w:tcW w:w="1265" w:type="pct"/>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R3</w:t>
            </w:r>
          </w:p>
        </w:tc>
        <w:tc>
          <w:tcPr>
            <w:tcW w:w="946" w:type="pct"/>
            <w:tcBorders>
              <w:righ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较大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7" w:type="pct"/>
            <w:tcBorders>
              <w:lef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4</w:t>
            </w:r>
          </w:p>
        </w:tc>
        <w:tc>
          <w:tcPr>
            <w:tcW w:w="1095" w:type="pct"/>
            <w:vMerge w:val="continue"/>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p>
        </w:tc>
        <w:tc>
          <w:tcPr>
            <w:tcW w:w="1317" w:type="pct"/>
            <w:vMerge w:val="restart"/>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b w:val="0"/>
                <w:bCs w:val="0"/>
                <w:color w:val="auto"/>
                <w:szCs w:val="21"/>
                <w:highlight w:val="none"/>
              </w:rPr>
              <w:t>S2</w:t>
            </w:r>
          </w:p>
        </w:tc>
        <w:tc>
          <w:tcPr>
            <w:tcW w:w="1265" w:type="pct"/>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R1</w:t>
            </w:r>
          </w:p>
        </w:tc>
        <w:tc>
          <w:tcPr>
            <w:tcW w:w="946" w:type="pct"/>
            <w:tcBorders>
              <w:righ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重大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7" w:type="pct"/>
            <w:tcBorders>
              <w:lef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5</w:t>
            </w:r>
          </w:p>
        </w:tc>
        <w:tc>
          <w:tcPr>
            <w:tcW w:w="1095" w:type="pct"/>
            <w:vMerge w:val="continue"/>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p>
        </w:tc>
        <w:tc>
          <w:tcPr>
            <w:tcW w:w="1317" w:type="pct"/>
            <w:vMerge w:val="continue"/>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p>
        </w:tc>
        <w:tc>
          <w:tcPr>
            <w:tcW w:w="1265" w:type="pct"/>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R2</w:t>
            </w:r>
          </w:p>
        </w:tc>
        <w:tc>
          <w:tcPr>
            <w:tcW w:w="946" w:type="pct"/>
            <w:tcBorders>
              <w:righ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较大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7" w:type="pct"/>
            <w:tcBorders>
              <w:lef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6</w:t>
            </w:r>
          </w:p>
        </w:tc>
        <w:tc>
          <w:tcPr>
            <w:tcW w:w="1095" w:type="pct"/>
            <w:vMerge w:val="continue"/>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p>
        </w:tc>
        <w:tc>
          <w:tcPr>
            <w:tcW w:w="1317" w:type="pct"/>
            <w:vMerge w:val="continue"/>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p>
        </w:tc>
        <w:tc>
          <w:tcPr>
            <w:tcW w:w="1265" w:type="pct"/>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R3</w:t>
            </w:r>
          </w:p>
        </w:tc>
        <w:tc>
          <w:tcPr>
            <w:tcW w:w="946" w:type="pct"/>
            <w:tcBorders>
              <w:righ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较大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7" w:type="pct"/>
            <w:tcBorders>
              <w:lef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7</w:t>
            </w:r>
          </w:p>
        </w:tc>
        <w:tc>
          <w:tcPr>
            <w:tcW w:w="1095" w:type="pct"/>
            <w:vMerge w:val="continue"/>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p>
        </w:tc>
        <w:tc>
          <w:tcPr>
            <w:tcW w:w="1317" w:type="pct"/>
            <w:vMerge w:val="restart"/>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b/>
                <w:bCs/>
                <w:color w:val="auto"/>
                <w:szCs w:val="21"/>
                <w:highlight w:val="none"/>
              </w:rPr>
              <w:t>S3</w:t>
            </w:r>
          </w:p>
        </w:tc>
        <w:tc>
          <w:tcPr>
            <w:tcW w:w="1265" w:type="pct"/>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R1</w:t>
            </w:r>
          </w:p>
        </w:tc>
        <w:tc>
          <w:tcPr>
            <w:tcW w:w="946" w:type="pct"/>
            <w:tcBorders>
              <w:righ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重大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7" w:type="pct"/>
            <w:tcBorders>
              <w:lef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8</w:t>
            </w:r>
          </w:p>
        </w:tc>
        <w:tc>
          <w:tcPr>
            <w:tcW w:w="1095" w:type="pct"/>
            <w:vMerge w:val="continue"/>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p>
        </w:tc>
        <w:tc>
          <w:tcPr>
            <w:tcW w:w="1317" w:type="pct"/>
            <w:vMerge w:val="continue"/>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p>
        </w:tc>
        <w:tc>
          <w:tcPr>
            <w:tcW w:w="1265" w:type="pct"/>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R2</w:t>
            </w:r>
          </w:p>
        </w:tc>
        <w:tc>
          <w:tcPr>
            <w:tcW w:w="946" w:type="pct"/>
            <w:tcBorders>
              <w:bottom w:val="single" w:color="auto" w:sz="4" w:space="0"/>
              <w:righ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较大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7" w:type="pct"/>
            <w:tcBorders>
              <w:left w:val="single" w:color="auto" w:sz="4" w:space="0"/>
              <w:bottom w:val="single" w:color="auto" w:sz="4" w:space="0"/>
            </w:tcBorders>
            <w:shd w:val="clear" w:color="auto" w:fill="auto"/>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9</w:t>
            </w:r>
          </w:p>
        </w:tc>
        <w:tc>
          <w:tcPr>
            <w:tcW w:w="1095" w:type="pct"/>
            <w:vMerge w:val="continue"/>
            <w:tcBorders>
              <w:bottom w:val="single" w:color="auto" w:sz="4" w:space="0"/>
            </w:tcBorders>
            <w:shd w:val="clear" w:color="auto" w:fill="auto"/>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p>
        </w:tc>
        <w:tc>
          <w:tcPr>
            <w:tcW w:w="1317" w:type="pct"/>
            <w:vMerge w:val="continue"/>
            <w:tcBorders>
              <w:bottom w:val="single" w:color="auto" w:sz="4" w:space="0"/>
            </w:tcBorders>
            <w:shd w:val="clear" w:color="auto" w:fill="auto"/>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p>
        </w:tc>
        <w:tc>
          <w:tcPr>
            <w:tcW w:w="1265" w:type="pct"/>
            <w:tcBorders>
              <w:bottom w:val="single" w:color="auto" w:sz="4" w:space="0"/>
            </w:tcBorders>
            <w:shd w:val="clear" w:color="auto" w:fill="auto"/>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R3</w:t>
            </w:r>
          </w:p>
        </w:tc>
        <w:tc>
          <w:tcPr>
            <w:tcW w:w="946" w:type="pct"/>
            <w:tcBorders>
              <w:top w:val="single" w:color="auto" w:sz="4" w:space="0"/>
              <w:bottom w:val="single" w:color="auto" w:sz="4" w:space="0"/>
              <w:right w:val="single" w:color="auto" w:sz="4" w:space="0"/>
            </w:tcBorders>
            <w:shd w:val="clear" w:color="auto" w:fill="D9D9D9"/>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一般</w:t>
            </w:r>
          </w:p>
        </w:tc>
      </w:tr>
    </w:tbl>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根据《尾矿库环境风险评估技术导则（试行</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》（HJ740-2015</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的规定</w:t>
      </w:r>
      <w:r>
        <w:rPr>
          <w:rFonts w:hint="default" w:ascii="Times New Roman" w:hAnsi="Times New Roman" w:eastAsia="宋体" w:cs="Times New Roman"/>
          <w:color w:val="auto"/>
          <w:sz w:val="24"/>
          <w:highlight w:val="none"/>
          <w:lang w:val="en-US" w:eastAsia="zh-CN"/>
        </w:rPr>
        <w:t>：其他类型环境风险受体调查评估范围：</w:t>
      </w:r>
      <w:r>
        <w:rPr>
          <w:rFonts w:hint="default" w:ascii="Times New Roman" w:hAnsi="Times New Roman" w:eastAsia="宋体" w:cs="Times New Roman"/>
          <w:color w:val="auto"/>
          <w:sz w:val="24"/>
          <w:highlight w:val="none"/>
        </w:rPr>
        <w:t>山谷型尾矿库下游不小于80倍坝高。</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w:t>
      </w:r>
      <w:r>
        <w:rPr>
          <w:rFonts w:hint="default" w:ascii="Times New Roman" w:hAnsi="Times New Roman" w:eastAsia="宋体" w:cs="Times New Roman"/>
          <w:color w:val="auto"/>
          <w:sz w:val="24"/>
          <w:highlight w:val="none"/>
          <w:lang w:eastAsia="zh-CN"/>
        </w:rPr>
        <w:t>属</w:t>
      </w:r>
      <w:r>
        <w:rPr>
          <w:rFonts w:hint="default" w:ascii="Times New Roman" w:hAnsi="Times New Roman" w:eastAsia="宋体" w:cs="Times New Roman"/>
          <w:color w:val="auto"/>
          <w:sz w:val="24"/>
          <w:highlight w:val="none"/>
        </w:rPr>
        <w:t>于山谷型尾矿库</w:t>
      </w:r>
      <w:r>
        <w:rPr>
          <w:rFonts w:hint="default" w:ascii="Times New Roman" w:hAnsi="Times New Roman" w:eastAsia="宋体" w:cs="Times New Roman"/>
          <w:color w:val="auto"/>
          <w:sz w:val="24"/>
          <w:highlight w:val="none"/>
          <w:lang w:eastAsia="zh-CN"/>
        </w:rPr>
        <w:t>，扩建后</w:t>
      </w:r>
      <w:r>
        <w:rPr>
          <w:rFonts w:hint="default" w:ascii="Times New Roman" w:hAnsi="Times New Roman" w:eastAsia="宋体" w:cs="Times New Roman"/>
          <w:color w:val="auto"/>
          <w:sz w:val="24"/>
          <w:highlight w:val="none"/>
        </w:rPr>
        <w:t>坝高129m</w:t>
      </w:r>
      <w:r>
        <w:rPr>
          <w:rFonts w:hint="default" w:ascii="Times New Roman" w:hAnsi="Times New Roman" w:eastAsia="宋体" w:cs="Times New Roman"/>
          <w:color w:val="auto"/>
          <w:sz w:val="24"/>
          <w:highlight w:val="none"/>
          <w:lang w:eastAsia="zh-CN"/>
        </w:rPr>
        <w:t>，则</w:t>
      </w:r>
      <w:r>
        <w:rPr>
          <w:rFonts w:hint="default" w:ascii="Times New Roman" w:hAnsi="Times New Roman" w:eastAsia="宋体" w:cs="Times New Roman"/>
          <w:color w:val="auto"/>
          <w:sz w:val="24"/>
          <w:highlight w:val="none"/>
        </w:rPr>
        <w:t>环境风险受体调查</w:t>
      </w:r>
      <w:r>
        <w:rPr>
          <w:rFonts w:hint="default" w:ascii="Times New Roman" w:hAnsi="Times New Roman" w:eastAsia="宋体" w:cs="Times New Roman"/>
          <w:color w:val="auto"/>
          <w:sz w:val="24"/>
          <w:highlight w:val="none"/>
          <w:lang w:val="en-US" w:eastAsia="zh-CN"/>
        </w:rPr>
        <w:t>评估</w:t>
      </w:r>
      <w:r>
        <w:rPr>
          <w:rFonts w:hint="default" w:ascii="Times New Roman" w:hAnsi="Times New Roman" w:eastAsia="宋体" w:cs="Times New Roman"/>
          <w:color w:val="auto"/>
          <w:sz w:val="24"/>
          <w:highlight w:val="none"/>
        </w:rPr>
        <w:t>范围</w:t>
      </w:r>
      <w:r>
        <w:rPr>
          <w:rFonts w:hint="default" w:ascii="Times New Roman" w:hAnsi="Times New Roman" w:eastAsia="宋体" w:cs="Times New Roman"/>
          <w:color w:val="auto"/>
          <w:sz w:val="24"/>
          <w:highlight w:val="none"/>
          <w:lang w:eastAsia="zh-CN"/>
        </w:rPr>
        <w:t>为尾矿库下游（北侧）</w:t>
      </w:r>
      <w:r>
        <w:rPr>
          <w:rFonts w:hint="default" w:ascii="Times New Roman" w:hAnsi="Times New Roman" w:eastAsia="宋体" w:cs="Times New Roman"/>
          <w:color w:val="auto"/>
          <w:sz w:val="24"/>
          <w:highlight w:val="none"/>
        </w:rPr>
        <w:t>10.32km</w:t>
      </w:r>
      <w:r>
        <w:rPr>
          <w:rFonts w:hint="default" w:ascii="Times New Roman" w:hAnsi="Times New Roman" w:eastAsia="宋体" w:cs="Times New Roman"/>
          <w:color w:val="auto"/>
          <w:sz w:val="24"/>
          <w:highlight w:val="none"/>
          <w:lang w:val="en-US" w:eastAsia="zh-CN"/>
        </w:rPr>
        <w:t>范围</w:t>
      </w:r>
      <w:r>
        <w:rPr>
          <w:rFonts w:hint="default" w:ascii="Times New Roman" w:hAnsi="Times New Roman" w:eastAsia="宋体" w:cs="Times New Roman"/>
          <w:color w:val="auto"/>
          <w:sz w:val="24"/>
          <w:highlight w:val="none"/>
        </w:rPr>
        <w:t>。</w:t>
      </w:r>
    </w:p>
    <w:p>
      <w:pPr>
        <w:pStyle w:val="5"/>
        <w:pageBreakBefore w:val="0"/>
        <w:numPr>
          <w:ilvl w:val="2"/>
          <w:numId w:val="0"/>
        </w:numPr>
        <w:wordWrap/>
        <w:bidi w:val="0"/>
        <w:ind w:left="0" w:leftChars="0" w:right="0" w:rightChars="0"/>
        <w:outlineLvl w:val="1"/>
        <w:rPr>
          <w:rFonts w:hint="default" w:ascii="Times New Roman" w:hAnsi="Times New Roman" w:eastAsia="宋体" w:cs="Times New Roman"/>
          <w:b/>
          <w:bCs w:val="0"/>
          <w:color w:val="auto"/>
          <w:highlight w:val="none"/>
        </w:rPr>
      </w:pPr>
      <w:bookmarkStart w:id="233" w:name="_Toc4665"/>
      <w:bookmarkStart w:id="234" w:name="_Toc1364"/>
      <w:bookmarkStart w:id="235" w:name="_Toc10302"/>
      <w:r>
        <w:rPr>
          <w:rFonts w:hint="default" w:ascii="Times New Roman" w:hAnsi="Times New Roman" w:eastAsia="宋体" w:cs="Times New Roman"/>
          <w:b w:val="0"/>
          <w:bCs w:val="0"/>
          <w:i w:val="0"/>
          <w:iCs w:val="0"/>
          <w:caps w:val="0"/>
          <w:smallCaps w:val="0"/>
          <w:strike w:val="0"/>
          <w:dstrike w:val="0"/>
          <w:vanish w:val="0"/>
          <w:color w:val="auto"/>
          <w:spacing w:val="0"/>
          <w:kern w:val="2"/>
          <w:position w:val="0"/>
          <w:sz w:val="24"/>
          <w:szCs w:val="24"/>
          <w:highlight w:val="none"/>
          <w:u w:val="none"/>
          <w:vertAlign w:val="baseline"/>
          <w:lang w:val="en-US" w:eastAsia="zh-CN" w:bidi="ar-SA"/>
          <w14:shadow w14:blurRad="0" w14:dist="0" w14:dir="0" w14:sx="0" w14:sy="0" w14:kx="0" w14:ky="0" w14:algn="none">
            <w14:srgbClr w14:val="000000"/>
          </w14:shadow>
        </w:rPr>
        <w:t>1.4.7</w:t>
      </w:r>
      <w:r>
        <w:rPr>
          <w:rFonts w:hint="default" w:ascii="Times New Roman" w:hAnsi="Times New Roman" w:eastAsia="宋体" w:cs="Times New Roman"/>
          <w:b/>
          <w:bCs w:val="0"/>
          <w:color w:val="auto"/>
          <w:highlight w:val="none"/>
        </w:rPr>
        <w:t>生态环境评价等级及评价范围</w:t>
      </w:r>
      <w:bookmarkEnd w:id="233"/>
      <w:bookmarkEnd w:id="234"/>
      <w:bookmarkEnd w:id="235"/>
    </w:p>
    <w:p>
      <w:pPr>
        <w:pageBreakBefore w:val="0"/>
        <w:wordWrap/>
        <w:bidi w:val="0"/>
        <w:spacing w:line="360" w:lineRule="auto"/>
        <w:ind w:left="0" w:leftChars="0" w:right="0" w:rightChars="0" w:firstLine="480" w:firstLineChars="200"/>
        <w:outlineLvl w:val="0"/>
        <w:rPr>
          <w:rFonts w:hint="default" w:ascii="Times New Roman" w:hAnsi="Times New Roman" w:eastAsia="宋体" w:cs="Times New Roman"/>
          <w:color w:val="auto"/>
          <w:sz w:val="24"/>
          <w:highlight w:val="none"/>
        </w:rPr>
      </w:pPr>
      <w:bookmarkStart w:id="236" w:name="_Toc21300"/>
      <w:bookmarkStart w:id="237" w:name="_Toc6085"/>
      <w:r>
        <w:rPr>
          <w:rFonts w:hint="default" w:ascii="Times New Roman" w:hAnsi="Times New Roman" w:eastAsia="宋体" w:cs="Times New Roman"/>
          <w:color w:val="auto"/>
          <w:sz w:val="24"/>
          <w:highlight w:val="none"/>
        </w:rPr>
        <w:t>（1）工作等级</w:t>
      </w:r>
      <w:bookmarkEnd w:id="236"/>
      <w:bookmarkEnd w:id="237"/>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w:t>
      </w:r>
      <w:r>
        <w:rPr>
          <w:rFonts w:hint="default" w:ascii="Times New Roman" w:hAnsi="Times New Roman" w:eastAsia="宋体" w:cs="Times New Roman"/>
          <w:color w:val="auto"/>
          <w:sz w:val="24"/>
          <w:highlight w:val="none"/>
          <w:lang w:eastAsia="zh-CN"/>
        </w:rPr>
        <w:t>环境影响评价技术导则</w:t>
      </w:r>
      <w:r>
        <w:rPr>
          <w:rFonts w:hint="default" w:ascii="Times New Roman" w:hAnsi="Times New Roman" w:eastAsia="宋体" w:cs="Times New Roman"/>
          <w:color w:val="auto"/>
          <w:sz w:val="24"/>
          <w:highlight w:val="none"/>
        </w:rPr>
        <w:t>生态影响》（HJ19-2022）对项目的生态环境评价工作进行分级</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本项目拟建位置不涉及国家公园、自然保护区、世界自然遗产、重要生境、自然公园、生态保护红线；不</w:t>
      </w:r>
      <w:r>
        <w:rPr>
          <w:rFonts w:hint="default" w:ascii="Times New Roman" w:hAnsi="Times New Roman" w:eastAsia="宋体" w:cs="Times New Roman"/>
          <w:color w:val="auto"/>
          <w:sz w:val="24"/>
          <w:highlight w:val="none"/>
          <w:lang w:eastAsia="zh-CN"/>
        </w:rPr>
        <w:t>属</w:t>
      </w:r>
      <w:r>
        <w:rPr>
          <w:rFonts w:hint="default" w:ascii="Times New Roman" w:hAnsi="Times New Roman" w:eastAsia="宋体" w:cs="Times New Roman"/>
          <w:color w:val="auto"/>
          <w:sz w:val="24"/>
          <w:highlight w:val="none"/>
        </w:rPr>
        <w:t>于水文要素影响型且地表水评价等级不低于二级的建设项目；地下水水位和土壤影响范围内没有天然林、公益林、湿地等生态保护目标；工程永久占地和临时占地小于20km</w:t>
      </w:r>
      <w:r>
        <w:rPr>
          <w:rFonts w:hint="default" w:ascii="Times New Roman" w:hAnsi="Times New Roman" w:eastAsia="宋体" w:cs="Times New Roman"/>
          <w:color w:val="auto"/>
          <w:sz w:val="24"/>
          <w:highlight w:val="none"/>
          <w:vertAlign w:val="superscript"/>
        </w:rPr>
        <w:t>2</w:t>
      </w:r>
      <w:r>
        <w:rPr>
          <w:rFonts w:hint="default" w:ascii="Times New Roman" w:hAnsi="Times New Roman" w:eastAsia="宋体" w:cs="Times New Roman"/>
          <w:color w:val="auto"/>
          <w:sz w:val="24"/>
          <w:highlight w:val="none"/>
        </w:rPr>
        <w:t>范围。因此</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本项目生态影响评价等级为三级。</w:t>
      </w:r>
    </w:p>
    <w:p>
      <w:pPr>
        <w:pageBreakBefore w:val="0"/>
        <w:wordWrap/>
        <w:bidi w:val="0"/>
        <w:spacing w:line="360" w:lineRule="auto"/>
        <w:ind w:left="0" w:leftChars="0" w:right="0" w:rightChars="0" w:firstLine="480" w:firstLineChars="200"/>
        <w:outlineLvl w:val="0"/>
        <w:rPr>
          <w:rFonts w:hint="default" w:ascii="Times New Roman" w:hAnsi="Times New Roman" w:eastAsia="宋体" w:cs="Times New Roman"/>
          <w:color w:val="auto"/>
          <w:sz w:val="24"/>
          <w:highlight w:val="none"/>
        </w:rPr>
      </w:pPr>
      <w:bookmarkStart w:id="238" w:name="_Toc2960"/>
      <w:bookmarkStart w:id="239" w:name="_Toc31960"/>
      <w:r>
        <w:rPr>
          <w:rFonts w:hint="default" w:ascii="Times New Roman" w:hAnsi="Times New Roman" w:eastAsia="宋体" w:cs="Times New Roman"/>
          <w:color w:val="auto"/>
          <w:sz w:val="24"/>
          <w:highlight w:val="none"/>
        </w:rPr>
        <w:t>（2）评价范围</w:t>
      </w:r>
      <w:bookmarkEnd w:id="238"/>
      <w:bookmarkEnd w:id="239"/>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项目生态影响评价工作等级为三级</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且项目对生态影响较小</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生态影响评价范围为项目边界外延1000m区域。</w:t>
      </w:r>
    </w:p>
    <w:bookmarkEnd w:id="189"/>
    <w:p>
      <w:pPr>
        <w:pStyle w:val="4"/>
        <w:pageBreakBefore w:val="0"/>
        <w:numPr>
          <w:ilvl w:val="1"/>
          <w:numId w:val="0"/>
        </w:numPr>
        <w:wordWrap/>
        <w:bidi w:val="0"/>
        <w:ind w:left="0" w:leftChars="0" w:right="0" w:rightChars="0" w:firstLine="0" w:firstLineChars="0"/>
        <w:rPr>
          <w:rFonts w:hint="default" w:ascii="Times New Roman" w:hAnsi="Times New Roman" w:eastAsia="宋体" w:cs="Times New Roman"/>
          <w:b/>
          <w:bCs/>
          <w:color w:val="auto"/>
          <w:highlight w:val="none"/>
        </w:rPr>
      </w:pPr>
      <w:bookmarkStart w:id="240" w:name="_Toc98215343"/>
      <w:bookmarkStart w:id="241" w:name="_Toc237963225"/>
      <w:bookmarkStart w:id="242" w:name="_Toc246850535"/>
      <w:bookmarkStart w:id="243" w:name="_Toc243904665"/>
      <w:bookmarkStart w:id="244" w:name="_Toc11950"/>
      <w:bookmarkStart w:id="245" w:name="_Toc166964799"/>
      <w:bookmarkStart w:id="246" w:name="_Toc288306160"/>
      <w:bookmarkStart w:id="247" w:name="_Toc14644"/>
      <w:bookmarkStart w:id="248" w:name="_Toc100334349"/>
      <w:bookmarkStart w:id="249" w:name="_Toc227651205"/>
      <w:r>
        <w:rPr>
          <w:rFonts w:hint="default" w:ascii="Times New Roman" w:hAnsi="Times New Roman" w:eastAsia="宋体" w:cs="Times New Roman"/>
          <w:b/>
          <w:bCs/>
          <w:i w:val="0"/>
          <w:color w:val="auto"/>
          <w:kern w:val="2"/>
          <w:sz w:val="28"/>
          <w:szCs w:val="28"/>
          <w:highlight w:val="none"/>
          <w:lang w:val="en-US" w:eastAsia="zh-CN" w:bidi="ar-SA"/>
        </w:rPr>
        <w:t>1.5</w:t>
      </w:r>
      <w:r>
        <w:rPr>
          <w:rFonts w:hint="default" w:ascii="Times New Roman" w:hAnsi="Times New Roman" w:eastAsia="宋体" w:cs="Times New Roman"/>
          <w:b/>
          <w:bCs/>
          <w:color w:val="auto"/>
          <w:highlight w:val="none"/>
        </w:rPr>
        <w:t>评价标准</w:t>
      </w:r>
      <w:bookmarkEnd w:id="240"/>
      <w:bookmarkEnd w:id="241"/>
      <w:bookmarkEnd w:id="242"/>
      <w:bookmarkEnd w:id="243"/>
      <w:bookmarkEnd w:id="244"/>
      <w:bookmarkEnd w:id="245"/>
      <w:bookmarkEnd w:id="246"/>
      <w:bookmarkEnd w:id="247"/>
      <w:bookmarkEnd w:id="248"/>
      <w:bookmarkEnd w:id="249"/>
    </w:p>
    <w:p>
      <w:pPr>
        <w:pStyle w:val="5"/>
        <w:pageBreakBefore w:val="0"/>
        <w:numPr>
          <w:ilvl w:val="2"/>
          <w:numId w:val="0"/>
        </w:numPr>
        <w:wordWrap/>
        <w:bidi w:val="0"/>
        <w:ind w:left="0" w:leftChars="0" w:right="0" w:rightChars="0"/>
        <w:rPr>
          <w:rFonts w:hint="default" w:ascii="Times New Roman" w:hAnsi="Times New Roman" w:eastAsia="宋体" w:cs="Times New Roman"/>
          <w:b/>
          <w:bCs/>
          <w:color w:val="auto"/>
          <w:highlight w:val="none"/>
        </w:rPr>
      </w:pPr>
      <w:bookmarkStart w:id="250" w:name="_Toc25813"/>
      <w:bookmarkStart w:id="251" w:name="_Toc246850536"/>
      <w:bookmarkStart w:id="252" w:name="_Toc288306161"/>
      <w:bookmarkStart w:id="253" w:name="_Toc32713"/>
      <w:bookmarkStart w:id="254" w:name="_Toc8369"/>
      <w:r>
        <w:rPr>
          <w:rFonts w:hint="default" w:ascii="Times New Roman" w:hAnsi="Times New Roman" w:eastAsia="宋体" w:cs="Times New Roman"/>
          <w:b/>
          <w:bCs/>
          <w:i w:val="0"/>
          <w:iCs w:val="0"/>
          <w:caps w:val="0"/>
          <w:smallCaps w:val="0"/>
          <w:strike w:val="0"/>
          <w:dstrike w:val="0"/>
          <w:vanish w:val="0"/>
          <w:color w:val="auto"/>
          <w:spacing w:val="0"/>
          <w:kern w:val="2"/>
          <w:position w:val="0"/>
          <w:sz w:val="24"/>
          <w:szCs w:val="24"/>
          <w:highlight w:val="none"/>
          <w:u w:val="none"/>
          <w:vertAlign w:val="baseline"/>
          <w:lang w:val="en-US" w:eastAsia="zh-CN" w:bidi="ar-SA"/>
          <w14:shadow w14:blurRad="0" w14:dist="0" w14:dir="0" w14:sx="0" w14:sy="0" w14:kx="0" w14:ky="0" w14:algn="none">
            <w14:srgbClr w14:val="000000"/>
          </w14:shadow>
        </w:rPr>
        <w:t>1.5.1</w:t>
      </w:r>
      <w:r>
        <w:rPr>
          <w:rFonts w:hint="default" w:ascii="Times New Roman" w:hAnsi="Times New Roman" w:eastAsia="宋体" w:cs="Times New Roman"/>
          <w:b/>
          <w:bCs/>
          <w:color w:val="auto"/>
          <w:highlight w:val="none"/>
        </w:rPr>
        <w:t>环境质量标准</w:t>
      </w:r>
      <w:bookmarkEnd w:id="250"/>
      <w:bookmarkEnd w:id="251"/>
      <w:bookmarkEnd w:id="252"/>
      <w:bookmarkEnd w:id="253"/>
      <w:bookmarkEnd w:id="254"/>
    </w:p>
    <w:p>
      <w:pPr>
        <w:pageBreakBefore w:val="0"/>
        <w:wordWrap/>
        <w:bidi w:val="0"/>
        <w:spacing w:line="360" w:lineRule="auto"/>
        <w:ind w:left="0" w:leftChars="0" w:right="0" w:rightChars="0"/>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1.5.1.1环境空气</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内蒙古自治区级乌拉山自然保护区执行《环境空气质量标准》（GB3095-2012）及修改单中一级标准；其它环境保护目标执行《环境空气质量标准》（GB3095-2012）及修改单中二级标准</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详见表1-</w:t>
      </w:r>
      <w:r>
        <w:rPr>
          <w:rFonts w:hint="default" w:ascii="Times New Roman" w:hAnsi="Times New Roman" w:eastAsia="宋体" w:cs="Times New Roman"/>
          <w:color w:val="auto"/>
          <w:sz w:val="24"/>
          <w:highlight w:val="none"/>
          <w:lang w:val="en-US" w:eastAsia="zh-CN"/>
        </w:rPr>
        <w:t>22</w:t>
      </w:r>
      <w:r>
        <w:rPr>
          <w:rFonts w:hint="default" w:ascii="Times New Roman" w:hAnsi="Times New Roman" w:eastAsia="宋体" w:cs="Times New Roman"/>
          <w:color w:val="auto"/>
          <w:sz w:val="24"/>
          <w:highlight w:val="none"/>
        </w:rPr>
        <w:t>。</w:t>
      </w:r>
    </w:p>
    <w:p>
      <w:pPr>
        <w:pageBreakBefore w:val="0"/>
        <w:tabs>
          <w:tab w:val="left" w:pos="3062"/>
        </w:tabs>
        <w:wordWrap/>
        <w:bidi w:val="0"/>
        <w:spacing w:line="360" w:lineRule="auto"/>
        <w:ind w:left="0" w:leftChars="0" w:right="0" w:rightChars="0"/>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表1-</w:t>
      </w:r>
      <w:r>
        <w:rPr>
          <w:rFonts w:hint="default" w:ascii="Times New Roman" w:hAnsi="Times New Roman" w:eastAsia="宋体" w:cs="Times New Roman"/>
          <w:b/>
          <w:bCs/>
          <w:color w:val="auto"/>
          <w:sz w:val="24"/>
          <w:highlight w:val="none"/>
          <w:lang w:val="en-US" w:eastAsia="zh-CN"/>
        </w:rPr>
        <w:t>22</w:t>
      </w:r>
      <w:r>
        <w:rPr>
          <w:rFonts w:hint="default" w:ascii="Times New Roman" w:hAnsi="Times New Roman" w:eastAsia="宋体" w:cs="Times New Roman"/>
          <w:b/>
          <w:bCs/>
          <w:color w:val="auto"/>
          <w:sz w:val="24"/>
          <w:highlight w:val="none"/>
        </w:rPr>
        <w:t>环境空气质量标准（摘录</w:t>
      </w:r>
      <w:r>
        <w:rPr>
          <w:rFonts w:hint="default" w:ascii="Times New Roman" w:hAnsi="Times New Roman" w:eastAsia="宋体" w:cs="Times New Roman"/>
          <w:b/>
          <w:bCs/>
          <w:color w:val="auto"/>
          <w:sz w:val="24"/>
          <w:highlight w:val="none"/>
          <w:lang w:eastAsia="zh-CN"/>
        </w:rPr>
        <w:t>）</w:t>
      </w:r>
    </w:p>
    <w:tbl>
      <w:tblPr>
        <w:tblStyle w:val="54"/>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995"/>
        <w:gridCol w:w="1758"/>
        <w:gridCol w:w="1756"/>
        <w:gridCol w:w="1773"/>
        <w:gridCol w:w="203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052" w:type="dxa"/>
            <w:noWrap w:val="0"/>
            <w:vAlign w:val="center"/>
          </w:tcPr>
          <w:p>
            <w:pPr>
              <w:ind w:left="107"/>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环境要素</w:t>
            </w:r>
          </w:p>
        </w:tc>
        <w:tc>
          <w:tcPr>
            <w:tcW w:w="1858" w:type="dxa"/>
            <w:noWrap w:val="0"/>
            <w:vAlign w:val="center"/>
          </w:tcPr>
          <w:p>
            <w:pPr>
              <w:ind w:left="107"/>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污染物</w:t>
            </w:r>
          </w:p>
        </w:tc>
        <w:tc>
          <w:tcPr>
            <w:tcW w:w="1855" w:type="dxa"/>
            <w:noWrap w:val="0"/>
            <w:vAlign w:val="center"/>
          </w:tcPr>
          <w:p>
            <w:pPr>
              <w:ind w:left="107"/>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取值时间</w:t>
            </w:r>
          </w:p>
        </w:tc>
        <w:tc>
          <w:tcPr>
            <w:tcW w:w="1873" w:type="dxa"/>
            <w:noWrap w:val="0"/>
            <w:vAlign w:val="center"/>
          </w:tcPr>
          <w:p>
            <w:pPr>
              <w:ind w:left="107"/>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标准值</w:t>
            </w:r>
          </w:p>
        </w:tc>
        <w:tc>
          <w:tcPr>
            <w:tcW w:w="2149" w:type="dxa"/>
            <w:noWrap w:val="0"/>
            <w:vAlign w:val="center"/>
          </w:tcPr>
          <w:p>
            <w:pPr>
              <w:ind w:left="107"/>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标准来源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052" w:type="dxa"/>
            <w:vMerge w:val="restart"/>
            <w:noWrap w:val="0"/>
            <w:vAlign w:val="center"/>
          </w:tcPr>
          <w:p>
            <w:pPr>
              <w:ind w:left="107"/>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环境空气</w:t>
            </w:r>
          </w:p>
        </w:tc>
        <w:tc>
          <w:tcPr>
            <w:tcW w:w="1858" w:type="dxa"/>
            <w:vMerge w:val="restart"/>
            <w:noWrap w:val="0"/>
            <w:vAlign w:val="center"/>
          </w:tcPr>
          <w:p>
            <w:pPr>
              <w:ind w:left="107"/>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TSP</w:t>
            </w:r>
          </w:p>
        </w:tc>
        <w:tc>
          <w:tcPr>
            <w:tcW w:w="1855" w:type="dxa"/>
            <w:noWrap w:val="0"/>
            <w:vAlign w:val="center"/>
          </w:tcPr>
          <w:p>
            <w:pPr>
              <w:ind w:left="107"/>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年平均</w:t>
            </w:r>
          </w:p>
        </w:tc>
        <w:tc>
          <w:tcPr>
            <w:tcW w:w="1873" w:type="dxa"/>
            <w:noWrap w:val="0"/>
            <w:vAlign w:val="center"/>
          </w:tcPr>
          <w:p>
            <w:pPr>
              <w:ind w:left="107"/>
              <w:jc w:val="center"/>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lang w:val="en-US"/>
              </w:rPr>
              <w:t>80</w:t>
            </w:r>
            <w:r>
              <w:rPr>
                <w:rFonts w:hint="default" w:ascii="Times New Roman" w:hAnsi="Times New Roman" w:eastAsia="宋体" w:cs="Times New Roman"/>
                <w:color w:val="auto"/>
                <w:sz w:val="21"/>
                <w:szCs w:val="21"/>
                <w:highlight w:val="none"/>
              </w:rPr>
              <w:t>μg/m</w:t>
            </w:r>
            <w:r>
              <w:rPr>
                <w:rFonts w:hint="default" w:ascii="Times New Roman" w:hAnsi="Times New Roman" w:eastAsia="宋体" w:cs="Times New Roman"/>
                <w:color w:val="auto"/>
                <w:sz w:val="21"/>
                <w:szCs w:val="21"/>
                <w:highlight w:val="none"/>
                <w:vertAlign w:val="superscript"/>
                <w:lang w:val="en-US"/>
              </w:rPr>
              <w:t>3</w:t>
            </w:r>
          </w:p>
        </w:tc>
        <w:tc>
          <w:tcPr>
            <w:tcW w:w="2149" w:type="dxa"/>
            <w:vMerge w:val="restart"/>
            <w:noWrap w:val="0"/>
            <w:vAlign w:val="center"/>
          </w:tcPr>
          <w:p>
            <w:pPr>
              <w:ind w:left="107"/>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《环境空气质量标准》</w:t>
            </w:r>
          </w:p>
          <w:p>
            <w:pPr>
              <w:ind w:left="107"/>
              <w:jc w:val="center"/>
              <w:rPr>
                <w:rFonts w:hint="default" w:ascii="Times New Roman" w:hAnsi="Times New Roman" w:eastAsia="宋体" w:cs="Times New Roman"/>
                <w:color w:val="auto"/>
                <w:w w:val="95"/>
                <w:sz w:val="21"/>
                <w:szCs w:val="21"/>
                <w:highlight w:val="none"/>
              </w:rPr>
            </w:pPr>
            <w:r>
              <w:rPr>
                <w:rFonts w:hint="default" w:ascii="Times New Roman" w:hAnsi="Times New Roman" w:eastAsia="宋体" w:cs="Times New Roman"/>
                <w:color w:val="auto"/>
                <w:sz w:val="21"/>
                <w:szCs w:val="21"/>
                <w:highlight w:val="none"/>
              </w:rPr>
              <w:t>（GB3095-2012）及修改单中一级标准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052" w:type="dxa"/>
            <w:vMerge w:val="continue"/>
            <w:noWrap w:val="0"/>
            <w:vAlign w:val="center"/>
          </w:tcPr>
          <w:p>
            <w:pPr>
              <w:ind w:left="107"/>
              <w:jc w:val="center"/>
              <w:rPr>
                <w:rFonts w:hint="default" w:ascii="Times New Roman" w:hAnsi="Times New Roman" w:eastAsia="宋体" w:cs="Times New Roman"/>
                <w:color w:val="auto"/>
                <w:sz w:val="21"/>
                <w:szCs w:val="21"/>
                <w:highlight w:val="none"/>
              </w:rPr>
            </w:pPr>
          </w:p>
        </w:tc>
        <w:tc>
          <w:tcPr>
            <w:tcW w:w="1858" w:type="dxa"/>
            <w:vMerge w:val="continue"/>
            <w:noWrap w:val="0"/>
            <w:vAlign w:val="center"/>
          </w:tcPr>
          <w:p>
            <w:pPr>
              <w:ind w:left="107"/>
              <w:jc w:val="center"/>
              <w:rPr>
                <w:rFonts w:hint="default" w:ascii="Times New Roman" w:hAnsi="Times New Roman" w:eastAsia="宋体" w:cs="Times New Roman"/>
                <w:color w:val="auto"/>
                <w:sz w:val="21"/>
                <w:szCs w:val="21"/>
                <w:highlight w:val="none"/>
              </w:rPr>
            </w:pPr>
          </w:p>
        </w:tc>
        <w:tc>
          <w:tcPr>
            <w:tcW w:w="1855" w:type="dxa"/>
            <w:noWrap w:val="0"/>
            <w:vAlign w:val="center"/>
          </w:tcPr>
          <w:p>
            <w:pPr>
              <w:ind w:left="107"/>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24小时平均</w:t>
            </w:r>
          </w:p>
        </w:tc>
        <w:tc>
          <w:tcPr>
            <w:tcW w:w="1873" w:type="dxa"/>
            <w:noWrap w:val="0"/>
            <w:vAlign w:val="center"/>
          </w:tcPr>
          <w:p>
            <w:pPr>
              <w:ind w:left="107"/>
              <w:jc w:val="center"/>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lang w:val="en-US"/>
              </w:rPr>
              <w:t>120</w:t>
            </w:r>
            <w:r>
              <w:rPr>
                <w:rFonts w:hint="default" w:ascii="Times New Roman" w:hAnsi="Times New Roman" w:eastAsia="宋体" w:cs="Times New Roman"/>
                <w:color w:val="auto"/>
                <w:sz w:val="21"/>
                <w:szCs w:val="21"/>
                <w:highlight w:val="none"/>
              </w:rPr>
              <w:t>μg/m</w:t>
            </w:r>
            <w:r>
              <w:rPr>
                <w:rFonts w:hint="default" w:ascii="Times New Roman" w:hAnsi="Times New Roman" w:eastAsia="宋体" w:cs="Times New Roman"/>
                <w:color w:val="auto"/>
                <w:sz w:val="21"/>
                <w:szCs w:val="21"/>
                <w:highlight w:val="none"/>
                <w:vertAlign w:val="superscript"/>
                <w:lang w:val="en-US"/>
              </w:rPr>
              <w:t>3</w:t>
            </w:r>
          </w:p>
        </w:tc>
        <w:tc>
          <w:tcPr>
            <w:tcW w:w="2149" w:type="dxa"/>
            <w:vMerge w:val="continue"/>
            <w:noWrap w:val="0"/>
            <w:vAlign w:val="center"/>
          </w:tcPr>
          <w:p>
            <w:pPr>
              <w:autoSpaceDE w:val="0"/>
              <w:autoSpaceDN w:val="0"/>
              <w:spacing w:before="5"/>
              <w:ind w:left="29" w:right="17"/>
              <w:jc w:val="center"/>
              <w:rPr>
                <w:rFonts w:hint="default" w:ascii="Times New Roman" w:hAnsi="Times New Roman" w:eastAsia="宋体" w:cs="Times New Roman"/>
                <w:color w:val="auto"/>
                <w:w w:val="95"/>
                <w:sz w:val="21"/>
                <w:szCs w:val="21"/>
                <w:highlight w:val="none"/>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052" w:type="dxa"/>
            <w:vMerge w:val="continue"/>
            <w:noWrap w:val="0"/>
            <w:vAlign w:val="center"/>
          </w:tcPr>
          <w:p>
            <w:pPr>
              <w:ind w:left="107"/>
              <w:jc w:val="center"/>
              <w:rPr>
                <w:rFonts w:hint="default" w:ascii="Times New Roman" w:hAnsi="Times New Roman" w:eastAsia="宋体" w:cs="Times New Roman"/>
                <w:color w:val="auto"/>
                <w:sz w:val="21"/>
                <w:szCs w:val="21"/>
                <w:highlight w:val="none"/>
              </w:rPr>
            </w:pPr>
          </w:p>
        </w:tc>
        <w:tc>
          <w:tcPr>
            <w:tcW w:w="1858" w:type="dxa"/>
            <w:vMerge w:val="restart"/>
            <w:noWrap w:val="0"/>
            <w:vAlign w:val="center"/>
          </w:tcPr>
          <w:p>
            <w:pPr>
              <w:ind w:left="107"/>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PM</w:t>
            </w:r>
            <w:r>
              <w:rPr>
                <w:rFonts w:hint="default" w:ascii="Times New Roman" w:hAnsi="Times New Roman" w:eastAsia="宋体" w:cs="Times New Roman"/>
                <w:color w:val="auto"/>
                <w:sz w:val="21"/>
                <w:szCs w:val="21"/>
                <w:highlight w:val="none"/>
                <w:vertAlign w:val="subscript"/>
              </w:rPr>
              <w:t>10</w:t>
            </w:r>
          </w:p>
        </w:tc>
        <w:tc>
          <w:tcPr>
            <w:tcW w:w="1855" w:type="dxa"/>
            <w:noWrap w:val="0"/>
            <w:vAlign w:val="center"/>
          </w:tcPr>
          <w:p>
            <w:pPr>
              <w:ind w:left="107"/>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年平均</w:t>
            </w:r>
          </w:p>
        </w:tc>
        <w:tc>
          <w:tcPr>
            <w:tcW w:w="1873" w:type="dxa"/>
            <w:noWrap w:val="0"/>
            <w:vAlign w:val="center"/>
          </w:tcPr>
          <w:p>
            <w:pPr>
              <w:ind w:left="107"/>
              <w:jc w:val="center"/>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lang w:val="en-US"/>
              </w:rPr>
              <w:t>40</w:t>
            </w:r>
            <w:r>
              <w:rPr>
                <w:rFonts w:hint="default" w:ascii="Times New Roman" w:hAnsi="Times New Roman" w:eastAsia="宋体" w:cs="Times New Roman"/>
                <w:color w:val="auto"/>
                <w:sz w:val="21"/>
                <w:szCs w:val="21"/>
                <w:highlight w:val="none"/>
              </w:rPr>
              <w:t>μg/m</w:t>
            </w:r>
            <w:r>
              <w:rPr>
                <w:rFonts w:hint="default" w:ascii="Times New Roman" w:hAnsi="Times New Roman" w:eastAsia="宋体" w:cs="Times New Roman"/>
                <w:color w:val="auto"/>
                <w:sz w:val="21"/>
                <w:szCs w:val="21"/>
                <w:highlight w:val="none"/>
                <w:vertAlign w:val="superscript"/>
                <w:lang w:val="en-US"/>
              </w:rPr>
              <w:t>3</w:t>
            </w:r>
          </w:p>
        </w:tc>
        <w:tc>
          <w:tcPr>
            <w:tcW w:w="2149" w:type="dxa"/>
            <w:vMerge w:val="continue"/>
            <w:noWrap w:val="0"/>
            <w:vAlign w:val="center"/>
          </w:tcPr>
          <w:p>
            <w:pPr>
              <w:autoSpaceDE w:val="0"/>
              <w:autoSpaceDN w:val="0"/>
              <w:spacing w:before="5"/>
              <w:ind w:left="29" w:right="17"/>
              <w:jc w:val="center"/>
              <w:rPr>
                <w:rFonts w:hint="default" w:ascii="Times New Roman" w:hAnsi="Times New Roman" w:eastAsia="宋体" w:cs="Times New Roman"/>
                <w:color w:val="auto"/>
                <w:w w:val="95"/>
                <w:sz w:val="21"/>
                <w:szCs w:val="21"/>
                <w:highlight w:val="none"/>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052" w:type="dxa"/>
            <w:vMerge w:val="continue"/>
            <w:noWrap w:val="0"/>
            <w:vAlign w:val="center"/>
          </w:tcPr>
          <w:p>
            <w:pPr>
              <w:ind w:left="107"/>
              <w:jc w:val="center"/>
              <w:rPr>
                <w:rFonts w:hint="default" w:ascii="Times New Roman" w:hAnsi="Times New Roman" w:eastAsia="宋体" w:cs="Times New Roman"/>
                <w:color w:val="auto"/>
                <w:sz w:val="21"/>
                <w:szCs w:val="21"/>
                <w:highlight w:val="none"/>
              </w:rPr>
            </w:pPr>
          </w:p>
        </w:tc>
        <w:tc>
          <w:tcPr>
            <w:tcW w:w="1858" w:type="dxa"/>
            <w:vMerge w:val="continue"/>
            <w:noWrap w:val="0"/>
            <w:vAlign w:val="center"/>
          </w:tcPr>
          <w:p>
            <w:pPr>
              <w:ind w:left="107"/>
              <w:jc w:val="center"/>
              <w:rPr>
                <w:rFonts w:hint="default" w:ascii="Times New Roman" w:hAnsi="Times New Roman" w:eastAsia="宋体" w:cs="Times New Roman"/>
                <w:color w:val="auto"/>
                <w:sz w:val="21"/>
                <w:szCs w:val="21"/>
                <w:highlight w:val="none"/>
              </w:rPr>
            </w:pPr>
          </w:p>
        </w:tc>
        <w:tc>
          <w:tcPr>
            <w:tcW w:w="1855" w:type="dxa"/>
            <w:noWrap w:val="0"/>
            <w:vAlign w:val="center"/>
          </w:tcPr>
          <w:p>
            <w:pPr>
              <w:ind w:left="107"/>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24小时平均</w:t>
            </w:r>
          </w:p>
        </w:tc>
        <w:tc>
          <w:tcPr>
            <w:tcW w:w="1873" w:type="dxa"/>
            <w:noWrap w:val="0"/>
            <w:vAlign w:val="center"/>
          </w:tcPr>
          <w:p>
            <w:pPr>
              <w:ind w:left="107"/>
              <w:jc w:val="center"/>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lang w:val="en-US"/>
              </w:rPr>
              <w:t>50</w:t>
            </w:r>
            <w:r>
              <w:rPr>
                <w:rFonts w:hint="default" w:ascii="Times New Roman" w:hAnsi="Times New Roman" w:eastAsia="宋体" w:cs="Times New Roman"/>
                <w:color w:val="auto"/>
                <w:sz w:val="21"/>
                <w:szCs w:val="21"/>
                <w:highlight w:val="none"/>
              </w:rPr>
              <w:t>μg/m</w:t>
            </w:r>
            <w:r>
              <w:rPr>
                <w:rFonts w:hint="default" w:ascii="Times New Roman" w:hAnsi="Times New Roman" w:eastAsia="宋体" w:cs="Times New Roman"/>
                <w:color w:val="auto"/>
                <w:sz w:val="21"/>
                <w:szCs w:val="21"/>
                <w:highlight w:val="none"/>
                <w:vertAlign w:val="superscript"/>
                <w:lang w:val="en-US"/>
              </w:rPr>
              <w:t>3</w:t>
            </w:r>
          </w:p>
        </w:tc>
        <w:tc>
          <w:tcPr>
            <w:tcW w:w="2149" w:type="dxa"/>
            <w:vMerge w:val="continue"/>
            <w:noWrap w:val="0"/>
            <w:vAlign w:val="center"/>
          </w:tcPr>
          <w:p>
            <w:pPr>
              <w:autoSpaceDE w:val="0"/>
              <w:autoSpaceDN w:val="0"/>
              <w:spacing w:before="5"/>
              <w:ind w:left="29" w:right="17"/>
              <w:jc w:val="center"/>
              <w:rPr>
                <w:rFonts w:hint="default" w:ascii="Times New Roman" w:hAnsi="Times New Roman" w:eastAsia="宋体" w:cs="Times New Roman"/>
                <w:color w:val="auto"/>
                <w:w w:val="95"/>
                <w:sz w:val="21"/>
                <w:szCs w:val="21"/>
                <w:highlight w:val="none"/>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052" w:type="dxa"/>
            <w:vMerge w:val="continue"/>
            <w:noWrap w:val="0"/>
            <w:vAlign w:val="center"/>
          </w:tcPr>
          <w:p>
            <w:pPr>
              <w:ind w:left="107"/>
              <w:jc w:val="center"/>
              <w:rPr>
                <w:rFonts w:hint="default" w:ascii="Times New Roman" w:hAnsi="Times New Roman" w:eastAsia="宋体" w:cs="Times New Roman"/>
                <w:color w:val="auto"/>
                <w:sz w:val="21"/>
                <w:szCs w:val="21"/>
                <w:highlight w:val="none"/>
              </w:rPr>
            </w:pPr>
          </w:p>
        </w:tc>
        <w:tc>
          <w:tcPr>
            <w:tcW w:w="1858" w:type="dxa"/>
            <w:vMerge w:val="restart"/>
            <w:noWrap w:val="0"/>
            <w:vAlign w:val="center"/>
          </w:tcPr>
          <w:p>
            <w:pPr>
              <w:ind w:left="107"/>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PM</w:t>
            </w:r>
            <w:r>
              <w:rPr>
                <w:rFonts w:hint="default" w:ascii="Times New Roman" w:hAnsi="Times New Roman" w:eastAsia="宋体" w:cs="Times New Roman"/>
                <w:color w:val="auto"/>
                <w:sz w:val="21"/>
                <w:szCs w:val="21"/>
                <w:highlight w:val="none"/>
                <w:vertAlign w:val="subscript"/>
              </w:rPr>
              <w:t>2.5</w:t>
            </w:r>
          </w:p>
        </w:tc>
        <w:tc>
          <w:tcPr>
            <w:tcW w:w="1855" w:type="dxa"/>
            <w:noWrap w:val="0"/>
            <w:vAlign w:val="center"/>
          </w:tcPr>
          <w:p>
            <w:pPr>
              <w:ind w:left="107"/>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年平均</w:t>
            </w:r>
          </w:p>
        </w:tc>
        <w:tc>
          <w:tcPr>
            <w:tcW w:w="1873" w:type="dxa"/>
            <w:noWrap w:val="0"/>
            <w:vAlign w:val="center"/>
          </w:tcPr>
          <w:p>
            <w:pPr>
              <w:ind w:left="107"/>
              <w:jc w:val="center"/>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lang w:val="en-US"/>
              </w:rPr>
              <w:t>15</w:t>
            </w:r>
            <w:r>
              <w:rPr>
                <w:rFonts w:hint="default" w:ascii="Times New Roman" w:hAnsi="Times New Roman" w:eastAsia="宋体" w:cs="Times New Roman"/>
                <w:color w:val="auto"/>
                <w:sz w:val="21"/>
                <w:szCs w:val="21"/>
                <w:highlight w:val="none"/>
              </w:rPr>
              <w:t>μg/m</w:t>
            </w:r>
            <w:r>
              <w:rPr>
                <w:rFonts w:hint="default" w:ascii="Times New Roman" w:hAnsi="Times New Roman" w:eastAsia="宋体" w:cs="Times New Roman"/>
                <w:color w:val="auto"/>
                <w:sz w:val="21"/>
                <w:szCs w:val="21"/>
                <w:highlight w:val="none"/>
                <w:vertAlign w:val="superscript"/>
                <w:lang w:val="en-US"/>
              </w:rPr>
              <w:t>3</w:t>
            </w:r>
          </w:p>
        </w:tc>
        <w:tc>
          <w:tcPr>
            <w:tcW w:w="2149" w:type="dxa"/>
            <w:vMerge w:val="continue"/>
            <w:noWrap w:val="0"/>
            <w:vAlign w:val="center"/>
          </w:tcPr>
          <w:p>
            <w:pPr>
              <w:autoSpaceDE w:val="0"/>
              <w:autoSpaceDN w:val="0"/>
              <w:spacing w:before="5"/>
              <w:ind w:left="29" w:right="17"/>
              <w:jc w:val="center"/>
              <w:rPr>
                <w:rFonts w:hint="default" w:ascii="Times New Roman" w:hAnsi="Times New Roman" w:eastAsia="宋体" w:cs="Times New Roman"/>
                <w:color w:val="auto"/>
                <w:w w:val="95"/>
                <w:sz w:val="21"/>
                <w:szCs w:val="21"/>
                <w:highlight w:val="none"/>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052" w:type="dxa"/>
            <w:vMerge w:val="continue"/>
            <w:noWrap w:val="0"/>
            <w:vAlign w:val="center"/>
          </w:tcPr>
          <w:p>
            <w:pPr>
              <w:ind w:left="107"/>
              <w:jc w:val="center"/>
              <w:rPr>
                <w:rFonts w:hint="default" w:ascii="Times New Roman" w:hAnsi="Times New Roman" w:eastAsia="宋体" w:cs="Times New Roman"/>
                <w:color w:val="auto"/>
                <w:sz w:val="21"/>
                <w:szCs w:val="21"/>
                <w:highlight w:val="none"/>
              </w:rPr>
            </w:pPr>
          </w:p>
        </w:tc>
        <w:tc>
          <w:tcPr>
            <w:tcW w:w="1858" w:type="dxa"/>
            <w:vMerge w:val="continue"/>
            <w:noWrap w:val="0"/>
            <w:vAlign w:val="center"/>
          </w:tcPr>
          <w:p>
            <w:pPr>
              <w:ind w:left="107"/>
              <w:jc w:val="center"/>
              <w:rPr>
                <w:rFonts w:hint="default" w:ascii="Times New Roman" w:hAnsi="Times New Roman" w:eastAsia="宋体" w:cs="Times New Roman"/>
                <w:color w:val="auto"/>
                <w:sz w:val="21"/>
                <w:szCs w:val="21"/>
                <w:highlight w:val="none"/>
              </w:rPr>
            </w:pPr>
          </w:p>
        </w:tc>
        <w:tc>
          <w:tcPr>
            <w:tcW w:w="1855" w:type="dxa"/>
            <w:noWrap w:val="0"/>
            <w:vAlign w:val="center"/>
          </w:tcPr>
          <w:p>
            <w:pPr>
              <w:ind w:left="107"/>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24小时平均</w:t>
            </w:r>
          </w:p>
        </w:tc>
        <w:tc>
          <w:tcPr>
            <w:tcW w:w="1873" w:type="dxa"/>
            <w:noWrap w:val="0"/>
            <w:vAlign w:val="center"/>
          </w:tcPr>
          <w:p>
            <w:pPr>
              <w:ind w:left="107"/>
              <w:jc w:val="center"/>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lang w:val="en-US"/>
              </w:rPr>
              <w:t>35</w:t>
            </w:r>
            <w:r>
              <w:rPr>
                <w:rFonts w:hint="default" w:ascii="Times New Roman" w:hAnsi="Times New Roman" w:eastAsia="宋体" w:cs="Times New Roman"/>
                <w:color w:val="auto"/>
                <w:sz w:val="21"/>
                <w:szCs w:val="21"/>
                <w:highlight w:val="none"/>
              </w:rPr>
              <w:t>μg/m</w:t>
            </w:r>
            <w:r>
              <w:rPr>
                <w:rFonts w:hint="default" w:ascii="Times New Roman" w:hAnsi="Times New Roman" w:eastAsia="宋体" w:cs="Times New Roman"/>
                <w:color w:val="auto"/>
                <w:sz w:val="21"/>
                <w:szCs w:val="21"/>
                <w:highlight w:val="none"/>
                <w:vertAlign w:val="superscript"/>
                <w:lang w:val="en-US"/>
              </w:rPr>
              <w:t>3</w:t>
            </w:r>
          </w:p>
        </w:tc>
        <w:tc>
          <w:tcPr>
            <w:tcW w:w="2149" w:type="dxa"/>
            <w:vMerge w:val="continue"/>
            <w:noWrap w:val="0"/>
            <w:vAlign w:val="center"/>
          </w:tcPr>
          <w:p>
            <w:pPr>
              <w:autoSpaceDE w:val="0"/>
              <w:autoSpaceDN w:val="0"/>
              <w:spacing w:before="5"/>
              <w:ind w:left="29" w:right="17"/>
              <w:jc w:val="center"/>
              <w:rPr>
                <w:rFonts w:hint="default" w:ascii="Times New Roman" w:hAnsi="Times New Roman" w:eastAsia="宋体" w:cs="Times New Roman"/>
                <w:color w:val="auto"/>
                <w:w w:val="95"/>
                <w:sz w:val="21"/>
                <w:szCs w:val="21"/>
                <w:highlight w:val="none"/>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052" w:type="dxa"/>
            <w:vMerge w:val="continue"/>
            <w:noWrap w:val="0"/>
            <w:vAlign w:val="center"/>
          </w:tcPr>
          <w:p>
            <w:pPr>
              <w:ind w:left="107"/>
              <w:jc w:val="center"/>
              <w:rPr>
                <w:rFonts w:hint="default" w:ascii="Times New Roman" w:hAnsi="Times New Roman" w:eastAsia="宋体" w:cs="Times New Roman"/>
                <w:color w:val="auto"/>
                <w:sz w:val="21"/>
                <w:szCs w:val="21"/>
                <w:highlight w:val="none"/>
              </w:rPr>
            </w:pPr>
          </w:p>
        </w:tc>
        <w:tc>
          <w:tcPr>
            <w:tcW w:w="1858" w:type="dxa"/>
            <w:vMerge w:val="restart"/>
            <w:noWrap w:val="0"/>
            <w:vAlign w:val="center"/>
          </w:tcPr>
          <w:p>
            <w:pPr>
              <w:ind w:left="107"/>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SO</w:t>
            </w:r>
            <w:r>
              <w:rPr>
                <w:rFonts w:hint="default" w:ascii="Times New Roman" w:hAnsi="Times New Roman" w:eastAsia="宋体" w:cs="Times New Roman"/>
                <w:color w:val="auto"/>
                <w:sz w:val="21"/>
                <w:szCs w:val="21"/>
                <w:highlight w:val="none"/>
                <w:vertAlign w:val="subscript"/>
              </w:rPr>
              <w:t>2</w:t>
            </w:r>
          </w:p>
        </w:tc>
        <w:tc>
          <w:tcPr>
            <w:tcW w:w="1855" w:type="dxa"/>
            <w:noWrap w:val="0"/>
            <w:vAlign w:val="center"/>
          </w:tcPr>
          <w:p>
            <w:pPr>
              <w:ind w:left="107"/>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年平均</w:t>
            </w:r>
          </w:p>
        </w:tc>
        <w:tc>
          <w:tcPr>
            <w:tcW w:w="1873" w:type="dxa"/>
            <w:noWrap w:val="0"/>
            <w:vAlign w:val="center"/>
          </w:tcPr>
          <w:p>
            <w:pPr>
              <w:ind w:left="107"/>
              <w:jc w:val="center"/>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lang w:val="en-US"/>
              </w:rPr>
              <w:t>20</w:t>
            </w:r>
            <w:r>
              <w:rPr>
                <w:rFonts w:hint="default" w:ascii="Times New Roman" w:hAnsi="Times New Roman" w:eastAsia="宋体" w:cs="Times New Roman"/>
                <w:color w:val="auto"/>
                <w:sz w:val="21"/>
                <w:szCs w:val="21"/>
                <w:highlight w:val="none"/>
              </w:rPr>
              <w:t>μg/m</w:t>
            </w:r>
            <w:r>
              <w:rPr>
                <w:rFonts w:hint="default" w:ascii="Times New Roman" w:hAnsi="Times New Roman" w:eastAsia="宋体" w:cs="Times New Roman"/>
                <w:color w:val="auto"/>
                <w:sz w:val="21"/>
                <w:szCs w:val="21"/>
                <w:highlight w:val="none"/>
                <w:vertAlign w:val="superscript"/>
                <w:lang w:val="en-US"/>
              </w:rPr>
              <w:t>3</w:t>
            </w:r>
          </w:p>
        </w:tc>
        <w:tc>
          <w:tcPr>
            <w:tcW w:w="2149" w:type="dxa"/>
            <w:vMerge w:val="continue"/>
            <w:noWrap w:val="0"/>
            <w:vAlign w:val="center"/>
          </w:tcPr>
          <w:p>
            <w:pPr>
              <w:autoSpaceDE w:val="0"/>
              <w:autoSpaceDN w:val="0"/>
              <w:spacing w:before="5"/>
              <w:ind w:left="29" w:right="17"/>
              <w:jc w:val="center"/>
              <w:rPr>
                <w:rFonts w:hint="default" w:ascii="Times New Roman" w:hAnsi="Times New Roman" w:eastAsia="宋体" w:cs="Times New Roman"/>
                <w:color w:val="auto"/>
                <w:w w:val="95"/>
                <w:sz w:val="21"/>
                <w:szCs w:val="21"/>
                <w:highlight w:val="none"/>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052" w:type="dxa"/>
            <w:vMerge w:val="continue"/>
            <w:noWrap w:val="0"/>
            <w:vAlign w:val="center"/>
          </w:tcPr>
          <w:p>
            <w:pPr>
              <w:ind w:left="107"/>
              <w:jc w:val="center"/>
              <w:rPr>
                <w:rFonts w:hint="default" w:ascii="Times New Roman" w:hAnsi="Times New Roman" w:eastAsia="宋体" w:cs="Times New Roman"/>
                <w:color w:val="auto"/>
                <w:sz w:val="21"/>
                <w:szCs w:val="21"/>
                <w:highlight w:val="none"/>
              </w:rPr>
            </w:pPr>
          </w:p>
        </w:tc>
        <w:tc>
          <w:tcPr>
            <w:tcW w:w="1858" w:type="dxa"/>
            <w:vMerge w:val="continue"/>
            <w:noWrap w:val="0"/>
            <w:vAlign w:val="center"/>
          </w:tcPr>
          <w:p>
            <w:pPr>
              <w:ind w:left="107"/>
              <w:jc w:val="center"/>
              <w:rPr>
                <w:rFonts w:hint="default" w:ascii="Times New Roman" w:hAnsi="Times New Roman" w:eastAsia="宋体" w:cs="Times New Roman"/>
                <w:color w:val="auto"/>
                <w:sz w:val="21"/>
                <w:szCs w:val="21"/>
                <w:highlight w:val="none"/>
              </w:rPr>
            </w:pPr>
          </w:p>
        </w:tc>
        <w:tc>
          <w:tcPr>
            <w:tcW w:w="1855" w:type="dxa"/>
            <w:noWrap w:val="0"/>
            <w:vAlign w:val="center"/>
          </w:tcPr>
          <w:p>
            <w:pPr>
              <w:ind w:left="107"/>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24小时平均</w:t>
            </w:r>
          </w:p>
        </w:tc>
        <w:tc>
          <w:tcPr>
            <w:tcW w:w="1873" w:type="dxa"/>
            <w:noWrap w:val="0"/>
            <w:vAlign w:val="center"/>
          </w:tcPr>
          <w:p>
            <w:pPr>
              <w:ind w:left="107"/>
              <w:jc w:val="center"/>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lang w:val="en-US"/>
              </w:rPr>
              <w:t>50</w:t>
            </w:r>
            <w:r>
              <w:rPr>
                <w:rFonts w:hint="default" w:ascii="Times New Roman" w:hAnsi="Times New Roman" w:eastAsia="宋体" w:cs="Times New Roman"/>
                <w:color w:val="auto"/>
                <w:sz w:val="21"/>
                <w:szCs w:val="21"/>
                <w:highlight w:val="none"/>
              </w:rPr>
              <w:t>μg/m</w:t>
            </w:r>
            <w:r>
              <w:rPr>
                <w:rFonts w:hint="default" w:ascii="Times New Roman" w:hAnsi="Times New Roman" w:eastAsia="宋体" w:cs="Times New Roman"/>
                <w:color w:val="auto"/>
                <w:sz w:val="21"/>
                <w:szCs w:val="21"/>
                <w:highlight w:val="none"/>
                <w:vertAlign w:val="superscript"/>
                <w:lang w:val="en-US"/>
              </w:rPr>
              <w:t>3</w:t>
            </w:r>
          </w:p>
        </w:tc>
        <w:tc>
          <w:tcPr>
            <w:tcW w:w="2149" w:type="dxa"/>
            <w:vMerge w:val="continue"/>
            <w:noWrap w:val="0"/>
            <w:vAlign w:val="center"/>
          </w:tcPr>
          <w:p>
            <w:pPr>
              <w:autoSpaceDE w:val="0"/>
              <w:autoSpaceDN w:val="0"/>
              <w:spacing w:before="5"/>
              <w:ind w:left="29" w:right="17"/>
              <w:jc w:val="center"/>
              <w:rPr>
                <w:rFonts w:hint="default" w:ascii="Times New Roman" w:hAnsi="Times New Roman" w:eastAsia="宋体" w:cs="Times New Roman"/>
                <w:color w:val="auto"/>
                <w:w w:val="95"/>
                <w:sz w:val="21"/>
                <w:szCs w:val="21"/>
                <w:highlight w:val="none"/>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052" w:type="dxa"/>
            <w:vMerge w:val="continue"/>
            <w:noWrap w:val="0"/>
            <w:vAlign w:val="center"/>
          </w:tcPr>
          <w:p>
            <w:pPr>
              <w:ind w:left="107"/>
              <w:jc w:val="center"/>
              <w:rPr>
                <w:rFonts w:hint="default" w:ascii="Times New Roman" w:hAnsi="Times New Roman" w:eastAsia="宋体" w:cs="Times New Roman"/>
                <w:color w:val="auto"/>
                <w:sz w:val="21"/>
                <w:szCs w:val="21"/>
                <w:highlight w:val="none"/>
              </w:rPr>
            </w:pPr>
          </w:p>
        </w:tc>
        <w:tc>
          <w:tcPr>
            <w:tcW w:w="1858" w:type="dxa"/>
            <w:vMerge w:val="continue"/>
            <w:noWrap w:val="0"/>
            <w:vAlign w:val="center"/>
          </w:tcPr>
          <w:p>
            <w:pPr>
              <w:ind w:left="107"/>
              <w:jc w:val="center"/>
              <w:rPr>
                <w:rFonts w:hint="default" w:ascii="Times New Roman" w:hAnsi="Times New Roman" w:eastAsia="宋体" w:cs="Times New Roman"/>
                <w:color w:val="auto"/>
                <w:sz w:val="21"/>
                <w:szCs w:val="21"/>
                <w:highlight w:val="none"/>
              </w:rPr>
            </w:pPr>
          </w:p>
        </w:tc>
        <w:tc>
          <w:tcPr>
            <w:tcW w:w="1855" w:type="dxa"/>
            <w:noWrap w:val="0"/>
            <w:vAlign w:val="center"/>
          </w:tcPr>
          <w:p>
            <w:pPr>
              <w:ind w:left="107"/>
              <w:jc w:val="center"/>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rPr>
              <w:t>1小时平均</w:t>
            </w:r>
          </w:p>
        </w:tc>
        <w:tc>
          <w:tcPr>
            <w:tcW w:w="1873" w:type="dxa"/>
            <w:noWrap w:val="0"/>
            <w:vAlign w:val="center"/>
          </w:tcPr>
          <w:p>
            <w:pPr>
              <w:ind w:left="107"/>
              <w:jc w:val="center"/>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lang w:val="en-US"/>
              </w:rPr>
              <w:t>150</w:t>
            </w:r>
            <w:r>
              <w:rPr>
                <w:rFonts w:hint="default" w:ascii="Times New Roman" w:hAnsi="Times New Roman" w:eastAsia="宋体" w:cs="Times New Roman"/>
                <w:color w:val="auto"/>
                <w:sz w:val="21"/>
                <w:szCs w:val="21"/>
                <w:highlight w:val="none"/>
              </w:rPr>
              <w:t>μg/m</w:t>
            </w:r>
            <w:r>
              <w:rPr>
                <w:rFonts w:hint="default" w:ascii="Times New Roman" w:hAnsi="Times New Roman" w:eastAsia="宋体" w:cs="Times New Roman"/>
                <w:color w:val="auto"/>
                <w:sz w:val="21"/>
                <w:szCs w:val="21"/>
                <w:highlight w:val="none"/>
                <w:vertAlign w:val="superscript"/>
                <w:lang w:val="en-US"/>
              </w:rPr>
              <w:t>3</w:t>
            </w:r>
          </w:p>
        </w:tc>
        <w:tc>
          <w:tcPr>
            <w:tcW w:w="2149" w:type="dxa"/>
            <w:vMerge w:val="continue"/>
            <w:noWrap w:val="0"/>
            <w:vAlign w:val="center"/>
          </w:tcPr>
          <w:p>
            <w:pPr>
              <w:autoSpaceDE w:val="0"/>
              <w:autoSpaceDN w:val="0"/>
              <w:spacing w:before="5"/>
              <w:ind w:left="29" w:right="17"/>
              <w:jc w:val="center"/>
              <w:rPr>
                <w:rFonts w:hint="default" w:ascii="Times New Roman" w:hAnsi="Times New Roman" w:eastAsia="宋体" w:cs="Times New Roman"/>
                <w:color w:val="auto"/>
                <w:w w:val="95"/>
                <w:sz w:val="21"/>
                <w:szCs w:val="21"/>
                <w:highlight w:val="none"/>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052" w:type="dxa"/>
            <w:vMerge w:val="continue"/>
            <w:noWrap w:val="0"/>
            <w:vAlign w:val="center"/>
          </w:tcPr>
          <w:p>
            <w:pPr>
              <w:ind w:left="107"/>
              <w:jc w:val="center"/>
              <w:rPr>
                <w:rFonts w:hint="default" w:ascii="Times New Roman" w:hAnsi="Times New Roman" w:eastAsia="宋体" w:cs="Times New Roman"/>
                <w:color w:val="auto"/>
                <w:sz w:val="21"/>
                <w:szCs w:val="21"/>
                <w:highlight w:val="none"/>
              </w:rPr>
            </w:pPr>
          </w:p>
        </w:tc>
        <w:tc>
          <w:tcPr>
            <w:tcW w:w="1858" w:type="dxa"/>
            <w:vMerge w:val="restart"/>
            <w:noWrap w:val="0"/>
            <w:vAlign w:val="center"/>
          </w:tcPr>
          <w:p>
            <w:pPr>
              <w:ind w:left="107"/>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NO</w:t>
            </w:r>
            <w:r>
              <w:rPr>
                <w:rFonts w:hint="default" w:ascii="Times New Roman" w:hAnsi="Times New Roman" w:eastAsia="宋体" w:cs="Times New Roman"/>
                <w:color w:val="auto"/>
                <w:sz w:val="21"/>
                <w:szCs w:val="21"/>
                <w:highlight w:val="none"/>
                <w:vertAlign w:val="subscript"/>
              </w:rPr>
              <w:t>2</w:t>
            </w:r>
          </w:p>
        </w:tc>
        <w:tc>
          <w:tcPr>
            <w:tcW w:w="1855" w:type="dxa"/>
            <w:noWrap w:val="0"/>
            <w:vAlign w:val="center"/>
          </w:tcPr>
          <w:p>
            <w:pPr>
              <w:ind w:left="107"/>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年平均</w:t>
            </w:r>
          </w:p>
        </w:tc>
        <w:tc>
          <w:tcPr>
            <w:tcW w:w="1873" w:type="dxa"/>
            <w:noWrap w:val="0"/>
            <w:vAlign w:val="center"/>
          </w:tcPr>
          <w:p>
            <w:pPr>
              <w:ind w:left="107"/>
              <w:jc w:val="center"/>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lang w:val="en-US"/>
              </w:rPr>
              <w:t>40</w:t>
            </w:r>
            <w:r>
              <w:rPr>
                <w:rFonts w:hint="default" w:ascii="Times New Roman" w:hAnsi="Times New Roman" w:eastAsia="宋体" w:cs="Times New Roman"/>
                <w:color w:val="auto"/>
                <w:sz w:val="21"/>
                <w:szCs w:val="21"/>
                <w:highlight w:val="none"/>
              </w:rPr>
              <w:t>μg/m</w:t>
            </w:r>
            <w:r>
              <w:rPr>
                <w:rFonts w:hint="default" w:ascii="Times New Roman" w:hAnsi="Times New Roman" w:eastAsia="宋体" w:cs="Times New Roman"/>
                <w:color w:val="auto"/>
                <w:sz w:val="21"/>
                <w:szCs w:val="21"/>
                <w:highlight w:val="none"/>
                <w:vertAlign w:val="superscript"/>
                <w:lang w:val="en-US"/>
              </w:rPr>
              <w:t>3</w:t>
            </w:r>
          </w:p>
        </w:tc>
        <w:tc>
          <w:tcPr>
            <w:tcW w:w="2149" w:type="dxa"/>
            <w:vMerge w:val="continue"/>
            <w:noWrap w:val="0"/>
            <w:vAlign w:val="center"/>
          </w:tcPr>
          <w:p>
            <w:pPr>
              <w:autoSpaceDE w:val="0"/>
              <w:autoSpaceDN w:val="0"/>
              <w:spacing w:before="5"/>
              <w:ind w:left="29" w:right="17"/>
              <w:jc w:val="center"/>
              <w:rPr>
                <w:rFonts w:hint="default" w:ascii="Times New Roman" w:hAnsi="Times New Roman" w:eastAsia="宋体" w:cs="Times New Roman"/>
                <w:color w:val="auto"/>
                <w:w w:val="95"/>
                <w:sz w:val="21"/>
                <w:szCs w:val="21"/>
                <w:highlight w:val="none"/>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052" w:type="dxa"/>
            <w:vMerge w:val="continue"/>
            <w:noWrap w:val="0"/>
            <w:vAlign w:val="center"/>
          </w:tcPr>
          <w:p>
            <w:pPr>
              <w:ind w:left="107"/>
              <w:jc w:val="center"/>
              <w:rPr>
                <w:rFonts w:hint="default" w:ascii="Times New Roman" w:hAnsi="Times New Roman" w:eastAsia="宋体" w:cs="Times New Roman"/>
                <w:color w:val="auto"/>
                <w:sz w:val="21"/>
                <w:szCs w:val="21"/>
                <w:highlight w:val="none"/>
              </w:rPr>
            </w:pPr>
          </w:p>
        </w:tc>
        <w:tc>
          <w:tcPr>
            <w:tcW w:w="1858" w:type="dxa"/>
            <w:vMerge w:val="continue"/>
            <w:noWrap w:val="0"/>
            <w:vAlign w:val="center"/>
          </w:tcPr>
          <w:p>
            <w:pPr>
              <w:ind w:left="107"/>
              <w:jc w:val="center"/>
              <w:rPr>
                <w:rFonts w:hint="default" w:ascii="Times New Roman" w:hAnsi="Times New Roman" w:eastAsia="宋体" w:cs="Times New Roman"/>
                <w:color w:val="auto"/>
                <w:sz w:val="21"/>
                <w:szCs w:val="21"/>
                <w:highlight w:val="none"/>
              </w:rPr>
            </w:pPr>
          </w:p>
        </w:tc>
        <w:tc>
          <w:tcPr>
            <w:tcW w:w="1855" w:type="dxa"/>
            <w:noWrap w:val="0"/>
            <w:vAlign w:val="center"/>
          </w:tcPr>
          <w:p>
            <w:pPr>
              <w:ind w:left="107"/>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24小时平均</w:t>
            </w:r>
          </w:p>
        </w:tc>
        <w:tc>
          <w:tcPr>
            <w:tcW w:w="1873" w:type="dxa"/>
            <w:noWrap w:val="0"/>
            <w:vAlign w:val="center"/>
          </w:tcPr>
          <w:p>
            <w:pPr>
              <w:ind w:left="107"/>
              <w:jc w:val="center"/>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lang w:val="en-US"/>
              </w:rPr>
              <w:t>80</w:t>
            </w:r>
            <w:r>
              <w:rPr>
                <w:rFonts w:hint="default" w:ascii="Times New Roman" w:hAnsi="Times New Roman" w:eastAsia="宋体" w:cs="Times New Roman"/>
                <w:color w:val="auto"/>
                <w:sz w:val="21"/>
                <w:szCs w:val="21"/>
                <w:highlight w:val="none"/>
              </w:rPr>
              <w:t>μg/m</w:t>
            </w:r>
            <w:r>
              <w:rPr>
                <w:rFonts w:hint="default" w:ascii="Times New Roman" w:hAnsi="Times New Roman" w:eastAsia="宋体" w:cs="Times New Roman"/>
                <w:color w:val="auto"/>
                <w:sz w:val="21"/>
                <w:szCs w:val="21"/>
                <w:highlight w:val="none"/>
                <w:vertAlign w:val="superscript"/>
                <w:lang w:val="en-US"/>
              </w:rPr>
              <w:t>3</w:t>
            </w:r>
          </w:p>
        </w:tc>
        <w:tc>
          <w:tcPr>
            <w:tcW w:w="2149" w:type="dxa"/>
            <w:vMerge w:val="continue"/>
            <w:noWrap w:val="0"/>
            <w:vAlign w:val="center"/>
          </w:tcPr>
          <w:p>
            <w:pPr>
              <w:autoSpaceDE w:val="0"/>
              <w:autoSpaceDN w:val="0"/>
              <w:spacing w:before="5"/>
              <w:ind w:left="29" w:right="17"/>
              <w:jc w:val="center"/>
              <w:rPr>
                <w:rFonts w:hint="default" w:ascii="Times New Roman" w:hAnsi="Times New Roman" w:eastAsia="宋体" w:cs="Times New Roman"/>
                <w:color w:val="auto"/>
                <w:w w:val="95"/>
                <w:sz w:val="21"/>
                <w:szCs w:val="21"/>
                <w:highlight w:val="none"/>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052" w:type="dxa"/>
            <w:vMerge w:val="continue"/>
            <w:noWrap w:val="0"/>
            <w:vAlign w:val="center"/>
          </w:tcPr>
          <w:p>
            <w:pPr>
              <w:ind w:left="107"/>
              <w:jc w:val="center"/>
              <w:rPr>
                <w:rFonts w:hint="default" w:ascii="Times New Roman" w:hAnsi="Times New Roman" w:eastAsia="宋体" w:cs="Times New Roman"/>
                <w:color w:val="auto"/>
                <w:sz w:val="21"/>
                <w:szCs w:val="21"/>
                <w:highlight w:val="none"/>
              </w:rPr>
            </w:pPr>
          </w:p>
        </w:tc>
        <w:tc>
          <w:tcPr>
            <w:tcW w:w="1858" w:type="dxa"/>
            <w:vMerge w:val="continue"/>
            <w:noWrap w:val="0"/>
            <w:vAlign w:val="center"/>
          </w:tcPr>
          <w:p>
            <w:pPr>
              <w:ind w:left="107"/>
              <w:jc w:val="center"/>
              <w:rPr>
                <w:rFonts w:hint="default" w:ascii="Times New Roman" w:hAnsi="Times New Roman" w:eastAsia="宋体" w:cs="Times New Roman"/>
                <w:color w:val="auto"/>
                <w:sz w:val="21"/>
                <w:szCs w:val="21"/>
                <w:highlight w:val="none"/>
              </w:rPr>
            </w:pPr>
          </w:p>
        </w:tc>
        <w:tc>
          <w:tcPr>
            <w:tcW w:w="1855" w:type="dxa"/>
            <w:noWrap w:val="0"/>
            <w:vAlign w:val="center"/>
          </w:tcPr>
          <w:p>
            <w:pPr>
              <w:ind w:left="107"/>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1小时平均</w:t>
            </w:r>
          </w:p>
        </w:tc>
        <w:tc>
          <w:tcPr>
            <w:tcW w:w="1873" w:type="dxa"/>
            <w:noWrap w:val="0"/>
            <w:vAlign w:val="center"/>
          </w:tcPr>
          <w:p>
            <w:pPr>
              <w:ind w:left="107"/>
              <w:jc w:val="center"/>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lang w:val="en-US"/>
              </w:rPr>
              <w:t>200</w:t>
            </w:r>
            <w:r>
              <w:rPr>
                <w:rFonts w:hint="default" w:ascii="Times New Roman" w:hAnsi="Times New Roman" w:eastAsia="宋体" w:cs="Times New Roman"/>
                <w:color w:val="auto"/>
                <w:sz w:val="21"/>
                <w:szCs w:val="21"/>
                <w:highlight w:val="none"/>
              </w:rPr>
              <w:t>μg/m</w:t>
            </w:r>
            <w:r>
              <w:rPr>
                <w:rFonts w:hint="default" w:ascii="Times New Roman" w:hAnsi="Times New Roman" w:eastAsia="宋体" w:cs="Times New Roman"/>
                <w:color w:val="auto"/>
                <w:sz w:val="21"/>
                <w:szCs w:val="21"/>
                <w:highlight w:val="none"/>
                <w:vertAlign w:val="superscript"/>
                <w:lang w:val="en-US"/>
              </w:rPr>
              <w:t>3</w:t>
            </w:r>
          </w:p>
        </w:tc>
        <w:tc>
          <w:tcPr>
            <w:tcW w:w="2149" w:type="dxa"/>
            <w:vMerge w:val="continue"/>
            <w:noWrap w:val="0"/>
            <w:vAlign w:val="center"/>
          </w:tcPr>
          <w:p>
            <w:pPr>
              <w:autoSpaceDE w:val="0"/>
              <w:autoSpaceDN w:val="0"/>
              <w:spacing w:before="5"/>
              <w:ind w:left="29" w:right="17"/>
              <w:jc w:val="center"/>
              <w:rPr>
                <w:rFonts w:hint="default" w:ascii="Times New Roman" w:hAnsi="Times New Roman" w:eastAsia="宋体" w:cs="Times New Roman"/>
                <w:color w:val="auto"/>
                <w:w w:val="95"/>
                <w:sz w:val="21"/>
                <w:szCs w:val="21"/>
                <w:highlight w:val="none"/>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052" w:type="dxa"/>
            <w:vMerge w:val="continue"/>
            <w:noWrap w:val="0"/>
            <w:vAlign w:val="center"/>
          </w:tcPr>
          <w:p>
            <w:pPr>
              <w:ind w:left="107"/>
              <w:jc w:val="center"/>
              <w:rPr>
                <w:rFonts w:hint="default" w:ascii="Times New Roman" w:hAnsi="Times New Roman" w:eastAsia="宋体" w:cs="Times New Roman"/>
                <w:color w:val="auto"/>
                <w:sz w:val="21"/>
                <w:szCs w:val="21"/>
                <w:highlight w:val="none"/>
              </w:rPr>
            </w:pPr>
          </w:p>
        </w:tc>
        <w:tc>
          <w:tcPr>
            <w:tcW w:w="1858" w:type="dxa"/>
            <w:vMerge w:val="restart"/>
            <w:noWrap w:val="0"/>
            <w:vAlign w:val="center"/>
          </w:tcPr>
          <w:p>
            <w:pPr>
              <w:ind w:left="107"/>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CO</w:t>
            </w:r>
          </w:p>
        </w:tc>
        <w:tc>
          <w:tcPr>
            <w:tcW w:w="1855" w:type="dxa"/>
            <w:noWrap w:val="0"/>
            <w:vAlign w:val="center"/>
          </w:tcPr>
          <w:p>
            <w:pPr>
              <w:ind w:left="107"/>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24小时平均</w:t>
            </w:r>
          </w:p>
        </w:tc>
        <w:tc>
          <w:tcPr>
            <w:tcW w:w="1873" w:type="dxa"/>
            <w:noWrap w:val="0"/>
            <w:vAlign w:val="center"/>
          </w:tcPr>
          <w:p>
            <w:pPr>
              <w:ind w:left="107"/>
              <w:jc w:val="center"/>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lang w:val="en-US"/>
              </w:rPr>
              <w:t>4</w:t>
            </w:r>
            <w:r>
              <w:rPr>
                <w:rFonts w:hint="default" w:ascii="Times New Roman" w:hAnsi="Times New Roman" w:eastAsia="宋体" w:cs="Times New Roman"/>
                <w:color w:val="auto"/>
                <w:sz w:val="21"/>
                <w:szCs w:val="21"/>
                <w:highlight w:val="none"/>
              </w:rPr>
              <w:t>mg/m</w:t>
            </w:r>
            <w:r>
              <w:rPr>
                <w:rFonts w:hint="default" w:ascii="Times New Roman" w:hAnsi="Times New Roman" w:eastAsia="宋体" w:cs="Times New Roman"/>
                <w:color w:val="auto"/>
                <w:sz w:val="21"/>
                <w:szCs w:val="21"/>
                <w:highlight w:val="none"/>
                <w:vertAlign w:val="superscript"/>
                <w:lang w:val="en-US"/>
              </w:rPr>
              <w:t>3</w:t>
            </w:r>
          </w:p>
        </w:tc>
        <w:tc>
          <w:tcPr>
            <w:tcW w:w="2149" w:type="dxa"/>
            <w:vMerge w:val="continue"/>
            <w:noWrap w:val="0"/>
            <w:vAlign w:val="center"/>
          </w:tcPr>
          <w:p>
            <w:pPr>
              <w:autoSpaceDE w:val="0"/>
              <w:autoSpaceDN w:val="0"/>
              <w:spacing w:before="5"/>
              <w:ind w:left="29" w:right="17"/>
              <w:jc w:val="center"/>
              <w:rPr>
                <w:rFonts w:hint="default" w:ascii="Times New Roman" w:hAnsi="Times New Roman" w:eastAsia="宋体" w:cs="Times New Roman"/>
                <w:color w:val="auto"/>
                <w:w w:val="95"/>
                <w:sz w:val="21"/>
                <w:szCs w:val="21"/>
                <w:highlight w:val="none"/>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052" w:type="dxa"/>
            <w:vMerge w:val="continue"/>
            <w:noWrap w:val="0"/>
            <w:vAlign w:val="center"/>
          </w:tcPr>
          <w:p>
            <w:pPr>
              <w:ind w:left="107"/>
              <w:jc w:val="center"/>
              <w:rPr>
                <w:rFonts w:hint="default" w:ascii="Times New Roman" w:hAnsi="Times New Roman" w:eastAsia="宋体" w:cs="Times New Roman"/>
                <w:color w:val="auto"/>
                <w:sz w:val="21"/>
                <w:szCs w:val="21"/>
                <w:highlight w:val="none"/>
              </w:rPr>
            </w:pPr>
          </w:p>
        </w:tc>
        <w:tc>
          <w:tcPr>
            <w:tcW w:w="1858" w:type="dxa"/>
            <w:vMerge w:val="continue"/>
            <w:noWrap w:val="0"/>
            <w:vAlign w:val="center"/>
          </w:tcPr>
          <w:p>
            <w:pPr>
              <w:ind w:left="107"/>
              <w:jc w:val="center"/>
              <w:rPr>
                <w:rFonts w:hint="default" w:ascii="Times New Roman" w:hAnsi="Times New Roman" w:eastAsia="宋体" w:cs="Times New Roman"/>
                <w:color w:val="auto"/>
                <w:sz w:val="21"/>
                <w:szCs w:val="21"/>
                <w:highlight w:val="none"/>
              </w:rPr>
            </w:pPr>
          </w:p>
        </w:tc>
        <w:tc>
          <w:tcPr>
            <w:tcW w:w="1855" w:type="dxa"/>
            <w:noWrap w:val="0"/>
            <w:vAlign w:val="center"/>
          </w:tcPr>
          <w:p>
            <w:pPr>
              <w:ind w:left="107"/>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1小时平均</w:t>
            </w:r>
          </w:p>
        </w:tc>
        <w:tc>
          <w:tcPr>
            <w:tcW w:w="1873" w:type="dxa"/>
            <w:noWrap w:val="0"/>
            <w:vAlign w:val="center"/>
          </w:tcPr>
          <w:p>
            <w:pPr>
              <w:ind w:left="107"/>
              <w:jc w:val="center"/>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lang w:val="en-US"/>
              </w:rPr>
              <w:t>10</w:t>
            </w:r>
            <w:r>
              <w:rPr>
                <w:rFonts w:hint="default" w:ascii="Times New Roman" w:hAnsi="Times New Roman" w:eastAsia="宋体" w:cs="Times New Roman"/>
                <w:color w:val="auto"/>
                <w:sz w:val="21"/>
                <w:szCs w:val="21"/>
                <w:highlight w:val="none"/>
              </w:rPr>
              <w:t>mg/m</w:t>
            </w:r>
            <w:r>
              <w:rPr>
                <w:rFonts w:hint="default" w:ascii="Times New Roman" w:hAnsi="Times New Roman" w:eastAsia="宋体" w:cs="Times New Roman"/>
                <w:color w:val="auto"/>
                <w:sz w:val="21"/>
                <w:szCs w:val="21"/>
                <w:highlight w:val="none"/>
                <w:vertAlign w:val="superscript"/>
                <w:lang w:val="en-US"/>
              </w:rPr>
              <w:t>3</w:t>
            </w:r>
          </w:p>
        </w:tc>
        <w:tc>
          <w:tcPr>
            <w:tcW w:w="2149" w:type="dxa"/>
            <w:vMerge w:val="continue"/>
            <w:noWrap w:val="0"/>
            <w:vAlign w:val="center"/>
          </w:tcPr>
          <w:p>
            <w:pPr>
              <w:autoSpaceDE w:val="0"/>
              <w:autoSpaceDN w:val="0"/>
              <w:spacing w:before="5"/>
              <w:ind w:left="29" w:right="17"/>
              <w:jc w:val="center"/>
              <w:rPr>
                <w:rFonts w:hint="default" w:ascii="Times New Roman" w:hAnsi="Times New Roman" w:eastAsia="宋体" w:cs="Times New Roman"/>
                <w:color w:val="auto"/>
                <w:w w:val="95"/>
                <w:sz w:val="21"/>
                <w:szCs w:val="21"/>
                <w:highlight w:val="none"/>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052" w:type="dxa"/>
            <w:vMerge w:val="continue"/>
            <w:noWrap w:val="0"/>
            <w:vAlign w:val="center"/>
          </w:tcPr>
          <w:p>
            <w:pPr>
              <w:ind w:left="107"/>
              <w:jc w:val="center"/>
              <w:rPr>
                <w:rFonts w:hint="default" w:ascii="Times New Roman" w:hAnsi="Times New Roman" w:eastAsia="宋体" w:cs="Times New Roman"/>
                <w:color w:val="auto"/>
                <w:sz w:val="21"/>
                <w:szCs w:val="21"/>
                <w:highlight w:val="none"/>
              </w:rPr>
            </w:pPr>
          </w:p>
        </w:tc>
        <w:tc>
          <w:tcPr>
            <w:tcW w:w="1858" w:type="dxa"/>
            <w:vMerge w:val="restart"/>
            <w:noWrap w:val="0"/>
            <w:vAlign w:val="center"/>
          </w:tcPr>
          <w:p>
            <w:pPr>
              <w:ind w:left="107"/>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O</w:t>
            </w:r>
            <w:r>
              <w:rPr>
                <w:rFonts w:hint="default" w:ascii="Times New Roman" w:hAnsi="Times New Roman" w:eastAsia="宋体" w:cs="Times New Roman"/>
                <w:color w:val="auto"/>
                <w:sz w:val="21"/>
                <w:szCs w:val="21"/>
                <w:highlight w:val="none"/>
                <w:vertAlign w:val="subscript"/>
              </w:rPr>
              <w:t>3</w:t>
            </w:r>
          </w:p>
        </w:tc>
        <w:tc>
          <w:tcPr>
            <w:tcW w:w="1855" w:type="dxa"/>
            <w:noWrap w:val="0"/>
            <w:vAlign w:val="center"/>
          </w:tcPr>
          <w:p>
            <w:pPr>
              <w:ind w:left="107"/>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日最大8小时平均</w:t>
            </w:r>
          </w:p>
        </w:tc>
        <w:tc>
          <w:tcPr>
            <w:tcW w:w="1873" w:type="dxa"/>
            <w:noWrap w:val="0"/>
            <w:vAlign w:val="center"/>
          </w:tcPr>
          <w:p>
            <w:pPr>
              <w:ind w:left="107"/>
              <w:jc w:val="center"/>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lang w:val="en-US"/>
              </w:rPr>
              <w:t>100</w:t>
            </w:r>
            <w:r>
              <w:rPr>
                <w:rFonts w:hint="default" w:ascii="Times New Roman" w:hAnsi="Times New Roman" w:eastAsia="宋体" w:cs="Times New Roman"/>
                <w:color w:val="auto"/>
                <w:sz w:val="21"/>
                <w:szCs w:val="21"/>
                <w:highlight w:val="none"/>
              </w:rPr>
              <w:t>μg/m</w:t>
            </w:r>
            <w:r>
              <w:rPr>
                <w:rFonts w:hint="default" w:ascii="Times New Roman" w:hAnsi="Times New Roman" w:eastAsia="宋体" w:cs="Times New Roman"/>
                <w:color w:val="auto"/>
                <w:sz w:val="21"/>
                <w:szCs w:val="21"/>
                <w:highlight w:val="none"/>
                <w:vertAlign w:val="superscript"/>
                <w:lang w:val="en-US"/>
              </w:rPr>
              <w:t>3</w:t>
            </w:r>
          </w:p>
        </w:tc>
        <w:tc>
          <w:tcPr>
            <w:tcW w:w="2149" w:type="dxa"/>
            <w:vMerge w:val="continue"/>
            <w:noWrap w:val="0"/>
            <w:vAlign w:val="center"/>
          </w:tcPr>
          <w:p>
            <w:pPr>
              <w:autoSpaceDE w:val="0"/>
              <w:autoSpaceDN w:val="0"/>
              <w:spacing w:before="5"/>
              <w:ind w:left="29" w:right="17"/>
              <w:jc w:val="center"/>
              <w:rPr>
                <w:rFonts w:hint="default" w:ascii="Times New Roman" w:hAnsi="Times New Roman" w:eastAsia="宋体" w:cs="Times New Roman"/>
                <w:color w:val="auto"/>
                <w:w w:val="95"/>
                <w:sz w:val="21"/>
                <w:szCs w:val="21"/>
                <w:highlight w:val="none"/>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052" w:type="dxa"/>
            <w:vMerge w:val="continue"/>
            <w:noWrap w:val="0"/>
            <w:vAlign w:val="center"/>
          </w:tcPr>
          <w:p>
            <w:pPr>
              <w:ind w:left="107"/>
              <w:jc w:val="center"/>
              <w:rPr>
                <w:rFonts w:hint="default" w:ascii="Times New Roman" w:hAnsi="Times New Roman" w:eastAsia="宋体" w:cs="Times New Roman"/>
                <w:color w:val="auto"/>
                <w:sz w:val="21"/>
                <w:szCs w:val="21"/>
                <w:highlight w:val="none"/>
              </w:rPr>
            </w:pPr>
          </w:p>
        </w:tc>
        <w:tc>
          <w:tcPr>
            <w:tcW w:w="1858" w:type="dxa"/>
            <w:vMerge w:val="continue"/>
            <w:noWrap w:val="0"/>
            <w:vAlign w:val="center"/>
          </w:tcPr>
          <w:p>
            <w:pPr>
              <w:ind w:left="107"/>
              <w:jc w:val="center"/>
              <w:rPr>
                <w:rFonts w:hint="default" w:ascii="Times New Roman" w:hAnsi="Times New Roman" w:eastAsia="宋体" w:cs="Times New Roman"/>
                <w:color w:val="auto"/>
                <w:sz w:val="21"/>
                <w:szCs w:val="21"/>
                <w:highlight w:val="none"/>
              </w:rPr>
            </w:pPr>
          </w:p>
        </w:tc>
        <w:tc>
          <w:tcPr>
            <w:tcW w:w="1855" w:type="dxa"/>
            <w:noWrap w:val="0"/>
            <w:vAlign w:val="center"/>
          </w:tcPr>
          <w:p>
            <w:pPr>
              <w:ind w:left="107"/>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24小时平均</w:t>
            </w:r>
          </w:p>
        </w:tc>
        <w:tc>
          <w:tcPr>
            <w:tcW w:w="1873" w:type="dxa"/>
            <w:noWrap w:val="0"/>
            <w:vAlign w:val="center"/>
          </w:tcPr>
          <w:p>
            <w:pPr>
              <w:ind w:left="107"/>
              <w:jc w:val="center"/>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lang w:val="en-US"/>
              </w:rPr>
              <w:t>160</w:t>
            </w:r>
            <w:r>
              <w:rPr>
                <w:rFonts w:hint="default" w:ascii="Times New Roman" w:hAnsi="Times New Roman" w:eastAsia="宋体" w:cs="Times New Roman"/>
                <w:color w:val="auto"/>
                <w:sz w:val="21"/>
                <w:szCs w:val="21"/>
                <w:highlight w:val="none"/>
              </w:rPr>
              <w:t>μg/m</w:t>
            </w:r>
            <w:r>
              <w:rPr>
                <w:rFonts w:hint="default" w:ascii="Times New Roman" w:hAnsi="Times New Roman" w:eastAsia="宋体" w:cs="Times New Roman"/>
                <w:color w:val="auto"/>
                <w:sz w:val="21"/>
                <w:szCs w:val="21"/>
                <w:highlight w:val="none"/>
                <w:vertAlign w:val="superscript"/>
                <w:lang w:val="en-US"/>
              </w:rPr>
              <w:t>3</w:t>
            </w:r>
          </w:p>
        </w:tc>
        <w:tc>
          <w:tcPr>
            <w:tcW w:w="2149" w:type="dxa"/>
            <w:vMerge w:val="continue"/>
            <w:noWrap w:val="0"/>
            <w:vAlign w:val="center"/>
          </w:tcPr>
          <w:p>
            <w:pPr>
              <w:autoSpaceDE w:val="0"/>
              <w:autoSpaceDN w:val="0"/>
              <w:spacing w:before="5"/>
              <w:ind w:left="29" w:right="17"/>
              <w:jc w:val="center"/>
              <w:rPr>
                <w:rFonts w:hint="default" w:ascii="Times New Roman" w:hAnsi="Times New Roman" w:eastAsia="宋体" w:cs="Times New Roman"/>
                <w:color w:val="auto"/>
                <w:w w:val="95"/>
                <w:sz w:val="21"/>
                <w:szCs w:val="21"/>
                <w:highlight w:val="none"/>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052" w:type="dxa"/>
            <w:vMerge w:val="restart"/>
            <w:noWrap w:val="0"/>
            <w:vAlign w:val="center"/>
          </w:tcPr>
          <w:p>
            <w:pPr>
              <w:ind w:left="107"/>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环境空气</w:t>
            </w:r>
          </w:p>
        </w:tc>
        <w:tc>
          <w:tcPr>
            <w:tcW w:w="1858" w:type="dxa"/>
            <w:vMerge w:val="restart"/>
            <w:noWrap w:val="0"/>
            <w:vAlign w:val="center"/>
          </w:tcPr>
          <w:p>
            <w:pPr>
              <w:ind w:left="107"/>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TSP</w:t>
            </w:r>
          </w:p>
        </w:tc>
        <w:tc>
          <w:tcPr>
            <w:tcW w:w="1855" w:type="dxa"/>
            <w:noWrap w:val="0"/>
            <w:vAlign w:val="center"/>
          </w:tcPr>
          <w:p>
            <w:pPr>
              <w:ind w:left="107"/>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年平均</w:t>
            </w:r>
          </w:p>
        </w:tc>
        <w:tc>
          <w:tcPr>
            <w:tcW w:w="1873" w:type="dxa"/>
            <w:noWrap w:val="0"/>
            <w:vAlign w:val="center"/>
          </w:tcPr>
          <w:p>
            <w:pPr>
              <w:ind w:left="107"/>
              <w:jc w:val="center"/>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rPr>
              <w:t>200μg/m</w:t>
            </w:r>
            <w:r>
              <w:rPr>
                <w:rFonts w:hint="default" w:ascii="Times New Roman" w:hAnsi="Times New Roman" w:eastAsia="宋体" w:cs="Times New Roman"/>
                <w:color w:val="auto"/>
                <w:sz w:val="21"/>
                <w:szCs w:val="21"/>
                <w:highlight w:val="none"/>
                <w:vertAlign w:val="superscript"/>
                <w:lang w:val="en-US"/>
              </w:rPr>
              <w:t>3</w:t>
            </w:r>
          </w:p>
        </w:tc>
        <w:tc>
          <w:tcPr>
            <w:tcW w:w="2149" w:type="dxa"/>
            <w:vMerge w:val="restart"/>
            <w:noWrap w:val="0"/>
            <w:vAlign w:val="center"/>
          </w:tcPr>
          <w:p>
            <w:pPr>
              <w:autoSpaceDE w:val="0"/>
              <w:autoSpaceDN w:val="0"/>
              <w:ind w:left="22" w:right="17"/>
              <w:jc w:val="center"/>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sz w:val="21"/>
                <w:szCs w:val="21"/>
                <w:highlight w:val="none"/>
                <w:lang w:val="zh-CN" w:bidi="zh-CN"/>
              </w:rPr>
              <w:t>《环境空气质量标准》</w:t>
            </w:r>
          </w:p>
          <w:p>
            <w:pPr>
              <w:autoSpaceDE w:val="0"/>
              <w:autoSpaceDN w:val="0"/>
              <w:spacing w:before="5"/>
              <w:ind w:left="29" w:right="17"/>
              <w:jc w:val="center"/>
              <w:rPr>
                <w:rFonts w:hint="default" w:ascii="Times New Roman" w:hAnsi="Times New Roman" w:eastAsia="宋体" w:cs="Times New Roman"/>
                <w:color w:val="auto"/>
                <w:sz w:val="21"/>
                <w:szCs w:val="21"/>
                <w:highlight w:val="none"/>
                <w:lang w:val="zh-CN" w:bidi="zh-CN"/>
              </w:rPr>
            </w:pPr>
            <w:r>
              <w:rPr>
                <w:rFonts w:hint="default" w:ascii="Times New Roman" w:hAnsi="Times New Roman" w:eastAsia="宋体" w:cs="Times New Roman"/>
                <w:color w:val="auto"/>
                <w:w w:val="95"/>
                <w:sz w:val="21"/>
                <w:szCs w:val="21"/>
                <w:highlight w:val="none"/>
                <w:lang w:val="zh-CN" w:bidi="zh-CN"/>
              </w:rPr>
              <w:t>（GB3095-2012）及修改单中二级标</w:t>
            </w:r>
            <w:r>
              <w:rPr>
                <w:rFonts w:hint="default" w:ascii="Times New Roman" w:hAnsi="Times New Roman" w:eastAsia="宋体" w:cs="Times New Roman"/>
                <w:color w:val="auto"/>
                <w:sz w:val="21"/>
                <w:szCs w:val="21"/>
                <w:highlight w:val="none"/>
                <w:lang w:val="zh-CN" w:bidi="zh-CN"/>
              </w:rPr>
              <w:t>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052" w:type="dxa"/>
            <w:vMerge w:val="continue"/>
            <w:noWrap w:val="0"/>
            <w:vAlign w:val="center"/>
          </w:tcPr>
          <w:p>
            <w:pPr>
              <w:ind w:left="107"/>
              <w:jc w:val="center"/>
              <w:rPr>
                <w:rFonts w:hint="default" w:ascii="Times New Roman" w:hAnsi="Times New Roman" w:eastAsia="宋体" w:cs="Times New Roman"/>
                <w:color w:val="auto"/>
                <w:sz w:val="21"/>
                <w:szCs w:val="21"/>
                <w:highlight w:val="none"/>
              </w:rPr>
            </w:pPr>
          </w:p>
        </w:tc>
        <w:tc>
          <w:tcPr>
            <w:tcW w:w="1858" w:type="dxa"/>
            <w:vMerge w:val="continue"/>
            <w:tcBorders>
              <w:top w:val="nil"/>
            </w:tcBorders>
            <w:noWrap w:val="0"/>
            <w:vAlign w:val="center"/>
          </w:tcPr>
          <w:p>
            <w:pPr>
              <w:ind w:left="107"/>
              <w:jc w:val="center"/>
              <w:rPr>
                <w:rFonts w:hint="default" w:ascii="Times New Roman" w:hAnsi="Times New Roman" w:eastAsia="宋体" w:cs="Times New Roman"/>
                <w:color w:val="auto"/>
                <w:sz w:val="21"/>
                <w:szCs w:val="21"/>
                <w:highlight w:val="none"/>
              </w:rPr>
            </w:pPr>
          </w:p>
        </w:tc>
        <w:tc>
          <w:tcPr>
            <w:tcW w:w="1855" w:type="dxa"/>
            <w:noWrap w:val="0"/>
            <w:vAlign w:val="center"/>
          </w:tcPr>
          <w:p>
            <w:pPr>
              <w:ind w:left="107"/>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24小时平均</w:t>
            </w:r>
          </w:p>
        </w:tc>
        <w:tc>
          <w:tcPr>
            <w:tcW w:w="1873" w:type="dxa"/>
            <w:noWrap w:val="0"/>
            <w:vAlign w:val="center"/>
          </w:tcPr>
          <w:p>
            <w:pPr>
              <w:ind w:left="107"/>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300μg/m</w:t>
            </w:r>
            <w:r>
              <w:rPr>
                <w:rFonts w:hint="default" w:ascii="Times New Roman" w:hAnsi="Times New Roman" w:eastAsia="宋体" w:cs="Times New Roman"/>
                <w:color w:val="auto"/>
                <w:sz w:val="21"/>
                <w:szCs w:val="21"/>
                <w:highlight w:val="none"/>
                <w:vertAlign w:val="superscript"/>
                <w:lang w:val="en-US"/>
              </w:rPr>
              <w:t>3</w:t>
            </w:r>
          </w:p>
        </w:tc>
        <w:tc>
          <w:tcPr>
            <w:tcW w:w="2149" w:type="dxa"/>
            <w:vMerge w:val="continue"/>
            <w:noWrap w:val="0"/>
            <w:vAlign w:val="center"/>
          </w:tcPr>
          <w:p>
            <w:pPr>
              <w:autoSpaceDE w:val="0"/>
              <w:autoSpaceDN w:val="0"/>
              <w:jc w:val="center"/>
              <w:rPr>
                <w:rFonts w:hint="default" w:ascii="Times New Roman" w:hAnsi="Times New Roman" w:eastAsia="宋体" w:cs="Times New Roman"/>
                <w:color w:val="auto"/>
                <w:kern w:val="0"/>
                <w:sz w:val="21"/>
                <w:szCs w:val="21"/>
                <w:highlight w:val="none"/>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052" w:type="dxa"/>
            <w:vMerge w:val="continue"/>
            <w:noWrap w:val="0"/>
            <w:vAlign w:val="center"/>
          </w:tcPr>
          <w:p>
            <w:pPr>
              <w:ind w:left="107"/>
              <w:jc w:val="center"/>
              <w:rPr>
                <w:rFonts w:hint="default" w:ascii="Times New Roman" w:hAnsi="Times New Roman" w:eastAsia="宋体" w:cs="Times New Roman"/>
                <w:color w:val="auto"/>
                <w:sz w:val="21"/>
                <w:szCs w:val="21"/>
                <w:highlight w:val="none"/>
              </w:rPr>
            </w:pPr>
          </w:p>
        </w:tc>
        <w:tc>
          <w:tcPr>
            <w:tcW w:w="1858" w:type="dxa"/>
            <w:vMerge w:val="restart"/>
            <w:noWrap w:val="0"/>
            <w:vAlign w:val="center"/>
          </w:tcPr>
          <w:p>
            <w:pPr>
              <w:ind w:left="107"/>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PM</w:t>
            </w:r>
            <w:r>
              <w:rPr>
                <w:rFonts w:hint="default" w:ascii="Times New Roman" w:hAnsi="Times New Roman" w:eastAsia="宋体" w:cs="Times New Roman"/>
                <w:color w:val="auto"/>
                <w:sz w:val="21"/>
                <w:szCs w:val="21"/>
                <w:highlight w:val="none"/>
                <w:vertAlign w:val="subscript"/>
              </w:rPr>
              <w:t>10</w:t>
            </w:r>
          </w:p>
        </w:tc>
        <w:tc>
          <w:tcPr>
            <w:tcW w:w="1855" w:type="dxa"/>
            <w:noWrap w:val="0"/>
            <w:vAlign w:val="center"/>
          </w:tcPr>
          <w:p>
            <w:pPr>
              <w:ind w:left="107"/>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年平均</w:t>
            </w:r>
          </w:p>
        </w:tc>
        <w:tc>
          <w:tcPr>
            <w:tcW w:w="1873" w:type="dxa"/>
            <w:noWrap w:val="0"/>
            <w:vAlign w:val="center"/>
          </w:tcPr>
          <w:p>
            <w:pPr>
              <w:ind w:left="107"/>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70μg/m</w:t>
            </w:r>
            <w:r>
              <w:rPr>
                <w:rFonts w:hint="default" w:ascii="Times New Roman" w:hAnsi="Times New Roman" w:eastAsia="宋体" w:cs="Times New Roman"/>
                <w:color w:val="auto"/>
                <w:sz w:val="21"/>
                <w:szCs w:val="21"/>
                <w:highlight w:val="none"/>
                <w:vertAlign w:val="superscript"/>
                <w:lang w:val="en-US"/>
              </w:rPr>
              <w:t>3</w:t>
            </w:r>
          </w:p>
        </w:tc>
        <w:tc>
          <w:tcPr>
            <w:tcW w:w="2149" w:type="dxa"/>
            <w:vMerge w:val="continue"/>
            <w:noWrap w:val="0"/>
            <w:vAlign w:val="center"/>
          </w:tcPr>
          <w:p>
            <w:pPr>
              <w:autoSpaceDE w:val="0"/>
              <w:autoSpaceDN w:val="0"/>
              <w:jc w:val="center"/>
              <w:rPr>
                <w:rFonts w:hint="default" w:ascii="Times New Roman" w:hAnsi="Times New Roman" w:eastAsia="宋体" w:cs="Times New Roman"/>
                <w:color w:val="auto"/>
                <w:kern w:val="0"/>
                <w:sz w:val="21"/>
                <w:szCs w:val="21"/>
                <w:highlight w:val="none"/>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052" w:type="dxa"/>
            <w:vMerge w:val="continue"/>
            <w:noWrap w:val="0"/>
            <w:vAlign w:val="center"/>
          </w:tcPr>
          <w:p>
            <w:pPr>
              <w:ind w:left="107"/>
              <w:jc w:val="center"/>
              <w:rPr>
                <w:rFonts w:hint="default" w:ascii="Times New Roman" w:hAnsi="Times New Roman" w:eastAsia="宋体" w:cs="Times New Roman"/>
                <w:color w:val="auto"/>
                <w:sz w:val="21"/>
                <w:szCs w:val="21"/>
                <w:highlight w:val="none"/>
              </w:rPr>
            </w:pPr>
          </w:p>
        </w:tc>
        <w:tc>
          <w:tcPr>
            <w:tcW w:w="1858" w:type="dxa"/>
            <w:vMerge w:val="continue"/>
            <w:tcBorders>
              <w:top w:val="nil"/>
            </w:tcBorders>
            <w:noWrap w:val="0"/>
            <w:vAlign w:val="center"/>
          </w:tcPr>
          <w:p>
            <w:pPr>
              <w:ind w:left="107"/>
              <w:jc w:val="center"/>
              <w:rPr>
                <w:rFonts w:hint="default" w:ascii="Times New Roman" w:hAnsi="Times New Roman" w:eastAsia="宋体" w:cs="Times New Roman"/>
                <w:color w:val="auto"/>
                <w:sz w:val="21"/>
                <w:szCs w:val="21"/>
                <w:highlight w:val="none"/>
              </w:rPr>
            </w:pPr>
          </w:p>
        </w:tc>
        <w:tc>
          <w:tcPr>
            <w:tcW w:w="1855" w:type="dxa"/>
            <w:noWrap w:val="0"/>
            <w:vAlign w:val="center"/>
          </w:tcPr>
          <w:p>
            <w:pPr>
              <w:ind w:left="107"/>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24小时平均</w:t>
            </w:r>
          </w:p>
        </w:tc>
        <w:tc>
          <w:tcPr>
            <w:tcW w:w="1873" w:type="dxa"/>
            <w:noWrap w:val="0"/>
            <w:vAlign w:val="center"/>
          </w:tcPr>
          <w:p>
            <w:pPr>
              <w:ind w:left="107"/>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150μg/m</w:t>
            </w:r>
            <w:r>
              <w:rPr>
                <w:rFonts w:hint="default" w:ascii="Times New Roman" w:hAnsi="Times New Roman" w:eastAsia="宋体" w:cs="Times New Roman"/>
                <w:color w:val="auto"/>
                <w:sz w:val="21"/>
                <w:szCs w:val="21"/>
                <w:highlight w:val="none"/>
                <w:vertAlign w:val="superscript"/>
                <w:lang w:val="en-US"/>
              </w:rPr>
              <w:t>3</w:t>
            </w:r>
          </w:p>
        </w:tc>
        <w:tc>
          <w:tcPr>
            <w:tcW w:w="2149" w:type="dxa"/>
            <w:vMerge w:val="continue"/>
            <w:noWrap w:val="0"/>
            <w:vAlign w:val="center"/>
          </w:tcPr>
          <w:p>
            <w:pPr>
              <w:autoSpaceDE w:val="0"/>
              <w:autoSpaceDN w:val="0"/>
              <w:jc w:val="center"/>
              <w:rPr>
                <w:rFonts w:hint="default" w:ascii="Times New Roman" w:hAnsi="Times New Roman" w:eastAsia="宋体" w:cs="Times New Roman"/>
                <w:color w:val="auto"/>
                <w:kern w:val="0"/>
                <w:sz w:val="21"/>
                <w:szCs w:val="21"/>
                <w:highlight w:val="none"/>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052" w:type="dxa"/>
            <w:vMerge w:val="continue"/>
            <w:noWrap w:val="0"/>
            <w:vAlign w:val="center"/>
          </w:tcPr>
          <w:p>
            <w:pPr>
              <w:ind w:left="107"/>
              <w:jc w:val="center"/>
              <w:rPr>
                <w:rFonts w:hint="default" w:ascii="Times New Roman" w:hAnsi="Times New Roman" w:eastAsia="宋体" w:cs="Times New Roman"/>
                <w:color w:val="auto"/>
                <w:sz w:val="21"/>
                <w:szCs w:val="21"/>
                <w:highlight w:val="none"/>
              </w:rPr>
            </w:pPr>
          </w:p>
        </w:tc>
        <w:tc>
          <w:tcPr>
            <w:tcW w:w="1858" w:type="dxa"/>
            <w:vMerge w:val="restart"/>
            <w:noWrap w:val="0"/>
            <w:vAlign w:val="center"/>
          </w:tcPr>
          <w:p>
            <w:pPr>
              <w:ind w:left="107"/>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PM</w:t>
            </w:r>
            <w:r>
              <w:rPr>
                <w:rFonts w:hint="default" w:ascii="Times New Roman" w:hAnsi="Times New Roman" w:eastAsia="宋体" w:cs="Times New Roman"/>
                <w:color w:val="auto"/>
                <w:sz w:val="21"/>
                <w:szCs w:val="21"/>
                <w:highlight w:val="none"/>
                <w:vertAlign w:val="subscript"/>
              </w:rPr>
              <w:t>2.5</w:t>
            </w:r>
          </w:p>
        </w:tc>
        <w:tc>
          <w:tcPr>
            <w:tcW w:w="1855" w:type="dxa"/>
            <w:noWrap w:val="0"/>
            <w:vAlign w:val="center"/>
          </w:tcPr>
          <w:p>
            <w:pPr>
              <w:ind w:left="107"/>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年平均</w:t>
            </w:r>
          </w:p>
        </w:tc>
        <w:tc>
          <w:tcPr>
            <w:tcW w:w="1873" w:type="dxa"/>
            <w:noWrap w:val="0"/>
            <w:vAlign w:val="center"/>
          </w:tcPr>
          <w:p>
            <w:pPr>
              <w:ind w:left="107"/>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35μg/m</w:t>
            </w:r>
            <w:r>
              <w:rPr>
                <w:rFonts w:hint="default" w:ascii="Times New Roman" w:hAnsi="Times New Roman" w:eastAsia="宋体" w:cs="Times New Roman"/>
                <w:color w:val="auto"/>
                <w:sz w:val="21"/>
                <w:szCs w:val="21"/>
                <w:highlight w:val="none"/>
                <w:vertAlign w:val="superscript"/>
                <w:lang w:val="en-US"/>
              </w:rPr>
              <w:t>3</w:t>
            </w:r>
          </w:p>
        </w:tc>
        <w:tc>
          <w:tcPr>
            <w:tcW w:w="2149" w:type="dxa"/>
            <w:vMerge w:val="continue"/>
            <w:noWrap w:val="0"/>
            <w:vAlign w:val="center"/>
          </w:tcPr>
          <w:p>
            <w:pPr>
              <w:autoSpaceDE w:val="0"/>
              <w:autoSpaceDN w:val="0"/>
              <w:jc w:val="center"/>
              <w:rPr>
                <w:rFonts w:hint="default" w:ascii="Times New Roman" w:hAnsi="Times New Roman" w:eastAsia="宋体" w:cs="Times New Roman"/>
                <w:color w:val="auto"/>
                <w:kern w:val="0"/>
                <w:sz w:val="21"/>
                <w:szCs w:val="21"/>
                <w:highlight w:val="none"/>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052" w:type="dxa"/>
            <w:vMerge w:val="continue"/>
            <w:noWrap w:val="0"/>
            <w:vAlign w:val="center"/>
          </w:tcPr>
          <w:p>
            <w:pPr>
              <w:ind w:left="107"/>
              <w:jc w:val="center"/>
              <w:rPr>
                <w:rFonts w:hint="default" w:ascii="Times New Roman" w:hAnsi="Times New Roman" w:eastAsia="宋体" w:cs="Times New Roman"/>
                <w:color w:val="auto"/>
                <w:sz w:val="21"/>
                <w:szCs w:val="21"/>
                <w:highlight w:val="none"/>
              </w:rPr>
            </w:pPr>
          </w:p>
        </w:tc>
        <w:tc>
          <w:tcPr>
            <w:tcW w:w="1858" w:type="dxa"/>
            <w:vMerge w:val="continue"/>
            <w:tcBorders>
              <w:top w:val="nil"/>
            </w:tcBorders>
            <w:noWrap w:val="0"/>
            <w:vAlign w:val="center"/>
          </w:tcPr>
          <w:p>
            <w:pPr>
              <w:ind w:left="107"/>
              <w:jc w:val="center"/>
              <w:rPr>
                <w:rFonts w:hint="default" w:ascii="Times New Roman" w:hAnsi="Times New Roman" w:eastAsia="宋体" w:cs="Times New Roman"/>
                <w:color w:val="auto"/>
                <w:sz w:val="21"/>
                <w:szCs w:val="21"/>
                <w:highlight w:val="none"/>
              </w:rPr>
            </w:pPr>
          </w:p>
        </w:tc>
        <w:tc>
          <w:tcPr>
            <w:tcW w:w="1855" w:type="dxa"/>
            <w:noWrap w:val="0"/>
            <w:vAlign w:val="center"/>
          </w:tcPr>
          <w:p>
            <w:pPr>
              <w:ind w:left="107"/>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24小时平均</w:t>
            </w:r>
          </w:p>
        </w:tc>
        <w:tc>
          <w:tcPr>
            <w:tcW w:w="1873" w:type="dxa"/>
            <w:noWrap w:val="0"/>
            <w:vAlign w:val="center"/>
          </w:tcPr>
          <w:p>
            <w:pPr>
              <w:ind w:left="107"/>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75μg/m</w:t>
            </w:r>
            <w:r>
              <w:rPr>
                <w:rFonts w:hint="default" w:ascii="Times New Roman" w:hAnsi="Times New Roman" w:eastAsia="宋体" w:cs="Times New Roman"/>
                <w:color w:val="auto"/>
                <w:sz w:val="21"/>
                <w:szCs w:val="21"/>
                <w:highlight w:val="none"/>
                <w:vertAlign w:val="superscript"/>
                <w:lang w:val="en-US"/>
              </w:rPr>
              <w:t>3</w:t>
            </w:r>
          </w:p>
        </w:tc>
        <w:tc>
          <w:tcPr>
            <w:tcW w:w="2149" w:type="dxa"/>
            <w:vMerge w:val="continue"/>
            <w:noWrap w:val="0"/>
            <w:vAlign w:val="center"/>
          </w:tcPr>
          <w:p>
            <w:pPr>
              <w:autoSpaceDE w:val="0"/>
              <w:autoSpaceDN w:val="0"/>
              <w:jc w:val="center"/>
              <w:rPr>
                <w:rFonts w:hint="default" w:ascii="Times New Roman" w:hAnsi="Times New Roman" w:eastAsia="宋体" w:cs="Times New Roman"/>
                <w:color w:val="auto"/>
                <w:kern w:val="0"/>
                <w:sz w:val="21"/>
                <w:szCs w:val="21"/>
                <w:highlight w:val="none"/>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052" w:type="dxa"/>
            <w:vMerge w:val="continue"/>
            <w:noWrap w:val="0"/>
            <w:vAlign w:val="center"/>
          </w:tcPr>
          <w:p>
            <w:pPr>
              <w:ind w:left="107"/>
              <w:jc w:val="center"/>
              <w:rPr>
                <w:rFonts w:hint="default" w:ascii="Times New Roman" w:hAnsi="Times New Roman" w:eastAsia="宋体" w:cs="Times New Roman"/>
                <w:color w:val="auto"/>
                <w:sz w:val="21"/>
                <w:szCs w:val="21"/>
                <w:highlight w:val="none"/>
              </w:rPr>
            </w:pPr>
          </w:p>
        </w:tc>
        <w:tc>
          <w:tcPr>
            <w:tcW w:w="1858" w:type="dxa"/>
            <w:vMerge w:val="restart"/>
            <w:noWrap w:val="0"/>
            <w:vAlign w:val="center"/>
          </w:tcPr>
          <w:p>
            <w:pPr>
              <w:ind w:left="107"/>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SO</w:t>
            </w:r>
            <w:r>
              <w:rPr>
                <w:rFonts w:hint="default" w:ascii="Times New Roman" w:hAnsi="Times New Roman" w:eastAsia="宋体" w:cs="Times New Roman"/>
                <w:color w:val="auto"/>
                <w:sz w:val="21"/>
                <w:szCs w:val="21"/>
                <w:highlight w:val="none"/>
                <w:vertAlign w:val="subscript"/>
              </w:rPr>
              <w:t>2</w:t>
            </w:r>
          </w:p>
        </w:tc>
        <w:tc>
          <w:tcPr>
            <w:tcW w:w="1855" w:type="dxa"/>
            <w:noWrap w:val="0"/>
            <w:vAlign w:val="center"/>
          </w:tcPr>
          <w:p>
            <w:pPr>
              <w:ind w:left="107"/>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年平均</w:t>
            </w:r>
          </w:p>
        </w:tc>
        <w:tc>
          <w:tcPr>
            <w:tcW w:w="1873" w:type="dxa"/>
            <w:noWrap w:val="0"/>
            <w:vAlign w:val="center"/>
          </w:tcPr>
          <w:p>
            <w:pPr>
              <w:ind w:left="107"/>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60μg/m</w:t>
            </w:r>
            <w:r>
              <w:rPr>
                <w:rFonts w:hint="default" w:ascii="Times New Roman" w:hAnsi="Times New Roman" w:eastAsia="宋体" w:cs="Times New Roman"/>
                <w:color w:val="auto"/>
                <w:sz w:val="21"/>
                <w:szCs w:val="21"/>
                <w:highlight w:val="none"/>
                <w:vertAlign w:val="superscript"/>
                <w:lang w:val="en-US"/>
              </w:rPr>
              <w:t>3</w:t>
            </w:r>
          </w:p>
        </w:tc>
        <w:tc>
          <w:tcPr>
            <w:tcW w:w="2149" w:type="dxa"/>
            <w:vMerge w:val="continue"/>
            <w:noWrap w:val="0"/>
            <w:vAlign w:val="center"/>
          </w:tcPr>
          <w:p>
            <w:pPr>
              <w:autoSpaceDE w:val="0"/>
              <w:autoSpaceDN w:val="0"/>
              <w:jc w:val="center"/>
              <w:rPr>
                <w:rFonts w:hint="default" w:ascii="Times New Roman" w:hAnsi="Times New Roman" w:eastAsia="宋体" w:cs="Times New Roman"/>
                <w:color w:val="auto"/>
                <w:kern w:val="0"/>
                <w:sz w:val="21"/>
                <w:szCs w:val="21"/>
                <w:highlight w:val="none"/>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052" w:type="dxa"/>
            <w:vMerge w:val="continue"/>
            <w:noWrap w:val="0"/>
            <w:vAlign w:val="center"/>
          </w:tcPr>
          <w:p>
            <w:pPr>
              <w:ind w:left="107"/>
              <w:jc w:val="center"/>
              <w:rPr>
                <w:rFonts w:hint="default" w:ascii="Times New Roman" w:hAnsi="Times New Roman" w:eastAsia="宋体" w:cs="Times New Roman"/>
                <w:color w:val="auto"/>
                <w:sz w:val="21"/>
                <w:szCs w:val="21"/>
                <w:highlight w:val="none"/>
              </w:rPr>
            </w:pPr>
          </w:p>
        </w:tc>
        <w:tc>
          <w:tcPr>
            <w:tcW w:w="1858" w:type="dxa"/>
            <w:vMerge w:val="continue"/>
            <w:tcBorders>
              <w:top w:val="nil"/>
            </w:tcBorders>
            <w:noWrap w:val="0"/>
            <w:vAlign w:val="center"/>
          </w:tcPr>
          <w:p>
            <w:pPr>
              <w:ind w:left="107"/>
              <w:jc w:val="center"/>
              <w:rPr>
                <w:rFonts w:hint="default" w:ascii="Times New Roman" w:hAnsi="Times New Roman" w:eastAsia="宋体" w:cs="Times New Roman"/>
                <w:color w:val="auto"/>
                <w:sz w:val="21"/>
                <w:szCs w:val="21"/>
                <w:highlight w:val="none"/>
              </w:rPr>
            </w:pPr>
          </w:p>
        </w:tc>
        <w:tc>
          <w:tcPr>
            <w:tcW w:w="1855" w:type="dxa"/>
            <w:noWrap w:val="0"/>
            <w:vAlign w:val="center"/>
          </w:tcPr>
          <w:p>
            <w:pPr>
              <w:ind w:left="107"/>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24小时平均</w:t>
            </w:r>
          </w:p>
        </w:tc>
        <w:tc>
          <w:tcPr>
            <w:tcW w:w="1873" w:type="dxa"/>
            <w:noWrap w:val="0"/>
            <w:vAlign w:val="center"/>
          </w:tcPr>
          <w:p>
            <w:pPr>
              <w:ind w:left="107"/>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150μg/m</w:t>
            </w:r>
            <w:r>
              <w:rPr>
                <w:rFonts w:hint="default" w:ascii="Times New Roman" w:hAnsi="Times New Roman" w:eastAsia="宋体" w:cs="Times New Roman"/>
                <w:color w:val="auto"/>
                <w:sz w:val="21"/>
                <w:szCs w:val="21"/>
                <w:highlight w:val="none"/>
                <w:vertAlign w:val="superscript"/>
                <w:lang w:val="en-US"/>
              </w:rPr>
              <w:t>3</w:t>
            </w:r>
          </w:p>
        </w:tc>
        <w:tc>
          <w:tcPr>
            <w:tcW w:w="2149" w:type="dxa"/>
            <w:vMerge w:val="continue"/>
            <w:noWrap w:val="0"/>
            <w:vAlign w:val="center"/>
          </w:tcPr>
          <w:p>
            <w:pPr>
              <w:autoSpaceDE w:val="0"/>
              <w:autoSpaceDN w:val="0"/>
              <w:jc w:val="center"/>
              <w:rPr>
                <w:rFonts w:hint="default" w:ascii="Times New Roman" w:hAnsi="Times New Roman" w:eastAsia="宋体" w:cs="Times New Roman"/>
                <w:color w:val="auto"/>
                <w:kern w:val="0"/>
                <w:sz w:val="21"/>
                <w:szCs w:val="21"/>
                <w:highlight w:val="none"/>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052" w:type="dxa"/>
            <w:vMerge w:val="continue"/>
            <w:noWrap w:val="0"/>
            <w:vAlign w:val="center"/>
          </w:tcPr>
          <w:p>
            <w:pPr>
              <w:ind w:left="107"/>
              <w:jc w:val="center"/>
              <w:rPr>
                <w:rFonts w:hint="default" w:ascii="Times New Roman" w:hAnsi="Times New Roman" w:eastAsia="宋体" w:cs="Times New Roman"/>
                <w:color w:val="auto"/>
                <w:sz w:val="21"/>
                <w:szCs w:val="21"/>
                <w:highlight w:val="none"/>
              </w:rPr>
            </w:pPr>
          </w:p>
        </w:tc>
        <w:tc>
          <w:tcPr>
            <w:tcW w:w="1858" w:type="dxa"/>
            <w:vMerge w:val="continue"/>
            <w:tcBorders>
              <w:top w:val="nil"/>
            </w:tcBorders>
            <w:noWrap w:val="0"/>
            <w:vAlign w:val="center"/>
          </w:tcPr>
          <w:p>
            <w:pPr>
              <w:ind w:left="107"/>
              <w:jc w:val="center"/>
              <w:rPr>
                <w:rFonts w:hint="default" w:ascii="Times New Roman" w:hAnsi="Times New Roman" w:eastAsia="宋体" w:cs="Times New Roman"/>
                <w:color w:val="auto"/>
                <w:sz w:val="21"/>
                <w:szCs w:val="21"/>
                <w:highlight w:val="none"/>
              </w:rPr>
            </w:pPr>
          </w:p>
        </w:tc>
        <w:tc>
          <w:tcPr>
            <w:tcW w:w="1855" w:type="dxa"/>
            <w:noWrap w:val="0"/>
            <w:vAlign w:val="center"/>
          </w:tcPr>
          <w:p>
            <w:pPr>
              <w:ind w:left="107"/>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1小时平均</w:t>
            </w:r>
          </w:p>
        </w:tc>
        <w:tc>
          <w:tcPr>
            <w:tcW w:w="1873" w:type="dxa"/>
            <w:noWrap w:val="0"/>
            <w:vAlign w:val="center"/>
          </w:tcPr>
          <w:p>
            <w:pPr>
              <w:ind w:left="107"/>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500μg/m</w:t>
            </w:r>
            <w:r>
              <w:rPr>
                <w:rFonts w:hint="default" w:ascii="Times New Roman" w:hAnsi="Times New Roman" w:eastAsia="宋体" w:cs="Times New Roman"/>
                <w:color w:val="auto"/>
                <w:sz w:val="21"/>
                <w:szCs w:val="21"/>
                <w:highlight w:val="none"/>
                <w:vertAlign w:val="superscript"/>
                <w:lang w:val="en-US"/>
              </w:rPr>
              <w:t>3</w:t>
            </w:r>
          </w:p>
        </w:tc>
        <w:tc>
          <w:tcPr>
            <w:tcW w:w="2149" w:type="dxa"/>
            <w:vMerge w:val="continue"/>
            <w:noWrap w:val="0"/>
            <w:vAlign w:val="center"/>
          </w:tcPr>
          <w:p>
            <w:pPr>
              <w:autoSpaceDE w:val="0"/>
              <w:autoSpaceDN w:val="0"/>
              <w:jc w:val="center"/>
              <w:rPr>
                <w:rFonts w:hint="default" w:ascii="Times New Roman" w:hAnsi="Times New Roman" w:eastAsia="宋体" w:cs="Times New Roman"/>
                <w:color w:val="auto"/>
                <w:kern w:val="0"/>
                <w:sz w:val="21"/>
                <w:szCs w:val="21"/>
                <w:highlight w:val="none"/>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052" w:type="dxa"/>
            <w:vMerge w:val="continue"/>
            <w:noWrap w:val="0"/>
            <w:vAlign w:val="center"/>
          </w:tcPr>
          <w:p>
            <w:pPr>
              <w:ind w:left="107"/>
              <w:jc w:val="center"/>
              <w:rPr>
                <w:rFonts w:hint="default" w:ascii="Times New Roman" w:hAnsi="Times New Roman" w:eastAsia="宋体" w:cs="Times New Roman"/>
                <w:color w:val="auto"/>
                <w:sz w:val="21"/>
                <w:szCs w:val="21"/>
                <w:highlight w:val="none"/>
              </w:rPr>
            </w:pPr>
          </w:p>
        </w:tc>
        <w:tc>
          <w:tcPr>
            <w:tcW w:w="1858" w:type="dxa"/>
            <w:vMerge w:val="restart"/>
            <w:noWrap w:val="0"/>
            <w:vAlign w:val="center"/>
          </w:tcPr>
          <w:p>
            <w:pPr>
              <w:ind w:left="107"/>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NO</w:t>
            </w:r>
            <w:r>
              <w:rPr>
                <w:rFonts w:hint="default" w:ascii="Times New Roman" w:hAnsi="Times New Roman" w:eastAsia="宋体" w:cs="Times New Roman"/>
                <w:color w:val="auto"/>
                <w:sz w:val="21"/>
                <w:szCs w:val="21"/>
                <w:highlight w:val="none"/>
                <w:vertAlign w:val="subscript"/>
              </w:rPr>
              <w:t>2</w:t>
            </w:r>
          </w:p>
        </w:tc>
        <w:tc>
          <w:tcPr>
            <w:tcW w:w="1855" w:type="dxa"/>
            <w:noWrap w:val="0"/>
            <w:vAlign w:val="center"/>
          </w:tcPr>
          <w:p>
            <w:pPr>
              <w:ind w:left="107"/>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年平均</w:t>
            </w:r>
          </w:p>
        </w:tc>
        <w:tc>
          <w:tcPr>
            <w:tcW w:w="1873" w:type="dxa"/>
            <w:noWrap w:val="0"/>
            <w:vAlign w:val="center"/>
          </w:tcPr>
          <w:p>
            <w:pPr>
              <w:ind w:left="107"/>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40μg/m</w:t>
            </w:r>
            <w:r>
              <w:rPr>
                <w:rFonts w:hint="default" w:ascii="Times New Roman" w:hAnsi="Times New Roman" w:eastAsia="宋体" w:cs="Times New Roman"/>
                <w:color w:val="auto"/>
                <w:sz w:val="21"/>
                <w:szCs w:val="21"/>
                <w:highlight w:val="none"/>
                <w:vertAlign w:val="superscript"/>
                <w:lang w:val="en-US"/>
              </w:rPr>
              <w:t>3</w:t>
            </w:r>
          </w:p>
        </w:tc>
        <w:tc>
          <w:tcPr>
            <w:tcW w:w="2149" w:type="dxa"/>
            <w:vMerge w:val="continue"/>
            <w:noWrap w:val="0"/>
            <w:vAlign w:val="center"/>
          </w:tcPr>
          <w:p>
            <w:pPr>
              <w:autoSpaceDE w:val="0"/>
              <w:autoSpaceDN w:val="0"/>
              <w:jc w:val="center"/>
              <w:rPr>
                <w:rFonts w:hint="default" w:ascii="Times New Roman" w:hAnsi="Times New Roman" w:eastAsia="宋体" w:cs="Times New Roman"/>
                <w:color w:val="auto"/>
                <w:kern w:val="0"/>
                <w:sz w:val="21"/>
                <w:szCs w:val="21"/>
                <w:highlight w:val="none"/>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052" w:type="dxa"/>
            <w:vMerge w:val="continue"/>
            <w:noWrap w:val="0"/>
            <w:vAlign w:val="center"/>
          </w:tcPr>
          <w:p>
            <w:pPr>
              <w:ind w:left="107"/>
              <w:jc w:val="center"/>
              <w:rPr>
                <w:rFonts w:hint="default" w:ascii="Times New Roman" w:hAnsi="Times New Roman" w:eastAsia="宋体" w:cs="Times New Roman"/>
                <w:color w:val="auto"/>
                <w:sz w:val="21"/>
                <w:szCs w:val="21"/>
                <w:highlight w:val="none"/>
              </w:rPr>
            </w:pPr>
          </w:p>
        </w:tc>
        <w:tc>
          <w:tcPr>
            <w:tcW w:w="1858" w:type="dxa"/>
            <w:vMerge w:val="continue"/>
            <w:tcBorders>
              <w:top w:val="nil"/>
            </w:tcBorders>
            <w:noWrap w:val="0"/>
            <w:vAlign w:val="center"/>
          </w:tcPr>
          <w:p>
            <w:pPr>
              <w:ind w:left="107"/>
              <w:jc w:val="center"/>
              <w:rPr>
                <w:rFonts w:hint="default" w:ascii="Times New Roman" w:hAnsi="Times New Roman" w:eastAsia="宋体" w:cs="Times New Roman"/>
                <w:color w:val="auto"/>
                <w:sz w:val="21"/>
                <w:szCs w:val="21"/>
                <w:highlight w:val="none"/>
              </w:rPr>
            </w:pPr>
          </w:p>
        </w:tc>
        <w:tc>
          <w:tcPr>
            <w:tcW w:w="1855" w:type="dxa"/>
            <w:noWrap w:val="0"/>
            <w:vAlign w:val="center"/>
          </w:tcPr>
          <w:p>
            <w:pPr>
              <w:ind w:left="107"/>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24小时平均</w:t>
            </w:r>
          </w:p>
        </w:tc>
        <w:tc>
          <w:tcPr>
            <w:tcW w:w="1873" w:type="dxa"/>
            <w:noWrap w:val="0"/>
            <w:vAlign w:val="center"/>
          </w:tcPr>
          <w:p>
            <w:pPr>
              <w:ind w:left="107"/>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80μg/m</w:t>
            </w:r>
            <w:r>
              <w:rPr>
                <w:rFonts w:hint="default" w:ascii="Times New Roman" w:hAnsi="Times New Roman" w:eastAsia="宋体" w:cs="Times New Roman"/>
                <w:color w:val="auto"/>
                <w:sz w:val="21"/>
                <w:szCs w:val="21"/>
                <w:highlight w:val="none"/>
                <w:vertAlign w:val="superscript"/>
                <w:lang w:val="en-US"/>
              </w:rPr>
              <w:t>3</w:t>
            </w:r>
          </w:p>
        </w:tc>
        <w:tc>
          <w:tcPr>
            <w:tcW w:w="2149" w:type="dxa"/>
            <w:vMerge w:val="continue"/>
            <w:noWrap w:val="0"/>
            <w:vAlign w:val="center"/>
          </w:tcPr>
          <w:p>
            <w:pPr>
              <w:autoSpaceDE w:val="0"/>
              <w:autoSpaceDN w:val="0"/>
              <w:jc w:val="center"/>
              <w:rPr>
                <w:rFonts w:hint="default" w:ascii="Times New Roman" w:hAnsi="Times New Roman" w:eastAsia="宋体" w:cs="Times New Roman"/>
                <w:color w:val="auto"/>
                <w:kern w:val="0"/>
                <w:sz w:val="21"/>
                <w:szCs w:val="21"/>
                <w:highlight w:val="none"/>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052" w:type="dxa"/>
            <w:vMerge w:val="continue"/>
            <w:noWrap w:val="0"/>
            <w:vAlign w:val="center"/>
          </w:tcPr>
          <w:p>
            <w:pPr>
              <w:ind w:left="107"/>
              <w:jc w:val="center"/>
              <w:rPr>
                <w:rFonts w:hint="default" w:ascii="Times New Roman" w:hAnsi="Times New Roman" w:eastAsia="宋体" w:cs="Times New Roman"/>
                <w:color w:val="auto"/>
                <w:sz w:val="21"/>
                <w:szCs w:val="21"/>
                <w:highlight w:val="none"/>
              </w:rPr>
            </w:pPr>
          </w:p>
        </w:tc>
        <w:tc>
          <w:tcPr>
            <w:tcW w:w="1858" w:type="dxa"/>
            <w:vMerge w:val="continue"/>
            <w:tcBorders>
              <w:top w:val="nil"/>
            </w:tcBorders>
            <w:noWrap w:val="0"/>
            <w:vAlign w:val="center"/>
          </w:tcPr>
          <w:p>
            <w:pPr>
              <w:ind w:left="107"/>
              <w:jc w:val="center"/>
              <w:rPr>
                <w:rFonts w:hint="default" w:ascii="Times New Roman" w:hAnsi="Times New Roman" w:eastAsia="宋体" w:cs="Times New Roman"/>
                <w:color w:val="auto"/>
                <w:sz w:val="21"/>
                <w:szCs w:val="21"/>
                <w:highlight w:val="none"/>
              </w:rPr>
            </w:pPr>
          </w:p>
        </w:tc>
        <w:tc>
          <w:tcPr>
            <w:tcW w:w="1855" w:type="dxa"/>
            <w:noWrap w:val="0"/>
            <w:vAlign w:val="center"/>
          </w:tcPr>
          <w:p>
            <w:pPr>
              <w:ind w:left="107"/>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1小时平均</w:t>
            </w:r>
          </w:p>
        </w:tc>
        <w:tc>
          <w:tcPr>
            <w:tcW w:w="1873" w:type="dxa"/>
            <w:noWrap w:val="0"/>
            <w:vAlign w:val="center"/>
          </w:tcPr>
          <w:p>
            <w:pPr>
              <w:ind w:left="107"/>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200μg/m</w:t>
            </w:r>
            <w:r>
              <w:rPr>
                <w:rFonts w:hint="default" w:ascii="Times New Roman" w:hAnsi="Times New Roman" w:eastAsia="宋体" w:cs="Times New Roman"/>
                <w:color w:val="auto"/>
                <w:sz w:val="21"/>
                <w:szCs w:val="21"/>
                <w:highlight w:val="none"/>
                <w:vertAlign w:val="superscript"/>
                <w:lang w:val="en-US"/>
              </w:rPr>
              <w:t>3</w:t>
            </w:r>
          </w:p>
        </w:tc>
        <w:tc>
          <w:tcPr>
            <w:tcW w:w="2149" w:type="dxa"/>
            <w:vMerge w:val="continue"/>
            <w:noWrap w:val="0"/>
            <w:vAlign w:val="center"/>
          </w:tcPr>
          <w:p>
            <w:pPr>
              <w:autoSpaceDE w:val="0"/>
              <w:autoSpaceDN w:val="0"/>
              <w:jc w:val="center"/>
              <w:rPr>
                <w:rFonts w:hint="default" w:ascii="Times New Roman" w:hAnsi="Times New Roman" w:eastAsia="宋体" w:cs="Times New Roman"/>
                <w:color w:val="auto"/>
                <w:kern w:val="0"/>
                <w:sz w:val="21"/>
                <w:szCs w:val="21"/>
                <w:highlight w:val="none"/>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052" w:type="dxa"/>
            <w:vMerge w:val="continue"/>
            <w:noWrap w:val="0"/>
            <w:vAlign w:val="center"/>
          </w:tcPr>
          <w:p>
            <w:pPr>
              <w:ind w:left="107"/>
              <w:jc w:val="center"/>
              <w:rPr>
                <w:rFonts w:hint="default" w:ascii="Times New Roman" w:hAnsi="Times New Roman" w:eastAsia="宋体" w:cs="Times New Roman"/>
                <w:color w:val="auto"/>
                <w:sz w:val="21"/>
                <w:szCs w:val="21"/>
                <w:highlight w:val="none"/>
              </w:rPr>
            </w:pPr>
          </w:p>
        </w:tc>
        <w:tc>
          <w:tcPr>
            <w:tcW w:w="1858" w:type="dxa"/>
            <w:vMerge w:val="restart"/>
            <w:noWrap w:val="0"/>
            <w:vAlign w:val="center"/>
          </w:tcPr>
          <w:p>
            <w:pPr>
              <w:ind w:left="107"/>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CO</w:t>
            </w:r>
          </w:p>
        </w:tc>
        <w:tc>
          <w:tcPr>
            <w:tcW w:w="1855" w:type="dxa"/>
            <w:noWrap w:val="0"/>
            <w:vAlign w:val="center"/>
          </w:tcPr>
          <w:p>
            <w:pPr>
              <w:ind w:left="107"/>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24小时平均</w:t>
            </w:r>
          </w:p>
        </w:tc>
        <w:tc>
          <w:tcPr>
            <w:tcW w:w="1873" w:type="dxa"/>
            <w:noWrap w:val="0"/>
            <w:vAlign w:val="center"/>
          </w:tcPr>
          <w:p>
            <w:pPr>
              <w:ind w:left="107"/>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4mg/m</w:t>
            </w:r>
            <w:r>
              <w:rPr>
                <w:rFonts w:hint="default" w:ascii="Times New Roman" w:hAnsi="Times New Roman" w:eastAsia="宋体" w:cs="Times New Roman"/>
                <w:color w:val="auto"/>
                <w:sz w:val="21"/>
                <w:szCs w:val="21"/>
                <w:highlight w:val="none"/>
                <w:vertAlign w:val="superscript"/>
                <w:lang w:val="en-US"/>
              </w:rPr>
              <w:t>3</w:t>
            </w:r>
          </w:p>
        </w:tc>
        <w:tc>
          <w:tcPr>
            <w:tcW w:w="2149" w:type="dxa"/>
            <w:vMerge w:val="continue"/>
            <w:noWrap w:val="0"/>
            <w:vAlign w:val="center"/>
          </w:tcPr>
          <w:p>
            <w:pPr>
              <w:autoSpaceDE w:val="0"/>
              <w:autoSpaceDN w:val="0"/>
              <w:jc w:val="center"/>
              <w:rPr>
                <w:rFonts w:hint="default" w:ascii="Times New Roman" w:hAnsi="Times New Roman" w:eastAsia="宋体" w:cs="Times New Roman"/>
                <w:color w:val="auto"/>
                <w:sz w:val="21"/>
                <w:szCs w:val="21"/>
                <w:highlight w:val="none"/>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052" w:type="dxa"/>
            <w:vMerge w:val="continue"/>
            <w:noWrap w:val="0"/>
            <w:vAlign w:val="center"/>
          </w:tcPr>
          <w:p>
            <w:pPr>
              <w:ind w:left="107"/>
              <w:jc w:val="center"/>
              <w:rPr>
                <w:rFonts w:hint="default" w:ascii="Times New Roman" w:hAnsi="Times New Roman" w:eastAsia="宋体" w:cs="Times New Roman"/>
                <w:color w:val="auto"/>
                <w:sz w:val="21"/>
                <w:szCs w:val="21"/>
                <w:highlight w:val="none"/>
              </w:rPr>
            </w:pPr>
          </w:p>
        </w:tc>
        <w:tc>
          <w:tcPr>
            <w:tcW w:w="1858" w:type="dxa"/>
            <w:vMerge w:val="continue"/>
            <w:tcBorders>
              <w:top w:val="nil"/>
            </w:tcBorders>
            <w:noWrap w:val="0"/>
            <w:vAlign w:val="center"/>
          </w:tcPr>
          <w:p>
            <w:pPr>
              <w:ind w:left="107"/>
              <w:jc w:val="center"/>
              <w:rPr>
                <w:rFonts w:hint="default" w:ascii="Times New Roman" w:hAnsi="Times New Roman" w:eastAsia="宋体" w:cs="Times New Roman"/>
                <w:color w:val="auto"/>
                <w:sz w:val="21"/>
                <w:szCs w:val="21"/>
                <w:highlight w:val="none"/>
              </w:rPr>
            </w:pPr>
          </w:p>
        </w:tc>
        <w:tc>
          <w:tcPr>
            <w:tcW w:w="1855" w:type="dxa"/>
            <w:noWrap w:val="0"/>
            <w:vAlign w:val="center"/>
          </w:tcPr>
          <w:p>
            <w:pPr>
              <w:ind w:left="107"/>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1小时平均</w:t>
            </w:r>
          </w:p>
        </w:tc>
        <w:tc>
          <w:tcPr>
            <w:tcW w:w="1873" w:type="dxa"/>
            <w:noWrap w:val="0"/>
            <w:vAlign w:val="center"/>
          </w:tcPr>
          <w:p>
            <w:pPr>
              <w:ind w:left="107"/>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10mg/m</w:t>
            </w:r>
            <w:r>
              <w:rPr>
                <w:rFonts w:hint="default" w:ascii="Times New Roman" w:hAnsi="Times New Roman" w:eastAsia="宋体" w:cs="Times New Roman"/>
                <w:color w:val="auto"/>
                <w:sz w:val="21"/>
                <w:szCs w:val="21"/>
                <w:highlight w:val="none"/>
                <w:vertAlign w:val="superscript"/>
                <w:lang w:val="en-US"/>
              </w:rPr>
              <w:t>3</w:t>
            </w:r>
          </w:p>
        </w:tc>
        <w:tc>
          <w:tcPr>
            <w:tcW w:w="2149" w:type="dxa"/>
            <w:vMerge w:val="continue"/>
            <w:noWrap w:val="0"/>
            <w:vAlign w:val="center"/>
          </w:tcPr>
          <w:p>
            <w:pPr>
              <w:autoSpaceDE w:val="0"/>
              <w:autoSpaceDN w:val="0"/>
              <w:jc w:val="center"/>
              <w:rPr>
                <w:rFonts w:hint="default" w:ascii="Times New Roman" w:hAnsi="Times New Roman" w:eastAsia="宋体" w:cs="Times New Roman"/>
                <w:color w:val="auto"/>
                <w:kern w:val="0"/>
                <w:sz w:val="21"/>
                <w:szCs w:val="21"/>
                <w:highlight w:val="none"/>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052" w:type="dxa"/>
            <w:vMerge w:val="continue"/>
            <w:noWrap w:val="0"/>
            <w:vAlign w:val="center"/>
          </w:tcPr>
          <w:p>
            <w:pPr>
              <w:ind w:left="107"/>
              <w:jc w:val="center"/>
              <w:rPr>
                <w:rFonts w:hint="default" w:ascii="Times New Roman" w:hAnsi="Times New Roman" w:eastAsia="宋体" w:cs="Times New Roman"/>
                <w:color w:val="auto"/>
                <w:sz w:val="21"/>
                <w:szCs w:val="21"/>
                <w:highlight w:val="none"/>
              </w:rPr>
            </w:pPr>
          </w:p>
        </w:tc>
        <w:tc>
          <w:tcPr>
            <w:tcW w:w="1858" w:type="dxa"/>
            <w:vMerge w:val="restart"/>
            <w:noWrap w:val="0"/>
            <w:vAlign w:val="center"/>
          </w:tcPr>
          <w:p>
            <w:pPr>
              <w:ind w:left="107"/>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O</w:t>
            </w:r>
            <w:r>
              <w:rPr>
                <w:rFonts w:hint="default" w:ascii="Times New Roman" w:hAnsi="Times New Roman" w:eastAsia="宋体" w:cs="Times New Roman"/>
                <w:color w:val="auto"/>
                <w:sz w:val="21"/>
                <w:szCs w:val="21"/>
                <w:highlight w:val="none"/>
                <w:vertAlign w:val="subscript"/>
              </w:rPr>
              <w:t>3</w:t>
            </w:r>
          </w:p>
        </w:tc>
        <w:tc>
          <w:tcPr>
            <w:tcW w:w="1855" w:type="dxa"/>
            <w:noWrap w:val="0"/>
            <w:vAlign w:val="center"/>
          </w:tcPr>
          <w:p>
            <w:pPr>
              <w:ind w:left="107"/>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日最大8小时平均</w:t>
            </w:r>
          </w:p>
        </w:tc>
        <w:tc>
          <w:tcPr>
            <w:tcW w:w="1873" w:type="dxa"/>
            <w:noWrap w:val="0"/>
            <w:vAlign w:val="center"/>
          </w:tcPr>
          <w:p>
            <w:pPr>
              <w:ind w:left="107"/>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160μg/m</w:t>
            </w:r>
            <w:r>
              <w:rPr>
                <w:rFonts w:hint="default" w:ascii="Times New Roman" w:hAnsi="Times New Roman" w:eastAsia="宋体" w:cs="Times New Roman"/>
                <w:color w:val="auto"/>
                <w:sz w:val="21"/>
                <w:szCs w:val="21"/>
                <w:highlight w:val="none"/>
                <w:vertAlign w:val="superscript"/>
                <w:lang w:val="en-US"/>
              </w:rPr>
              <w:t>3</w:t>
            </w:r>
          </w:p>
        </w:tc>
        <w:tc>
          <w:tcPr>
            <w:tcW w:w="2149" w:type="dxa"/>
            <w:vMerge w:val="continue"/>
            <w:noWrap w:val="0"/>
            <w:vAlign w:val="center"/>
          </w:tcPr>
          <w:p>
            <w:pPr>
              <w:autoSpaceDE w:val="0"/>
              <w:autoSpaceDN w:val="0"/>
              <w:jc w:val="center"/>
              <w:rPr>
                <w:rFonts w:hint="default" w:ascii="Times New Roman" w:hAnsi="Times New Roman" w:eastAsia="宋体" w:cs="Times New Roman"/>
                <w:color w:val="auto"/>
                <w:kern w:val="0"/>
                <w:sz w:val="21"/>
                <w:szCs w:val="21"/>
                <w:highlight w:val="none"/>
                <w:lang w:val="zh-CN" w:bidi="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052" w:type="dxa"/>
            <w:vMerge w:val="continue"/>
            <w:noWrap w:val="0"/>
            <w:vAlign w:val="center"/>
          </w:tcPr>
          <w:p>
            <w:pPr>
              <w:ind w:left="107"/>
              <w:jc w:val="center"/>
              <w:rPr>
                <w:rFonts w:hint="default" w:ascii="Times New Roman" w:hAnsi="Times New Roman" w:eastAsia="宋体" w:cs="Times New Roman"/>
                <w:color w:val="auto"/>
                <w:sz w:val="21"/>
                <w:szCs w:val="21"/>
                <w:highlight w:val="none"/>
              </w:rPr>
            </w:pPr>
          </w:p>
        </w:tc>
        <w:tc>
          <w:tcPr>
            <w:tcW w:w="1858" w:type="dxa"/>
            <w:vMerge w:val="continue"/>
            <w:tcBorders>
              <w:top w:val="nil"/>
            </w:tcBorders>
            <w:noWrap w:val="0"/>
            <w:vAlign w:val="center"/>
          </w:tcPr>
          <w:p>
            <w:pPr>
              <w:ind w:left="107"/>
              <w:jc w:val="center"/>
              <w:rPr>
                <w:rFonts w:hint="default" w:ascii="Times New Roman" w:hAnsi="Times New Roman" w:eastAsia="宋体" w:cs="Times New Roman"/>
                <w:color w:val="auto"/>
                <w:sz w:val="21"/>
                <w:szCs w:val="21"/>
                <w:highlight w:val="none"/>
              </w:rPr>
            </w:pPr>
          </w:p>
        </w:tc>
        <w:tc>
          <w:tcPr>
            <w:tcW w:w="1855" w:type="dxa"/>
            <w:noWrap w:val="0"/>
            <w:vAlign w:val="center"/>
          </w:tcPr>
          <w:p>
            <w:pPr>
              <w:ind w:left="107"/>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24小时平均</w:t>
            </w:r>
          </w:p>
        </w:tc>
        <w:tc>
          <w:tcPr>
            <w:tcW w:w="1873" w:type="dxa"/>
            <w:noWrap w:val="0"/>
            <w:vAlign w:val="center"/>
          </w:tcPr>
          <w:p>
            <w:pPr>
              <w:ind w:left="107"/>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200μg/m</w:t>
            </w:r>
            <w:r>
              <w:rPr>
                <w:rFonts w:hint="default" w:ascii="Times New Roman" w:hAnsi="Times New Roman" w:eastAsia="宋体" w:cs="Times New Roman"/>
                <w:color w:val="auto"/>
                <w:sz w:val="21"/>
                <w:szCs w:val="21"/>
                <w:highlight w:val="none"/>
                <w:vertAlign w:val="superscript"/>
                <w:lang w:val="en-US"/>
              </w:rPr>
              <w:t>3</w:t>
            </w:r>
          </w:p>
        </w:tc>
        <w:tc>
          <w:tcPr>
            <w:tcW w:w="2149" w:type="dxa"/>
            <w:vMerge w:val="continue"/>
            <w:noWrap w:val="0"/>
            <w:vAlign w:val="center"/>
          </w:tcPr>
          <w:p>
            <w:pPr>
              <w:autoSpaceDE w:val="0"/>
              <w:autoSpaceDN w:val="0"/>
              <w:jc w:val="center"/>
              <w:rPr>
                <w:rFonts w:hint="default" w:ascii="Times New Roman" w:hAnsi="Times New Roman" w:eastAsia="宋体" w:cs="Times New Roman"/>
                <w:color w:val="auto"/>
                <w:kern w:val="0"/>
                <w:sz w:val="21"/>
                <w:szCs w:val="21"/>
                <w:highlight w:val="none"/>
                <w:lang w:val="zh-CN" w:bidi="zh-CN"/>
              </w:rPr>
            </w:pPr>
          </w:p>
        </w:tc>
      </w:tr>
    </w:tbl>
    <w:p>
      <w:pPr>
        <w:pageBreakBefore w:val="0"/>
        <w:wordWrap/>
        <w:bidi w:val="0"/>
        <w:spacing w:line="360" w:lineRule="auto"/>
        <w:ind w:left="0" w:leftChars="0" w:right="0" w:rightChars="0"/>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1.5.1.2声环境</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bookmarkStart w:id="255" w:name="_Toc288306162"/>
      <w:bookmarkStart w:id="256" w:name="_Toc246850537"/>
      <w:r>
        <w:rPr>
          <w:rFonts w:hint="default" w:ascii="Times New Roman" w:hAnsi="Times New Roman" w:eastAsia="宋体" w:cs="Times New Roman"/>
          <w:color w:val="auto"/>
          <w:sz w:val="24"/>
          <w:highlight w:val="none"/>
        </w:rPr>
        <w:t>本项目位于《声环境质量标准》（GB3096-2008</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规定的2类区</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执行2类标准</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详见表1-</w:t>
      </w:r>
      <w:r>
        <w:rPr>
          <w:rFonts w:hint="default" w:ascii="Times New Roman" w:hAnsi="Times New Roman" w:eastAsia="宋体" w:cs="Times New Roman"/>
          <w:color w:val="auto"/>
          <w:sz w:val="24"/>
          <w:highlight w:val="none"/>
          <w:lang w:val="en-US" w:eastAsia="zh-CN"/>
        </w:rPr>
        <w:t>23</w:t>
      </w:r>
      <w:r>
        <w:rPr>
          <w:rFonts w:hint="default" w:ascii="Times New Roman" w:hAnsi="Times New Roman" w:eastAsia="宋体" w:cs="Times New Roman"/>
          <w:color w:val="auto"/>
          <w:sz w:val="24"/>
          <w:highlight w:val="none"/>
        </w:rPr>
        <w:t>。</w:t>
      </w:r>
    </w:p>
    <w:p>
      <w:pPr>
        <w:pageBreakBefore w:val="0"/>
        <w:tabs>
          <w:tab w:val="left" w:pos="3062"/>
        </w:tabs>
        <w:wordWrap/>
        <w:bidi w:val="0"/>
        <w:spacing w:line="360" w:lineRule="auto"/>
        <w:ind w:left="0" w:leftChars="0" w:right="0" w:rightChars="0"/>
        <w:jc w:val="center"/>
        <w:rPr>
          <w:rFonts w:hint="default" w:ascii="Times New Roman" w:hAnsi="Times New Roman" w:eastAsia="宋体" w:cs="Times New Roman"/>
          <w:b/>
          <w:bCs/>
          <w:color w:val="auto"/>
          <w:sz w:val="24"/>
          <w:highlight w:val="none"/>
          <w:lang w:eastAsia="zh-CN"/>
        </w:rPr>
      </w:pPr>
      <w:r>
        <w:rPr>
          <w:rFonts w:hint="default" w:ascii="Times New Roman" w:hAnsi="Times New Roman" w:eastAsia="宋体" w:cs="Times New Roman"/>
          <w:b/>
          <w:bCs/>
          <w:color w:val="auto"/>
          <w:sz w:val="24"/>
          <w:highlight w:val="none"/>
        </w:rPr>
        <w:t>表1-</w:t>
      </w:r>
      <w:r>
        <w:rPr>
          <w:rFonts w:hint="default" w:ascii="Times New Roman" w:hAnsi="Times New Roman" w:eastAsia="宋体" w:cs="Times New Roman"/>
          <w:b/>
          <w:bCs/>
          <w:color w:val="auto"/>
          <w:sz w:val="24"/>
          <w:highlight w:val="none"/>
          <w:lang w:val="en-US" w:eastAsia="zh-CN"/>
        </w:rPr>
        <w:t>23</w:t>
      </w:r>
      <w:r>
        <w:rPr>
          <w:rFonts w:hint="default" w:ascii="Times New Roman" w:hAnsi="Times New Roman" w:eastAsia="宋体" w:cs="Times New Roman"/>
          <w:b/>
          <w:bCs/>
          <w:color w:val="auto"/>
          <w:sz w:val="24"/>
          <w:highlight w:val="none"/>
        </w:rPr>
        <w:t>声环境质量标准（摘录</w:t>
      </w:r>
      <w:r>
        <w:rPr>
          <w:rFonts w:hint="default" w:ascii="Times New Roman" w:hAnsi="Times New Roman" w:eastAsia="宋体" w:cs="Times New Roman"/>
          <w:b/>
          <w:bCs/>
          <w:color w:val="auto"/>
          <w:sz w:val="24"/>
          <w:highlight w:val="none"/>
          <w:lang w:eastAsia="zh-CN"/>
        </w:rPr>
        <w:t>）</w:t>
      </w:r>
      <w:r>
        <w:rPr>
          <w:rFonts w:hint="default" w:ascii="Times New Roman" w:hAnsi="Times New Roman" w:eastAsia="宋体" w:cs="Times New Roman"/>
          <w:b/>
          <w:bCs/>
          <w:color w:val="auto"/>
          <w:sz w:val="24"/>
          <w:highlight w:val="none"/>
        </w:rPr>
        <w:t>单位dB</w:t>
      </w:r>
      <w:r>
        <w:rPr>
          <w:rFonts w:hint="default" w:ascii="Times New Roman" w:hAnsi="Times New Roman" w:eastAsia="宋体" w:cs="Times New Roman"/>
          <w:b/>
          <w:bCs/>
          <w:color w:val="auto"/>
          <w:sz w:val="24"/>
          <w:highlight w:val="none"/>
          <w:lang w:eastAsia="zh-CN"/>
        </w:rPr>
        <w:t>（A）</w:t>
      </w:r>
    </w:p>
    <w:tbl>
      <w:tblPr>
        <w:tblStyle w:val="54"/>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28" w:type="dxa"/>
          <w:bottom w:w="0" w:type="dxa"/>
          <w:right w:w="28" w:type="dxa"/>
        </w:tblCellMar>
      </w:tblPr>
      <w:tblGrid>
        <w:gridCol w:w="2045"/>
        <w:gridCol w:w="1664"/>
        <w:gridCol w:w="1767"/>
        <w:gridCol w:w="288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trPr>
        <w:tc>
          <w:tcPr>
            <w:tcW w:w="2047" w:type="dxa"/>
            <w:tcBorders>
              <w:top w:val="single" w:color="auto" w:sz="4" w:space="0"/>
              <w:left w:val="single" w:color="auto" w:sz="4" w:space="0"/>
              <w:bottom w:val="single" w:color="auto" w:sz="4" w:space="0"/>
              <w:righ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时段</w:t>
            </w:r>
          </w:p>
        </w:tc>
        <w:tc>
          <w:tcPr>
            <w:tcW w:w="1665" w:type="dxa"/>
            <w:tcBorders>
              <w:top w:val="single" w:color="auto" w:sz="4" w:space="0"/>
              <w:left w:val="single" w:color="auto" w:sz="4" w:space="0"/>
              <w:bottom w:val="single" w:color="auto" w:sz="4" w:space="0"/>
              <w:righ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昼间</w:t>
            </w:r>
          </w:p>
        </w:tc>
        <w:tc>
          <w:tcPr>
            <w:tcW w:w="1768" w:type="dxa"/>
            <w:tcBorders>
              <w:top w:val="single" w:color="auto" w:sz="4" w:space="0"/>
              <w:left w:val="single" w:color="auto" w:sz="4" w:space="0"/>
              <w:bottom w:val="single" w:color="auto" w:sz="4" w:space="0"/>
              <w:righ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夜间</w:t>
            </w:r>
          </w:p>
        </w:tc>
        <w:tc>
          <w:tcPr>
            <w:tcW w:w="2888" w:type="dxa"/>
            <w:tcBorders>
              <w:top w:val="single" w:color="auto" w:sz="4" w:space="0"/>
              <w:left w:val="single" w:color="auto" w:sz="4" w:space="0"/>
              <w:bottom w:val="single" w:color="auto" w:sz="4" w:space="0"/>
              <w:righ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备注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trPr>
        <w:tc>
          <w:tcPr>
            <w:tcW w:w="2047" w:type="dxa"/>
            <w:tcBorders>
              <w:top w:val="single" w:color="auto" w:sz="4" w:space="0"/>
              <w:left w:val="single" w:color="auto" w:sz="4" w:space="0"/>
              <w:bottom w:val="single" w:color="auto" w:sz="4" w:space="0"/>
              <w:righ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标准限值</w:t>
            </w:r>
          </w:p>
        </w:tc>
        <w:tc>
          <w:tcPr>
            <w:tcW w:w="1665" w:type="dxa"/>
            <w:tcBorders>
              <w:top w:val="single" w:color="auto" w:sz="4" w:space="0"/>
              <w:left w:val="single" w:color="auto" w:sz="4" w:space="0"/>
              <w:bottom w:val="single" w:color="auto" w:sz="4" w:space="0"/>
              <w:righ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60</w:t>
            </w:r>
          </w:p>
        </w:tc>
        <w:tc>
          <w:tcPr>
            <w:tcW w:w="1768" w:type="dxa"/>
            <w:tcBorders>
              <w:top w:val="single" w:color="auto" w:sz="4" w:space="0"/>
              <w:left w:val="single" w:color="auto" w:sz="4" w:space="0"/>
              <w:bottom w:val="single" w:color="auto" w:sz="4" w:space="0"/>
              <w:righ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50</w:t>
            </w:r>
          </w:p>
        </w:tc>
        <w:tc>
          <w:tcPr>
            <w:tcW w:w="2888" w:type="dxa"/>
            <w:tcBorders>
              <w:top w:val="single" w:color="auto" w:sz="4" w:space="0"/>
              <w:left w:val="single" w:color="auto" w:sz="4" w:space="0"/>
              <w:bottom w:val="single" w:color="auto" w:sz="4" w:space="0"/>
              <w:righ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GB3096-2008中2类</w:t>
            </w:r>
          </w:p>
        </w:tc>
      </w:tr>
    </w:tbl>
    <w:p>
      <w:pPr>
        <w:pageBreakBefore w:val="0"/>
        <w:wordWrap/>
        <w:bidi w:val="0"/>
        <w:spacing w:line="360" w:lineRule="auto"/>
        <w:ind w:left="0" w:leftChars="0" w:right="0" w:rightChars="0"/>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1.5.1.3地下水环境</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本项目地下水质量标准执行《地下水质量标准》（GB/T14848-2017</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中</w:t>
      </w:r>
      <w:r>
        <w:rPr>
          <w:rFonts w:hint="default" w:ascii="Times New Roman" w:hAnsi="Times New Roman" w:eastAsia="宋体" w:cs="Times New Roman"/>
          <w:color w:val="auto"/>
          <w:sz w:val="24"/>
          <w:highlight w:val="none"/>
          <w:lang w:eastAsia="zh-CN"/>
        </w:rPr>
        <w:t>Ⅲ</w:t>
      </w:r>
      <w:r>
        <w:rPr>
          <w:rFonts w:hint="default" w:ascii="Times New Roman" w:hAnsi="Times New Roman" w:eastAsia="宋体" w:cs="Times New Roman"/>
          <w:color w:val="auto"/>
          <w:sz w:val="24"/>
          <w:highlight w:val="none"/>
        </w:rPr>
        <w:t>类标准</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详见表1-</w:t>
      </w:r>
      <w:r>
        <w:rPr>
          <w:rFonts w:hint="default" w:ascii="Times New Roman" w:hAnsi="Times New Roman" w:eastAsia="宋体" w:cs="Times New Roman"/>
          <w:color w:val="auto"/>
          <w:sz w:val="24"/>
          <w:highlight w:val="none"/>
          <w:lang w:val="en-US" w:eastAsia="zh-CN"/>
        </w:rPr>
        <w:t>24</w:t>
      </w:r>
      <w:r>
        <w:rPr>
          <w:rFonts w:hint="default" w:ascii="Times New Roman" w:hAnsi="Times New Roman" w:eastAsia="宋体" w:cs="Times New Roman"/>
          <w:color w:val="auto"/>
          <w:sz w:val="24"/>
          <w:highlight w:val="none"/>
        </w:rPr>
        <w:t>。</w:t>
      </w:r>
    </w:p>
    <w:p>
      <w:pPr>
        <w:pageBreakBefore w:val="0"/>
        <w:tabs>
          <w:tab w:val="left" w:pos="3062"/>
        </w:tabs>
        <w:wordWrap/>
        <w:bidi w:val="0"/>
        <w:spacing w:line="360" w:lineRule="auto"/>
        <w:ind w:left="0" w:leftChars="0" w:right="0" w:rightChars="0"/>
        <w:jc w:val="center"/>
        <w:rPr>
          <w:rFonts w:hint="default" w:ascii="Times New Roman" w:hAnsi="Times New Roman" w:eastAsia="宋体" w:cs="Times New Roman"/>
          <w:b/>
          <w:bCs/>
          <w:color w:val="auto"/>
          <w:sz w:val="24"/>
          <w:highlight w:val="none"/>
          <w:lang w:eastAsia="zh-CN"/>
        </w:rPr>
      </w:pPr>
      <w:r>
        <w:rPr>
          <w:rFonts w:hint="default" w:ascii="Times New Roman" w:hAnsi="Times New Roman" w:eastAsia="宋体" w:cs="Times New Roman"/>
          <w:b/>
          <w:bCs/>
          <w:color w:val="auto"/>
          <w:sz w:val="24"/>
          <w:highlight w:val="none"/>
        </w:rPr>
        <w:t>表1-</w:t>
      </w:r>
      <w:r>
        <w:rPr>
          <w:rFonts w:hint="default" w:ascii="Times New Roman" w:hAnsi="Times New Roman" w:eastAsia="宋体" w:cs="Times New Roman"/>
          <w:b/>
          <w:bCs/>
          <w:color w:val="auto"/>
          <w:sz w:val="24"/>
          <w:highlight w:val="none"/>
          <w:lang w:val="en-US" w:eastAsia="zh-CN"/>
        </w:rPr>
        <w:t>24</w:t>
      </w:r>
      <w:r>
        <w:rPr>
          <w:rFonts w:hint="default" w:ascii="Times New Roman" w:hAnsi="Times New Roman" w:eastAsia="宋体" w:cs="Times New Roman"/>
          <w:b/>
          <w:bCs/>
          <w:color w:val="auto"/>
          <w:sz w:val="24"/>
          <w:highlight w:val="none"/>
        </w:rPr>
        <w:t>地下水质量标准（摘录</w:t>
      </w:r>
      <w:r>
        <w:rPr>
          <w:rFonts w:hint="default" w:ascii="Times New Roman" w:hAnsi="Times New Roman" w:eastAsia="宋体" w:cs="Times New Roman"/>
          <w:b/>
          <w:bCs/>
          <w:color w:val="auto"/>
          <w:sz w:val="24"/>
          <w:highlight w:val="none"/>
          <w:lang w:eastAsia="zh-CN"/>
        </w:rPr>
        <w:t>）</w:t>
      </w:r>
    </w:p>
    <w:tbl>
      <w:tblPr>
        <w:tblStyle w:val="5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1597"/>
        <w:gridCol w:w="1597"/>
        <w:gridCol w:w="1599"/>
        <w:gridCol w:w="1599"/>
        <w:gridCol w:w="19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40" w:hRule="atLeast"/>
          <w:jc w:val="center"/>
        </w:trPr>
        <w:tc>
          <w:tcPr>
            <w:tcW w:w="955"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环境要素</w:t>
            </w:r>
          </w:p>
        </w:tc>
        <w:tc>
          <w:tcPr>
            <w:tcW w:w="955"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污染物名称</w:t>
            </w:r>
          </w:p>
        </w:tc>
        <w:tc>
          <w:tcPr>
            <w:tcW w:w="956"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标准值</w:t>
            </w:r>
          </w:p>
        </w:tc>
        <w:tc>
          <w:tcPr>
            <w:tcW w:w="956"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单位</w:t>
            </w:r>
          </w:p>
        </w:tc>
        <w:tc>
          <w:tcPr>
            <w:tcW w:w="1177"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标准来源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40" w:hRule="atLeast"/>
          <w:jc w:val="center"/>
        </w:trPr>
        <w:tc>
          <w:tcPr>
            <w:tcW w:w="955" w:type="pct"/>
            <w:vMerge w:val="restar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地下水</w:t>
            </w:r>
          </w:p>
        </w:tc>
        <w:tc>
          <w:tcPr>
            <w:tcW w:w="955"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pH</w:t>
            </w:r>
          </w:p>
        </w:tc>
        <w:tc>
          <w:tcPr>
            <w:tcW w:w="956" w:type="pct"/>
            <w:vAlign w:val="center"/>
          </w:tcPr>
          <w:p>
            <w:pPr>
              <w:pageBreakBefore w:val="0"/>
              <w:widowControl/>
              <w:tabs>
                <w:tab w:val="left" w:pos="0"/>
              </w:tabs>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6.5~8.5</w:t>
            </w:r>
          </w:p>
        </w:tc>
        <w:tc>
          <w:tcPr>
            <w:tcW w:w="956"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无量纲</w:t>
            </w:r>
          </w:p>
        </w:tc>
        <w:tc>
          <w:tcPr>
            <w:tcW w:w="1177" w:type="pct"/>
            <w:vMerge w:val="restar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《地下水质量标准》（GB/T14848-2017</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中</w:t>
            </w:r>
            <w:r>
              <w:rPr>
                <w:rFonts w:hint="default" w:ascii="Times New Roman" w:hAnsi="Times New Roman" w:eastAsia="宋体" w:cs="Times New Roman"/>
                <w:color w:val="auto"/>
                <w:sz w:val="21"/>
                <w:szCs w:val="21"/>
                <w:highlight w:val="none"/>
                <w:lang w:eastAsia="zh-CN"/>
              </w:rPr>
              <w:t>Ⅲ</w:t>
            </w:r>
            <w:r>
              <w:rPr>
                <w:rFonts w:hint="default" w:ascii="Times New Roman" w:hAnsi="Times New Roman" w:eastAsia="宋体" w:cs="Times New Roman"/>
                <w:color w:val="auto"/>
                <w:sz w:val="21"/>
                <w:szCs w:val="21"/>
                <w:highlight w:val="none"/>
              </w:rPr>
              <w:t>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40" w:hRule="atLeast"/>
          <w:jc w:val="center"/>
        </w:trPr>
        <w:tc>
          <w:tcPr>
            <w:tcW w:w="955" w:type="pct"/>
            <w:vMerge w:val="continue"/>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955"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rPr>
              <w:t>总硬度</w:t>
            </w:r>
          </w:p>
        </w:tc>
        <w:tc>
          <w:tcPr>
            <w:tcW w:w="956" w:type="pct"/>
            <w:vAlign w:val="center"/>
          </w:tcPr>
          <w:p>
            <w:pPr>
              <w:pageBreakBefore w:val="0"/>
              <w:widowControl/>
              <w:tabs>
                <w:tab w:val="left" w:pos="0"/>
              </w:tabs>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450</w:t>
            </w:r>
          </w:p>
        </w:tc>
        <w:tc>
          <w:tcPr>
            <w:tcW w:w="956"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rPr>
              <w:t>mg/L</w:t>
            </w:r>
          </w:p>
        </w:tc>
        <w:tc>
          <w:tcPr>
            <w:tcW w:w="1177" w:type="pct"/>
            <w:vMerge w:val="continue"/>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40" w:hRule="atLeast"/>
          <w:jc w:val="center"/>
        </w:trPr>
        <w:tc>
          <w:tcPr>
            <w:tcW w:w="955" w:type="pct"/>
            <w:vMerge w:val="continue"/>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955"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rPr>
              <w:t>溶解性总固体</w:t>
            </w:r>
          </w:p>
        </w:tc>
        <w:tc>
          <w:tcPr>
            <w:tcW w:w="956" w:type="pct"/>
            <w:vAlign w:val="center"/>
          </w:tcPr>
          <w:p>
            <w:pPr>
              <w:pageBreakBefore w:val="0"/>
              <w:widowControl/>
              <w:tabs>
                <w:tab w:val="left" w:pos="0"/>
              </w:tabs>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1000</w:t>
            </w:r>
          </w:p>
        </w:tc>
        <w:tc>
          <w:tcPr>
            <w:tcW w:w="956"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rPr>
              <w:t>mg/L</w:t>
            </w:r>
          </w:p>
        </w:tc>
        <w:tc>
          <w:tcPr>
            <w:tcW w:w="1177" w:type="pct"/>
            <w:vMerge w:val="continue"/>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40" w:hRule="atLeast"/>
          <w:jc w:val="center"/>
        </w:trPr>
        <w:tc>
          <w:tcPr>
            <w:tcW w:w="955" w:type="pct"/>
            <w:vMerge w:val="continue"/>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955"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rPr>
              <w:t>耗氧量</w:t>
            </w:r>
          </w:p>
        </w:tc>
        <w:tc>
          <w:tcPr>
            <w:tcW w:w="956" w:type="pct"/>
            <w:vAlign w:val="center"/>
          </w:tcPr>
          <w:p>
            <w:pPr>
              <w:pageBreakBefore w:val="0"/>
              <w:widowControl/>
              <w:tabs>
                <w:tab w:val="left" w:pos="0"/>
              </w:tabs>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3.0</w:t>
            </w:r>
          </w:p>
        </w:tc>
        <w:tc>
          <w:tcPr>
            <w:tcW w:w="956"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rPr>
              <w:t>mg/L</w:t>
            </w:r>
          </w:p>
        </w:tc>
        <w:tc>
          <w:tcPr>
            <w:tcW w:w="1177" w:type="pct"/>
            <w:vMerge w:val="continue"/>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40" w:hRule="atLeast"/>
          <w:jc w:val="center"/>
        </w:trPr>
        <w:tc>
          <w:tcPr>
            <w:tcW w:w="955" w:type="pct"/>
            <w:vMerge w:val="continue"/>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955"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rPr>
              <w:t>氟化物</w:t>
            </w:r>
          </w:p>
        </w:tc>
        <w:tc>
          <w:tcPr>
            <w:tcW w:w="956" w:type="pct"/>
            <w:vAlign w:val="center"/>
          </w:tcPr>
          <w:p>
            <w:pPr>
              <w:pageBreakBefore w:val="0"/>
              <w:widowControl/>
              <w:tabs>
                <w:tab w:val="left" w:pos="0"/>
              </w:tabs>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w:t>
            </w:r>
          </w:p>
        </w:tc>
        <w:tc>
          <w:tcPr>
            <w:tcW w:w="956"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rPr>
              <w:t>mg/L</w:t>
            </w:r>
          </w:p>
        </w:tc>
        <w:tc>
          <w:tcPr>
            <w:tcW w:w="1177" w:type="pct"/>
            <w:vMerge w:val="continue"/>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40" w:hRule="atLeast"/>
          <w:jc w:val="center"/>
        </w:trPr>
        <w:tc>
          <w:tcPr>
            <w:tcW w:w="955" w:type="pct"/>
            <w:vMerge w:val="continue"/>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955"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rPr>
              <w:t>硝酸盐氮</w:t>
            </w:r>
          </w:p>
        </w:tc>
        <w:tc>
          <w:tcPr>
            <w:tcW w:w="956" w:type="pct"/>
            <w:vAlign w:val="center"/>
          </w:tcPr>
          <w:p>
            <w:pPr>
              <w:pageBreakBefore w:val="0"/>
              <w:widowControl/>
              <w:tabs>
                <w:tab w:val="left" w:pos="0"/>
              </w:tabs>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20.0</w:t>
            </w:r>
          </w:p>
        </w:tc>
        <w:tc>
          <w:tcPr>
            <w:tcW w:w="956"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rPr>
              <w:t>mg/L</w:t>
            </w:r>
          </w:p>
        </w:tc>
        <w:tc>
          <w:tcPr>
            <w:tcW w:w="1177" w:type="pct"/>
            <w:vMerge w:val="continue"/>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40" w:hRule="atLeast"/>
          <w:jc w:val="center"/>
        </w:trPr>
        <w:tc>
          <w:tcPr>
            <w:tcW w:w="955" w:type="pct"/>
            <w:vMerge w:val="continue"/>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955"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亚硝酸盐氮</w:t>
            </w:r>
          </w:p>
        </w:tc>
        <w:tc>
          <w:tcPr>
            <w:tcW w:w="956" w:type="pct"/>
            <w:vAlign w:val="center"/>
          </w:tcPr>
          <w:p>
            <w:pPr>
              <w:pageBreakBefore w:val="0"/>
              <w:widowControl/>
              <w:tabs>
                <w:tab w:val="left" w:pos="0"/>
              </w:tabs>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w:t>
            </w:r>
          </w:p>
        </w:tc>
        <w:tc>
          <w:tcPr>
            <w:tcW w:w="956"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mg/L</w:t>
            </w:r>
          </w:p>
        </w:tc>
        <w:tc>
          <w:tcPr>
            <w:tcW w:w="1177" w:type="pct"/>
            <w:vMerge w:val="continue"/>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40" w:hRule="atLeast"/>
          <w:jc w:val="center"/>
        </w:trPr>
        <w:tc>
          <w:tcPr>
            <w:tcW w:w="955" w:type="pct"/>
            <w:vMerge w:val="continue"/>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955"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rPr>
              <w:t>挥发酚</w:t>
            </w:r>
          </w:p>
        </w:tc>
        <w:tc>
          <w:tcPr>
            <w:tcW w:w="956" w:type="pct"/>
            <w:vAlign w:val="center"/>
          </w:tcPr>
          <w:p>
            <w:pPr>
              <w:pageBreakBefore w:val="0"/>
              <w:widowControl/>
              <w:tabs>
                <w:tab w:val="left" w:pos="0"/>
              </w:tabs>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0.002</w:t>
            </w:r>
          </w:p>
        </w:tc>
        <w:tc>
          <w:tcPr>
            <w:tcW w:w="956"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rPr>
              <w:t>mg/L</w:t>
            </w:r>
          </w:p>
        </w:tc>
        <w:tc>
          <w:tcPr>
            <w:tcW w:w="1177" w:type="pct"/>
            <w:vMerge w:val="continue"/>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40" w:hRule="atLeast"/>
          <w:jc w:val="center"/>
        </w:trPr>
        <w:tc>
          <w:tcPr>
            <w:tcW w:w="955" w:type="pct"/>
            <w:vMerge w:val="continue"/>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955"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氰化物</w:t>
            </w:r>
          </w:p>
        </w:tc>
        <w:tc>
          <w:tcPr>
            <w:tcW w:w="956" w:type="pct"/>
            <w:vAlign w:val="center"/>
          </w:tcPr>
          <w:p>
            <w:pPr>
              <w:pageBreakBefore w:val="0"/>
              <w:widowControl/>
              <w:tabs>
                <w:tab w:val="left" w:pos="0"/>
              </w:tabs>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bidi="ar"/>
              </w:rPr>
              <w:t>0.05</w:t>
            </w:r>
          </w:p>
        </w:tc>
        <w:tc>
          <w:tcPr>
            <w:tcW w:w="956"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mg/L</w:t>
            </w:r>
          </w:p>
        </w:tc>
        <w:tc>
          <w:tcPr>
            <w:tcW w:w="1177" w:type="pct"/>
            <w:vMerge w:val="continue"/>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40" w:hRule="atLeast"/>
          <w:jc w:val="center"/>
        </w:trPr>
        <w:tc>
          <w:tcPr>
            <w:tcW w:w="955" w:type="pct"/>
            <w:vMerge w:val="continue"/>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955"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pacing w:val="-10"/>
                <w:sz w:val="21"/>
                <w:szCs w:val="21"/>
                <w:highlight w:val="none"/>
              </w:rPr>
            </w:pPr>
            <w:r>
              <w:rPr>
                <w:rFonts w:hint="default" w:ascii="Times New Roman" w:hAnsi="Times New Roman" w:eastAsia="宋体" w:cs="Times New Roman"/>
                <w:bCs/>
                <w:color w:val="auto"/>
                <w:sz w:val="21"/>
                <w:szCs w:val="21"/>
                <w:highlight w:val="none"/>
              </w:rPr>
              <w:t>氨氮</w:t>
            </w:r>
          </w:p>
        </w:tc>
        <w:tc>
          <w:tcPr>
            <w:tcW w:w="956" w:type="pct"/>
            <w:vAlign w:val="center"/>
          </w:tcPr>
          <w:p>
            <w:pPr>
              <w:pageBreakBefore w:val="0"/>
              <w:widowControl/>
              <w:tabs>
                <w:tab w:val="left" w:pos="0"/>
              </w:tabs>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0.50</w:t>
            </w:r>
          </w:p>
        </w:tc>
        <w:tc>
          <w:tcPr>
            <w:tcW w:w="956"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rPr>
              <w:t>mg/L</w:t>
            </w:r>
          </w:p>
        </w:tc>
        <w:tc>
          <w:tcPr>
            <w:tcW w:w="1177" w:type="pct"/>
            <w:vMerge w:val="continue"/>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40" w:hRule="atLeast"/>
          <w:jc w:val="center"/>
        </w:trPr>
        <w:tc>
          <w:tcPr>
            <w:tcW w:w="955" w:type="pct"/>
            <w:vMerge w:val="continue"/>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955"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六价铬</w:t>
            </w:r>
          </w:p>
        </w:tc>
        <w:tc>
          <w:tcPr>
            <w:tcW w:w="956" w:type="pct"/>
            <w:vAlign w:val="center"/>
          </w:tcPr>
          <w:p>
            <w:pPr>
              <w:pageBreakBefore w:val="0"/>
              <w:widowControl/>
              <w:tabs>
                <w:tab w:val="left" w:pos="0"/>
              </w:tabs>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0.05</w:t>
            </w:r>
          </w:p>
        </w:tc>
        <w:tc>
          <w:tcPr>
            <w:tcW w:w="956"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mg/L</w:t>
            </w:r>
          </w:p>
        </w:tc>
        <w:tc>
          <w:tcPr>
            <w:tcW w:w="1177" w:type="pct"/>
            <w:vMerge w:val="continue"/>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40" w:hRule="atLeast"/>
          <w:jc w:val="center"/>
        </w:trPr>
        <w:tc>
          <w:tcPr>
            <w:tcW w:w="955" w:type="pct"/>
            <w:vMerge w:val="continue"/>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955"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砷</w:t>
            </w:r>
          </w:p>
        </w:tc>
        <w:tc>
          <w:tcPr>
            <w:tcW w:w="956" w:type="pct"/>
            <w:vAlign w:val="center"/>
          </w:tcPr>
          <w:p>
            <w:pPr>
              <w:pageBreakBefore w:val="0"/>
              <w:widowControl/>
              <w:tabs>
                <w:tab w:val="left" w:pos="0"/>
              </w:tabs>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0.01</w:t>
            </w:r>
          </w:p>
        </w:tc>
        <w:tc>
          <w:tcPr>
            <w:tcW w:w="956"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mg/L</w:t>
            </w:r>
          </w:p>
        </w:tc>
        <w:tc>
          <w:tcPr>
            <w:tcW w:w="1177" w:type="pct"/>
            <w:vMerge w:val="continue"/>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40" w:hRule="atLeast"/>
          <w:jc w:val="center"/>
        </w:trPr>
        <w:tc>
          <w:tcPr>
            <w:tcW w:w="955" w:type="pct"/>
            <w:vMerge w:val="continue"/>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955"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汞</w:t>
            </w:r>
          </w:p>
        </w:tc>
        <w:tc>
          <w:tcPr>
            <w:tcW w:w="956" w:type="pct"/>
            <w:vAlign w:val="center"/>
          </w:tcPr>
          <w:p>
            <w:pPr>
              <w:pageBreakBefore w:val="0"/>
              <w:widowControl/>
              <w:tabs>
                <w:tab w:val="left" w:pos="0"/>
              </w:tabs>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0.001</w:t>
            </w:r>
          </w:p>
        </w:tc>
        <w:tc>
          <w:tcPr>
            <w:tcW w:w="956"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mg/L</w:t>
            </w:r>
          </w:p>
        </w:tc>
        <w:tc>
          <w:tcPr>
            <w:tcW w:w="1177" w:type="pct"/>
            <w:vMerge w:val="continue"/>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40" w:hRule="atLeast"/>
          <w:jc w:val="center"/>
        </w:trPr>
        <w:tc>
          <w:tcPr>
            <w:tcW w:w="955" w:type="pct"/>
            <w:vMerge w:val="continue"/>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955"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铅</w:t>
            </w:r>
          </w:p>
        </w:tc>
        <w:tc>
          <w:tcPr>
            <w:tcW w:w="956" w:type="pct"/>
            <w:vAlign w:val="center"/>
          </w:tcPr>
          <w:p>
            <w:pPr>
              <w:pageBreakBefore w:val="0"/>
              <w:widowControl/>
              <w:tabs>
                <w:tab w:val="left" w:pos="0"/>
              </w:tabs>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0.01</w:t>
            </w:r>
          </w:p>
        </w:tc>
        <w:tc>
          <w:tcPr>
            <w:tcW w:w="956"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mg/L</w:t>
            </w:r>
          </w:p>
        </w:tc>
        <w:tc>
          <w:tcPr>
            <w:tcW w:w="1177" w:type="pct"/>
            <w:vMerge w:val="continue"/>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40" w:hRule="atLeast"/>
          <w:jc w:val="center"/>
        </w:trPr>
        <w:tc>
          <w:tcPr>
            <w:tcW w:w="955" w:type="pct"/>
            <w:vMerge w:val="continue"/>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955"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铁</w:t>
            </w:r>
          </w:p>
        </w:tc>
        <w:tc>
          <w:tcPr>
            <w:tcW w:w="956" w:type="pct"/>
            <w:vAlign w:val="center"/>
          </w:tcPr>
          <w:p>
            <w:pPr>
              <w:pageBreakBefore w:val="0"/>
              <w:widowControl/>
              <w:tabs>
                <w:tab w:val="left" w:pos="0"/>
              </w:tabs>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0.3</w:t>
            </w:r>
          </w:p>
        </w:tc>
        <w:tc>
          <w:tcPr>
            <w:tcW w:w="956"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mg/L</w:t>
            </w:r>
          </w:p>
        </w:tc>
        <w:tc>
          <w:tcPr>
            <w:tcW w:w="1177" w:type="pct"/>
            <w:vMerge w:val="continue"/>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40" w:hRule="atLeast"/>
          <w:jc w:val="center"/>
        </w:trPr>
        <w:tc>
          <w:tcPr>
            <w:tcW w:w="955" w:type="pct"/>
            <w:vMerge w:val="continue"/>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955"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锰</w:t>
            </w:r>
          </w:p>
        </w:tc>
        <w:tc>
          <w:tcPr>
            <w:tcW w:w="956" w:type="pct"/>
            <w:vAlign w:val="center"/>
          </w:tcPr>
          <w:p>
            <w:pPr>
              <w:pageBreakBefore w:val="0"/>
              <w:widowControl/>
              <w:tabs>
                <w:tab w:val="left" w:pos="0"/>
              </w:tabs>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0.10</w:t>
            </w:r>
          </w:p>
        </w:tc>
        <w:tc>
          <w:tcPr>
            <w:tcW w:w="956"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mg/L</w:t>
            </w:r>
          </w:p>
        </w:tc>
        <w:tc>
          <w:tcPr>
            <w:tcW w:w="1177" w:type="pct"/>
            <w:vMerge w:val="continue"/>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40" w:hRule="atLeast"/>
          <w:jc w:val="center"/>
        </w:trPr>
        <w:tc>
          <w:tcPr>
            <w:tcW w:w="955" w:type="pct"/>
            <w:vMerge w:val="continue"/>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955"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镉</w:t>
            </w:r>
          </w:p>
        </w:tc>
        <w:tc>
          <w:tcPr>
            <w:tcW w:w="956" w:type="pct"/>
            <w:vAlign w:val="center"/>
          </w:tcPr>
          <w:p>
            <w:pPr>
              <w:pageBreakBefore w:val="0"/>
              <w:widowControl/>
              <w:tabs>
                <w:tab w:val="left" w:pos="0"/>
              </w:tabs>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0.005</w:t>
            </w:r>
          </w:p>
        </w:tc>
        <w:tc>
          <w:tcPr>
            <w:tcW w:w="956"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mg/L</w:t>
            </w:r>
          </w:p>
        </w:tc>
        <w:tc>
          <w:tcPr>
            <w:tcW w:w="1177" w:type="pct"/>
            <w:vMerge w:val="continue"/>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40" w:hRule="atLeast"/>
          <w:jc w:val="center"/>
        </w:trPr>
        <w:tc>
          <w:tcPr>
            <w:tcW w:w="955" w:type="pct"/>
            <w:vMerge w:val="continue"/>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955"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锌</w:t>
            </w:r>
          </w:p>
        </w:tc>
        <w:tc>
          <w:tcPr>
            <w:tcW w:w="956" w:type="pct"/>
            <w:vAlign w:val="center"/>
          </w:tcPr>
          <w:p>
            <w:pPr>
              <w:pageBreakBefore w:val="0"/>
              <w:widowControl/>
              <w:tabs>
                <w:tab w:val="left" w:pos="0"/>
              </w:tabs>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1.00</w:t>
            </w:r>
          </w:p>
        </w:tc>
        <w:tc>
          <w:tcPr>
            <w:tcW w:w="956"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mg/L</w:t>
            </w:r>
          </w:p>
        </w:tc>
        <w:tc>
          <w:tcPr>
            <w:tcW w:w="1177" w:type="pct"/>
            <w:vMerge w:val="continue"/>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40" w:hRule="atLeast"/>
          <w:jc w:val="center"/>
        </w:trPr>
        <w:tc>
          <w:tcPr>
            <w:tcW w:w="955" w:type="pct"/>
            <w:vMerge w:val="continue"/>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955"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铜</w:t>
            </w:r>
          </w:p>
        </w:tc>
        <w:tc>
          <w:tcPr>
            <w:tcW w:w="956" w:type="pct"/>
            <w:vAlign w:val="center"/>
          </w:tcPr>
          <w:p>
            <w:pPr>
              <w:pageBreakBefore w:val="0"/>
              <w:widowControl/>
              <w:tabs>
                <w:tab w:val="left" w:pos="0"/>
              </w:tabs>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1.00</w:t>
            </w:r>
          </w:p>
        </w:tc>
        <w:tc>
          <w:tcPr>
            <w:tcW w:w="956"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mg/L</w:t>
            </w:r>
          </w:p>
        </w:tc>
        <w:tc>
          <w:tcPr>
            <w:tcW w:w="1177" w:type="pct"/>
            <w:vMerge w:val="continue"/>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40" w:hRule="atLeast"/>
          <w:jc w:val="center"/>
        </w:trPr>
        <w:tc>
          <w:tcPr>
            <w:tcW w:w="955" w:type="pct"/>
            <w:vMerge w:val="continue"/>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955"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pacing w:val="-1"/>
                <w:sz w:val="21"/>
                <w:szCs w:val="21"/>
                <w:highlight w:val="none"/>
              </w:rPr>
            </w:pPr>
            <w:r>
              <w:rPr>
                <w:rFonts w:hint="default" w:ascii="Times New Roman" w:hAnsi="Times New Roman" w:eastAsia="宋体" w:cs="Times New Roman"/>
                <w:color w:val="auto"/>
                <w:sz w:val="21"/>
                <w:szCs w:val="21"/>
                <w:highlight w:val="none"/>
              </w:rPr>
              <w:t>硒</w:t>
            </w:r>
          </w:p>
        </w:tc>
        <w:tc>
          <w:tcPr>
            <w:tcW w:w="956" w:type="pct"/>
            <w:vAlign w:val="center"/>
          </w:tcPr>
          <w:p>
            <w:pPr>
              <w:pageBreakBefore w:val="0"/>
              <w:widowControl/>
              <w:tabs>
                <w:tab w:val="left" w:pos="0"/>
              </w:tabs>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0.01</w:t>
            </w:r>
          </w:p>
        </w:tc>
        <w:tc>
          <w:tcPr>
            <w:tcW w:w="956"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mg/L</w:t>
            </w:r>
          </w:p>
        </w:tc>
        <w:tc>
          <w:tcPr>
            <w:tcW w:w="1177" w:type="pct"/>
            <w:vMerge w:val="continue"/>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40" w:hRule="atLeast"/>
          <w:jc w:val="center"/>
        </w:trPr>
        <w:tc>
          <w:tcPr>
            <w:tcW w:w="955" w:type="pct"/>
            <w:vMerge w:val="continue"/>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955"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lang w:val="zh-CN"/>
              </w:rPr>
            </w:pPr>
            <w:r>
              <w:rPr>
                <w:rFonts w:hint="default" w:ascii="Times New Roman" w:hAnsi="Times New Roman" w:eastAsia="宋体" w:cs="Times New Roman"/>
                <w:color w:val="auto"/>
                <w:sz w:val="21"/>
                <w:szCs w:val="21"/>
                <w:highlight w:val="none"/>
              </w:rPr>
              <w:t>总大肠菌群</w:t>
            </w:r>
          </w:p>
        </w:tc>
        <w:tc>
          <w:tcPr>
            <w:tcW w:w="956" w:type="pct"/>
            <w:vAlign w:val="center"/>
          </w:tcPr>
          <w:p>
            <w:pPr>
              <w:pageBreakBefore w:val="0"/>
              <w:widowControl/>
              <w:tabs>
                <w:tab w:val="left" w:pos="0"/>
              </w:tabs>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3.0</w:t>
            </w:r>
          </w:p>
        </w:tc>
        <w:tc>
          <w:tcPr>
            <w:tcW w:w="956"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MPN/100mL</w:t>
            </w:r>
          </w:p>
        </w:tc>
        <w:tc>
          <w:tcPr>
            <w:tcW w:w="1177" w:type="pct"/>
            <w:vMerge w:val="continue"/>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40" w:hRule="atLeast"/>
          <w:jc w:val="center"/>
        </w:trPr>
        <w:tc>
          <w:tcPr>
            <w:tcW w:w="955" w:type="pct"/>
            <w:vMerge w:val="continue"/>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955"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菌落总数</w:t>
            </w:r>
          </w:p>
        </w:tc>
        <w:tc>
          <w:tcPr>
            <w:tcW w:w="956" w:type="pct"/>
            <w:vAlign w:val="center"/>
          </w:tcPr>
          <w:p>
            <w:pPr>
              <w:pageBreakBefore w:val="0"/>
              <w:widowControl/>
              <w:tabs>
                <w:tab w:val="left" w:pos="0"/>
              </w:tabs>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100</w:t>
            </w:r>
          </w:p>
        </w:tc>
        <w:tc>
          <w:tcPr>
            <w:tcW w:w="956"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CFU/mL</w:t>
            </w:r>
          </w:p>
        </w:tc>
        <w:tc>
          <w:tcPr>
            <w:tcW w:w="1177" w:type="pct"/>
            <w:vMerge w:val="continue"/>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40" w:hRule="atLeast"/>
          <w:jc w:val="center"/>
        </w:trPr>
        <w:tc>
          <w:tcPr>
            <w:tcW w:w="955" w:type="pct"/>
            <w:vMerge w:val="continue"/>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955"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pacing w:val="-1"/>
                <w:sz w:val="21"/>
                <w:szCs w:val="21"/>
                <w:highlight w:val="none"/>
              </w:rPr>
            </w:pPr>
            <w:r>
              <w:rPr>
                <w:rFonts w:hint="default" w:ascii="Times New Roman" w:hAnsi="Times New Roman" w:eastAsia="宋体" w:cs="Times New Roman"/>
                <w:color w:val="auto"/>
                <w:sz w:val="21"/>
                <w:szCs w:val="21"/>
                <w:highlight w:val="none"/>
              </w:rPr>
              <w:t>钠</w:t>
            </w:r>
          </w:p>
        </w:tc>
        <w:tc>
          <w:tcPr>
            <w:tcW w:w="956" w:type="pct"/>
            <w:vAlign w:val="center"/>
          </w:tcPr>
          <w:p>
            <w:pPr>
              <w:pageBreakBefore w:val="0"/>
              <w:widowControl/>
              <w:tabs>
                <w:tab w:val="left" w:pos="0"/>
              </w:tabs>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200</w:t>
            </w:r>
          </w:p>
        </w:tc>
        <w:tc>
          <w:tcPr>
            <w:tcW w:w="956"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mg/L</w:t>
            </w:r>
          </w:p>
        </w:tc>
        <w:tc>
          <w:tcPr>
            <w:tcW w:w="1177" w:type="pct"/>
            <w:vMerge w:val="continue"/>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40" w:hRule="atLeast"/>
          <w:jc w:val="center"/>
        </w:trPr>
        <w:tc>
          <w:tcPr>
            <w:tcW w:w="955" w:type="pct"/>
            <w:vMerge w:val="continue"/>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955"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pacing w:val="-1"/>
                <w:sz w:val="21"/>
                <w:szCs w:val="21"/>
                <w:highlight w:val="none"/>
              </w:rPr>
            </w:pPr>
            <w:r>
              <w:rPr>
                <w:rFonts w:hint="default" w:ascii="Times New Roman" w:hAnsi="Times New Roman" w:eastAsia="宋体" w:cs="Times New Roman"/>
                <w:bCs/>
                <w:color w:val="auto"/>
                <w:sz w:val="21"/>
                <w:szCs w:val="21"/>
                <w:highlight w:val="none"/>
              </w:rPr>
              <w:t>氯化物</w:t>
            </w:r>
          </w:p>
        </w:tc>
        <w:tc>
          <w:tcPr>
            <w:tcW w:w="956" w:type="pct"/>
            <w:vAlign w:val="center"/>
          </w:tcPr>
          <w:p>
            <w:pPr>
              <w:pageBreakBefore w:val="0"/>
              <w:widowControl/>
              <w:tabs>
                <w:tab w:val="left" w:pos="0"/>
              </w:tabs>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250</w:t>
            </w:r>
          </w:p>
        </w:tc>
        <w:tc>
          <w:tcPr>
            <w:tcW w:w="956"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rPr>
              <w:t>mg/L</w:t>
            </w:r>
          </w:p>
        </w:tc>
        <w:tc>
          <w:tcPr>
            <w:tcW w:w="1177" w:type="pct"/>
            <w:vMerge w:val="continue"/>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40" w:hRule="atLeast"/>
          <w:jc w:val="center"/>
        </w:trPr>
        <w:tc>
          <w:tcPr>
            <w:tcW w:w="955" w:type="pct"/>
            <w:vMerge w:val="continue"/>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955"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sz w:val="21"/>
                <w:szCs w:val="21"/>
                <w:highlight w:val="none"/>
              </w:rPr>
              <w:t>硫酸盐</w:t>
            </w:r>
          </w:p>
        </w:tc>
        <w:tc>
          <w:tcPr>
            <w:tcW w:w="956" w:type="pct"/>
            <w:vAlign w:val="center"/>
          </w:tcPr>
          <w:p>
            <w:pPr>
              <w:pageBreakBefore w:val="0"/>
              <w:widowControl/>
              <w:tabs>
                <w:tab w:val="left" w:pos="0"/>
              </w:tabs>
              <w:wordWrap/>
              <w:bidi w:val="0"/>
              <w:adjustRightInd w:val="0"/>
              <w:snapToGrid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250</w:t>
            </w:r>
          </w:p>
        </w:tc>
        <w:tc>
          <w:tcPr>
            <w:tcW w:w="956"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Cs/>
                <w:color w:val="auto"/>
                <w:sz w:val="21"/>
                <w:szCs w:val="21"/>
                <w:highlight w:val="none"/>
              </w:rPr>
              <w:t>mg/L</w:t>
            </w:r>
          </w:p>
        </w:tc>
        <w:tc>
          <w:tcPr>
            <w:tcW w:w="1177" w:type="pct"/>
            <w:vMerge w:val="continue"/>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40" w:hRule="atLeast"/>
          <w:jc w:val="center"/>
        </w:trPr>
        <w:tc>
          <w:tcPr>
            <w:tcW w:w="955" w:type="pct"/>
            <w:vMerge w:val="continue"/>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955"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Cs/>
                <w:color w:val="auto"/>
                <w:sz w:val="21"/>
                <w:szCs w:val="21"/>
                <w:highlight w:val="none"/>
                <w:lang w:eastAsia="zh-CN"/>
              </w:rPr>
            </w:pPr>
            <w:r>
              <w:rPr>
                <w:rFonts w:hint="default" w:ascii="Times New Roman" w:hAnsi="Times New Roman" w:eastAsia="宋体" w:cs="Times New Roman"/>
                <w:bCs/>
                <w:color w:val="auto"/>
                <w:sz w:val="21"/>
                <w:szCs w:val="21"/>
                <w:highlight w:val="none"/>
                <w:lang w:eastAsia="zh-CN"/>
              </w:rPr>
              <w:t>钼</w:t>
            </w:r>
          </w:p>
        </w:tc>
        <w:tc>
          <w:tcPr>
            <w:tcW w:w="956" w:type="pct"/>
            <w:vAlign w:val="center"/>
          </w:tcPr>
          <w:p>
            <w:pPr>
              <w:pageBreakBefore w:val="0"/>
              <w:widowControl/>
              <w:tabs>
                <w:tab w:val="left" w:pos="0"/>
              </w:tabs>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0.07</w:t>
            </w:r>
          </w:p>
        </w:tc>
        <w:tc>
          <w:tcPr>
            <w:tcW w:w="956"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rPr>
              <w:t>mg/L</w:t>
            </w:r>
          </w:p>
        </w:tc>
        <w:tc>
          <w:tcPr>
            <w:tcW w:w="1177" w:type="pct"/>
            <w:vMerge w:val="continue"/>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r>
    </w:tbl>
    <w:p>
      <w:pPr>
        <w:pageBreakBefore w:val="0"/>
        <w:wordWrap/>
        <w:bidi w:val="0"/>
        <w:spacing w:line="360" w:lineRule="auto"/>
        <w:ind w:left="0" w:leftChars="0" w:right="0" w:rightChars="0"/>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1.5.1.4土壤环境</w:t>
      </w:r>
    </w:p>
    <w:p>
      <w:pPr>
        <w:pStyle w:val="21"/>
        <w:pageBreakBefore w:val="0"/>
        <w:wordWrap/>
        <w:bidi w:val="0"/>
        <w:adjustRightInd w:val="0"/>
        <w:snapToGrid w:val="0"/>
        <w:spacing w:after="0"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项目区建设用地土壤环境质量执行《土壤环境质量建设用地土壤污染风险管控标准（试行</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》（GB36600-2018</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根据标准中“4建设用地的分类”</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建设用地分为第一类建设用地和第二类建设用地</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其中第一类建设用地包括城市建设用地中的居住用地（R</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公共管理与公共服务用地中的中小学用地（A33</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医疗卫生用地（A5</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和社会福利设施用地（A6</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以及公园绿地（G1</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中的社区公园</w:t>
      </w:r>
      <w:r>
        <w:rPr>
          <w:rFonts w:hint="default" w:ascii="Times New Roman" w:hAnsi="Times New Roman" w:eastAsia="宋体" w:cs="Times New Roman"/>
          <w:color w:val="auto"/>
          <w:sz w:val="24"/>
          <w:highlight w:val="none"/>
          <w:lang w:eastAsia="zh-CN"/>
        </w:rPr>
        <w:t>或</w:t>
      </w:r>
      <w:r>
        <w:rPr>
          <w:rFonts w:hint="default" w:ascii="Times New Roman" w:hAnsi="Times New Roman" w:eastAsia="宋体" w:cs="Times New Roman"/>
          <w:color w:val="auto"/>
          <w:sz w:val="24"/>
          <w:highlight w:val="none"/>
        </w:rPr>
        <w:t>儿童公园用地等；第二类用地包括城市建设用地中的工业用地（M</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；物流仓储用地（W</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商业服务设施用地（B</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道路与交通设施用地（S</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公用设施用地（U</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公共管理与服务用地</w:t>
      </w:r>
      <w:r>
        <w:rPr>
          <w:rFonts w:hint="default" w:ascii="Times New Roman" w:hAnsi="Times New Roman" w:eastAsia="宋体" w:cs="Times New Roman"/>
          <w:color w:val="auto"/>
          <w:sz w:val="24"/>
          <w:highlight w:val="none"/>
          <w:lang w:eastAsia="zh-CN"/>
        </w:rPr>
        <w:t>（A）</w:t>
      </w:r>
      <w:r>
        <w:rPr>
          <w:rFonts w:hint="default" w:ascii="Times New Roman" w:hAnsi="Times New Roman" w:eastAsia="宋体" w:cs="Times New Roman"/>
          <w:color w:val="auto"/>
          <w:sz w:val="24"/>
          <w:highlight w:val="none"/>
        </w:rPr>
        <w:t>（A33、A5、A6除外</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以及绿地与广场用地（G</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（G1中的社区公园或公园用地除外</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项目内</w:t>
      </w:r>
      <w:r>
        <w:rPr>
          <w:rFonts w:hint="default" w:ascii="Times New Roman" w:hAnsi="Times New Roman" w:eastAsia="宋体" w:cs="Times New Roman"/>
          <w:color w:val="auto"/>
          <w:sz w:val="24"/>
          <w:highlight w:val="none"/>
          <w:lang w:eastAsia="zh-CN"/>
        </w:rPr>
        <w:t>属</w:t>
      </w:r>
      <w:r>
        <w:rPr>
          <w:rFonts w:hint="default" w:ascii="Times New Roman" w:hAnsi="Times New Roman" w:eastAsia="宋体" w:cs="Times New Roman"/>
          <w:color w:val="auto"/>
          <w:sz w:val="24"/>
          <w:highlight w:val="none"/>
        </w:rPr>
        <w:t>于第二类建设用地中的“城市建设用地中的工业用地（M</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因此执行二类用地的筛选值</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具体标准值见表1-</w:t>
      </w:r>
      <w:r>
        <w:rPr>
          <w:rFonts w:hint="default" w:ascii="Times New Roman" w:hAnsi="Times New Roman" w:eastAsia="宋体" w:cs="Times New Roman"/>
          <w:color w:val="auto"/>
          <w:sz w:val="24"/>
          <w:highlight w:val="none"/>
          <w:lang w:val="en-US" w:eastAsia="zh-CN"/>
        </w:rPr>
        <w:t>25</w:t>
      </w:r>
      <w:r>
        <w:rPr>
          <w:rFonts w:hint="default" w:ascii="Times New Roman" w:hAnsi="Times New Roman" w:eastAsia="宋体" w:cs="Times New Roman"/>
          <w:color w:val="auto"/>
          <w:sz w:val="24"/>
          <w:highlight w:val="none"/>
        </w:rPr>
        <w:t>。</w:t>
      </w:r>
    </w:p>
    <w:p>
      <w:pPr>
        <w:pageBreakBefore w:val="0"/>
        <w:tabs>
          <w:tab w:val="left" w:pos="3062"/>
        </w:tabs>
        <w:wordWrap/>
        <w:bidi w:val="0"/>
        <w:spacing w:line="360" w:lineRule="auto"/>
        <w:ind w:left="0" w:leftChars="0" w:right="0" w:rightChars="0"/>
        <w:jc w:val="center"/>
        <w:rPr>
          <w:rFonts w:hint="default" w:ascii="Times New Roman" w:hAnsi="Times New Roman" w:eastAsia="宋体" w:cs="Times New Roman"/>
          <w:b/>
          <w:bCs/>
          <w:color w:val="auto"/>
          <w:sz w:val="24"/>
          <w:highlight w:val="none"/>
        </w:rPr>
      </w:pPr>
    </w:p>
    <w:p>
      <w:pPr>
        <w:pageBreakBefore w:val="0"/>
        <w:tabs>
          <w:tab w:val="left" w:pos="3062"/>
        </w:tabs>
        <w:wordWrap/>
        <w:bidi w:val="0"/>
        <w:spacing w:line="360" w:lineRule="auto"/>
        <w:ind w:left="0" w:leftChars="0" w:right="0" w:rightChars="0"/>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表1-</w:t>
      </w:r>
      <w:r>
        <w:rPr>
          <w:rFonts w:hint="default" w:ascii="Times New Roman" w:hAnsi="Times New Roman" w:eastAsia="宋体" w:cs="Times New Roman"/>
          <w:b/>
          <w:bCs/>
          <w:color w:val="auto"/>
          <w:sz w:val="24"/>
          <w:highlight w:val="none"/>
          <w:lang w:val="en-US" w:eastAsia="zh-CN"/>
        </w:rPr>
        <w:t>25</w:t>
      </w:r>
      <w:r>
        <w:rPr>
          <w:rFonts w:hint="default" w:ascii="Times New Roman" w:hAnsi="Times New Roman" w:eastAsia="宋体" w:cs="Times New Roman"/>
          <w:b/>
          <w:bCs/>
          <w:color w:val="auto"/>
          <w:sz w:val="24"/>
          <w:highlight w:val="none"/>
        </w:rPr>
        <w:t>《</w:t>
      </w:r>
      <w:r>
        <w:rPr>
          <w:rFonts w:hint="default" w:ascii="Times New Roman" w:hAnsi="Times New Roman" w:eastAsia="宋体" w:cs="Times New Roman"/>
          <w:b/>
          <w:bCs/>
          <w:color w:val="auto"/>
          <w:sz w:val="24"/>
          <w:highlight w:val="none"/>
          <w:lang w:eastAsia="zh-CN"/>
        </w:rPr>
        <w:t>土壤环境质量建设用地土壤污染风险管控标准（试行）</w:t>
      </w:r>
      <w:r>
        <w:rPr>
          <w:rFonts w:hint="default" w:ascii="Times New Roman" w:hAnsi="Times New Roman" w:eastAsia="宋体" w:cs="Times New Roman"/>
          <w:b/>
          <w:bCs/>
          <w:color w:val="auto"/>
          <w:sz w:val="24"/>
          <w:highlight w:val="none"/>
        </w:rPr>
        <w:t>》单位</w:t>
      </w:r>
      <w:r>
        <w:rPr>
          <w:rFonts w:hint="default" w:ascii="Times New Roman" w:hAnsi="Times New Roman" w:eastAsia="宋体" w:cs="Times New Roman"/>
          <w:b/>
          <w:bCs/>
          <w:color w:val="auto"/>
          <w:sz w:val="24"/>
          <w:highlight w:val="none"/>
          <w:lang w:eastAsia="zh-CN"/>
        </w:rPr>
        <w:t>：</w:t>
      </w:r>
      <w:r>
        <w:rPr>
          <w:rFonts w:hint="default" w:ascii="Times New Roman" w:hAnsi="Times New Roman" w:eastAsia="宋体" w:cs="Times New Roman"/>
          <w:b/>
          <w:bCs/>
          <w:color w:val="auto"/>
          <w:sz w:val="24"/>
          <w:highlight w:val="none"/>
        </w:rPr>
        <w:t>mg/kg</w:t>
      </w:r>
    </w:p>
    <w:tbl>
      <w:tblPr>
        <w:tblStyle w:val="54"/>
        <w:tblW w:w="5000" w:type="pct"/>
        <w:jc w:val="center"/>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987"/>
        <w:gridCol w:w="3482"/>
        <w:gridCol w:w="2069"/>
        <w:gridCol w:w="1984"/>
      </w:tblGrid>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79" w:type="pct"/>
            <w:vMerge w:val="restar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b/>
                <w:color w:val="auto"/>
                <w:kern w:val="0"/>
                <w:szCs w:val="21"/>
                <w:highlight w:val="none"/>
              </w:rPr>
            </w:pPr>
            <w:r>
              <w:rPr>
                <w:rFonts w:hint="default" w:ascii="Times New Roman" w:hAnsi="Times New Roman" w:eastAsia="宋体" w:cs="Times New Roman"/>
                <w:b/>
                <w:color w:val="auto"/>
                <w:kern w:val="0"/>
                <w:szCs w:val="21"/>
                <w:highlight w:val="none"/>
              </w:rPr>
              <w:t>序号</w:t>
            </w:r>
          </w:p>
        </w:tc>
        <w:tc>
          <w:tcPr>
            <w:tcW w:w="2043" w:type="pct"/>
            <w:vMerge w:val="restar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b/>
                <w:color w:val="auto"/>
                <w:kern w:val="0"/>
                <w:szCs w:val="21"/>
                <w:highlight w:val="none"/>
              </w:rPr>
            </w:pPr>
            <w:r>
              <w:rPr>
                <w:rFonts w:hint="default" w:ascii="Times New Roman" w:hAnsi="Times New Roman" w:eastAsia="宋体" w:cs="Times New Roman"/>
                <w:b/>
                <w:color w:val="auto"/>
                <w:kern w:val="0"/>
                <w:szCs w:val="21"/>
                <w:highlight w:val="none"/>
              </w:rPr>
              <w:t>污染物项目</w:t>
            </w:r>
          </w:p>
        </w:tc>
        <w:tc>
          <w:tcPr>
            <w:tcW w:w="1214" w:type="pct"/>
            <w:vMerge w:val="restar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b/>
                <w:color w:val="auto"/>
                <w:kern w:val="0"/>
                <w:szCs w:val="21"/>
                <w:highlight w:val="none"/>
              </w:rPr>
            </w:pPr>
            <w:r>
              <w:rPr>
                <w:rFonts w:hint="default" w:ascii="Times New Roman" w:hAnsi="Times New Roman" w:eastAsia="宋体" w:cs="Times New Roman"/>
                <w:b/>
                <w:color w:val="auto"/>
                <w:kern w:val="0"/>
                <w:szCs w:val="21"/>
                <w:highlight w:val="none"/>
              </w:rPr>
              <w:t>CAS编号</w:t>
            </w:r>
          </w:p>
        </w:tc>
        <w:tc>
          <w:tcPr>
            <w:tcW w:w="1162"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b/>
                <w:color w:val="auto"/>
                <w:kern w:val="0"/>
                <w:szCs w:val="21"/>
                <w:highlight w:val="none"/>
              </w:rPr>
            </w:pPr>
            <w:r>
              <w:rPr>
                <w:rFonts w:hint="default" w:ascii="Times New Roman" w:hAnsi="Times New Roman" w:eastAsia="宋体" w:cs="Times New Roman"/>
                <w:b/>
                <w:color w:val="auto"/>
                <w:kern w:val="0"/>
                <w:szCs w:val="21"/>
                <w:highlight w:val="none"/>
              </w:rPr>
              <w:t>筛选值</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79" w:type="pct"/>
            <w:vMerge w:val="continue"/>
            <w:tcBorders>
              <w:top w:val="single" w:color="auto" w:sz="4" w:space="0"/>
              <w:left w:val="single" w:color="auto" w:sz="4" w:space="0"/>
              <w:bottom w:val="single" w:color="auto" w:sz="4" w:space="0"/>
              <w:right w:val="single" w:color="auto" w:sz="4" w:space="0"/>
            </w:tcBorders>
            <w:vAlign w:val="center"/>
          </w:tcPr>
          <w:p>
            <w:pPr>
              <w:pageBreakBefore w:val="0"/>
              <w:widowControl/>
              <w:wordWrap/>
              <w:bidi w:val="0"/>
              <w:adjustRightInd w:val="0"/>
              <w:snapToGrid w:val="0"/>
              <w:ind w:left="0" w:leftChars="0" w:right="0" w:rightChars="0"/>
              <w:jc w:val="left"/>
              <w:rPr>
                <w:rFonts w:hint="default" w:ascii="Times New Roman" w:hAnsi="Times New Roman" w:eastAsia="宋体" w:cs="Times New Roman"/>
                <w:b/>
                <w:color w:val="auto"/>
                <w:kern w:val="0"/>
                <w:szCs w:val="21"/>
                <w:highlight w:val="none"/>
              </w:rPr>
            </w:pPr>
          </w:p>
        </w:tc>
        <w:tc>
          <w:tcPr>
            <w:tcW w:w="2043" w:type="pct"/>
            <w:vMerge w:val="continue"/>
            <w:tcBorders>
              <w:top w:val="single" w:color="auto" w:sz="4" w:space="0"/>
              <w:left w:val="single" w:color="auto" w:sz="4" w:space="0"/>
              <w:bottom w:val="single" w:color="auto" w:sz="4" w:space="0"/>
              <w:right w:val="single" w:color="auto" w:sz="4" w:space="0"/>
            </w:tcBorders>
            <w:vAlign w:val="center"/>
          </w:tcPr>
          <w:p>
            <w:pPr>
              <w:pageBreakBefore w:val="0"/>
              <w:widowControl/>
              <w:wordWrap/>
              <w:bidi w:val="0"/>
              <w:adjustRightInd w:val="0"/>
              <w:snapToGrid w:val="0"/>
              <w:ind w:left="0" w:leftChars="0" w:right="0" w:rightChars="0"/>
              <w:jc w:val="left"/>
              <w:rPr>
                <w:rFonts w:hint="default" w:ascii="Times New Roman" w:hAnsi="Times New Roman" w:eastAsia="宋体" w:cs="Times New Roman"/>
                <w:b/>
                <w:color w:val="auto"/>
                <w:kern w:val="0"/>
                <w:szCs w:val="21"/>
                <w:highlight w:val="none"/>
              </w:rPr>
            </w:pPr>
          </w:p>
        </w:tc>
        <w:tc>
          <w:tcPr>
            <w:tcW w:w="1214" w:type="pct"/>
            <w:vMerge w:val="continue"/>
            <w:tcBorders>
              <w:top w:val="single" w:color="auto" w:sz="4" w:space="0"/>
              <w:left w:val="single" w:color="auto" w:sz="4" w:space="0"/>
              <w:bottom w:val="single" w:color="auto" w:sz="4" w:space="0"/>
              <w:right w:val="single" w:color="auto" w:sz="4" w:space="0"/>
            </w:tcBorders>
            <w:vAlign w:val="center"/>
          </w:tcPr>
          <w:p>
            <w:pPr>
              <w:pageBreakBefore w:val="0"/>
              <w:widowControl/>
              <w:wordWrap/>
              <w:bidi w:val="0"/>
              <w:adjustRightInd w:val="0"/>
              <w:snapToGrid w:val="0"/>
              <w:ind w:left="0" w:leftChars="0" w:right="0" w:rightChars="0"/>
              <w:jc w:val="left"/>
              <w:rPr>
                <w:rFonts w:hint="default" w:ascii="Times New Roman" w:hAnsi="Times New Roman" w:eastAsia="宋体" w:cs="Times New Roman"/>
                <w:b/>
                <w:color w:val="auto"/>
                <w:kern w:val="0"/>
                <w:szCs w:val="21"/>
                <w:highlight w:val="none"/>
              </w:rPr>
            </w:pPr>
          </w:p>
        </w:tc>
        <w:tc>
          <w:tcPr>
            <w:tcW w:w="1162"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b/>
                <w:color w:val="auto"/>
                <w:kern w:val="0"/>
                <w:szCs w:val="21"/>
                <w:highlight w:val="none"/>
              </w:rPr>
            </w:pPr>
            <w:r>
              <w:rPr>
                <w:rFonts w:hint="default" w:ascii="Times New Roman" w:hAnsi="Times New Roman" w:eastAsia="宋体" w:cs="Times New Roman"/>
                <w:b/>
                <w:color w:val="auto"/>
                <w:kern w:val="0"/>
                <w:szCs w:val="21"/>
                <w:highlight w:val="none"/>
              </w:rPr>
              <w:t>第二类用地</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000" w:type="pct"/>
            <w:gridSpan w:val="4"/>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重金</w:t>
            </w:r>
            <w:r>
              <w:rPr>
                <w:rFonts w:hint="default" w:ascii="Times New Roman" w:hAnsi="Times New Roman" w:eastAsia="宋体" w:cs="Times New Roman"/>
                <w:color w:val="auto"/>
                <w:kern w:val="0"/>
                <w:szCs w:val="21"/>
                <w:highlight w:val="none"/>
                <w:lang w:eastAsia="zh-CN"/>
              </w:rPr>
              <w:t>属</w:t>
            </w:r>
            <w:r>
              <w:rPr>
                <w:rFonts w:hint="default" w:ascii="Times New Roman" w:hAnsi="Times New Roman" w:eastAsia="宋体" w:cs="Times New Roman"/>
                <w:color w:val="auto"/>
                <w:kern w:val="0"/>
                <w:szCs w:val="21"/>
                <w:highlight w:val="none"/>
              </w:rPr>
              <w:t>和无机物</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79"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w:t>
            </w:r>
          </w:p>
        </w:tc>
        <w:tc>
          <w:tcPr>
            <w:tcW w:w="2043"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砷</w:t>
            </w:r>
          </w:p>
        </w:tc>
        <w:tc>
          <w:tcPr>
            <w:tcW w:w="1214"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7440-38-2</w:t>
            </w:r>
          </w:p>
        </w:tc>
        <w:tc>
          <w:tcPr>
            <w:tcW w:w="1162"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60①</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PrEx>
        <w:trPr>
          <w:trHeight w:val="340" w:hRule="atLeast"/>
          <w:jc w:val="center"/>
        </w:trPr>
        <w:tc>
          <w:tcPr>
            <w:tcW w:w="579"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2</w:t>
            </w:r>
          </w:p>
        </w:tc>
        <w:tc>
          <w:tcPr>
            <w:tcW w:w="2043"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镉</w:t>
            </w:r>
          </w:p>
        </w:tc>
        <w:tc>
          <w:tcPr>
            <w:tcW w:w="1214"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7440-43-9</w:t>
            </w:r>
          </w:p>
        </w:tc>
        <w:tc>
          <w:tcPr>
            <w:tcW w:w="1162"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65</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79"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3</w:t>
            </w:r>
          </w:p>
        </w:tc>
        <w:tc>
          <w:tcPr>
            <w:tcW w:w="2043"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lang w:eastAsia="zh-CN"/>
              </w:rPr>
            </w:pPr>
            <w:r>
              <w:rPr>
                <w:rFonts w:hint="default" w:ascii="Times New Roman" w:hAnsi="Times New Roman" w:eastAsia="宋体" w:cs="Times New Roman"/>
                <w:color w:val="auto"/>
                <w:kern w:val="0"/>
                <w:szCs w:val="21"/>
                <w:highlight w:val="none"/>
              </w:rPr>
              <w:t>铬（六价</w:t>
            </w:r>
            <w:r>
              <w:rPr>
                <w:rFonts w:hint="default" w:ascii="Times New Roman" w:hAnsi="Times New Roman" w:eastAsia="宋体" w:cs="Times New Roman"/>
                <w:color w:val="auto"/>
                <w:kern w:val="0"/>
                <w:szCs w:val="21"/>
                <w:highlight w:val="none"/>
                <w:lang w:eastAsia="zh-CN"/>
              </w:rPr>
              <w:t>）</w:t>
            </w:r>
          </w:p>
        </w:tc>
        <w:tc>
          <w:tcPr>
            <w:tcW w:w="1214"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18540-29-9</w:t>
            </w:r>
          </w:p>
        </w:tc>
        <w:tc>
          <w:tcPr>
            <w:tcW w:w="1162"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5.7</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79"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4</w:t>
            </w:r>
          </w:p>
        </w:tc>
        <w:tc>
          <w:tcPr>
            <w:tcW w:w="2043"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铜</w:t>
            </w:r>
          </w:p>
        </w:tc>
        <w:tc>
          <w:tcPr>
            <w:tcW w:w="1214"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7440-50-8</w:t>
            </w:r>
          </w:p>
        </w:tc>
        <w:tc>
          <w:tcPr>
            <w:tcW w:w="1162"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18000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79"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5</w:t>
            </w:r>
          </w:p>
        </w:tc>
        <w:tc>
          <w:tcPr>
            <w:tcW w:w="2043"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铅</w:t>
            </w:r>
          </w:p>
        </w:tc>
        <w:tc>
          <w:tcPr>
            <w:tcW w:w="1214"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7439-92-1</w:t>
            </w:r>
          </w:p>
        </w:tc>
        <w:tc>
          <w:tcPr>
            <w:tcW w:w="1162"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800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79"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6</w:t>
            </w:r>
          </w:p>
        </w:tc>
        <w:tc>
          <w:tcPr>
            <w:tcW w:w="2043"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汞</w:t>
            </w:r>
          </w:p>
        </w:tc>
        <w:tc>
          <w:tcPr>
            <w:tcW w:w="1214"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7439-97-6</w:t>
            </w:r>
          </w:p>
        </w:tc>
        <w:tc>
          <w:tcPr>
            <w:tcW w:w="1162"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38</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79"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7</w:t>
            </w:r>
          </w:p>
        </w:tc>
        <w:tc>
          <w:tcPr>
            <w:tcW w:w="2043"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镍</w:t>
            </w:r>
          </w:p>
        </w:tc>
        <w:tc>
          <w:tcPr>
            <w:tcW w:w="1214"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7440-02-0</w:t>
            </w:r>
          </w:p>
        </w:tc>
        <w:tc>
          <w:tcPr>
            <w:tcW w:w="1162"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900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000" w:type="pct"/>
            <w:gridSpan w:val="4"/>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挥发性有机物</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79"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8</w:t>
            </w:r>
          </w:p>
        </w:tc>
        <w:tc>
          <w:tcPr>
            <w:tcW w:w="2043"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四氯化碳</w:t>
            </w:r>
          </w:p>
        </w:tc>
        <w:tc>
          <w:tcPr>
            <w:tcW w:w="1214"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56-23-5</w:t>
            </w:r>
          </w:p>
        </w:tc>
        <w:tc>
          <w:tcPr>
            <w:tcW w:w="1162"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2.8</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79"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9</w:t>
            </w:r>
          </w:p>
        </w:tc>
        <w:tc>
          <w:tcPr>
            <w:tcW w:w="2043"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氯仿</w:t>
            </w:r>
          </w:p>
        </w:tc>
        <w:tc>
          <w:tcPr>
            <w:tcW w:w="1214"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67-66-3</w:t>
            </w:r>
          </w:p>
        </w:tc>
        <w:tc>
          <w:tcPr>
            <w:tcW w:w="1162"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0.9</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79"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10</w:t>
            </w:r>
          </w:p>
        </w:tc>
        <w:tc>
          <w:tcPr>
            <w:tcW w:w="2043"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氯甲烷</w:t>
            </w:r>
          </w:p>
        </w:tc>
        <w:tc>
          <w:tcPr>
            <w:tcW w:w="1214"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74-87-3</w:t>
            </w:r>
          </w:p>
        </w:tc>
        <w:tc>
          <w:tcPr>
            <w:tcW w:w="1162"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37</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79"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11</w:t>
            </w:r>
          </w:p>
        </w:tc>
        <w:tc>
          <w:tcPr>
            <w:tcW w:w="2043"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1-二氯乙烷</w:t>
            </w:r>
          </w:p>
        </w:tc>
        <w:tc>
          <w:tcPr>
            <w:tcW w:w="1214"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75-34-3</w:t>
            </w:r>
          </w:p>
        </w:tc>
        <w:tc>
          <w:tcPr>
            <w:tcW w:w="1162"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9</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79"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12</w:t>
            </w:r>
          </w:p>
        </w:tc>
        <w:tc>
          <w:tcPr>
            <w:tcW w:w="2043"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2-二氯乙烷</w:t>
            </w:r>
          </w:p>
        </w:tc>
        <w:tc>
          <w:tcPr>
            <w:tcW w:w="1214"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107-06-2</w:t>
            </w:r>
          </w:p>
        </w:tc>
        <w:tc>
          <w:tcPr>
            <w:tcW w:w="1162"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5</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79"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13</w:t>
            </w:r>
          </w:p>
        </w:tc>
        <w:tc>
          <w:tcPr>
            <w:tcW w:w="2043"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1-二氯乙烯</w:t>
            </w:r>
          </w:p>
        </w:tc>
        <w:tc>
          <w:tcPr>
            <w:tcW w:w="1214"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75-35-4</w:t>
            </w:r>
          </w:p>
        </w:tc>
        <w:tc>
          <w:tcPr>
            <w:tcW w:w="1162"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66</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79"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14</w:t>
            </w:r>
          </w:p>
        </w:tc>
        <w:tc>
          <w:tcPr>
            <w:tcW w:w="2043"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顺-1</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2-二氯乙烯</w:t>
            </w:r>
          </w:p>
        </w:tc>
        <w:tc>
          <w:tcPr>
            <w:tcW w:w="1214"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156-59-2</w:t>
            </w:r>
          </w:p>
        </w:tc>
        <w:tc>
          <w:tcPr>
            <w:tcW w:w="1162"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596</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79"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15</w:t>
            </w:r>
          </w:p>
        </w:tc>
        <w:tc>
          <w:tcPr>
            <w:tcW w:w="2043"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反-1</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2-二氯乙烯</w:t>
            </w:r>
          </w:p>
        </w:tc>
        <w:tc>
          <w:tcPr>
            <w:tcW w:w="1214"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156-60-5</w:t>
            </w:r>
          </w:p>
        </w:tc>
        <w:tc>
          <w:tcPr>
            <w:tcW w:w="1162"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54</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79"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16</w:t>
            </w:r>
          </w:p>
        </w:tc>
        <w:tc>
          <w:tcPr>
            <w:tcW w:w="2043"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二氯甲烷</w:t>
            </w:r>
          </w:p>
        </w:tc>
        <w:tc>
          <w:tcPr>
            <w:tcW w:w="1214"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75-09-2</w:t>
            </w:r>
          </w:p>
        </w:tc>
        <w:tc>
          <w:tcPr>
            <w:tcW w:w="1162"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616</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79"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17</w:t>
            </w:r>
          </w:p>
        </w:tc>
        <w:tc>
          <w:tcPr>
            <w:tcW w:w="2043"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2-二氯丙烷</w:t>
            </w:r>
          </w:p>
        </w:tc>
        <w:tc>
          <w:tcPr>
            <w:tcW w:w="1214"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78-87-5</w:t>
            </w:r>
          </w:p>
        </w:tc>
        <w:tc>
          <w:tcPr>
            <w:tcW w:w="1162"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5</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79"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18</w:t>
            </w:r>
          </w:p>
        </w:tc>
        <w:tc>
          <w:tcPr>
            <w:tcW w:w="2043"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1</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1</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2-四氯乙烷</w:t>
            </w:r>
          </w:p>
        </w:tc>
        <w:tc>
          <w:tcPr>
            <w:tcW w:w="1214"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630-20-6</w:t>
            </w:r>
          </w:p>
        </w:tc>
        <w:tc>
          <w:tcPr>
            <w:tcW w:w="1162"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79"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19</w:t>
            </w:r>
          </w:p>
        </w:tc>
        <w:tc>
          <w:tcPr>
            <w:tcW w:w="2043"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1</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2</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2-四氯乙烷</w:t>
            </w:r>
          </w:p>
        </w:tc>
        <w:tc>
          <w:tcPr>
            <w:tcW w:w="1214"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79-34-5</w:t>
            </w:r>
          </w:p>
        </w:tc>
        <w:tc>
          <w:tcPr>
            <w:tcW w:w="1162"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6.8</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79"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20</w:t>
            </w:r>
          </w:p>
        </w:tc>
        <w:tc>
          <w:tcPr>
            <w:tcW w:w="2043"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四氯乙烯</w:t>
            </w:r>
          </w:p>
        </w:tc>
        <w:tc>
          <w:tcPr>
            <w:tcW w:w="1214"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127-18-4</w:t>
            </w:r>
          </w:p>
        </w:tc>
        <w:tc>
          <w:tcPr>
            <w:tcW w:w="1162"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53</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79"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21</w:t>
            </w:r>
          </w:p>
        </w:tc>
        <w:tc>
          <w:tcPr>
            <w:tcW w:w="2043"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1</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1-三氯乙烷</w:t>
            </w:r>
          </w:p>
        </w:tc>
        <w:tc>
          <w:tcPr>
            <w:tcW w:w="1214"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71-55-6</w:t>
            </w:r>
          </w:p>
        </w:tc>
        <w:tc>
          <w:tcPr>
            <w:tcW w:w="1162"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840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79"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22</w:t>
            </w:r>
          </w:p>
        </w:tc>
        <w:tc>
          <w:tcPr>
            <w:tcW w:w="2043"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1</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2-三氯乙烷</w:t>
            </w:r>
          </w:p>
        </w:tc>
        <w:tc>
          <w:tcPr>
            <w:tcW w:w="1214"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79-00-5</w:t>
            </w:r>
          </w:p>
        </w:tc>
        <w:tc>
          <w:tcPr>
            <w:tcW w:w="1162"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2.8</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79"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23</w:t>
            </w:r>
          </w:p>
        </w:tc>
        <w:tc>
          <w:tcPr>
            <w:tcW w:w="2043"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三氯乙烯</w:t>
            </w:r>
          </w:p>
        </w:tc>
        <w:tc>
          <w:tcPr>
            <w:tcW w:w="1214"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79-01-6</w:t>
            </w:r>
          </w:p>
        </w:tc>
        <w:tc>
          <w:tcPr>
            <w:tcW w:w="1162"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2.8</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79"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24</w:t>
            </w:r>
          </w:p>
        </w:tc>
        <w:tc>
          <w:tcPr>
            <w:tcW w:w="2043"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2</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3-三氯丙烷</w:t>
            </w:r>
          </w:p>
        </w:tc>
        <w:tc>
          <w:tcPr>
            <w:tcW w:w="1214"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96-18-4</w:t>
            </w:r>
          </w:p>
        </w:tc>
        <w:tc>
          <w:tcPr>
            <w:tcW w:w="1162"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0.5</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79"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25</w:t>
            </w:r>
          </w:p>
        </w:tc>
        <w:tc>
          <w:tcPr>
            <w:tcW w:w="2043"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氯乙烯</w:t>
            </w:r>
          </w:p>
        </w:tc>
        <w:tc>
          <w:tcPr>
            <w:tcW w:w="1214"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75-01-4</w:t>
            </w:r>
          </w:p>
        </w:tc>
        <w:tc>
          <w:tcPr>
            <w:tcW w:w="1162"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0.43</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79"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26</w:t>
            </w:r>
          </w:p>
        </w:tc>
        <w:tc>
          <w:tcPr>
            <w:tcW w:w="2043"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苯</w:t>
            </w:r>
          </w:p>
        </w:tc>
        <w:tc>
          <w:tcPr>
            <w:tcW w:w="1214"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71-43-2</w:t>
            </w:r>
          </w:p>
        </w:tc>
        <w:tc>
          <w:tcPr>
            <w:tcW w:w="1162"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4</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79"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27</w:t>
            </w:r>
          </w:p>
        </w:tc>
        <w:tc>
          <w:tcPr>
            <w:tcW w:w="2043"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氯苯</w:t>
            </w:r>
          </w:p>
        </w:tc>
        <w:tc>
          <w:tcPr>
            <w:tcW w:w="1214"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108-90-7</w:t>
            </w:r>
          </w:p>
        </w:tc>
        <w:tc>
          <w:tcPr>
            <w:tcW w:w="1162"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270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79"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28</w:t>
            </w:r>
          </w:p>
        </w:tc>
        <w:tc>
          <w:tcPr>
            <w:tcW w:w="2043"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2-二氯苯</w:t>
            </w:r>
          </w:p>
        </w:tc>
        <w:tc>
          <w:tcPr>
            <w:tcW w:w="1214"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95-50-1</w:t>
            </w:r>
          </w:p>
        </w:tc>
        <w:tc>
          <w:tcPr>
            <w:tcW w:w="1162"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560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79"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29</w:t>
            </w:r>
          </w:p>
        </w:tc>
        <w:tc>
          <w:tcPr>
            <w:tcW w:w="2043"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4-二氯苯</w:t>
            </w:r>
          </w:p>
        </w:tc>
        <w:tc>
          <w:tcPr>
            <w:tcW w:w="1214"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106-46-7</w:t>
            </w:r>
          </w:p>
        </w:tc>
        <w:tc>
          <w:tcPr>
            <w:tcW w:w="1162"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20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79"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30</w:t>
            </w:r>
          </w:p>
        </w:tc>
        <w:tc>
          <w:tcPr>
            <w:tcW w:w="2043"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乙苯</w:t>
            </w:r>
          </w:p>
        </w:tc>
        <w:tc>
          <w:tcPr>
            <w:tcW w:w="1214"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100-41-4</w:t>
            </w:r>
          </w:p>
        </w:tc>
        <w:tc>
          <w:tcPr>
            <w:tcW w:w="1162"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28</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79"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31</w:t>
            </w:r>
          </w:p>
        </w:tc>
        <w:tc>
          <w:tcPr>
            <w:tcW w:w="2043"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苯乙烯</w:t>
            </w:r>
          </w:p>
        </w:tc>
        <w:tc>
          <w:tcPr>
            <w:tcW w:w="1214"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100-42-5</w:t>
            </w:r>
          </w:p>
        </w:tc>
        <w:tc>
          <w:tcPr>
            <w:tcW w:w="1162"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1290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79"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32</w:t>
            </w:r>
          </w:p>
        </w:tc>
        <w:tc>
          <w:tcPr>
            <w:tcW w:w="2043"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甲苯</w:t>
            </w:r>
          </w:p>
        </w:tc>
        <w:tc>
          <w:tcPr>
            <w:tcW w:w="1214"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108-88-3</w:t>
            </w:r>
          </w:p>
        </w:tc>
        <w:tc>
          <w:tcPr>
            <w:tcW w:w="1162"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1200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79"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33</w:t>
            </w:r>
          </w:p>
        </w:tc>
        <w:tc>
          <w:tcPr>
            <w:tcW w:w="2043"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间二甲苯+对二甲苯</w:t>
            </w:r>
          </w:p>
        </w:tc>
        <w:tc>
          <w:tcPr>
            <w:tcW w:w="1214"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lang w:eastAsia="zh-CN"/>
              </w:rPr>
            </w:pPr>
            <w:r>
              <w:rPr>
                <w:rFonts w:hint="default" w:ascii="Times New Roman" w:hAnsi="Times New Roman" w:eastAsia="宋体" w:cs="Times New Roman"/>
                <w:color w:val="auto"/>
                <w:kern w:val="0"/>
                <w:szCs w:val="21"/>
                <w:highlight w:val="none"/>
              </w:rPr>
              <w:t>108-38-3</w:t>
            </w:r>
            <w:r>
              <w:rPr>
                <w:rFonts w:hint="default" w:ascii="Times New Roman" w:hAnsi="Times New Roman" w:eastAsia="宋体" w:cs="Times New Roman"/>
                <w:color w:val="auto"/>
                <w:kern w:val="0"/>
                <w:szCs w:val="21"/>
                <w:highlight w:val="none"/>
                <w:lang w:eastAsia="zh-CN"/>
              </w:rPr>
              <w:t>，</w:t>
            </w:r>
          </w:p>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106-42-3</w:t>
            </w:r>
          </w:p>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106-42-3</w:t>
            </w:r>
          </w:p>
        </w:tc>
        <w:tc>
          <w:tcPr>
            <w:tcW w:w="1162"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570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79"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34</w:t>
            </w:r>
          </w:p>
        </w:tc>
        <w:tc>
          <w:tcPr>
            <w:tcW w:w="2043"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邻二甲苯</w:t>
            </w:r>
          </w:p>
        </w:tc>
        <w:tc>
          <w:tcPr>
            <w:tcW w:w="1214"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95-47-6</w:t>
            </w:r>
          </w:p>
        </w:tc>
        <w:tc>
          <w:tcPr>
            <w:tcW w:w="1162"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640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000" w:type="pct"/>
            <w:gridSpan w:val="4"/>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半挥发性有机物</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79"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35</w:t>
            </w:r>
          </w:p>
        </w:tc>
        <w:tc>
          <w:tcPr>
            <w:tcW w:w="2043"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硝基苯</w:t>
            </w:r>
          </w:p>
        </w:tc>
        <w:tc>
          <w:tcPr>
            <w:tcW w:w="1214"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98-95-3</w:t>
            </w:r>
          </w:p>
        </w:tc>
        <w:tc>
          <w:tcPr>
            <w:tcW w:w="1162"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76</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79"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36</w:t>
            </w:r>
          </w:p>
        </w:tc>
        <w:tc>
          <w:tcPr>
            <w:tcW w:w="2043"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苯胺</w:t>
            </w:r>
          </w:p>
        </w:tc>
        <w:tc>
          <w:tcPr>
            <w:tcW w:w="1214"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62-53-3</w:t>
            </w:r>
          </w:p>
        </w:tc>
        <w:tc>
          <w:tcPr>
            <w:tcW w:w="1162"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260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79"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37</w:t>
            </w:r>
          </w:p>
        </w:tc>
        <w:tc>
          <w:tcPr>
            <w:tcW w:w="2043"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2-氯酚</w:t>
            </w:r>
          </w:p>
        </w:tc>
        <w:tc>
          <w:tcPr>
            <w:tcW w:w="1214"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95-57-8</w:t>
            </w:r>
          </w:p>
        </w:tc>
        <w:tc>
          <w:tcPr>
            <w:tcW w:w="1162"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2256</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79"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38</w:t>
            </w:r>
          </w:p>
        </w:tc>
        <w:tc>
          <w:tcPr>
            <w:tcW w:w="2043"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苯并〔a〕蒽</w:t>
            </w:r>
          </w:p>
        </w:tc>
        <w:tc>
          <w:tcPr>
            <w:tcW w:w="1214"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56-55-3</w:t>
            </w:r>
          </w:p>
        </w:tc>
        <w:tc>
          <w:tcPr>
            <w:tcW w:w="1162"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15</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79"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39</w:t>
            </w:r>
          </w:p>
        </w:tc>
        <w:tc>
          <w:tcPr>
            <w:tcW w:w="2043"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苯并〔a〕芘</w:t>
            </w:r>
          </w:p>
        </w:tc>
        <w:tc>
          <w:tcPr>
            <w:tcW w:w="1214"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50-32-8</w:t>
            </w:r>
          </w:p>
        </w:tc>
        <w:tc>
          <w:tcPr>
            <w:tcW w:w="1162"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1.5</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79"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40</w:t>
            </w:r>
          </w:p>
        </w:tc>
        <w:tc>
          <w:tcPr>
            <w:tcW w:w="2043"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苯并〔b〕荧蒽</w:t>
            </w:r>
          </w:p>
        </w:tc>
        <w:tc>
          <w:tcPr>
            <w:tcW w:w="1214"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205-99-2</w:t>
            </w:r>
          </w:p>
        </w:tc>
        <w:tc>
          <w:tcPr>
            <w:tcW w:w="1162"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15</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79"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41</w:t>
            </w:r>
          </w:p>
        </w:tc>
        <w:tc>
          <w:tcPr>
            <w:tcW w:w="2043"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苯并〔k〕荧蒽</w:t>
            </w:r>
          </w:p>
        </w:tc>
        <w:tc>
          <w:tcPr>
            <w:tcW w:w="1214"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207-08-9</w:t>
            </w:r>
          </w:p>
        </w:tc>
        <w:tc>
          <w:tcPr>
            <w:tcW w:w="1162"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151</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79"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42</w:t>
            </w:r>
          </w:p>
        </w:tc>
        <w:tc>
          <w:tcPr>
            <w:tcW w:w="2043"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䓛</w:t>
            </w:r>
          </w:p>
        </w:tc>
        <w:tc>
          <w:tcPr>
            <w:tcW w:w="1214"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218-01-9</w:t>
            </w:r>
          </w:p>
        </w:tc>
        <w:tc>
          <w:tcPr>
            <w:tcW w:w="1162"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1293</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79"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43</w:t>
            </w:r>
          </w:p>
        </w:tc>
        <w:tc>
          <w:tcPr>
            <w:tcW w:w="2043"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二苯并〔a</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h〕蒽</w:t>
            </w:r>
          </w:p>
        </w:tc>
        <w:tc>
          <w:tcPr>
            <w:tcW w:w="1214"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53-70-3</w:t>
            </w:r>
          </w:p>
        </w:tc>
        <w:tc>
          <w:tcPr>
            <w:tcW w:w="1162"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1.5</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79"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44</w:t>
            </w:r>
          </w:p>
        </w:tc>
        <w:tc>
          <w:tcPr>
            <w:tcW w:w="2043"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茚并〔1</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2</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3-cd〕芘</w:t>
            </w:r>
          </w:p>
        </w:tc>
        <w:tc>
          <w:tcPr>
            <w:tcW w:w="1214"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193-39-5</w:t>
            </w:r>
          </w:p>
        </w:tc>
        <w:tc>
          <w:tcPr>
            <w:tcW w:w="1162"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15</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79"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45</w:t>
            </w:r>
          </w:p>
        </w:tc>
        <w:tc>
          <w:tcPr>
            <w:tcW w:w="2043"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萘</w:t>
            </w:r>
          </w:p>
        </w:tc>
        <w:tc>
          <w:tcPr>
            <w:tcW w:w="1214"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91-20-3</w:t>
            </w:r>
          </w:p>
        </w:tc>
        <w:tc>
          <w:tcPr>
            <w:tcW w:w="1162"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70</w:t>
            </w:r>
          </w:p>
        </w:tc>
      </w:tr>
      <w:tr>
        <w:tblPrEx>
          <w:tblBorders>
            <w:top w:val="single" w:color="000000" w:sz="8" w:space="0"/>
            <w:left w:val="none" w:color="auto" w:sz="0" w:space="0"/>
            <w:bottom w:val="single" w:color="000000" w:sz="8"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79"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46</w:t>
            </w:r>
          </w:p>
        </w:tc>
        <w:tc>
          <w:tcPr>
            <w:tcW w:w="2043"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钼</w:t>
            </w:r>
          </w:p>
        </w:tc>
        <w:tc>
          <w:tcPr>
            <w:tcW w:w="1214"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 w:val="21"/>
                <w:szCs w:val="21"/>
                <w:highlight w:val="none"/>
                <w:lang w:val="en-US" w:eastAsia="zh-CN"/>
              </w:rPr>
              <w:t>--</w:t>
            </w:r>
          </w:p>
        </w:tc>
        <w:tc>
          <w:tcPr>
            <w:tcW w:w="1162"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无标准限值</w:t>
            </w:r>
          </w:p>
        </w:tc>
      </w:tr>
    </w:tbl>
    <w:p>
      <w:pPr>
        <w:keepNext w:val="0"/>
        <w:keepLines w:val="0"/>
        <w:pageBreakBefore w:val="0"/>
        <w:widowControl w:val="0"/>
        <w:tabs>
          <w:tab w:val="left" w:pos="3062"/>
        </w:tabs>
        <w:kinsoku/>
        <w:wordWrap/>
        <w:overflowPunct/>
        <w:topLinePunct w:val="0"/>
        <w:autoSpaceDE/>
        <w:autoSpaceDN/>
        <w:bidi w:val="0"/>
        <w:adjustRightInd/>
        <w:snapToGrid/>
        <w:spacing w:line="360" w:lineRule="auto"/>
        <w:ind w:left="0" w:leftChars="0" w:right="0" w:rightChars="0" w:firstLine="480" w:firstLineChars="200"/>
        <w:jc w:val="left"/>
        <w:textAlignment w:val="auto"/>
        <w:rPr>
          <w:rFonts w:hint="default" w:ascii="Times New Roman" w:hAnsi="Times New Roman" w:eastAsia="宋体" w:cs="Times New Roman"/>
          <w:bCs/>
          <w:color w:val="auto"/>
          <w:sz w:val="24"/>
          <w:szCs w:val="24"/>
          <w:highlight w:val="none"/>
          <w:lang w:val="en-US" w:eastAsia="zh-CN"/>
        </w:rPr>
      </w:pPr>
      <w:r>
        <w:rPr>
          <w:rFonts w:hint="default" w:ascii="Times New Roman" w:hAnsi="Times New Roman" w:eastAsia="宋体" w:cs="Times New Roman"/>
          <w:bCs/>
          <w:color w:val="auto"/>
          <w:sz w:val="24"/>
          <w:szCs w:val="24"/>
          <w:highlight w:val="none"/>
          <w:lang w:eastAsia="zh-CN"/>
        </w:rPr>
        <w:t>尾矿库四周</w:t>
      </w:r>
      <w:r>
        <w:rPr>
          <w:rFonts w:hint="default" w:ascii="Times New Roman" w:hAnsi="Times New Roman" w:eastAsia="宋体" w:cs="Times New Roman"/>
          <w:bCs/>
          <w:color w:val="auto"/>
          <w:sz w:val="24"/>
          <w:szCs w:val="24"/>
          <w:highlight w:val="none"/>
          <w:lang w:val="en-US" w:eastAsia="zh-CN"/>
        </w:rPr>
        <w:t>50m范围内</w:t>
      </w:r>
      <w:r>
        <w:rPr>
          <w:rFonts w:hint="default" w:ascii="Times New Roman" w:hAnsi="Times New Roman" w:eastAsia="宋体" w:cs="Times New Roman"/>
          <w:bCs/>
          <w:color w:val="auto"/>
          <w:sz w:val="24"/>
          <w:szCs w:val="24"/>
          <w:highlight w:val="none"/>
          <w:lang w:eastAsia="zh-CN"/>
        </w:rPr>
        <w:t>天然牧草地，土壤环境质量执行《土壤环境质量农用地土壤污染风险管控标准（试行）》（GB15618-2018）表1农用地土壤污染风险筛选值（基本项目）--“其他”标准，具体标准值见表1-2</w:t>
      </w:r>
      <w:r>
        <w:rPr>
          <w:rFonts w:hint="default" w:ascii="Times New Roman" w:hAnsi="Times New Roman" w:eastAsia="宋体" w:cs="Times New Roman"/>
          <w:bCs/>
          <w:color w:val="auto"/>
          <w:sz w:val="24"/>
          <w:szCs w:val="24"/>
          <w:highlight w:val="none"/>
          <w:lang w:val="en-US" w:eastAsia="zh-CN"/>
        </w:rPr>
        <w:t>6。</w:t>
      </w:r>
    </w:p>
    <w:p>
      <w:pPr>
        <w:pageBreakBefore w:val="0"/>
        <w:tabs>
          <w:tab w:val="left" w:pos="3062"/>
        </w:tabs>
        <w:wordWrap/>
        <w:bidi w:val="0"/>
        <w:spacing w:line="360" w:lineRule="auto"/>
        <w:ind w:left="0" w:leftChars="0" w:right="0" w:rightChars="0"/>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表</w:t>
      </w:r>
      <w:r>
        <w:rPr>
          <w:rFonts w:hint="default" w:ascii="Times New Roman" w:hAnsi="Times New Roman" w:eastAsia="宋体" w:cs="Times New Roman"/>
          <w:b/>
          <w:bCs/>
          <w:color w:val="auto"/>
          <w:sz w:val="24"/>
          <w:highlight w:val="none"/>
          <w:lang w:val="en-US" w:eastAsia="zh-CN"/>
        </w:rPr>
        <w:t>1-26</w:t>
      </w:r>
      <w:r>
        <w:rPr>
          <w:rFonts w:hint="default" w:ascii="Times New Roman" w:hAnsi="Times New Roman" w:eastAsia="宋体" w:cs="Times New Roman"/>
          <w:b/>
          <w:bCs/>
          <w:color w:val="auto"/>
          <w:sz w:val="24"/>
          <w:highlight w:val="none"/>
        </w:rPr>
        <w:t>土壤环境质量农用地污染风险管控标准单位：mg/kg</w:t>
      </w:r>
    </w:p>
    <w:tbl>
      <w:tblPr>
        <w:tblStyle w:val="54"/>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130"/>
        <w:gridCol w:w="2131"/>
        <w:gridCol w:w="2131"/>
        <w:gridCol w:w="2131"/>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00" w:type="dxa"/>
            <w:vMerge w:val="restart"/>
            <w:tcBorders>
              <w:top w:val="single" w:color="auto" w:sz="4" w:space="0"/>
              <w:left w:val="single" w:color="auto" w:sz="4" w:space="0"/>
            </w:tcBorders>
            <w:noWrap w:val="0"/>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序号</w:t>
            </w:r>
          </w:p>
        </w:tc>
        <w:tc>
          <w:tcPr>
            <w:tcW w:w="3602" w:type="dxa"/>
            <w:gridSpan w:val="2"/>
            <w:vMerge w:val="restart"/>
            <w:tcBorders>
              <w:top w:val="single" w:color="auto" w:sz="4" w:space="0"/>
            </w:tcBorders>
            <w:noWrap w:val="0"/>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污染物项目</w:t>
            </w:r>
          </w:p>
        </w:tc>
        <w:tc>
          <w:tcPr>
            <w:tcW w:w="1801" w:type="dxa"/>
            <w:tcBorders>
              <w:top w:val="single" w:color="auto" w:sz="4" w:space="0"/>
              <w:right w:val="single" w:color="auto" w:sz="4" w:space="0"/>
            </w:tcBorders>
            <w:noWrap w:val="0"/>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sz w:val="21"/>
                <w:szCs w:val="21"/>
                <w:highlight w:val="none"/>
              </w:rPr>
              <w:t>风险筛选值</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00" w:type="dxa"/>
            <w:vMerge w:val="continue"/>
            <w:tcBorders>
              <w:left w:val="single" w:color="auto" w:sz="4" w:space="0"/>
            </w:tcBorders>
            <w:noWrap w:val="0"/>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p>
        </w:tc>
        <w:tc>
          <w:tcPr>
            <w:tcW w:w="3602" w:type="dxa"/>
            <w:gridSpan w:val="2"/>
            <w:vMerge w:val="continue"/>
            <w:noWrap w:val="0"/>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p>
        </w:tc>
        <w:tc>
          <w:tcPr>
            <w:tcW w:w="1801" w:type="dxa"/>
            <w:tcBorders>
              <w:right w:val="single" w:color="auto" w:sz="4" w:space="0"/>
            </w:tcBorders>
            <w:noWrap w:val="0"/>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pH≥7.5</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00" w:type="dxa"/>
            <w:tcBorders>
              <w:left w:val="single" w:color="auto" w:sz="4" w:space="0"/>
            </w:tcBorders>
            <w:noWrap w:val="0"/>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w:t>
            </w:r>
          </w:p>
        </w:tc>
        <w:tc>
          <w:tcPr>
            <w:tcW w:w="1801" w:type="dxa"/>
            <w:noWrap w:val="0"/>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镉</w:t>
            </w:r>
          </w:p>
        </w:tc>
        <w:tc>
          <w:tcPr>
            <w:tcW w:w="1801" w:type="dxa"/>
            <w:noWrap w:val="0"/>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其他</w:t>
            </w:r>
          </w:p>
        </w:tc>
        <w:tc>
          <w:tcPr>
            <w:tcW w:w="1801" w:type="dxa"/>
            <w:tcBorders>
              <w:right w:val="single" w:color="auto" w:sz="4" w:space="0"/>
            </w:tcBorders>
            <w:noWrap w:val="0"/>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0.6</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00" w:type="dxa"/>
            <w:tcBorders>
              <w:left w:val="single" w:color="auto" w:sz="4" w:space="0"/>
            </w:tcBorders>
            <w:noWrap w:val="0"/>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w:t>
            </w:r>
          </w:p>
        </w:tc>
        <w:tc>
          <w:tcPr>
            <w:tcW w:w="1801" w:type="dxa"/>
            <w:noWrap w:val="0"/>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汞</w:t>
            </w:r>
          </w:p>
        </w:tc>
        <w:tc>
          <w:tcPr>
            <w:tcW w:w="1801" w:type="dxa"/>
            <w:noWrap w:val="0"/>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其他</w:t>
            </w:r>
          </w:p>
        </w:tc>
        <w:tc>
          <w:tcPr>
            <w:tcW w:w="1801" w:type="dxa"/>
            <w:tcBorders>
              <w:right w:val="single" w:color="auto" w:sz="4" w:space="0"/>
            </w:tcBorders>
            <w:noWrap w:val="0"/>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3.4</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00" w:type="dxa"/>
            <w:tcBorders>
              <w:left w:val="single" w:color="auto" w:sz="4" w:space="0"/>
            </w:tcBorders>
            <w:noWrap w:val="0"/>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3</w:t>
            </w:r>
          </w:p>
        </w:tc>
        <w:tc>
          <w:tcPr>
            <w:tcW w:w="1801" w:type="dxa"/>
            <w:noWrap w:val="0"/>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砷</w:t>
            </w:r>
          </w:p>
        </w:tc>
        <w:tc>
          <w:tcPr>
            <w:tcW w:w="1801" w:type="dxa"/>
            <w:noWrap w:val="0"/>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其他</w:t>
            </w:r>
          </w:p>
        </w:tc>
        <w:tc>
          <w:tcPr>
            <w:tcW w:w="1801" w:type="dxa"/>
            <w:tcBorders>
              <w:right w:val="single" w:color="auto" w:sz="4" w:space="0"/>
            </w:tcBorders>
            <w:noWrap w:val="0"/>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25</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00" w:type="dxa"/>
            <w:tcBorders>
              <w:left w:val="single" w:color="auto" w:sz="4" w:space="0"/>
            </w:tcBorders>
            <w:noWrap w:val="0"/>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4</w:t>
            </w:r>
          </w:p>
        </w:tc>
        <w:tc>
          <w:tcPr>
            <w:tcW w:w="1801" w:type="dxa"/>
            <w:noWrap w:val="0"/>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铅</w:t>
            </w:r>
          </w:p>
        </w:tc>
        <w:tc>
          <w:tcPr>
            <w:tcW w:w="1801" w:type="dxa"/>
            <w:noWrap w:val="0"/>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其他</w:t>
            </w:r>
          </w:p>
        </w:tc>
        <w:tc>
          <w:tcPr>
            <w:tcW w:w="1801" w:type="dxa"/>
            <w:tcBorders>
              <w:right w:val="single" w:color="auto" w:sz="4" w:space="0"/>
            </w:tcBorders>
            <w:noWrap w:val="0"/>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170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00" w:type="dxa"/>
            <w:tcBorders>
              <w:left w:val="single" w:color="auto" w:sz="4" w:space="0"/>
            </w:tcBorders>
            <w:noWrap w:val="0"/>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5</w:t>
            </w:r>
          </w:p>
        </w:tc>
        <w:tc>
          <w:tcPr>
            <w:tcW w:w="1801" w:type="dxa"/>
            <w:noWrap w:val="0"/>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铬</w:t>
            </w:r>
          </w:p>
        </w:tc>
        <w:tc>
          <w:tcPr>
            <w:tcW w:w="1801" w:type="dxa"/>
            <w:noWrap w:val="0"/>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其他</w:t>
            </w:r>
          </w:p>
        </w:tc>
        <w:tc>
          <w:tcPr>
            <w:tcW w:w="1801" w:type="dxa"/>
            <w:tcBorders>
              <w:right w:val="single" w:color="auto" w:sz="4" w:space="0"/>
            </w:tcBorders>
            <w:noWrap w:val="0"/>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250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00" w:type="dxa"/>
            <w:tcBorders>
              <w:left w:val="single" w:color="auto" w:sz="4" w:space="0"/>
            </w:tcBorders>
            <w:noWrap w:val="0"/>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6</w:t>
            </w:r>
          </w:p>
        </w:tc>
        <w:tc>
          <w:tcPr>
            <w:tcW w:w="1801" w:type="dxa"/>
            <w:noWrap w:val="0"/>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铜</w:t>
            </w:r>
          </w:p>
        </w:tc>
        <w:tc>
          <w:tcPr>
            <w:tcW w:w="1801" w:type="dxa"/>
            <w:noWrap w:val="0"/>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其他</w:t>
            </w:r>
          </w:p>
        </w:tc>
        <w:tc>
          <w:tcPr>
            <w:tcW w:w="1801" w:type="dxa"/>
            <w:tcBorders>
              <w:right w:val="single" w:color="auto" w:sz="4" w:space="0"/>
            </w:tcBorders>
            <w:noWrap w:val="0"/>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100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00" w:type="dxa"/>
            <w:tcBorders>
              <w:left w:val="single" w:color="auto" w:sz="4" w:space="0"/>
            </w:tcBorders>
            <w:noWrap w:val="0"/>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7</w:t>
            </w:r>
          </w:p>
        </w:tc>
        <w:tc>
          <w:tcPr>
            <w:tcW w:w="3602" w:type="dxa"/>
            <w:gridSpan w:val="2"/>
            <w:noWrap w:val="0"/>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镍</w:t>
            </w:r>
          </w:p>
        </w:tc>
        <w:tc>
          <w:tcPr>
            <w:tcW w:w="1801" w:type="dxa"/>
            <w:tcBorders>
              <w:right w:val="single" w:color="auto" w:sz="4" w:space="0"/>
            </w:tcBorders>
            <w:noWrap w:val="0"/>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190</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00" w:type="dxa"/>
            <w:tcBorders>
              <w:left w:val="single" w:color="auto" w:sz="4" w:space="0"/>
              <w:bottom w:val="single" w:color="auto" w:sz="4" w:space="0"/>
            </w:tcBorders>
            <w:noWrap w:val="0"/>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8</w:t>
            </w:r>
          </w:p>
        </w:tc>
        <w:tc>
          <w:tcPr>
            <w:tcW w:w="3602" w:type="dxa"/>
            <w:gridSpan w:val="2"/>
            <w:tcBorders>
              <w:bottom w:val="single" w:color="auto" w:sz="4" w:space="0"/>
            </w:tcBorders>
            <w:noWrap w:val="0"/>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锌</w:t>
            </w:r>
          </w:p>
        </w:tc>
        <w:tc>
          <w:tcPr>
            <w:tcW w:w="1801" w:type="dxa"/>
            <w:tcBorders>
              <w:bottom w:val="single" w:color="auto" w:sz="4" w:space="0"/>
              <w:right w:val="single" w:color="auto" w:sz="4" w:space="0"/>
            </w:tcBorders>
            <w:noWrap w:val="0"/>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300</w:t>
            </w:r>
          </w:p>
        </w:tc>
      </w:tr>
    </w:tbl>
    <w:p>
      <w:pPr>
        <w:pStyle w:val="5"/>
        <w:pageBreakBefore w:val="0"/>
        <w:numPr>
          <w:ilvl w:val="2"/>
          <w:numId w:val="0"/>
        </w:numPr>
        <w:wordWrap/>
        <w:bidi w:val="0"/>
        <w:ind w:left="0" w:leftChars="0" w:right="0" w:rightChars="0"/>
        <w:rPr>
          <w:rFonts w:hint="default" w:ascii="Times New Roman" w:hAnsi="Times New Roman" w:eastAsia="宋体" w:cs="Times New Roman"/>
          <w:b/>
          <w:bCs/>
          <w:color w:val="auto"/>
          <w:highlight w:val="none"/>
        </w:rPr>
      </w:pPr>
      <w:bookmarkStart w:id="257" w:name="_Toc26544"/>
      <w:bookmarkStart w:id="258" w:name="_Toc20356"/>
      <w:bookmarkStart w:id="259" w:name="_Toc23099"/>
      <w:r>
        <w:rPr>
          <w:rFonts w:hint="default" w:ascii="Times New Roman" w:hAnsi="Times New Roman" w:eastAsia="宋体" w:cs="Times New Roman"/>
          <w:b/>
          <w:bCs/>
          <w:i w:val="0"/>
          <w:iCs w:val="0"/>
          <w:caps w:val="0"/>
          <w:smallCaps w:val="0"/>
          <w:strike w:val="0"/>
          <w:dstrike w:val="0"/>
          <w:vanish w:val="0"/>
          <w:color w:val="auto"/>
          <w:spacing w:val="0"/>
          <w:kern w:val="2"/>
          <w:position w:val="0"/>
          <w:sz w:val="24"/>
          <w:szCs w:val="24"/>
          <w:highlight w:val="none"/>
          <w:u w:val="none"/>
          <w:vertAlign w:val="baseline"/>
          <w:lang w:val="en-US" w:eastAsia="zh-CN" w:bidi="ar-SA"/>
          <w14:shadow w14:blurRad="0" w14:dist="0" w14:dir="0" w14:sx="0" w14:sy="0" w14:kx="0" w14:ky="0" w14:algn="none">
            <w14:srgbClr w14:val="000000"/>
          </w14:shadow>
        </w:rPr>
        <w:t>1.5.2</w:t>
      </w:r>
      <w:r>
        <w:rPr>
          <w:rFonts w:hint="default" w:ascii="Times New Roman" w:hAnsi="Times New Roman" w:eastAsia="宋体" w:cs="Times New Roman"/>
          <w:b/>
          <w:bCs/>
          <w:color w:val="auto"/>
          <w:highlight w:val="none"/>
        </w:rPr>
        <w:t>污染物排放标准</w:t>
      </w:r>
      <w:bookmarkEnd w:id="255"/>
      <w:bookmarkEnd w:id="256"/>
      <w:bookmarkEnd w:id="257"/>
      <w:bookmarkEnd w:id="258"/>
      <w:bookmarkEnd w:id="259"/>
    </w:p>
    <w:p>
      <w:pPr>
        <w:pageBreakBefore w:val="0"/>
        <w:tabs>
          <w:tab w:val="left" w:pos="3062"/>
        </w:tabs>
        <w:wordWrap/>
        <w:bidi w:val="0"/>
        <w:adjustRightInd w:val="0"/>
        <w:snapToGrid w:val="0"/>
        <w:spacing w:line="360" w:lineRule="auto"/>
        <w:ind w:left="0" w:leftChars="0" w:right="0" w:rightChars="0"/>
        <w:jc w:val="left"/>
        <w:rPr>
          <w:rFonts w:hint="default" w:ascii="Times New Roman" w:hAnsi="Times New Roman" w:eastAsia="宋体" w:cs="Times New Roman"/>
          <w:b/>
          <w:bCs/>
          <w:color w:val="auto"/>
          <w:sz w:val="24"/>
          <w:highlight w:val="none"/>
          <w:lang w:val="en-US" w:eastAsia="zh-CN"/>
        </w:rPr>
      </w:pPr>
      <w:r>
        <w:rPr>
          <w:rFonts w:hint="default" w:ascii="Times New Roman" w:hAnsi="Times New Roman" w:eastAsia="宋体" w:cs="Times New Roman"/>
          <w:b/>
          <w:bCs/>
          <w:color w:val="auto"/>
          <w:sz w:val="24"/>
          <w:highlight w:val="none"/>
          <w:lang w:val="en-US" w:eastAsia="zh-CN"/>
        </w:rPr>
        <w:t>1.5.2.1废气</w:t>
      </w:r>
    </w:p>
    <w:p>
      <w:pPr>
        <w:pageBreakBefore w:val="0"/>
        <w:wordWrap/>
        <w:bidi w:val="0"/>
        <w:adjustRightInd w:val="0"/>
        <w:spacing w:line="360" w:lineRule="auto"/>
        <w:ind w:left="0" w:leftChars="0" w:right="0" w:rightChars="0" w:firstLine="480" w:firstLineChars="200"/>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color w:val="auto"/>
          <w:sz w:val="24"/>
          <w:highlight w:val="none"/>
        </w:rPr>
        <w:t>项目尾矿库干滩粉尘排放执行《大气污染物综合排放标准》（GB16297-1996</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具体标准值见表1-2</w:t>
      </w:r>
      <w:r>
        <w:rPr>
          <w:rFonts w:hint="default" w:ascii="Times New Roman" w:hAnsi="Times New Roman" w:eastAsia="宋体" w:cs="Times New Roman"/>
          <w:color w:val="auto"/>
          <w:sz w:val="24"/>
          <w:highlight w:val="none"/>
          <w:lang w:val="en-US" w:eastAsia="zh-CN"/>
        </w:rPr>
        <w:t>7</w:t>
      </w:r>
      <w:r>
        <w:rPr>
          <w:rFonts w:hint="default" w:ascii="Times New Roman" w:hAnsi="Times New Roman" w:eastAsia="宋体" w:cs="Times New Roman"/>
          <w:color w:val="auto"/>
          <w:sz w:val="24"/>
          <w:highlight w:val="none"/>
        </w:rPr>
        <w:t>。</w:t>
      </w:r>
    </w:p>
    <w:p>
      <w:pPr>
        <w:pageBreakBefore w:val="0"/>
        <w:tabs>
          <w:tab w:val="left" w:pos="3062"/>
        </w:tabs>
        <w:wordWrap/>
        <w:bidi w:val="0"/>
        <w:adjustRightInd w:val="0"/>
        <w:snapToGrid w:val="0"/>
        <w:spacing w:line="360" w:lineRule="auto"/>
        <w:ind w:left="0" w:leftChars="0" w:right="0" w:rightChars="0"/>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表1-2</w:t>
      </w:r>
      <w:r>
        <w:rPr>
          <w:rFonts w:hint="default" w:ascii="Times New Roman" w:hAnsi="Times New Roman" w:eastAsia="宋体" w:cs="Times New Roman"/>
          <w:b/>
          <w:bCs/>
          <w:color w:val="auto"/>
          <w:sz w:val="24"/>
          <w:highlight w:val="none"/>
          <w:lang w:val="en-US" w:eastAsia="zh-CN"/>
        </w:rPr>
        <w:t>7</w:t>
      </w:r>
      <w:r>
        <w:rPr>
          <w:rFonts w:hint="default" w:ascii="Times New Roman" w:hAnsi="Times New Roman" w:eastAsia="宋体" w:cs="Times New Roman"/>
          <w:b/>
          <w:bCs/>
          <w:color w:val="auto"/>
          <w:sz w:val="24"/>
          <w:highlight w:val="none"/>
        </w:rPr>
        <w:t>《大气污染物综合排放标准》（GB16297-1996</w:t>
      </w:r>
      <w:r>
        <w:rPr>
          <w:rFonts w:hint="default" w:ascii="Times New Roman" w:hAnsi="Times New Roman" w:eastAsia="宋体" w:cs="Times New Roman"/>
          <w:b/>
          <w:bCs/>
          <w:color w:val="auto"/>
          <w:sz w:val="24"/>
          <w:highlight w:val="none"/>
          <w:lang w:eastAsia="zh-CN"/>
        </w:rPr>
        <w:t>）</w:t>
      </w:r>
      <w:r>
        <w:rPr>
          <w:rFonts w:hint="default" w:ascii="Times New Roman" w:hAnsi="Times New Roman" w:eastAsia="宋体" w:cs="Times New Roman"/>
          <w:b/>
          <w:bCs/>
          <w:color w:val="auto"/>
          <w:sz w:val="24"/>
          <w:highlight w:val="none"/>
        </w:rPr>
        <w:t>摘录</w:t>
      </w:r>
    </w:p>
    <w:tbl>
      <w:tblPr>
        <w:tblStyle w:val="54"/>
        <w:tblW w:w="8277"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2205"/>
        <w:gridCol w:w="3656"/>
        <w:gridCol w:w="2416"/>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114" w:type="dxa"/>
            <w:vMerge w:val="restart"/>
            <w:tcMar>
              <w:left w:w="28" w:type="dxa"/>
              <w:right w:w="28" w:type="dxa"/>
            </w:tcMar>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污染物</w:t>
            </w:r>
          </w:p>
        </w:tc>
        <w:tc>
          <w:tcPr>
            <w:tcW w:w="5823" w:type="dxa"/>
            <w:gridSpan w:val="2"/>
            <w:tcMar>
              <w:left w:w="28" w:type="dxa"/>
              <w:right w:w="28" w:type="dxa"/>
            </w:tcMar>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无组织排放监控浓度限值</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114" w:type="dxa"/>
            <w:vMerge w:val="continue"/>
            <w:tcMar>
              <w:left w:w="28" w:type="dxa"/>
              <w:right w:w="28" w:type="dxa"/>
            </w:tcMar>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p>
        </w:tc>
        <w:tc>
          <w:tcPr>
            <w:tcW w:w="3506" w:type="dxa"/>
            <w:tcMar>
              <w:left w:w="28" w:type="dxa"/>
              <w:right w:w="28" w:type="dxa"/>
            </w:tcMar>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监控点</w:t>
            </w:r>
          </w:p>
        </w:tc>
        <w:tc>
          <w:tcPr>
            <w:tcW w:w="2317" w:type="dxa"/>
            <w:tcMar>
              <w:left w:w="28" w:type="dxa"/>
              <w:right w:w="28" w:type="dxa"/>
            </w:tcMar>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rPr>
              <w:t>浓度（mg/m</w:t>
            </w:r>
            <w:r>
              <w:rPr>
                <w:rFonts w:hint="default" w:ascii="Times New Roman" w:hAnsi="Times New Roman" w:eastAsia="宋体" w:cs="Times New Roman"/>
                <w:color w:val="auto"/>
                <w:szCs w:val="21"/>
                <w:highlight w:val="none"/>
                <w:vertAlign w:val="superscript"/>
              </w:rPr>
              <w:t>3</w:t>
            </w:r>
            <w:r>
              <w:rPr>
                <w:rFonts w:hint="default" w:ascii="Times New Roman" w:hAnsi="Times New Roman" w:eastAsia="宋体" w:cs="Times New Roman"/>
                <w:color w:val="auto"/>
                <w:szCs w:val="21"/>
                <w:highlight w:val="none"/>
                <w:lang w:eastAsia="zh-CN"/>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114" w:type="dxa"/>
            <w:tcMar>
              <w:left w:w="28" w:type="dxa"/>
              <w:right w:w="28" w:type="dxa"/>
            </w:tcMar>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颗粒物</w:t>
            </w:r>
          </w:p>
        </w:tc>
        <w:tc>
          <w:tcPr>
            <w:tcW w:w="3506" w:type="dxa"/>
            <w:tcMar>
              <w:left w:w="28" w:type="dxa"/>
              <w:right w:w="28" w:type="dxa"/>
            </w:tcMar>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周围外浓度最高点</w:t>
            </w:r>
          </w:p>
        </w:tc>
        <w:tc>
          <w:tcPr>
            <w:tcW w:w="2317" w:type="dxa"/>
            <w:tcMar>
              <w:left w:w="28" w:type="dxa"/>
              <w:right w:w="28" w:type="dxa"/>
            </w:tcMar>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1.0</w:t>
            </w:r>
          </w:p>
        </w:tc>
      </w:tr>
    </w:tbl>
    <w:p>
      <w:pPr>
        <w:pageBreakBefore w:val="0"/>
        <w:tabs>
          <w:tab w:val="left" w:pos="3062"/>
        </w:tabs>
        <w:wordWrap/>
        <w:bidi w:val="0"/>
        <w:adjustRightInd w:val="0"/>
        <w:snapToGrid w:val="0"/>
        <w:spacing w:line="360" w:lineRule="auto"/>
        <w:ind w:left="0" w:leftChars="0" w:right="0" w:rightChars="0"/>
        <w:jc w:val="left"/>
        <w:rPr>
          <w:rFonts w:hint="default" w:ascii="Times New Roman" w:hAnsi="Times New Roman" w:eastAsia="宋体" w:cs="Times New Roman"/>
          <w:b/>
          <w:bCs/>
          <w:color w:val="auto"/>
          <w:sz w:val="24"/>
          <w:highlight w:val="none"/>
          <w:lang w:val="en-US" w:eastAsia="zh-CN"/>
        </w:rPr>
      </w:pPr>
      <w:r>
        <w:rPr>
          <w:rFonts w:hint="default" w:ascii="Times New Roman" w:hAnsi="Times New Roman" w:eastAsia="宋体" w:cs="Times New Roman"/>
          <w:b/>
          <w:bCs/>
          <w:color w:val="auto"/>
          <w:sz w:val="24"/>
          <w:highlight w:val="none"/>
          <w:lang w:val="en-US" w:eastAsia="zh-CN"/>
        </w:rPr>
        <w:t>1.5.2.2噪声</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eastAsia="zh-CN"/>
        </w:rPr>
        <w:t>运营</w:t>
      </w:r>
      <w:r>
        <w:rPr>
          <w:rFonts w:hint="default" w:ascii="Times New Roman" w:hAnsi="Times New Roman" w:eastAsia="宋体" w:cs="Times New Roman"/>
          <w:color w:val="auto"/>
          <w:sz w:val="24"/>
          <w:highlight w:val="none"/>
        </w:rPr>
        <w:t>期厂界噪声执行《工业企业厂界环境噪声排放标准》（GB12348-2008</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中的2类标准</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详见表1-2</w:t>
      </w:r>
      <w:r>
        <w:rPr>
          <w:rFonts w:hint="default" w:ascii="Times New Roman" w:hAnsi="Times New Roman" w:eastAsia="宋体" w:cs="Times New Roman"/>
          <w:color w:val="auto"/>
          <w:sz w:val="24"/>
          <w:highlight w:val="none"/>
          <w:lang w:val="en-US" w:eastAsia="zh-CN"/>
        </w:rPr>
        <w:t>8</w:t>
      </w:r>
      <w:r>
        <w:rPr>
          <w:rFonts w:hint="default" w:ascii="Times New Roman" w:hAnsi="Times New Roman" w:eastAsia="宋体" w:cs="Times New Roman"/>
          <w:color w:val="auto"/>
          <w:sz w:val="24"/>
          <w:highlight w:val="none"/>
        </w:rPr>
        <w:t>。</w:t>
      </w:r>
    </w:p>
    <w:p>
      <w:pPr>
        <w:pageBreakBefore w:val="0"/>
        <w:tabs>
          <w:tab w:val="left" w:pos="3062"/>
        </w:tabs>
        <w:wordWrap/>
        <w:bidi w:val="0"/>
        <w:adjustRightInd w:val="0"/>
        <w:snapToGrid w:val="0"/>
        <w:spacing w:line="360" w:lineRule="auto"/>
        <w:ind w:left="0" w:leftChars="0" w:right="0" w:rightChars="0"/>
        <w:jc w:val="center"/>
        <w:rPr>
          <w:rFonts w:hint="default" w:ascii="Times New Roman" w:hAnsi="Times New Roman" w:eastAsia="宋体" w:cs="Times New Roman"/>
          <w:b/>
          <w:bCs/>
          <w:color w:val="auto"/>
          <w:sz w:val="24"/>
          <w:highlight w:val="none"/>
          <w:lang w:eastAsia="zh-CN"/>
        </w:rPr>
      </w:pPr>
      <w:r>
        <w:rPr>
          <w:rFonts w:hint="default" w:ascii="Times New Roman" w:hAnsi="Times New Roman" w:eastAsia="宋体" w:cs="Times New Roman"/>
          <w:b/>
          <w:bCs/>
          <w:color w:val="auto"/>
          <w:sz w:val="24"/>
          <w:highlight w:val="none"/>
        </w:rPr>
        <w:t>表1-2</w:t>
      </w:r>
      <w:r>
        <w:rPr>
          <w:rFonts w:hint="default" w:ascii="Times New Roman" w:hAnsi="Times New Roman" w:eastAsia="宋体" w:cs="Times New Roman"/>
          <w:b/>
          <w:bCs/>
          <w:color w:val="auto"/>
          <w:sz w:val="24"/>
          <w:highlight w:val="none"/>
          <w:lang w:val="en-US" w:eastAsia="zh-CN"/>
        </w:rPr>
        <w:t>8</w:t>
      </w:r>
      <w:r>
        <w:rPr>
          <w:rFonts w:hint="default" w:ascii="Times New Roman" w:hAnsi="Times New Roman" w:eastAsia="宋体" w:cs="Times New Roman"/>
          <w:b/>
          <w:bCs/>
          <w:color w:val="auto"/>
          <w:sz w:val="24"/>
          <w:highlight w:val="none"/>
        </w:rPr>
        <w:t>工业企业厂界环境噪声排放标准（摘录</w:t>
      </w:r>
      <w:r>
        <w:rPr>
          <w:rFonts w:hint="default" w:ascii="Times New Roman" w:hAnsi="Times New Roman" w:eastAsia="宋体" w:cs="Times New Roman"/>
          <w:b/>
          <w:bCs/>
          <w:color w:val="auto"/>
          <w:sz w:val="24"/>
          <w:highlight w:val="none"/>
          <w:lang w:eastAsia="zh-CN"/>
        </w:rPr>
        <w:t>）</w:t>
      </w:r>
      <w:r>
        <w:rPr>
          <w:rFonts w:hint="default" w:ascii="Times New Roman" w:hAnsi="Times New Roman" w:eastAsia="宋体" w:cs="Times New Roman"/>
          <w:b/>
          <w:bCs/>
          <w:color w:val="auto"/>
          <w:sz w:val="24"/>
          <w:highlight w:val="none"/>
        </w:rPr>
        <w:t>单位dB</w:t>
      </w:r>
      <w:r>
        <w:rPr>
          <w:rFonts w:hint="default" w:ascii="Times New Roman" w:hAnsi="Times New Roman" w:eastAsia="宋体" w:cs="Times New Roman"/>
          <w:b/>
          <w:bCs/>
          <w:color w:val="auto"/>
          <w:sz w:val="24"/>
          <w:highlight w:val="none"/>
          <w:lang w:eastAsia="zh-CN"/>
        </w:rPr>
        <w:t>（A）</w:t>
      </w:r>
    </w:p>
    <w:tbl>
      <w:tblPr>
        <w:tblStyle w:val="54"/>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28" w:type="dxa"/>
          <w:bottom w:w="0" w:type="dxa"/>
          <w:right w:w="28" w:type="dxa"/>
        </w:tblCellMar>
      </w:tblPr>
      <w:tblGrid>
        <w:gridCol w:w="2090"/>
        <w:gridCol w:w="2090"/>
        <w:gridCol w:w="2091"/>
        <w:gridCol w:w="2091"/>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trPr>
        <w:tc>
          <w:tcPr>
            <w:tcW w:w="500" w:type="pct"/>
            <w:tcBorders>
              <w:top w:val="single" w:color="auto" w:sz="4" w:space="0"/>
              <w:left w:val="single" w:color="auto" w:sz="4" w:space="0"/>
              <w:bottom w:val="single" w:color="auto" w:sz="4" w:space="0"/>
              <w:righ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厂区</w:t>
            </w:r>
          </w:p>
        </w:tc>
        <w:tc>
          <w:tcPr>
            <w:tcW w:w="500" w:type="pct"/>
            <w:tcBorders>
              <w:top w:val="single" w:color="auto" w:sz="4" w:space="0"/>
              <w:left w:val="single" w:color="auto" w:sz="4" w:space="0"/>
              <w:bottom w:val="single" w:color="auto" w:sz="4" w:space="0"/>
              <w:righ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昼间</w:t>
            </w:r>
          </w:p>
        </w:tc>
        <w:tc>
          <w:tcPr>
            <w:tcW w:w="500" w:type="pct"/>
            <w:tcBorders>
              <w:top w:val="single" w:color="auto" w:sz="4" w:space="0"/>
              <w:left w:val="single" w:color="auto" w:sz="4" w:space="0"/>
              <w:bottom w:val="single" w:color="auto" w:sz="4" w:space="0"/>
              <w:righ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夜间</w:t>
            </w:r>
          </w:p>
        </w:tc>
        <w:tc>
          <w:tcPr>
            <w:tcW w:w="500" w:type="pct"/>
            <w:tcBorders>
              <w:top w:val="single" w:color="auto" w:sz="4" w:space="0"/>
              <w:left w:val="single" w:color="auto" w:sz="4" w:space="0"/>
              <w:bottom w:val="single" w:color="auto" w:sz="4" w:space="0"/>
              <w:righ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备注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trPr>
        <w:tc>
          <w:tcPr>
            <w:tcW w:w="500" w:type="pct"/>
            <w:tcBorders>
              <w:top w:val="single" w:color="auto" w:sz="4" w:space="0"/>
              <w:left w:val="single" w:color="auto" w:sz="4" w:space="0"/>
              <w:bottom w:val="single" w:color="auto" w:sz="4" w:space="0"/>
              <w:righ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厂界</w:t>
            </w:r>
          </w:p>
        </w:tc>
        <w:tc>
          <w:tcPr>
            <w:tcW w:w="500" w:type="pct"/>
            <w:tcBorders>
              <w:top w:val="single" w:color="auto" w:sz="4" w:space="0"/>
              <w:left w:val="single" w:color="auto" w:sz="4" w:space="0"/>
              <w:bottom w:val="single" w:color="auto" w:sz="4" w:space="0"/>
              <w:righ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60</w:t>
            </w:r>
          </w:p>
        </w:tc>
        <w:tc>
          <w:tcPr>
            <w:tcW w:w="500" w:type="pct"/>
            <w:tcBorders>
              <w:top w:val="single" w:color="auto" w:sz="4" w:space="0"/>
              <w:left w:val="single" w:color="auto" w:sz="4" w:space="0"/>
              <w:bottom w:val="single" w:color="auto" w:sz="4" w:space="0"/>
              <w:righ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50</w:t>
            </w:r>
          </w:p>
        </w:tc>
        <w:tc>
          <w:tcPr>
            <w:tcW w:w="500" w:type="pct"/>
            <w:tcBorders>
              <w:top w:val="single" w:color="auto" w:sz="4" w:space="0"/>
              <w:left w:val="single" w:color="auto" w:sz="4" w:space="0"/>
              <w:bottom w:val="single" w:color="auto" w:sz="4" w:space="0"/>
              <w:righ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GB12348-2008中2类</w:t>
            </w:r>
          </w:p>
        </w:tc>
      </w:tr>
    </w:tbl>
    <w:p>
      <w:pPr>
        <w:pageBreakBefore w:val="0"/>
        <w:tabs>
          <w:tab w:val="left" w:pos="3062"/>
        </w:tabs>
        <w:wordWrap/>
        <w:bidi w:val="0"/>
        <w:adjustRightInd w:val="0"/>
        <w:snapToGrid w:val="0"/>
        <w:spacing w:line="360" w:lineRule="auto"/>
        <w:ind w:left="0" w:leftChars="0" w:right="0" w:rightChars="0"/>
        <w:jc w:val="left"/>
        <w:rPr>
          <w:rFonts w:hint="default" w:ascii="Times New Roman" w:hAnsi="Times New Roman" w:eastAsia="宋体" w:cs="Times New Roman"/>
          <w:b/>
          <w:bCs/>
          <w:color w:val="auto"/>
          <w:sz w:val="24"/>
          <w:highlight w:val="none"/>
          <w:lang w:val="en-US" w:eastAsia="zh-CN"/>
        </w:rPr>
      </w:pPr>
      <w:bookmarkStart w:id="260" w:name="_Toc237963227"/>
      <w:bookmarkStart w:id="261" w:name="_Toc227651207"/>
      <w:bookmarkStart w:id="262" w:name="_Toc288306163"/>
      <w:bookmarkStart w:id="263" w:name="_Toc98215345"/>
      <w:bookmarkStart w:id="264" w:name="_Toc246850538"/>
      <w:bookmarkStart w:id="265" w:name="_Toc100334351"/>
      <w:bookmarkStart w:id="266" w:name="_Toc243904667"/>
      <w:bookmarkStart w:id="267" w:name="_Toc166964801"/>
      <w:r>
        <w:rPr>
          <w:rFonts w:hint="default" w:ascii="Times New Roman" w:hAnsi="Times New Roman" w:eastAsia="宋体" w:cs="Times New Roman"/>
          <w:b/>
          <w:bCs/>
          <w:color w:val="auto"/>
          <w:sz w:val="24"/>
          <w:highlight w:val="none"/>
          <w:lang w:val="en-US" w:eastAsia="zh-CN"/>
        </w:rPr>
        <w:t>1.5.2.3其他标准</w:t>
      </w:r>
    </w:p>
    <w:p>
      <w:pPr>
        <w:pStyle w:val="15"/>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一般工业固废执行《一般工业固体废物贮存和填埋污染控制标准》（GB18599-2020</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中的有关规定</w:t>
      </w:r>
      <w:r>
        <w:rPr>
          <w:rFonts w:hint="default" w:ascii="Times New Roman" w:hAnsi="Times New Roman" w:eastAsia="宋体" w:cs="Times New Roman"/>
          <w:color w:val="auto"/>
          <w:sz w:val="24"/>
          <w:szCs w:val="24"/>
          <w:highlight w:val="none"/>
          <w:lang w:eastAsia="zh-CN"/>
        </w:rPr>
        <w:t>。</w:t>
      </w:r>
    </w:p>
    <w:p>
      <w:pPr>
        <w:pStyle w:val="15"/>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eastAsia="zh-CN"/>
        </w:rPr>
        <w:t>危险废物执行《危险废物贮存污染控制标准》（GB18597-2023）</w:t>
      </w:r>
      <w:r>
        <w:rPr>
          <w:rFonts w:hint="default" w:ascii="Times New Roman" w:hAnsi="Times New Roman" w:eastAsia="宋体" w:cs="Times New Roman"/>
          <w:color w:val="auto"/>
          <w:sz w:val="24"/>
          <w:szCs w:val="24"/>
          <w:highlight w:val="none"/>
        </w:rPr>
        <w:t>中的有关规定。</w:t>
      </w:r>
    </w:p>
    <w:p>
      <w:pPr>
        <w:pStyle w:val="4"/>
        <w:pageBreakBefore w:val="0"/>
        <w:numPr>
          <w:ilvl w:val="1"/>
          <w:numId w:val="0"/>
        </w:numPr>
        <w:wordWrap/>
        <w:bidi w:val="0"/>
        <w:ind w:left="0" w:leftChars="0" w:right="0" w:rightChars="0" w:firstLine="0" w:firstLineChars="0"/>
        <w:rPr>
          <w:rFonts w:hint="default" w:ascii="Times New Roman" w:hAnsi="Times New Roman" w:eastAsia="宋体" w:cs="Times New Roman"/>
          <w:b/>
          <w:bCs/>
          <w:color w:val="auto"/>
          <w:highlight w:val="none"/>
        </w:rPr>
      </w:pPr>
      <w:bookmarkStart w:id="268" w:name="_Toc8717"/>
      <w:bookmarkStart w:id="269" w:name="_Toc3930"/>
      <w:r>
        <w:rPr>
          <w:rFonts w:hint="default" w:ascii="Times New Roman" w:hAnsi="Times New Roman" w:eastAsia="宋体" w:cs="Times New Roman"/>
          <w:b/>
          <w:bCs/>
          <w:i w:val="0"/>
          <w:color w:val="auto"/>
          <w:kern w:val="2"/>
          <w:sz w:val="28"/>
          <w:szCs w:val="28"/>
          <w:highlight w:val="none"/>
          <w:lang w:val="en-US" w:eastAsia="zh-CN" w:bidi="ar-SA"/>
        </w:rPr>
        <w:t>1.6</w:t>
      </w:r>
      <w:r>
        <w:rPr>
          <w:rFonts w:hint="default" w:ascii="Times New Roman" w:hAnsi="Times New Roman" w:eastAsia="宋体" w:cs="Times New Roman"/>
          <w:b/>
          <w:bCs/>
          <w:color w:val="auto"/>
          <w:highlight w:val="none"/>
        </w:rPr>
        <w:t>环境保护目标</w:t>
      </w:r>
      <w:bookmarkEnd w:id="260"/>
      <w:bookmarkEnd w:id="261"/>
      <w:bookmarkEnd w:id="262"/>
      <w:bookmarkEnd w:id="263"/>
      <w:bookmarkEnd w:id="264"/>
      <w:bookmarkEnd w:id="265"/>
      <w:bookmarkEnd w:id="266"/>
      <w:bookmarkEnd w:id="267"/>
      <w:bookmarkEnd w:id="268"/>
      <w:bookmarkEnd w:id="269"/>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eastAsia="zh-CN"/>
        </w:rPr>
        <w:t>内蒙古乌拉山自治区级自然保护区位于本项目南侧</w:t>
      </w:r>
      <w:r>
        <w:rPr>
          <w:rFonts w:hint="default" w:ascii="Times New Roman" w:hAnsi="Times New Roman" w:eastAsia="宋体" w:cs="Times New Roman"/>
          <w:color w:val="auto"/>
          <w:sz w:val="24"/>
          <w:highlight w:val="none"/>
          <w:lang w:val="en-US" w:eastAsia="zh-CN"/>
        </w:rPr>
        <w:t>650m处，本项目运输道路不经过</w:t>
      </w:r>
      <w:r>
        <w:rPr>
          <w:rFonts w:hint="default" w:ascii="Times New Roman" w:hAnsi="Times New Roman" w:eastAsia="宋体" w:cs="Times New Roman"/>
          <w:color w:val="auto"/>
          <w:sz w:val="24"/>
          <w:highlight w:val="none"/>
          <w:lang w:eastAsia="zh-CN"/>
        </w:rPr>
        <w:t>乌拉山自然保护区；梅力更保护区位于本项目南侧</w:t>
      </w:r>
      <w:r>
        <w:rPr>
          <w:rFonts w:hint="default" w:ascii="Times New Roman" w:hAnsi="Times New Roman" w:eastAsia="宋体" w:cs="Times New Roman"/>
          <w:color w:val="auto"/>
          <w:sz w:val="24"/>
          <w:highlight w:val="none"/>
          <w:lang w:val="en-US" w:eastAsia="zh-CN"/>
        </w:rPr>
        <w:t>14km处，本项目对其无影响；梅力更沟无流动性河流，为泄洪沟，本项目对其无影响。</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根据现场踏勘和环境敏感点的分布</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拟确定本项目主要环境保护目标如表1-2</w:t>
      </w:r>
      <w:r>
        <w:rPr>
          <w:rFonts w:hint="default" w:ascii="Times New Roman" w:hAnsi="Times New Roman" w:eastAsia="宋体" w:cs="Times New Roman"/>
          <w:color w:val="auto"/>
          <w:sz w:val="24"/>
          <w:highlight w:val="none"/>
          <w:lang w:val="en-US" w:eastAsia="zh-CN"/>
        </w:rPr>
        <w:t>9</w:t>
      </w:r>
      <w:r>
        <w:rPr>
          <w:rFonts w:hint="default" w:ascii="Times New Roman" w:hAnsi="Times New Roman" w:eastAsia="宋体" w:cs="Times New Roman"/>
          <w:color w:val="auto"/>
          <w:sz w:val="24"/>
          <w:highlight w:val="none"/>
        </w:rPr>
        <w:t>所示。</w:t>
      </w:r>
    </w:p>
    <w:p>
      <w:pPr>
        <w:pageBreakBefore w:val="0"/>
        <w:tabs>
          <w:tab w:val="left" w:pos="3062"/>
        </w:tabs>
        <w:wordWrap/>
        <w:bidi w:val="0"/>
        <w:spacing w:line="360" w:lineRule="auto"/>
        <w:ind w:left="0" w:leftChars="0" w:right="0" w:rightChars="0"/>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表1-2</w:t>
      </w:r>
      <w:r>
        <w:rPr>
          <w:rFonts w:hint="default" w:ascii="Times New Roman" w:hAnsi="Times New Roman" w:eastAsia="宋体" w:cs="Times New Roman"/>
          <w:b/>
          <w:bCs/>
          <w:color w:val="auto"/>
          <w:sz w:val="24"/>
          <w:highlight w:val="none"/>
          <w:lang w:val="en-US" w:eastAsia="zh-CN"/>
        </w:rPr>
        <w:t>9</w:t>
      </w:r>
      <w:r>
        <w:rPr>
          <w:rFonts w:hint="default" w:ascii="Times New Roman" w:hAnsi="Times New Roman" w:eastAsia="宋体" w:cs="Times New Roman"/>
          <w:b/>
          <w:bCs/>
          <w:color w:val="auto"/>
          <w:sz w:val="24"/>
          <w:highlight w:val="none"/>
        </w:rPr>
        <w:t>项目主要环境保护目标</w:t>
      </w:r>
    </w:p>
    <w:tbl>
      <w:tblPr>
        <w:tblStyle w:val="54"/>
        <w:tblW w:w="501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35"/>
        <w:gridCol w:w="713"/>
        <w:gridCol w:w="1367"/>
        <w:gridCol w:w="1480"/>
        <w:gridCol w:w="637"/>
        <w:gridCol w:w="714"/>
        <w:gridCol w:w="637"/>
        <w:gridCol w:w="21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5" w:type="dxa"/>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color w:val="auto"/>
                <w:sz w:val="21"/>
                <w:szCs w:val="21"/>
                <w:highlight w:val="none"/>
              </w:rPr>
            </w:pPr>
            <w:bookmarkStart w:id="270" w:name="_Toc243904668"/>
            <w:bookmarkStart w:id="271" w:name="_Toc98215347"/>
            <w:bookmarkStart w:id="272" w:name="_Toc288306164"/>
            <w:bookmarkStart w:id="273" w:name="_Toc166964802"/>
            <w:bookmarkStart w:id="274" w:name="_Toc237963228"/>
            <w:bookmarkStart w:id="275" w:name="_Toc227651208"/>
            <w:bookmarkStart w:id="276" w:name="_Toc100334353"/>
            <w:bookmarkStart w:id="277" w:name="_Toc246850529"/>
            <w:r>
              <w:rPr>
                <w:rFonts w:hint="default" w:ascii="Times New Roman" w:hAnsi="Times New Roman" w:eastAsia="宋体" w:cs="Times New Roman"/>
                <w:b/>
                <w:color w:val="auto"/>
                <w:sz w:val="21"/>
                <w:szCs w:val="21"/>
                <w:highlight w:val="none"/>
              </w:rPr>
              <w:t>环境要素</w:t>
            </w:r>
          </w:p>
        </w:tc>
        <w:tc>
          <w:tcPr>
            <w:tcW w:w="713" w:type="dxa"/>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保护目标</w:t>
            </w:r>
          </w:p>
        </w:tc>
        <w:tc>
          <w:tcPr>
            <w:tcW w:w="2845" w:type="dxa"/>
            <w:gridSpan w:val="2"/>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经纬度</w:t>
            </w:r>
          </w:p>
        </w:tc>
        <w:tc>
          <w:tcPr>
            <w:tcW w:w="637" w:type="dxa"/>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相对方位</w:t>
            </w:r>
          </w:p>
        </w:tc>
        <w:tc>
          <w:tcPr>
            <w:tcW w:w="714" w:type="dxa"/>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距</w:t>
            </w:r>
            <w:r>
              <w:rPr>
                <w:rFonts w:hint="default" w:ascii="Times New Roman" w:hAnsi="Times New Roman" w:eastAsia="宋体" w:cs="Times New Roman"/>
                <w:b/>
                <w:color w:val="auto"/>
                <w:sz w:val="21"/>
                <w:szCs w:val="21"/>
                <w:highlight w:val="none"/>
                <w:lang w:eastAsia="zh-CN"/>
              </w:rPr>
              <w:t>尾矿库边界</w:t>
            </w:r>
            <w:r>
              <w:rPr>
                <w:rFonts w:hint="default" w:ascii="Times New Roman" w:hAnsi="Times New Roman" w:eastAsia="宋体" w:cs="Times New Roman"/>
                <w:color w:val="auto"/>
                <w:sz w:val="21"/>
                <w:szCs w:val="21"/>
                <w:highlight w:val="none"/>
                <w:lang w:val="en-US" w:eastAsia="zh-CN"/>
              </w:rPr>
              <w:t>m</w:t>
            </w:r>
          </w:p>
        </w:tc>
        <w:tc>
          <w:tcPr>
            <w:tcW w:w="637" w:type="dxa"/>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人数</w:t>
            </w:r>
          </w:p>
        </w:tc>
        <w:tc>
          <w:tcPr>
            <w:tcW w:w="2161" w:type="dxa"/>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保护级别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5" w:type="dxa"/>
            <w:vMerge w:val="restart"/>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大气</w:t>
            </w:r>
          </w:p>
        </w:tc>
        <w:tc>
          <w:tcPr>
            <w:tcW w:w="713" w:type="dxa"/>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莫日嘎查居民点</w:t>
            </w:r>
            <w:r>
              <w:rPr>
                <w:rFonts w:hint="default" w:ascii="Times New Roman" w:hAnsi="Times New Roman" w:eastAsia="宋体" w:cs="Times New Roman"/>
                <w:color w:val="auto"/>
                <w:sz w:val="21"/>
                <w:szCs w:val="21"/>
                <w:highlight w:val="none"/>
                <w:lang w:val="en-US" w:eastAsia="zh-CN"/>
              </w:rPr>
              <w:t>1</w:t>
            </w:r>
          </w:p>
        </w:tc>
        <w:tc>
          <w:tcPr>
            <w:tcW w:w="1366" w:type="dxa"/>
            <w:tcMar>
              <w:left w:w="0" w:type="dxa"/>
              <w:right w:w="0" w:type="dxa"/>
            </w:tcMar>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bidi="ar"/>
              </w:rPr>
              <w:t>109°26'06.67"</w:t>
            </w:r>
          </w:p>
        </w:tc>
        <w:tc>
          <w:tcPr>
            <w:tcW w:w="1479" w:type="dxa"/>
            <w:tcMar>
              <w:left w:w="0" w:type="dxa"/>
              <w:right w:w="0" w:type="dxa"/>
            </w:tcMar>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bidi="ar"/>
              </w:rPr>
              <w:t>40°48'16.35"</w:t>
            </w:r>
          </w:p>
        </w:tc>
        <w:tc>
          <w:tcPr>
            <w:tcW w:w="637" w:type="dxa"/>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sz w:val="21"/>
                <w:szCs w:val="21"/>
                <w:highlight w:val="none"/>
                <w:lang w:val="en-US" w:eastAsia="zh-CN"/>
              </w:rPr>
              <w:t>尾矿库</w:t>
            </w:r>
            <w:r>
              <w:rPr>
                <w:rFonts w:hint="default" w:ascii="Times New Roman" w:hAnsi="Times New Roman" w:eastAsia="宋体" w:cs="Times New Roman"/>
                <w:bCs/>
                <w:color w:val="auto"/>
                <w:sz w:val="21"/>
                <w:szCs w:val="21"/>
                <w:highlight w:val="none"/>
                <w:lang w:eastAsia="zh-CN"/>
              </w:rPr>
              <w:t>东</w:t>
            </w:r>
            <w:r>
              <w:rPr>
                <w:rFonts w:hint="default" w:ascii="Times New Roman" w:hAnsi="Times New Roman" w:eastAsia="宋体" w:cs="Times New Roman"/>
                <w:bCs/>
                <w:color w:val="auto"/>
                <w:sz w:val="21"/>
                <w:szCs w:val="21"/>
                <w:highlight w:val="none"/>
                <w:lang w:val="en-US" w:eastAsia="zh-CN"/>
              </w:rPr>
              <w:t>侧</w:t>
            </w:r>
          </w:p>
        </w:tc>
        <w:tc>
          <w:tcPr>
            <w:tcW w:w="714" w:type="dxa"/>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sz w:val="21"/>
                <w:szCs w:val="21"/>
                <w:highlight w:val="none"/>
                <w:lang w:val="en-US" w:eastAsia="zh-CN"/>
              </w:rPr>
              <w:t>210</w:t>
            </w:r>
          </w:p>
        </w:tc>
        <w:tc>
          <w:tcPr>
            <w:tcW w:w="637" w:type="dxa"/>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w:t>
            </w:r>
          </w:p>
        </w:tc>
        <w:tc>
          <w:tcPr>
            <w:tcW w:w="2161" w:type="dxa"/>
            <w:vMerge w:val="restart"/>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《环境空气质量标准》（GB3095-2012</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及修改单的二级标准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5" w:type="dxa"/>
            <w:vMerge w:val="continue"/>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713" w:type="dxa"/>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莫日嘎查居民点</w:t>
            </w:r>
            <w:r>
              <w:rPr>
                <w:rFonts w:hint="default" w:ascii="Times New Roman" w:hAnsi="Times New Roman" w:eastAsia="宋体" w:cs="Times New Roman"/>
                <w:color w:val="auto"/>
                <w:sz w:val="21"/>
                <w:szCs w:val="21"/>
                <w:highlight w:val="none"/>
                <w:lang w:val="en-US" w:eastAsia="zh-CN"/>
              </w:rPr>
              <w:t>2</w:t>
            </w:r>
          </w:p>
        </w:tc>
        <w:tc>
          <w:tcPr>
            <w:tcW w:w="1366" w:type="dxa"/>
            <w:tcMar>
              <w:left w:w="0" w:type="dxa"/>
              <w:right w:w="0" w:type="dxa"/>
            </w:tcMar>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109°26'</w:t>
            </w:r>
            <w:r>
              <w:rPr>
                <w:rFonts w:hint="default" w:ascii="Times New Roman" w:hAnsi="Times New Roman" w:eastAsia="宋体" w:cs="Times New Roman"/>
                <w:color w:val="auto"/>
                <w:kern w:val="0"/>
                <w:sz w:val="21"/>
                <w:szCs w:val="21"/>
                <w:highlight w:val="none"/>
                <w:lang w:val="en-US" w:eastAsia="zh-CN" w:bidi="ar"/>
              </w:rPr>
              <w:t>23.34</w:t>
            </w:r>
            <w:r>
              <w:rPr>
                <w:rFonts w:hint="default" w:ascii="Times New Roman" w:hAnsi="Times New Roman" w:eastAsia="宋体" w:cs="Times New Roman"/>
                <w:color w:val="auto"/>
                <w:kern w:val="0"/>
                <w:sz w:val="21"/>
                <w:szCs w:val="21"/>
                <w:highlight w:val="none"/>
                <w:lang w:bidi="ar"/>
              </w:rPr>
              <w:t>"</w:t>
            </w:r>
          </w:p>
        </w:tc>
        <w:tc>
          <w:tcPr>
            <w:tcW w:w="1479" w:type="dxa"/>
            <w:tcMar>
              <w:left w:w="0" w:type="dxa"/>
              <w:right w:w="0" w:type="dxa"/>
            </w:tcMar>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40°48'</w:t>
            </w:r>
            <w:r>
              <w:rPr>
                <w:rFonts w:hint="default" w:ascii="Times New Roman" w:hAnsi="Times New Roman" w:eastAsia="宋体" w:cs="Times New Roman"/>
                <w:color w:val="auto"/>
                <w:kern w:val="0"/>
                <w:sz w:val="21"/>
                <w:szCs w:val="21"/>
                <w:highlight w:val="none"/>
                <w:lang w:val="en-US" w:eastAsia="zh-CN" w:bidi="ar"/>
              </w:rPr>
              <w:t>31.85</w:t>
            </w:r>
            <w:r>
              <w:rPr>
                <w:rFonts w:hint="default" w:ascii="Times New Roman" w:hAnsi="Times New Roman" w:eastAsia="宋体" w:cs="Times New Roman"/>
                <w:color w:val="auto"/>
                <w:kern w:val="0"/>
                <w:sz w:val="21"/>
                <w:szCs w:val="21"/>
                <w:highlight w:val="none"/>
                <w:lang w:bidi="ar"/>
              </w:rPr>
              <w:t>"</w:t>
            </w:r>
          </w:p>
        </w:tc>
        <w:tc>
          <w:tcPr>
            <w:tcW w:w="637" w:type="dxa"/>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bCs/>
                <w:color w:val="auto"/>
                <w:sz w:val="21"/>
                <w:szCs w:val="21"/>
                <w:highlight w:val="none"/>
                <w:lang w:eastAsia="zh-CN"/>
              </w:rPr>
            </w:pPr>
            <w:r>
              <w:rPr>
                <w:rFonts w:hint="default" w:ascii="Times New Roman" w:hAnsi="Times New Roman" w:eastAsia="宋体" w:cs="Times New Roman"/>
                <w:bCs/>
                <w:color w:val="auto"/>
                <w:sz w:val="21"/>
                <w:szCs w:val="21"/>
                <w:highlight w:val="none"/>
                <w:lang w:val="en-US" w:eastAsia="zh-CN"/>
              </w:rPr>
              <w:t>尾矿库</w:t>
            </w:r>
            <w:r>
              <w:rPr>
                <w:rFonts w:hint="default" w:ascii="Times New Roman" w:hAnsi="Times New Roman" w:eastAsia="宋体" w:cs="Times New Roman"/>
                <w:bCs/>
                <w:color w:val="auto"/>
                <w:sz w:val="21"/>
                <w:szCs w:val="21"/>
                <w:highlight w:val="none"/>
                <w:lang w:eastAsia="zh-CN"/>
              </w:rPr>
              <w:t>东北</w:t>
            </w:r>
            <w:r>
              <w:rPr>
                <w:rFonts w:hint="default" w:ascii="Times New Roman" w:hAnsi="Times New Roman" w:eastAsia="宋体" w:cs="Times New Roman"/>
                <w:bCs/>
                <w:color w:val="auto"/>
                <w:sz w:val="21"/>
                <w:szCs w:val="21"/>
                <w:highlight w:val="none"/>
                <w:lang w:val="en-US" w:eastAsia="zh-CN"/>
              </w:rPr>
              <w:t>侧</w:t>
            </w:r>
          </w:p>
        </w:tc>
        <w:tc>
          <w:tcPr>
            <w:tcW w:w="714" w:type="dxa"/>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800</w:t>
            </w:r>
          </w:p>
        </w:tc>
        <w:tc>
          <w:tcPr>
            <w:tcW w:w="637" w:type="dxa"/>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w:t>
            </w:r>
          </w:p>
        </w:tc>
        <w:tc>
          <w:tcPr>
            <w:tcW w:w="2161" w:type="dxa"/>
            <w:vMerge w:val="continue"/>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5" w:type="dxa"/>
            <w:vMerge w:val="continue"/>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713" w:type="dxa"/>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查干达巴居民点1</w:t>
            </w:r>
          </w:p>
        </w:tc>
        <w:tc>
          <w:tcPr>
            <w:tcW w:w="1366" w:type="dxa"/>
            <w:tcMar>
              <w:left w:w="0" w:type="dxa"/>
              <w:right w:w="0" w:type="dxa"/>
            </w:tcMar>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109°26'</w:t>
            </w:r>
            <w:r>
              <w:rPr>
                <w:rFonts w:hint="default" w:ascii="Times New Roman" w:hAnsi="Times New Roman" w:eastAsia="宋体" w:cs="Times New Roman"/>
                <w:color w:val="auto"/>
                <w:kern w:val="0"/>
                <w:sz w:val="21"/>
                <w:szCs w:val="21"/>
                <w:highlight w:val="none"/>
                <w:lang w:val="en-US" w:eastAsia="zh-CN" w:bidi="ar"/>
              </w:rPr>
              <w:t>5.31</w:t>
            </w:r>
            <w:r>
              <w:rPr>
                <w:rFonts w:hint="default" w:ascii="Times New Roman" w:hAnsi="Times New Roman" w:eastAsia="宋体" w:cs="Times New Roman"/>
                <w:color w:val="auto"/>
                <w:kern w:val="0"/>
                <w:sz w:val="21"/>
                <w:szCs w:val="21"/>
                <w:highlight w:val="none"/>
                <w:lang w:bidi="ar"/>
              </w:rPr>
              <w:t>"</w:t>
            </w:r>
          </w:p>
        </w:tc>
        <w:tc>
          <w:tcPr>
            <w:tcW w:w="1479" w:type="dxa"/>
            <w:tcMar>
              <w:left w:w="0" w:type="dxa"/>
              <w:right w:w="0" w:type="dxa"/>
            </w:tcMar>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40°48'</w:t>
            </w:r>
            <w:r>
              <w:rPr>
                <w:rFonts w:hint="default" w:ascii="Times New Roman" w:hAnsi="Times New Roman" w:eastAsia="宋体" w:cs="Times New Roman"/>
                <w:color w:val="auto"/>
                <w:kern w:val="0"/>
                <w:sz w:val="21"/>
                <w:szCs w:val="21"/>
                <w:highlight w:val="none"/>
                <w:lang w:val="en-US" w:eastAsia="zh-CN" w:bidi="ar"/>
              </w:rPr>
              <w:t>54.09</w:t>
            </w:r>
            <w:r>
              <w:rPr>
                <w:rFonts w:hint="default" w:ascii="Times New Roman" w:hAnsi="Times New Roman" w:eastAsia="宋体" w:cs="Times New Roman"/>
                <w:color w:val="auto"/>
                <w:kern w:val="0"/>
                <w:sz w:val="21"/>
                <w:szCs w:val="21"/>
                <w:highlight w:val="none"/>
                <w:lang w:bidi="ar"/>
              </w:rPr>
              <w:t>"</w:t>
            </w:r>
          </w:p>
        </w:tc>
        <w:tc>
          <w:tcPr>
            <w:tcW w:w="637" w:type="dxa"/>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bCs/>
                <w:color w:val="auto"/>
                <w:sz w:val="21"/>
                <w:szCs w:val="21"/>
                <w:highlight w:val="none"/>
                <w:lang w:eastAsia="zh-CN"/>
              </w:rPr>
            </w:pPr>
            <w:r>
              <w:rPr>
                <w:rFonts w:hint="default" w:ascii="Times New Roman" w:hAnsi="Times New Roman" w:eastAsia="宋体" w:cs="Times New Roman"/>
                <w:bCs/>
                <w:color w:val="auto"/>
                <w:sz w:val="21"/>
                <w:szCs w:val="21"/>
                <w:highlight w:val="none"/>
                <w:lang w:val="en-US" w:eastAsia="zh-CN"/>
              </w:rPr>
              <w:t>尾矿库</w:t>
            </w:r>
            <w:r>
              <w:rPr>
                <w:rFonts w:hint="default" w:ascii="Times New Roman" w:hAnsi="Times New Roman" w:eastAsia="宋体" w:cs="Times New Roman"/>
                <w:bCs/>
                <w:color w:val="auto"/>
                <w:sz w:val="21"/>
                <w:szCs w:val="21"/>
                <w:highlight w:val="none"/>
                <w:lang w:eastAsia="zh-CN"/>
              </w:rPr>
              <w:t>北</w:t>
            </w:r>
            <w:r>
              <w:rPr>
                <w:rFonts w:hint="default" w:ascii="Times New Roman" w:hAnsi="Times New Roman" w:eastAsia="宋体" w:cs="Times New Roman"/>
                <w:bCs/>
                <w:color w:val="auto"/>
                <w:sz w:val="21"/>
                <w:szCs w:val="21"/>
                <w:highlight w:val="none"/>
                <w:lang w:val="en-US" w:eastAsia="zh-CN"/>
              </w:rPr>
              <w:t>侧</w:t>
            </w:r>
          </w:p>
        </w:tc>
        <w:tc>
          <w:tcPr>
            <w:tcW w:w="714" w:type="dxa"/>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1210</w:t>
            </w:r>
          </w:p>
        </w:tc>
        <w:tc>
          <w:tcPr>
            <w:tcW w:w="637" w:type="dxa"/>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w:t>
            </w:r>
          </w:p>
        </w:tc>
        <w:tc>
          <w:tcPr>
            <w:tcW w:w="2161" w:type="dxa"/>
            <w:vMerge w:val="continue"/>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5" w:type="dxa"/>
            <w:vMerge w:val="continue"/>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713" w:type="dxa"/>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查干达巴居民点2</w:t>
            </w:r>
          </w:p>
        </w:tc>
        <w:tc>
          <w:tcPr>
            <w:tcW w:w="1366" w:type="dxa"/>
            <w:tcMar>
              <w:left w:w="0" w:type="dxa"/>
              <w:right w:w="0" w:type="dxa"/>
            </w:tcMar>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109°2</w:t>
            </w:r>
            <w:r>
              <w:rPr>
                <w:rFonts w:hint="default" w:ascii="Times New Roman" w:hAnsi="Times New Roman" w:eastAsia="宋体" w:cs="Times New Roman"/>
                <w:color w:val="auto"/>
                <w:kern w:val="0"/>
                <w:sz w:val="21"/>
                <w:szCs w:val="21"/>
                <w:highlight w:val="none"/>
                <w:lang w:val="en-US" w:eastAsia="zh-CN" w:bidi="ar"/>
              </w:rPr>
              <w:t>5</w:t>
            </w:r>
            <w:r>
              <w:rPr>
                <w:rFonts w:hint="default" w:ascii="Times New Roman" w:hAnsi="Times New Roman" w:eastAsia="宋体" w:cs="Times New Roman"/>
                <w:color w:val="auto"/>
                <w:kern w:val="0"/>
                <w:sz w:val="21"/>
                <w:szCs w:val="21"/>
                <w:highlight w:val="none"/>
                <w:lang w:bidi="ar"/>
              </w:rPr>
              <w:t>'</w:t>
            </w:r>
            <w:r>
              <w:rPr>
                <w:rFonts w:hint="default" w:ascii="Times New Roman" w:hAnsi="Times New Roman" w:eastAsia="宋体" w:cs="Times New Roman"/>
                <w:color w:val="auto"/>
                <w:kern w:val="0"/>
                <w:sz w:val="21"/>
                <w:szCs w:val="21"/>
                <w:highlight w:val="none"/>
                <w:lang w:val="en-US" w:eastAsia="zh-CN" w:bidi="ar"/>
              </w:rPr>
              <w:t>31.71</w:t>
            </w:r>
            <w:r>
              <w:rPr>
                <w:rFonts w:hint="default" w:ascii="Times New Roman" w:hAnsi="Times New Roman" w:eastAsia="宋体" w:cs="Times New Roman"/>
                <w:color w:val="auto"/>
                <w:kern w:val="0"/>
                <w:sz w:val="21"/>
                <w:szCs w:val="21"/>
                <w:highlight w:val="none"/>
                <w:lang w:bidi="ar"/>
              </w:rPr>
              <w:t>"</w:t>
            </w:r>
          </w:p>
        </w:tc>
        <w:tc>
          <w:tcPr>
            <w:tcW w:w="1479" w:type="dxa"/>
            <w:tcMar>
              <w:left w:w="0" w:type="dxa"/>
              <w:right w:w="0" w:type="dxa"/>
            </w:tcMar>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40°48'</w:t>
            </w:r>
            <w:r>
              <w:rPr>
                <w:rFonts w:hint="default" w:ascii="Times New Roman" w:hAnsi="Times New Roman" w:eastAsia="宋体" w:cs="Times New Roman"/>
                <w:color w:val="auto"/>
                <w:kern w:val="0"/>
                <w:sz w:val="21"/>
                <w:szCs w:val="21"/>
                <w:highlight w:val="none"/>
                <w:lang w:val="en-US" w:eastAsia="zh-CN" w:bidi="ar"/>
              </w:rPr>
              <w:t>37.48</w:t>
            </w:r>
            <w:r>
              <w:rPr>
                <w:rFonts w:hint="default" w:ascii="Times New Roman" w:hAnsi="Times New Roman" w:eastAsia="宋体" w:cs="Times New Roman"/>
                <w:color w:val="auto"/>
                <w:kern w:val="0"/>
                <w:sz w:val="21"/>
                <w:szCs w:val="21"/>
                <w:highlight w:val="none"/>
                <w:lang w:bidi="ar"/>
              </w:rPr>
              <w:t>"</w:t>
            </w:r>
          </w:p>
        </w:tc>
        <w:tc>
          <w:tcPr>
            <w:tcW w:w="637" w:type="dxa"/>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bCs/>
                <w:color w:val="auto"/>
                <w:sz w:val="21"/>
                <w:szCs w:val="21"/>
                <w:highlight w:val="none"/>
                <w:lang w:eastAsia="zh-CN"/>
              </w:rPr>
            </w:pPr>
            <w:r>
              <w:rPr>
                <w:rFonts w:hint="default" w:ascii="Times New Roman" w:hAnsi="Times New Roman" w:eastAsia="宋体" w:cs="Times New Roman"/>
                <w:bCs/>
                <w:color w:val="auto"/>
                <w:sz w:val="21"/>
                <w:szCs w:val="21"/>
                <w:highlight w:val="none"/>
                <w:lang w:val="en-US" w:eastAsia="zh-CN"/>
              </w:rPr>
              <w:t>尾矿库</w:t>
            </w:r>
            <w:r>
              <w:rPr>
                <w:rFonts w:hint="default" w:ascii="Times New Roman" w:hAnsi="Times New Roman" w:eastAsia="宋体" w:cs="Times New Roman"/>
                <w:bCs/>
                <w:color w:val="auto"/>
                <w:sz w:val="21"/>
                <w:szCs w:val="21"/>
                <w:highlight w:val="none"/>
                <w:lang w:eastAsia="zh-CN"/>
              </w:rPr>
              <w:t>北</w:t>
            </w:r>
            <w:r>
              <w:rPr>
                <w:rFonts w:hint="default" w:ascii="Times New Roman" w:hAnsi="Times New Roman" w:eastAsia="宋体" w:cs="Times New Roman"/>
                <w:bCs/>
                <w:color w:val="auto"/>
                <w:sz w:val="21"/>
                <w:szCs w:val="21"/>
                <w:highlight w:val="none"/>
                <w:lang w:val="en-US" w:eastAsia="zh-CN"/>
              </w:rPr>
              <w:t>侧</w:t>
            </w:r>
          </w:p>
        </w:tc>
        <w:tc>
          <w:tcPr>
            <w:tcW w:w="714" w:type="dxa"/>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820</w:t>
            </w:r>
          </w:p>
        </w:tc>
        <w:tc>
          <w:tcPr>
            <w:tcW w:w="637" w:type="dxa"/>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w:t>
            </w:r>
          </w:p>
        </w:tc>
        <w:tc>
          <w:tcPr>
            <w:tcW w:w="2161" w:type="dxa"/>
            <w:vMerge w:val="continue"/>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5" w:type="dxa"/>
            <w:vMerge w:val="continue"/>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713" w:type="dxa"/>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查干达巴居民点3</w:t>
            </w:r>
          </w:p>
        </w:tc>
        <w:tc>
          <w:tcPr>
            <w:tcW w:w="1366" w:type="dxa"/>
            <w:tcMar>
              <w:left w:w="0" w:type="dxa"/>
              <w:right w:w="0" w:type="dxa"/>
            </w:tcMar>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109°2</w:t>
            </w:r>
            <w:r>
              <w:rPr>
                <w:rFonts w:hint="default" w:ascii="Times New Roman" w:hAnsi="Times New Roman" w:eastAsia="宋体" w:cs="Times New Roman"/>
                <w:color w:val="auto"/>
                <w:kern w:val="0"/>
                <w:sz w:val="21"/>
                <w:szCs w:val="21"/>
                <w:highlight w:val="none"/>
                <w:lang w:val="en-US" w:eastAsia="zh-CN" w:bidi="ar"/>
              </w:rPr>
              <w:t>5</w:t>
            </w:r>
            <w:r>
              <w:rPr>
                <w:rFonts w:hint="default" w:ascii="Times New Roman" w:hAnsi="Times New Roman" w:eastAsia="宋体" w:cs="Times New Roman"/>
                <w:color w:val="auto"/>
                <w:kern w:val="0"/>
                <w:sz w:val="21"/>
                <w:szCs w:val="21"/>
                <w:highlight w:val="none"/>
                <w:lang w:bidi="ar"/>
              </w:rPr>
              <w:t>'</w:t>
            </w:r>
            <w:r>
              <w:rPr>
                <w:rFonts w:hint="default" w:ascii="Times New Roman" w:hAnsi="Times New Roman" w:eastAsia="宋体" w:cs="Times New Roman"/>
                <w:color w:val="auto"/>
                <w:kern w:val="0"/>
                <w:sz w:val="21"/>
                <w:szCs w:val="21"/>
                <w:highlight w:val="none"/>
                <w:lang w:val="en-US" w:eastAsia="zh-CN" w:bidi="ar"/>
              </w:rPr>
              <w:t>31.55</w:t>
            </w:r>
            <w:r>
              <w:rPr>
                <w:rFonts w:hint="default" w:ascii="Times New Roman" w:hAnsi="Times New Roman" w:eastAsia="宋体" w:cs="Times New Roman"/>
                <w:color w:val="auto"/>
                <w:kern w:val="0"/>
                <w:sz w:val="21"/>
                <w:szCs w:val="21"/>
                <w:highlight w:val="none"/>
                <w:lang w:bidi="ar"/>
              </w:rPr>
              <w:t>"</w:t>
            </w:r>
          </w:p>
        </w:tc>
        <w:tc>
          <w:tcPr>
            <w:tcW w:w="1479" w:type="dxa"/>
            <w:tcMar>
              <w:left w:w="0" w:type="dxa"/>
              <w:right w:w="0" w:type="dxa"/>
            </w:tcMar>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40°48'</w:t>
            </w:r>
            <w:r>
              <w:rPr>
                <w:rFonts w:hint="default" w:ascii="Times New Roman" w:hAnsi="Times New Roman" w:eastAsia="宋体" w:cs="Times New Roman"/>
                <w:color w:val="auto"/>
                <w:kern w:val="0"/>
                <w:sz w:val="21"/>
                <w:szCs w:val="21"/>
                <w:highlight w:val="none"/>
                <w:lang w:val="en-US" w:eastAsia="zh-CN" w:bidi="ar"/>
              </w:rPr>
              <w:t>56.56</w:t>
            </w:r>
            <w:r>
              <w:rPr>
                <w:rFonts w:hint="default" w:ascii="Times New Roman" w:hAnsi="Times New Roman" w:eastAsia="宋体" w:cs="Times New Roman"/>
                <w:color w:val="auto"/>
                <w:kern w:val="0"/>
                <w:sz w:val="21"/>
                <w:szCs w:val="21"/>
                <w:highlight w:val="none"/>
                <w:lang w:bidi="ar"/>
              </w:rPr>
              <w:t>"</w:t>
            </w:r>
          </w:p>
        </w:tc>
        <w:tc>
          <w:tcPr>
            <w:tcW w:w="637" w:type="dxa"/>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bCs/>
                <w:color w:val="auto"/>
                <w:sz w:val="21"/>
                <w:szCs w:val="21"/>
                <w:highlight w:val="none"/>
                <w:lang w:eastAsia="zh-CN"/>
              </w:rPr>
            </w:pPr>
            <w:r>
              <w:rPr>
                <w:rFonts w:hint="default" w:ascii="Times New Roman" w:hAnsi="Times New Roman" w:eastAsia="宋体" w:cs="Times New Roman"/>
                <w:bCs/>
                <w:color w:val="auto"/>
                <w:sz w:val="21"/>
                <w:szCs w:val="21"/>
                <w:highlight w:val="none"/>
                <w:lang w:val="en-US" w:eastAsia="zh-CN"/>
              </w:rPr>
              <w:t>尾矿库</w:t>
            </w:r>
            <w:r>
              <w:rPr>
                <w:rFonts w:hint="default" w:ascii="Times New Roman" w:hAnsi="Times New Roman" w:eastAsia="宋体" w:cs="Times New Roman"/>
                <w:bCs/>
                <w:color w:val="auto"/>
                <w:sz w:val="21"/>
                <w:szCs w:val="21"/>
                <w:highlight w:val="none"/>
                <w:lang w:eastAsia="zh-CN"/>
              </w:rPr>
              <w:t>北</w:t>
            </w:r>
            <w:r>
              <w:rPr>
                <w:rFonts w:hint="default" w:ascii="Times New Roman" w:hAnsi="Times New Roman" w:eastAsia="宋体" w:cs="Times New Roman"/>
                <w:bCs/>
                <w:color w:val="auto"/>
                <w:sz w:val="21"/>
                <w:szCs w:val="21"/>
                <w:highlight w:val="none"/>
                <w:lang w:val="en-US" w:eastAsia="zh-CN"/>
              </w:rPr>
              <w:t>侧</w:t>
            </w:r>
          </w:p>
        </w:tc>
        <w:tc>
          <w:tcPr>
            <w:tcW w:w="714" w:type="dxa"/>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1410</w:t>
            </w:r>
          </w:p>
        </w:tc>
        <w:tc>
          <w:tcPr>
            <w:tcW w:w="637" w:type="dxa"/>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w:t>
            </w:r>
          </w:p>
        </w:tc>
        <w:tc>
          <w:tcPr>
            <w:tcW w:w="2161" w:type="dxa"/>
            <w:vMerge w:val="continue"/>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5" w:type="dxa"/>
            <w:vMerge w:val="continue"/>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713" w:type="dxa"/>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莫日嘎查二虎家</w:t>
            </w:r>
          </w:p>
        </w:tc>
        <w:tc>
          <w:tcPr>
            <w:tcW w:w="1366" w:type="dxa"/>
            <w:tcMar>
              <w:left w:w="0" w:type="dxa"/>
              <w:right w:w="0" w:type="dxa"/>
            </w:tcMar>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bidi="ar"/>
              </w:rPr>
              <w:t>109°26'</w:t>
            </w:r>
            <w:r>
              <w:rPr>
                <w:rFonts w:hint="default" w:ascii="Times New Roman" w:hAnsi="Times New Roman" w:eastAsia="宋体" w:cs="Times New Roman"/>
                <w:color w:val="auto"/>
                <w:kern w:val="0"/>
                <w:sz w:val="21"/>
                <w:szCs w:val="21"/>
                <w:highlight w:val="none"/>
                <w:lang w:val="en-US" w:eastAsia="zh-CN" w:bidi="ar"/>
              </w:rPr>
              <w:t>15.29</w:t>
            </w:r>
            <w:r>
              <w:rPr>
                <w:rFonts w:hint="default" w:ascii="Times New Roman" w:hAnsi="Times New Roman" w:eastAsia="宋体" w:cs="Times New Roman"/>
                <w:color w:val="auto"/>
                <w:kern w:val="0"/>
                <w:sz w:val="21"/>
                <w:szCs w:val="21"/>
                <w:highlight w:val="none"/>
                <w:lang w:bidi="ar"/>
              </w:rPr>
              <w:t>"</w:t>
            </w:r>
          </w:p>
        </w:tc>
        <w:tc>
          <w:tcPr>
            <w:tcW w:w="1479" w:type="dxa"/>
            <w:tcMar>
              <w:left w:w="0" w:type="dxa"/>
              <w:right w:w="0" w:type="dxa"/>
            </w:tcMar>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bidi="ar"/>
              </w:rPr>
              <w:t>40°4</w:t>
            </w:r>
            <w:r>
              <w:rPr>
                <w:rFonts w:hint="default" w:ascii="Times New Roman" w:hAnsi="Times New Roman" w:eastAsia="宋体" w:cs="Times New Roman"/>
                <w:color w:val="auto"/>
                <w:kern w:val="0"/>
                <w:sz w:val="21"/>
                <w:szCs w:val="21"/>
                <w:highlight w:val="none"/>
                <w:lang w:val="en-US" w:eastAsia="zh-CN" w:bidi="ar"/>
              </w:rPr>
              <w:t>8</w:t>
            </w:r>
            <w:r>
              <w:rPr>
                <w:rFonts w:hint="default" w:ascii="Times New Roman" w:hAnsi="Times New Roman" w:eastAsia="宋体" w:cs="Times New Roman"/>
                <w:color w:val="auto"/>
                <w:kern w:val="0"/>
                <w:sz w:val="21"/>
                <w:szCs w:val="21"/>
                <w:highlight w:val="none"/>
                <w:lang w:bidi="ar"/>
              </w:rPr>
              <w:t>'</w:t>
            </w:r>
            <w:r>
              <w:rPr>
                <w:rFonts w:hint="default" w:ascii="Times New Roman" w:hAnsi="Times New Roman" w:eastAsia="宋体" w:cs="Times New Roman"/>
                <w:color w:val="auto"/>
                <w:kern w:val="0"/>
                <w:sz w:val="21"/>
                <w:szCs w:val="21"/>
                <w:highlight w:val="none"/>
                <w:lang w:val="en-US" w:eastAsia="zh-CN" w:bidi="ar"/>
              </w:rPr>
              <w:t>5.66</w:t>
            </w:r>
            <w:r>
              <w:rPr>
                <w:rFonts w:hint="default" w:ascii="Times New Roman" w:hAnsi="Times New Roman" w:eastAsia="宋体" w:cs="Times New Roman"/>
                <w:color w:val="auto"/>
                <w:kern w:val="0"/>
                <w:sz w:val="21"/>
                <w:szCs w:val="21"/>
                <w:highlight w:val="none"/>
                <w:lang w:bidi="ar"/>
              </w:rPr>
              <w:t>"</w:t>
            </w:r>
          </w:p>
        </w:tc>
        <w:tc>
          <w:tcPr>
            <w:tcW w:w="637" w:type="dxa"/>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lang w:val="en-US" w:eastAsia="zh-CN"/>
              </w:rPr>
              <w:t>尾矿库</w:t>
            </w:r>
            <w:r>
              <w:rPr>
                <w:rFonts w:hint="default" w:ascii="Times New Roman" w:hAnsi="Times New Roman" w:eastAsia="宋体" w:cs="Times New Roman"/>
                <w:color w:val="auto"/>
                <w:sz w:val="21"/>
                <w:szCs w:val="21"/>
                <w:highlight w:val="none"/>
                <w:lang w:eastAsia="zh-CN"/>
              </w:rPr>
              <w:t>东</w:t>
            </w:r>
            <w:r>
              <w:rPr>
                <w:rFonts w:hint="default" w:ascii="Times New Roman" w:hAnsi="Times New Roman" w:eastAsia="宋体" w:cs="Times New Roman"/>
                <w:bCs/>
                <w:color w:val="auto"/>
                <w:sz w:val="21"/>
                <w:szCs w:val="21"/>
                <w:highlight w:val="none"/>
                <w:lang w:val="en-US" w:eastAsia="zh-CN"/>
              </w:rPr>
              <w:t>侧</w:t>
            </w:r>
          </w:p>
        </w:tc>
        <w:tc>
          <w:tcPr>
            <w:tcW w:w="714" w:type="dxa"/>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460</w:t>
            </w:r>
          </w:p>
        </w:tc>
        <w:tc>
          <w:tcPr>
            <w:tcW w:w="637" w:type="dxa"/>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w:t>
            </w:r>
          </w:p>
        </w:tc>
        <w:tc>
          <w:tcPr>
            <w:tcW w:w="2161" w:type="dxa"/>
            <w:vMerge w:val="continue"/>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5" w:type="dxa"/>
            <w:vMerge w:val="continue"/>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713" w:type="dxa"/>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胡气高勒斯庆家</w:t>
            </w:r>
          </w:p>
        </w:tc>
        <w:tc>
          <w:tcPr>
            <w:tcW w:w="1366" w:type="dxa"/>
            <w:tcMar>
              <w:left w:w="0" w:type="dxa"/>
              <w:right w:w="0" w:type="dxa"/>
            </w:tcMar>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bidi="ar"/>
              </w:rPr>
              <w:t>109°26'31.28"</w:t>
            </w:r>
          </w:p>
        </w:tc>
        <w:tc>
          <w:tcPr>
            <w:tcW w:w="1479" w:type="dxa"/>
            <w:tcMar>
              <w:left w:w="0" w:type="dxa"/>
              <w:right w:w="0" w:type="dxa"/>
            </w:tcMar>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bidi="ar"/>
              </w:rPr>
              <w:t>40°47'19.26"</w:t>
            </w:r>
          </w:p>
        </w:tc>
        <w:tc>
          <w:tcPr>
            <w:tcW w:w="637" w:type="dxa"/>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sz w:val="21"/>
                <w:szCs w:val="21"/>
                <w:highlight w:val="none"/>
                <w:lang w:val="en-US" w:eastAsia="zh-CN"/>
              </w:rPr>
              <w:t>尾矿库</w:t>
            </w:r>
            <w:r>
              <w:rPr>
                <w:rFonts w:hint="default" w:ascii="Times New Roman" w:hAnsi="Times New Roman" w:eastAsia="宋体" w:cs="Times New Roman"/>
                <w:bCs/>
                <w:color w:val="auto"/>
                <w:sz w:val="21"/>
                <w:szCs w:val="21"/>
                <w:highlight w:val="none"/>
                <w:lang w:eastAsia="zh-CN"/>
              </w:rPr>
              <w:t>东南</w:t>
            </w:r>
            <w:r>
              <w:rPr>
                <w:rFonts w:hint="default" w:ascii="Times New Roman" w:hAnsi="Times New Roman" w:eastAsia="宋体" w:cs="Times New Roman"/>
                <w:bCs/>
                <w:color w:val="auto"/>
                <w:sz w:val="21"/>
                <w:szCs w:val="21"/>
                <w:highlight w:val="none"/>
                <w:lang w:val="en-US" w:eastAsia="zh-CN"/>
              </w:rPr>
              <w:t>侧</w:t>
            </w:r>
          </w:p>
        </w:tc>
        <w:tc>
          <w:tcPr>
            <w:tcW w:w="714" w:type="dxa"/>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sz w:val="21"/>
                <w:szCs w:val="21"/>
                <w:highlight w:val="none"/>
                <w:lang w:val="en-US" w:eastAsia="zh-CN"/>
              </w:rPr>
              <w:t>1450</w:t>
            </w:r>
          </w:p>
        </w:tc>
        <w:tc>
          <w:tcPr>
            <w:tcW w:w="637" w:type="dxa"/>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w:t>
            </w:r>
          </w:p>
        </w:tc>
        <w:tc>
          <w:tcPr>
            <w:tcW w:w="2161" w:type="dxa"/>
            <w:vMerge w:val="continue"/>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5" w:type="dxa"/>
            <w:vMerge w:val="continue"/>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713" w:type="dxa"/>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梅力更沟高万喜家</w:t>
            </w:r>
          </w:p>
        </w:tc>
        <w:tc>
          <w:tcPr>
            <w:tcW w:w="1366" w:type="dxa"/>
            <w:tcMar>
              <w:left w:w="0" w:type="dxa"/>
              <w:right w:w="0" w:type="dxa"/>
            </w:tcMar>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bidi="ar"/>
              </w:rPr>
              <w:t>109°25'16.02"</w:t>
            </w:r>
          </w:p>
        </w:tc>
        <w:tc>
          <w:tcPr>
            <w:tcW w:w="1479" w:type="dxa"/>
            <w:tcMar>
              <w:left w:w="0" w:type="dxa"/>
              <w:right w:w="0" w:type="dxa"/>
            </w:tcMar>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bidi="ar"/>
              </w:rPr>
              <w:t>40°47'18.73"</w:t>
            </w:r>
          </w:p>
        </w:tc>
        <w:tc>
          <w:tcPr>
            <w:tcW w:w="637" w:type="dxa"/>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lang w:val="en-US" w:eastAsia="zh-CN"/>
              </w:rPr>
              <w:t>尾矿库</w:t>
            </w:r>
            <w:r>
              <w:rPr>
                <w:rFonts w:hint="default" w:ascii="Times New Roman" w:hAnsi="Times New Roman" w:eastAsia="宋体" w:cs="Times New Roman"/>
                <w:color w:val="auto"/>
                <w:sz w:val="21"/>
                <w:szCs w:val="21"/>
                <w:highlight w:val="none"/>
                <w:lang w:eastAsia="zh-CN"/>
              </w:rPr>
              <w:t>南</w:t>
            </w:r>
            <w:r>
              <w:rPr>
                <w:rFonts w:hint="default" w:ascii="Times New Roman" w:hAnsi="Times New Roman" w:eastAsia="宋体" w:cs="Times New Roman"/>
                <w:bCs/>
                <w:color w:val="auto"/>
                <w:sz w:val="21"/>
                <w:szCs w:val="21"/>
                <w:highlight w:val="none"/>
                <w:lang w:val="en-US" w:eastAsia="zh-CN"/>
              </w:rPr>
              <w:t>侧</w:t>
            </w:r>
          </w:p>
        </w:tc>
        <w:tc>
          <w:tcPr>
            <w:tcW w:w="714" w:type="dxa"/>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650</w:t>
            </w:r>
          </w:p>
        </w:tc>
        <w:tc>
          <w:tcPr>
            <w:tcW w:w="637" w:type="dxa"/>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w:t>
            </w:r>
          </w:p>
        </w:tc>
        <w:tc>
          <w:tcPr>
            <w:tcW w:w="2161" w:type="dxa"/>
            <w:vMerge w:val="continue"/>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5" w:type="dxa"/>
            <w:vMerge w:val="continue"/>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713" w:type="dxa"/>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梅力更沟居民点</w:t>
            </w:r>
          </w:p>
        </w:tc>
        <w:tc>
          <w:tcPr>
            <w:tcW w:w="1366" w:type="dxa"/>
            <w:tcMar>
              <w:left w:w="0" w:type="dxa"/>
              <w:right w:w="0" w:type="dxa"/>
            </w:tcMar>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bidi="ar"/>
              </w:rPr>
              <w:t>109°24'26.00"</w:t>
            </w:r>
          </w:p>
        </w:tc>
        <w:tc>
          <w:tcPr>
            <w:tcW w:w="1479" w:type="dxa"/>
            <w:tcMar>
              <w:left w:w="0" w:type="dxa"/>
              <w:right w:w="0" w:type="dxa"/>
            </w:tcMar>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bidi="ar"/>
              </w:rPr>
              <w:t>40°47'38.62"</w:t>
            </w:r>
          </w:p>
        </w:tc>
        <w:tc>
          <w:tcPr>
            <w:tcW w:w="637" w:type="dxa"/>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lang w:val="en-US" w:eastAsia="zh-CN"/>
              </w:rPr>
              <w:t>尾矿库</w:t>
            </w:r>
            <w:r>
              <w:rPr>
                <w:rFonts w:hint="default" w:ascii="Times New Roman" w:hAnsi="Times New Roman" w:eastAsia="宋体" w:cs="Times New Roman"/>
                <w:color w:val="auto"/>
                <w:sz w:val="21"/>
                <w:szCs w:val="21"/>
                <w:highlight w:val="none"/>
                <w:lang w:eastAsia="zh-CN"/>
              </w:rPr>
              <w:t>西</w:t>
            </w:r>
            <w:r>
              <w:rPr>
                <w:rFonts w:hint="default" w:ascii="Times New Roman" w:hAnsi="Times New Roman" w:eastAsia="宋体" w:cs="Times New Roman"/>
                <w:bCs/>
                <w:color w:val="auto"/>
                <w:sz w:val="21"/>
                <w:szCs w:val="21"/>
                <w:highlight w:val="none"/>
                <w:lang w:val="en-US" w:eastAsia="zh-CN"/>
              </w:rPr>
              <w:t>侧</w:t>
            </w:r>
          </w:p>
        </w:tc>
        <w:tc>
          <w:tcPr>
            <w:tcW w:w="714" w:type="dxa"/>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1030</w:t>
            </w:r>
          </w:p>
        </w:tc>
        <w:tc>
          <w:tcPr>
            <w:tcW w:w="637" w:type="dxa"/>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w:t>
            </w:r>
          </w:p>
        </w:tc>
        <w:tc>
          <w:tcPr>
            <w:tcW w:w="2161" w:type="dxa"/>
            <w:vMerge w:val="continue"/>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5" w:type="dxa"/>
            <w:vMerge w:val="continue"/>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713" w:type="dxa"/>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内蒙古乌拉山自治区级自然保护区</w:t>
            </w:r>
          </w:p>
        </w:tc>
        <w:tc>
          <w:tcPr>
            <w:tcW w:w="1366" w:type="dxa"/>
            <w:tcMar>
              <w:left w:w="0" w:type="dxa"/>
              <w:right w:w="0" w:type="dxa"/>
            </w:tcMar>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bidi="ar"/>
              </w:rPr>
              <w:t>109°2</w:t>
            </w:r>
            <w:r>
              <w:rPr>
                <w:rFonts w:hint="default" w:ascii="Times New Roman" w:hAnsi="Times New Roman" w:eastAsia="宋体" w:cs="Times New Roman"/>
                <w:color w:val="auto"/>
                <w:kern w:val="0"/>
                <w:sz w:val="21"/>
                <w:szCs w:val="21"/>
                <w:highlight w:val="none"/>
                <w:lang w:val="en-US" w:eastAsia="zh-CN" w:bidi="ar"/>
              </w:rPr>
              <w:t>5</w:t>
            </w:r>
            <w:r>
              <w:rPr>
                <w:rFonts w:hint="default" w:ascii="Times New Roman" w:hAnsi="Times New Roman" w:eastAsia="宋体" w:cs="Times New Roman"/>
                <w:color w:val="auto"/>
                <w:kern w:val="0"/>
                <w:sz w:val="21"/>
                <w:szCs w:val="21"/>
                <w:highlight w:val="none"/>
                <w:lang w:bidi="ar"/>
              </w:rPr>
              <w:t>'</w:t>
            </w:r>
            <w:r>
              <w:rPr>
                <w:rFonts w:hint="default" w:ascii="Times New Roman" w:hAnsi="Times New Roman" w:eastAsia="宋体" w:cs="Times New Roman"/>
                <w:color w:val="auto"/>
                <w:kern w:val="0"/>
                <w:sz w:val="21"/>
                <w:szCs w:val="21"/>
                <w:highlight w:val="none"/>
                <w:lang w:val="en-US" w:eastAsia="zh-CN" w:bidi="ar"/>
              </w:rPr>
              <w:t>9.76</w:t>
            </w:r>
            <w:r>
              <w:rPr>
                <w:rFonts w:hint="default" w:ascii="Times New Roman" w:hAnsi="Times New Roman" w:eastAsia="宋体" w:cs="Times New Roman"/>
                <w:color w:val="auto"/>
                <w:kern w:val="0"/>
                <w:sz w:val="21"/>
                <w:szCs w:val="21"/>
                <w:highlight w:val="none"/>
                <w:lang w:bidi="ar"/>
              </w:rPr>
              <w:t>"</w:t>
            </w:r>
          </w:p>
        </w:tc>
        <w:tc>
          <w:tcPr>
            <w:tcW w:w="1479" w:type="dxa"/>
            <w:tcMar>
              <w:left w:w="0" w:type="dxa"/>
              <w:right w:w="0" w:type="dxa"/>
            </w:tcMar>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bidi="ar"/>
              </w:rPr>
              <w:t>40°47'</w:t>
            </w:r>
            <w:r>
              <w:rPr>
                <w:rFonts w:hint="default" w:ascii="Times New Roman" w:hAnsi="Times New Roman" w:eastAsia="宋体" w:cs="Times New Roman"/>
                <w:color w:val="auto"/>
                <w:kern w:val="0"/>
                <w:sz w:val="21"/>
                <w:szCs w:val="21"/>
                <w:highlight w:val="none"/>
                <w:lang w:val="en-US" w:eastAsia="zh-CN" w:bidi="ar"/>
              </w:rPr>
              <w:t>17.62</w:t>
            </w:r>
            <w:r>
              <w:rPr>
                <w:rFonts w:hint="default" w:ascii="Times New Roman" w:hAnsi="Times New Roman" w:eastAsia="宋体" w:cs="Times New Roman"/>
                <w:color w:val="auto"/>
                <w:kern w:val="0"/>
                <w:sz w:val="21"/>
                <w:szCs w:val="21"/>
                <w:highlight w:val="none"/>
                <w:lang w:bidi="ar"/>
              </w:rPr>
              <w:t>"</w:t>
            </w:r>
          </w:p>
        </w:tc>
        <w:tc>
          <w:tcPr>
            <w:tcW w:w="637" w:type="dxa"/>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尾矿库</w:t>
            </w:r>
            <w:r>
              <w:rPr>
                <w:rFonts w:hint="default" w:ascii="Times New Roman" w:hAnsi="Times New Roman" w:eastAsia="宋体" w:cs="Times New Roman"/>
                <w:color w:val="auto"/>
                <w:sz w:val="21"/>
                <w:szCs w:val="21"/>
                <w:highlight w:val="none"/>
                <w:lang w:val="en-US" w:eastAsia="zh-CN"/>
              </w:rPr>
              <w:t>南</w:t>
            </w:r>
            <w:r>
              <w:rPr>
                <w:rFonts w:hint="default" w:ascii="Times New Roman" w:hAnsi="Times New Roman" w:eastAsia="宋体" w:cs="Times New Roman"/>
                <w:bCs/>
                <w:color w:val="auto"/>
                <w:sz w:val="21"/>
                <w:szCs w:val="21"/>
                <w:highlight w:val="none"/>
                <w:lang w:val="en-US" w:eastAsia="zh-CN"/>
              </w:rPr>
              <w:t>侧</w:t>
            </w:r>
          </w:p>
        </w:tc>
        <w:tc>
          <w:tcPr>
            <w:tcW w:w="714" w:type="dxa"/>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650</w:t>
            </w:r>
          </w:p>
        </w:tc>
        <w:tc>
          <w:tcPr>
            <w:tcW w:w="637" w:type="dxa"/>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2161" w:type="dxa"/>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《环境空气质量标准》（GB3095-2012</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及修改单的</w:t>
            </w:r>
            <w:r>
              <w:rPr>
                <w:rFonts w:hint="default" w:ascii="Times New Roman" w:hAnsi="Times New Roman" w:eastAsia="宋体" w:cs="Times New Roman"/>
                <w:color w:val="auto"/>
                <w:sz w:val="21"/>
                <w:szCs w:val="21"/>
                <w:highlight w:val="none"/>
                <w:lang w:val="en-US" w:eastAsia="zh-CN"/>
              </w:rPr>
              <w:t>一</w:t>
            </w:r>
            <w:r>
              <w:rPr>
                <w:rFonts w:hint="default" w:ascii="Times New Roman" w:hAnsi="Times New Roman" w:eastAsia="宋体" w:cs="Times New Roman"/>
                <w:color w:val="auto"/>
                <w:sz w:val="21"/>
                <w:szCs w:val="21"/>
                <w:highlight w:val="none"/>
              </w:rPr>
              <w:t>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5" w:type="dxa"/>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声环境</w:t>
            </w:r>
          </w:p>
        </w:tc>
        <w:tc>
          <w:tcPr>
            <w:tcW w:w="5546" w:type="dxa"/>
            <w:gridSpan w:val="6"/>
            <w:vAlign w:val="center"/>
          </w:tcPr>
          <w:p>
            <w:pPr>
              <w:pStyle w:val="24"/>
              <w:pageBreakBefore w:val="0"/>
              <w:wordWrap/>
              <w:bidi w:val="0"/>
              <w:ind w:left="0" w:leftChars="0" w:right="0" w:right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kern w:val="2"/>
                <w:sz w:val="21"/>
                <w:szCs w:val="21"/>
                <w:highlight w:val="none"/>
                <w:lang w:val="en-US" w:eastAsia="zh-CN" w:bidi="ar-SA"/>
              </w:rPr>
              <w:t>尾矿库四周200m范围及尾矿运输路径两侧200m范围内无保护目标</w:t>
            </w:r>
          </w:p>
        </w:tc>
        <w:tc>
          <w:tcPr>
            <w:tcW w:w="2161" w:type="dxa"/>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《声环境质量标准》（GB3096-2008</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2类区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5" w:type="dxa"/>
            <w:vMerge w:val="restart"/>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地下水</w:t>
            </w:r>
          </w:p>
        </w:tc>
        <w:tc>
          <w:tcPr>
            <w:tcW w:w="713" w:type="dxa"/>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bidi="ar"/>
              </w:rPr>
              <w:t>1#水井（水质水位</w:t>
            </w:r>
            <w:r>
              <w:rPr>
                <w:rFonts w:hint="default" w:ascii="Times New Roman" w:hAnsi="Times New Roman" w:eastAsia="宋体" w:cs="Times New Roman"/>
                <w:color w:val="auto"/>
                <w:kern w:val="0"/>
                <w:sz w:val="21"/>
                <w:szCs w:val="21"/>
                <w:highlight w:val="none"/>
                <w:lang w:eastAsia="zh-CN" w:bidi="ar"/>
              </w:rPr>
              <w:t>）</w:t>
            </w:r>
          </w:p>
        </w:tc>
        <w:tc>
          <w:tcPr>
            <w:tcW w:w="1366" w:type="dxa"/>
            <w:tcMar>
              <w:left w:w="0" w:type="dxa"/>
              <w:right w:w="0" w:type="dxa"/>
            </w:tcMar>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bidi="ar"/>
              </w:rPr>
              <w:t>109°25'32.33"</w:t>
            </w:r>
          </w:p>
        </w:tc>
        <w:tc>
          <w:tcPr>
            <w:tcW w:w="1479" w:type="dxa"/>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bidi="ar"/>
              </w:rPr>
              <w:t>40°48'56.79"</w:t>
            </w:r>
          </w:p>
        </w:tc>
        <w:tc>
          <w:tcPr>
            <w:tcW w:w="637"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bCs/>
                <w:color w:val="auto"/>
                <w:sz w:val="21"/>
                <w:szCs w:val="21"/>
                <w:highlight w:val="none"/>
                <w:lang w:val="en-US" w:eastAsia="zh-CN"/>
              </w:rPr>
              <w:t>尾矿库</w:t>
            </w:r>
            <w:r>
              <w:rPr>
                <w:rFonts w:hint="default" w:ascii="Times New Roman" w:hAnsi="Times New Roman" w:eastAsia="宋体" w:cs="Times New Roman"/>
                <w:color w:val="auto"/>
                <w:sz w:val="21"/>
                <w:szCs w:val="21"/>
                <w:highlight w:val="none"/>
                <w:lang w:eastAsia="zh-CN"/>
              </w:rPr>
              <w:t>北侧</w:t>
            </w:r>
          </w:p>
        </w:tc>
        <w:tc>
          <w:tcPr>
            <w:tcW w:w="714"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1440</w:t>
            </w:r>
          </w:p>
        </w:tc>
        <w:tc>
          <w:tcPr>
            <w:tcW w:w="637"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牧户养殖用水</w:t>
            </w:r>
          </w:p>
        </w:tc>
        <w:tc>
          <w:tcPr>
            <w:tcW w:w="2161" w:type="dxa"/>
            <w:vMerge w:val="restart"/>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《地下水质量标准》（GB/T14848-2017</w:t>
            </w:r>
            <w:r>
              <w:rPr>
                <w:rFonts w:hint="default" w:ascii="Times New Roman" w:hAnsi="Times New Roman" w:eastAsia="宋体" w:cs="Times New Roman"/>
                <w:color w:val="auto"/>
                <w:sz w:val="21"/>
                <w:szCs w:val="21"/>
                <w:highlight w:val="none"/>
                <w:lang w:eastAsia="zh-CN"/>
              </w:rPr>
              <w:t>）Ⅲ</w:t>
            </w:r>
            <w:r>
              <w:rPr>
                <w:rFonts w:hint="default" w:ascii="Times New Roman" w:hAnsi="Times New Roman" w:eastAsia="宋体" w:cs="Times New Roman"/>
                <w:color w:val="auto"/>
                <w:sz w:val="21"/>
                <w:szCs w:val="21"/>
                <w:highlight w:val="none"/>
              </w:rPr>
              <w:t>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5" w:type="dxa"/>
            <w:vMerge w:val="continue"/>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713" w:type="dxa"/>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bidi="ar"/>
              </w:rPr>
              <w:t>2#水井（水质水位</w:t>
            </w:r>
            <w:r>
              <w:rPr>
                <w:rFonts w:hint="default" w:ascii="Times New Roman" w:hAnsi="Times New Roman" w:eastAsia="宋体" w:cs="Times New Roman"/>
                <w:color w:val="auto"/>
                <w:kern w:val="0"/>
                <w:sz w:val="21"/>
                <w:szCs w:val="21"/>
                <w:highlight w:val="none"/>
                <w:lang w:eastAsia="zh-CN" w:bidi="ar"/>
              </w:rPr>
              <w:t>）</w:t>
            </w:r>
          </w:p>
        </w:tc>
        <w:tc>
          <w:tcPr>
            <w:tcW w:w="1366" w:type="dxa"/>
            <w:tcMar>
              <w:left w:w="0" w:type="dxa"/>
              <w:right w:w="0" w:type="dxa"/>
            </w:tcMar>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bidi="ar"/>
              </w:rPr>
              <w:t>109°26'06.67"</w:t>
            </w:r>
          </w:p>
        </w:tc>
        <w:tc>
          <w:tcPr>
            <w:tcW w:w="1479" w:type="dxa"/>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bidi="ar"/>
              </w:rPr>
              <w:t>40°48'16.35"</w:t>
            </w:r>
          </w:p>
        </w:tc>
        <w:tc>
          <w:tcPr>
            <w:tcW w:w="637"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bCs/>
                <w:color w:val="auto"/>
                <w:sz w:val="21"/>
                <w:szCs w:val="21"/>
                <w:highlight w:val="none"/>
                <w:lang w:eastAsia="zh-CN"/>
              </w:rPr>
            </w:pPr>
            <w:r>
              <w:rPr>
                <w:rFonts w:hint="default" w:ascii="Times New Roman" w:hAnsi="Times New Roman" w:eastAsia="宋体" w:cs="Times New Roman"/>
                <w:bCs/>
                <w:color w:val="auto"/>
                <w:sz w:val="21"/>
                <w:szCs w:val="21"/>
                <w:highlight w:val="none"/>
                <w:lang w:val="en-US" w:eastAsia="zh-CN"/>
              </w:rPr>
              <w:t>尾矿库</w:t>
            </w:r>
            <w:r>
              <w:rPr>
                <w:rFonts w:hint="default" w:ascii="Times New Roman" w:hAnsi="Times New Roman" w:eastAsia="宋体" w:cs="Times New Roman"/>
                <w:bCs/>
                <w:color w:val="auto"/>
                <w:sz w:val="21"/>
                <w:szCs w:val="21"/>
                <w:highlight w:val="none"/>
                <w:lang w:eastAsia="zh-CN"/>
              </w:rPr>
              <w:t>东侧</w:t>
            </w:r>
          </w:p>
        </w:tc>
        <w:tc>
          <w:tcPr>
            <w:tcW w:w="714"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210</w:t>
            </w:r>
          </w:p>
        </w:tc>
        <w:tc>
          <w:tcPr>
            <w:tcW w:w="637"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牧户养殖用水</w:t>
            </w:r>
          </w:p>
        </w:tc>
        <w:tc>
          <w:tcPr>
            <w:tcW w:w="2161" w:type="dxa"/>
            <w:vMerge w:val="continue"/>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5" w:type="dxa"/>
            <w:vMerge w:val="continue"/>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713" w:type="dxa"/>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bidi="ar"/>
              </w:rPr>
              <w:t>3#水井（水质水位</w:t>
            </w:r>
            <w:r>
              <w:rPr>
                <w:rFonts w:hint="default" w:ascii="Times New Roman" w:hAnsi="Times New Roman" w:eastAsia="宋体" w:cs="Times New Roman"/>
                <w:color w:val="auto"/>
                <w:kern w:val="0"/>
                <w:sz w:val="21"/>
                <w:szCs w:val="21"/>
                <w:highlight w:val="none"/>
                <w:lang w:eastAsia="zh-CN" w:bidi="ar"/>
              </w:rPr>
              <w:t>）</w:t>
            </w:r>
          </w:p>
        </w:tc>
        <w:tc>
          <w:tcPr>
            <w:tcW w:w="1366" w:type="dxa"/>
            <w:tcMar>
              <w:left w:w="0" w:type="dxa"/>
              <w:right w:w="0" w:type="dxa"/>
            </w:tcMar>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bidi="ar"/>
              </w:rPr>
              <w:t>109°26'31.28"</w:t>
            </w:r>
          </w:p>
        </w:tc>
        <w:tc>
          <w:tcPr>
            <w:tcW w:w="1479" w:type="dxa"/>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bidi="ar"/>
              </w:rPr>
              <w:t>40°47'19.26"</w:t>
            </w:r>
          </w:p>
        </w:tc>
        <w:tc>
          <w:tcPr>
            <w:tcW w:w="637"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bCs/>
                <w:color w:val="auto"/>
                <w:sz w:val="21"/>
                <w:szCs w:val="21"/>
                <w:highlight w:val="none"/>
                <w:lang w:eastAsia="zh-CN"/>
              </w:rPr>
            </w:pPr>
            <w:r>
              <w:rPr>
                <w:rFonts w:hint="default" w:ascii="Times New Roman" w:hAnsi="Times New Roman" w:eastAsia="宋体" w:cs="Times New Roman"/>
                <w:bCs/>
                <w:color w:val="auto"/>
                <w:sz w:val="21"/>
                <w:szCs w:val="21"/>
                <w:highlight w:val="none"/>
                <w:lang w:val="en-US" w:eastAsia="zh-CN"/>
              </w:rPr>
              <w:t>尾矿库</w:t>
            </w:r>
            <w:r>
              <w:rPr>
                <w:rFonts w:hint="default" w:ascii="Times New Roman" w:hAnsi="Times New Roman" w:eastAsia="宋体" w:cs="Times New Roman"/>
                <w:bCs/>
                <w:color w:val="auto"/>
                <w:sz w:val="21"/>
                <w:szCs w:val="21"/>
                <w:highlight w:val="none"/>
                <w:lang w:eastAsia="zh-CN"/>
              </w:rPr>
              <w:t>东南侧</w:t>
            </w:r>
          </w:p>
        </w:tc>
        <w:tc>
          <w:tcPr>
            <w:tcW w:w="714"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1450</w:t>
            </w:r>
          </w:p>
        </w:tc>
        <w:tc>
          <w:tcPr>
            <w:tcW w:w="637"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color w:val="auto"/>
                <w:sz w:val="21"/>
                <w:szCs w:val="21"/>
                <w:highlight w:val="none"/>
                <w:lang w:eastAsia="zh-CN"/>
              </w:rPr>
              <w:t>牧户养殖用水</w:t>
            </w:r>
          </w:p>
        </w:tc>
        <w:tc>
          <w:tcPr>
            <w:tcW w:w="2161" w:type="dxa"/>
            <w:vMerge w:val="continue"/>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5" w:type="dxa"/>
            <w:vMerge w:val="continue"/>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713" w:type="dxa"/>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bidi="ar"/>
              </w:rPr>
              <w:t>4#水井（水质水位</w:t>
            </w:r>
            <w:r>
              <w:rPr>
                <w:rFonts w:hint="default" w:ascii="Times New Roman" w:hAnsi="Times New Roman" w:eastAsia="宋体" w:cs="Times New Roman"/>
                <w:color w:val="auto"/>
                <w:kern w:val="0"/>
                <w:sz w:val="21"/>
                <w:szCs w:val="21"/>
                <w:highlight w:val="none"/>
                <w:lang w:eastAsia="zh-CN" w:bidi="ar"/>
              </w:rPr>
              <w:t>）</w:t>
            </w:r>
          </w:p>
        </w:tc>
        <w:tc>
          <w:tcPr>
            <w:tcW w:w="1366" w:type="dxa"/>
            <w:tcMar>
              <w:left w:w="0" w:type="dxa"/>
              <w:right w:w="0" w:type="dxa"/>
            </w:tcMar>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bidi="ar"/>
              </w:rPr>
              <w:t>109°25'16.02"</w:t>
            </w:r>
          </w:p>
        </w:tc>
        <w:tc>
          <w:tcPr>
            <w:tcW w:w="1479" w:type="dxa"/>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bidi="ar"/>
              </w:rPr>
              <w:t>40°47'18.73"</w:t>
            </w:r>
          </w:p>
        </w:tc>
        <w:tc>
          <w:tcPr>
            <w:tcW w:w="637"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bCs/>
                <w:color w:val="auto"/>
                <w:sz w:val="21"/>
                <w:szCs w:val="21"/>
                <w:highlight w:val="none"/>
                <w:lang w:eastAsia="zh-CN"/>
              </w:rPr>
            </w:pPr>
            <w:r>
              <w:rPr>
                <w:rFonts w:hint="default" w:ascii="Times New Roman" w:hAnsi="Times New Roman" w:eastAsia="宋体" w:cs="Times New Roman"/>
                <w:bCs/>
                <w:color w:val="auto"/>
                <w:sz w:val="21"/>
                <w:szCs w:val="21"/>
                <w:highlight w:val="none"/>
                <w:lang w:val="en-US" w:eastAsia="zh-CN"/>
              </w:rPr>
              <w:t>尾矿库</w:t>
            </w:r>
            <w:r>
              <w:rPr>
                <w:rFonts w:hint="default" w:ascii="Times New Roman" w:hAnsi="Times New Roman" w:eastAsia="宋体" w:cs="Times New Roman"/>
                <w:bCs/>
                <w:color w:val="auto"/>
                <w:sz w:val="21"/>
                <w:szCs w:val="21"/>
                <w:highlight w:val="none"/>
                <w:lang w:eastAsia="zh-CN"/>
              </w:rPr>
              <w:t>南侧</w:t>
            </w:r>
          </w:p>
        </w:tc>
        <w:tc>
          <w:tcPr>
            <w:tcW w:w="714"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650</w:t>
            </w:r>
          </w:p>
        </w:tc>
        <w:tc>
          <w:tcPr>
            <w:tcW w:w="637"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color w:val="auto"/>
                <w:sz w:val="21"/>
                <w:szCs w:val="21"/>
                <w:highlight w:val="none"/>
                <w:lang w:eastAsia="zh-CN"/>
              </w:rPr>
              <w:t>牧户养殖用水</w:t>
            </w:r>
          </w:p>
        </w:tc>
        <w:tc>
          <w:tcPr>
            <w:tcW w:w="2161" w:type="dxa"/>
            <w:vMerge w:val="continue"/>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5" w:type="dxa"/>
            <w:vMerge w:val="continue"/>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713" w:type="dxa"/>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bidi="ar"/>
              </w:rPr>
              <w:t>5#水井（水质水位</w:t>
            </w:r>
            <w:r>
              <w:rPr>
                <w:rFonts w:hint="default" w:ascii="Times New Roman" w:hAnsi="Times New Roman" w:eastAsia="宋体" w:cs="Times New Roman"/>
                <w:color w:val="auto"/>
                <w:kern w:val="0"/>
                <w:sz w:val="21"/>
                <w:szCs w:val="21"/>
                <w:highlight w:val="none"/>
                <w:lang w:eastAsia="zh-CN" w:bidi="ar"/>
              </w:rPr>
              <w:t>）</w:t>
            </w:r>
          </w:p>
        </w:tc>
        <w:tc>
          <w:tcPr>
            <w:tcW w:w="1366" w:type="dxa"/>
            <w:tcMar>
              <w:left w:w="0" w:type="dxa"/>
              <w:right w:w="0" w:type="dxa"/>
            </w:tcMar>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bidi="ar"/>
              </w:rPr>
              <w:t>109°24'26.00"</w:t>
            </w:r>
          </w:p>
        </w:tc>
        <w:tc>
          <w:tcPr>
            <w:tcW w:w="1479" w:type="dxa"/>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bidi="ar"/>
              </w:rPr>
              <w:t>40°47'38.62"</w:t>
            </w:r>
          </w:p>
        </w:tc>
        <w:tc>
          <w:tcPr>
            <w:tcW w:w="637"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sz w:val="21"/>
                <w:szCs w:val="21"/>
                <w:highlight w:val="none"/>
                <w:lang w:val="en-US" w:eastAsia="zh-CN"/>
              </w:rPr>
              <w:t>尾矿库</w:t>
            </w:r>
            <w:r>
              <w:rPr>
                <w:rFonts w:hint="default" w:ascii="Times New Roman" w:hAnsi="Times New Roman" w:eastAsia="宋体" w:cs="Times New Roman"/>
                <w:bCs/>
                <w:color w:val="auto"/>
                <w:sz w:val="21"/>
                <w:szCs w:val="21"/>
                <w:highlight w:val="none"/>
                <w:lang w:eastAsia="zh-CN"/>
              </w:rPr>
              <w:t>西侧</w:t>
            </w:r>
          </w:p>
        </w:tc>
        <w:tc>
          <w:tcPr>
            <w:tcW w:w="714"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sz w:val="21"/>
                <w:szCs w:val="21"/>
                <w:highlight w:val="none"/>
                <w:lang w:val="en-US" w:eastAsia="zh-CN"/>
              </w:rPr>
              <w:t>1030</w:t>
            </w:r>
          </w:p>
        </w:tc>
        <w:tc>
          <w:tcPr>
            <w:tcW w:w="637"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牧户养殖用水</w:t>
            </w:r>
          </w:p>
        </w:tc>
        <w:tc>
          <w:tcPr>
            <w:tcW w:w="2161" w:type="dxa"/>
            <w:vMerge w:val="continue"/>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5" w:type="dxa"/>
            <w:vMerge w:val="continue"/>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713" w:type="dxa"/>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bidi="ar"/>
              </w:rPr>
              <w:t>6#水井（水位</w:t>
            </w:r>
            <w:r>
              <w:rPr>
                <w:rFonts w:hint="default" w:ascii="Times New Roman" w:hAnsi="Times New Roman" w:eastAsia="宋体" w:cs="Times New Roman"/>
                <w:color w:val="auto"/>
                <w:kern w:val="0"/>
                <w:sz w:val="21"/>
                <w:szCs w:val="21"/>
                <w:highlight w:val="none"/>
                <w:lang w:eastAsia="zh-CN" w:bidi="ar"/>
              </w:rPr>
              <w:t>）</w:t>
            </w:r>
          </w:p>
        </w:tc>
        <w:tc>
          <w:tcPr>
            <w:tcW w:w="1366" w:type="dxa"/>
            <w:tcMar>
              <w:left w:w="0" w:type="dxa"/>
              <w:right w:w="0" w:type="dxa"/>
            </w:tcMar>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bidi="ar"/>
              </w:rPr>
              <w:t>109°26'05.59"</w:t>
            </w:r>
          </w:p>
        </w:tc>
        <w:tc>
          <w:tcPr>
            <w:tcW w:w="1479" w:type="dxa"/>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bidi="ar"/>
              </w:rPr>
              <w:t>40°48'55.38"</w:t>
            </w:r>
          </w:p>
        </w:tc>
        <w:tc>
          <w:tcPr>
            <w:tcW w:w="637" w:type="dxa"/>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bCs/>
                <w:color w:val="auto"/>
                <w:sz w:val="21"/>
                <w:szCs w:val="21"/>
                <w:highlight w:val="none"/>
                <w:lang w:val="en-US" w:eastAsia="zh-CN"/>
              </w:rPr>
              <w:t>尾矿库</w:t>
            </w:r>
            <w:r>
              <w:rPr>
                <w:rFonts w:hint="default" w:ascii="Times New Roman" w:hAnsi="Times New Roman" w:eastAsia="宋体" w:cs="Times New Roman"/>
                <w:color w:val="auto"/>
                <w:kern w:val="0"/>
                <w:sz w:val="21"/>
                <w:szCs w:val="21"/>
                <w:highlight w:val="none"/>
                <w:lang w:val="en-US" w:eastAsia="zh-CN" w:bidi="ar"/>
              </w:rPr>
              <w:t>北侧</w:t>
            </w:r>
          </w:p>
        </w:tc>
        <w:tc>
          <w:tcPr>
            <w:tcW w:w="714" w:type="dxa"/>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1360</w:t>
            </w:r>
          </w:p>
        </w:tc>
        <w:tc>
          <w:tcPr>
            <w:tcW w:w="637"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牧户养殖用水</w:t>
            </w:r>
          </w:p>
        </w:tc>
        <w:tc>
          <w:tcPr>
            <w:tcW w:w="2161" w:type="dxa"/>
            <w:vMerge w:val="continue"/>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5" w:type="dxa"/>
            <w:vMerge w:val="continue"/>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713" w:type="dxa"/>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bidi="ar"/>
              </w:rPr>
              <w:t>7#水井（水位</w:t>
            </w:r>
            <w:r>
              <w:rPr>
                <w:rFonts w:hint="default" w:ascii="Times New Roman" w:hAnsi="Times New Roman" w:eastAsia="宋体" w:cs="Times New Roman"/>
                <w:color w:val="auto"/>
                <w:kern w:val="0"/>
                <w:sz w:val="21"/>
                <w:szCs w:val="21"/>
                <w:highlight w:val="none"/>
                <w:lang w:eastAsia="zh-CN" w:bidi="ar"/>
              </w:rPr>
              <w:t>）</w:t>
            </w:r>
          </w:p>
        </w:tc>
        <w:tc>
          <w:tcPr>
            <w:tcW w:w="1366" w:type="dxa"/>
            <w:tcMar>
              <w:left w:w="0" w:type="dxa"/>
              <w:right w:w="0" w:type="dxa"/>
            </w:tcMar>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bidi="ar"/>
              </w:rPr>
              <w:t>109°26'23.79"</w:t>
            </w:r>
          </w:p>
        </w:tc>
        <w:tc>
          <w:tcPr>
            <w:tcW w:w="1479" w:type="dxa"/>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bidi="ar"/>
              </w:rPr>
              <w:t>40°48'32.19"</w:t>
            </w:r>
          </w:p>
        </w:tc>
        <w:tc>
          <w:tcPr>
            <w:tcW w:w="637" w:type="dxa"/>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bCs/>
                <w:color w:val="auto"/>
                <w:sz w:val="21"/>
                <w:szCs w:val="21"/>
                <w:highlight w:val="none"/>
                <w:lang w:val="en-US" w:eastAsia="zh-CN"/>
              </w:rPr>
              <w:t>尾矿库</w:t>
            </w:r>
            <w:r>
              <w:rPr>
                <w:rFonts w:hint="default" w:ascii="Times New Roman" w:hAnsi="Times New Roman" w:eastAsia="宋体" w:cs="Times New Roman"/>
                <w:color w:val="auto"/>
                <w:kern w:val="0"/>
                <w:sz w:val="21"/>
                <w:szCs w:val="21"/>
                <w:highlight w:val="none"/>
                <w:lang w:val="en-US" w:eastAsia="zh-CN" w:bidi="ar"/>
              </w:rPr>
              <w:t>东北侧</w:t>
            </w:r>
          </w:p>
        </w:tc>
        <w:tc>
          <w:tcPr>
            <w:tcW w:w="714" w:type="dxa"/>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1000</w:t>
            </w:r>
          </w:p>
        </w:tc>
        <w:tc>
          <w:tcPr>
            <w:tcW w:w="637"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牧户养殖用水</w:t>
            </w:r>
          </w:p>
        </w:tc>
        <w:tc>
          <w:tcPr>
            <w:tcW w:w="2161" w:type="dxa"/>
            <w:vMerge w:val="continue"/>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5" w:type="dxa"/>
            <w:vMerge w:val="continue"/>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713" w:type="dxa"/>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bidi="ar"/>
              </w:rPr>
              <w:t>8#（水位</w:t>
            </w:r>
            <w:r>
              <w:rPr>
                <w:rFonts w:hint="default" w:ascii="Times New Roman" w:hAnsi="Times New Roman" w:eastAsia="宋体" w:cs="Times New Roman"/>
                <w:color w:val="auto"/>
                <w:kern w:val="0"/>
                <w:sz w:val="21"/>
                <w:szCs w:val="21"/>
                <w:highlight w:val="none"/>
                <w:lang w:eastAsia="zh-CN" w:bidi="ar"/>
              </w:rPr>
              <w:t>）</w:t>
            </w:r>
          </w:p>
        </w:tc>
        <w:tc>
          <w:tcPr>
            <w:tcW w:w="1366" w:type="dxa"/>
            <w:tcMar>
              <w:left w:w="0" w:type="dxa"/>
              <w:right w:w="0" w:type="dxa"/>
            </w:tcMar>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bidi="ar"/>
              </w:rPr>
              <w:t>109°26'10.97"</w:t>
            </w:r>
          </w:p>
        </w:tc>
        <w:tc>
          <w:tcPr>
            <w:tcW w:w="1479" w:type="dxa"/>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bidi="ar"/>
              </w:rPr>
              <w:t>40°47'50.62"</w:t>
            </w:r>
          </w:p>
        </w:tc>
        <w:tc>
          <w:tcPr>
            <w:tcW w:w="637" w:type="dxa"/>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bCs/>
                <w:color w:val="auto"/>
                <w:sz w:val="21"/>
                <w:szCs w:val="21"/>
                <w:highlight w:val="none"/>
                <w:lang w:val="en-US" w:eastAsia="zh-CN"/>
              </w:rPr>
              <w:t>尾矿库</w:t>
            </w:r>
            <w:r>
              <w:rPr>
                <w:rFonts w:hint="default" w:ascii="Times New Roman" w:hAnsi="Times New Roman" w:eastAsia="宋体" w:cs="Times New Roman"/>
                <w:color w:val="auto"/>
                <w:kern w:val="0"/>
                <w:sz w:val="21"/>
                <w:szCs w:val="21"/>
                <w:highlight w:val="none"/>
                <w:lang w:val="en-US" w:eastAsia="zh-CN" w:bidi="ar"/>
              </w:rPr>
              <w:t>东侧</w:t>
            </w:r>
          </w:p>
        </w:tc>
        <w:tc>
          <w:tcPr>
            <w:tcW w:w="714" w:type="dxa"/>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465</w:t>
            </w:r>
          </w:p>
        </w:tc>
        <w:tc>
          <w:tcPr>
            <w:tcW w:w="637"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牧户养殖用水</w:t>
            </w:r>
          </w:p>
        </w:tc>
        <w:tc>
          <w:tcPr>
            <w:tcW w:w="2161" w:type="dxa"/>
            <w:vMerge w:val="continue"/>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5" w:type="dxa"/>
            <w:vMerge w:val="continue"/>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713" w:type="dxa"/>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bidi="ar"/>
              </w:rPr>
              <w:t>9#（水位</w:t>
            </w:r>
            <w:r>
              <w:rPr>
                <w:rFonts w:hint="default" w:ascii="Times New Roman" w:hAnsi="Times New Roman" w:eastAsia="宋体" w:cs="Times New Roman"/>
                <w:color w:val="auto"/>
                <w:kern w:val="0"/>
                <w:sz w:val="21"/>
                <w:szCs w:val="21"/>
                <w:highlight w:val="none"/>
                <w:lang w:eastAsia="zh-CN" w:bidi="ar"/>
              </w:rPr>
              <w:t>）</w:t>
            </w:r>
          </w:p>
        </w:tc>
        <w:tc>
          <w:tcPr>
            <w:tcW w:w="1366" w:type="dxa"/>
            <w:tcMar>
              <w:left w:w="0" w:type="dxa"/>
              <w:right w:w="0" w:type="dxa"/>
            </w:tcMar>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bidi="ar"/>
              </w:rPr>
              <w:t>109°25'32.46"</w:t>
            </w:r>
          </w:p>
        </w:tc>
        <w:tc>
          <w:tcPr>
            <w:tcW w:w="1479" w:type="dxa"/>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bidi="ar"/>
              </w:rPr>
              <w:t>40°48'37.87"</w:t>
            </w:r>
          </w:p>
        </w:tc>
        <w:tc>
          <w:tcPr>
            <w:tcW w:w="637" w:type="dxa"/>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bCs/>
                <w:color w:val="auto"/>
                <w:sz w:val="21"/>
                <w:szCs w:val="21"/>
                <w:highlight w:val="none"/>
                <w:lang w:val="en-US" w:eastAsia="zh-CN"/>
              </w:rPr>
              <w:t>尾矿库</w:t>
            </w:r>
            <w:r>
              <w:rPr>
                <w:rFonts w:hint="default" w:ascii="Times New Roman" w:hAnsi="Times New Roman" w:eastAsia="宋体" w:cs="Times New Roman"/>
                <w:color w:val="auto"/>
                <w:kern w:val="0"/>
                <w:sz w:val="21"/>
                <w:szCs w:val="21"/>
                <w:highlight w:val="none"/>
                <w:lang w:val="en-US" w:eastAsia="zh-CN" w:bidi="ar"/>
              </w:rPr>
              <w:t>北侧</w:t>
            </w:r>
          </w:p>
        </w:tc>
        <w:tc>
          <w:tcPr>
            <w:tcW w:w="714" w:type="dxa"/>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840</w:t>
            </w:r>
          </w:p>
        </w:tc>
        <w:tc>
          <w:tcPr>
            <w:tcW w:w="637"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牧户养殖用水</w:t>
            </w:r>
          </w:p>
        </w:tc>
        <w:tc>
          <w:tcPr>
            <w:tcW w:w="2161" w:type="dxa"/>
            <w:vMerge w:val="continue"/>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5" w:type="dxa"/>
            <w:vMerge w:val="continue"/>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713" w:type="dxa"/>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bidi="ar"/>
              </w:rPr>
              <w:t>10#（水位</w:t>
            </w:r>
            <w:r>
              <w:rPr>
                <w:rFonts w:hint="default" w:ascii="Times New Roman" w:hAnsi="Times New Roman" w:eastAsia="宋体" w:cs="Times New Roman"/>
                <w:color w:val="auto"/>
                <w:kern w:val="0"/>
                <w:sz w:val="21"/>
                <w:szCs w:val="21"/>
                <w:highlight w:val="none"/>
                <w:lang w:eastAsia="zh-CN" w:bidi="ar"/>
              </w:rPr>
              <w:t>）</w:t>
            </w:r>
          </w:p>
        </w:tc>
        <w:tc>
          <w:tcPr>
            <w:tcW w:w="1366" w:type="dxa"/>
            <w:tcMar>
              <w:left w:w="0" w:type="dxa"/>
              <w:right w:w="0" w:type="dxa"/>
            </w:tcMar>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bidi="ar"/>
              </w:rPr>
              <w:t>109°26'15.75"</w:t>
            </w:r>
          </w:p>
        </w:tc>
        <w:tc>
          <w:tcPr>
            <w:tcW w:w="1479" w:type="dxa"/>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bidi="ar"/>
              </w:rPr>
              <w:t>40°48'06.42"</w:t>
            </w:r>
          </w:p>
        </w:tc>
        <w:tc>
          <w:tcPr>
            <w:tcW w:w="637" w:type="dxa"/>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bCs/>
                <w:color w:val="auto"/>
                <w:sz w:val="21"/>
                <w:szCs w:val="21"/>
                <w:highlight w:val="none"/>
                <w:lang w:val="en-US" w:eastAsia="zh-CN"/>
              </w:rPr>
              <w:t>尾矿库</w:t>
            </w:r>
            <w:r>
              <w:rPr>
                <w:rFonts w:hint="default" w:ascii="Times New Roman" w:hAnsi="Times New Roman" w:eastAsia="宋体" w:cs="Times New Roman"/>
                <w:color w:val="auto"/>
                <w:kern w:val="0"/>
                <w:sz w:val="21"/>
                <w:szCs w:val="21"/>
                <w:highlight w:val="none"/>
                <w:lang w:val="en-US" w:eastAsia="zh-CN" w:bidi="ar"/>
              </w:rPr>
              <w:t>东侧</w:t>
            </w:r>
          </w:p>
        </w:tc>
        <w:tc>
          <w:tcPr>
            <w:tcW w:w="714" w:type="dxa"/>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460</w:t>
            </w:r>
          </w:p>
        </w:tc>
        <w:tc>
          <w:tcPr>
            <w:tcW w:w="637"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牧户养殖用水</w:t>
            </w:r>
          </w:p>
        </w:tc>
        <w:tc>
          <w:tcPr>
            <w:tcW w:w="2161" w:type="dxa"/>
            <w:vMerge w:val="continue"/>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5" w:type="dxa"/>
            <w:vMerge w:val="continue"/>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5546" w:type="dxa"/>
            <w:gridSpan w:val="6"/>
            <w:vAlign w:val="center"/>
          </w:tcPr>
          <w:p>
            <w:pPr>
              <w:pageBreakBefore w:val="0"/>
              <w:wordWrap/>
              <w:bidi w:val="0"/>
              <w:spacing w:line="240" w:lineRule="auto"/>
              <w:ind w:left="0" w:leftChars="0" w:right="0" w:rightChars="0"/>
              <w:jc w:val="center"/>
              <w:rPr>
                <w:rFonts w:hint="default" w:ascii="Times New Roman" w:hAnsi="Times New Roman" w:eastAsia="宋体" w:cs="Times New Roman"/>
                <w:bCs/>
                <w:color w:val="auto"/>
                <w:sz w:val="21"/>
                <w:szCs w:val="21"/>
                <w:highlight w:val="none"/>
                <w:lang w:eastAsia="zh-CN"/>
              </w:rPr>
            </w:pPr>
            <w:r>
              <w:rPr>
                <w:rFonts w:hint="default" w:ascii="Times New Roman" w:hAnsi="Times New Roman" w:eastAsia="宋体" w:cs="Times New Roman"/>
                <w:bCs/>
                <w:color w:val="auto"/>
                <w:sz w:val="21"/>
                <w:szCs w:val="21"/>
                <w:highlight w:val="none"/>
                <w:lang w:eastAsia="zh-CN"/>
              </w:rPr>
              <w:t>以及评价范围内的地下水资源</w:t>
            </w:r>
          </w:p>
        </w:tc>
        <w:tc>
          <w:tcPr>
            <w:tcW w:w="2161" w:type="dxa"/>
            <w:vMerge w:val="continue"/>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5" w:type="dxa"/>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土壤</w:t>
            </w:r>
          </w:p>
        </w:tc>
        <w:tc>
          <w:tcPr>
            <w:tcW w:w="5546" w:type="dxa"/>
            <w:gridSpan w:val="6"/>
            <w:vAlign w:val="center"/>
          </w:tcPr>
          <w:p>
            <w:pPr>
              <w:pageBreakBefore w:val="0"/>
              <w:wordWrap/>
              <w:bidi w:val="0"/>
              <w:spacing w:line="240" w:lineRule="auto"/>
              <w:ind w:left="0" w:leftChars="0" w:right="0" w:right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lang w:eastAsia="zh-CN"/>
              </w:rPr>
              <w:t>尾矿库四周</w:t>
            </w:r>
            <w:r>
              <w:rPr>
                <w:rFonts w:hint="default" w:ascii="Times New Roman" w:hAnsi="Times New Roman" w:eastAsia="宋体" w:cs="Times New Roman"/>
                <w:bCs/>
                <w:color w:val="auto"/>
                <w:sz w:val="21"/>
                <w:szCs w:val="21"/>
                <w:highlight w:val="none"/>
                <w:lang w:val="en-US" w:eastAsia="zh-CN"/>
              </w:rPr>
              <w:t>50m范围内</w:t>
            </w:r>
            <w:r>
              <w:rPr>
                <w:rFonts w:hint="default" w:ascii="Times New Roman" w:hAnsi="Times New Roman" w:eastAsia="宋体" w:cs="Times New Roman"/>
                <w:bCs/>
                <w:color w:val="auto"/>
                <w:sz w:val="21"/>
                <w:szCs w:val="21"/>
                <w:highlight w:val="none"/>
              </w:rPr>
              <w:t>天然牧草地</w:t>
            </w:r>
          </w:p>
        </w:tc>
        <w:tc>
          <w:tcPr>
            <w:tcW w:w="2161" w:type="dxa"/>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《土壤环境质量农用地土壤污染风险管控标准（试行</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》（GB15618-2018</w:t>
            </w:r>
            <w:r>
              <w:rPr>
                <w:rFonts w:hint="default" w:ascii="Times New Roman" w:hAnsi="Times New Roman" w:eastAsia="宋体" w:cs="Times New Roman"/>
                <w:color w:val="auto"/>
                <w:sz w:val="21"/>
                <w:szCs w:val="21"/>
                <w:highlight w:val="no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5" w:type="dxa"/>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生态</w:t>
            </w:r>
          </w:p>
        </w:tc>
        <w:tc>
          <w:tcPr>
            <w:tcW w:w="5546" w:type="dxa"/>
            <w:gridSpan w:val="6"/>
            <w:vAlign w:val="center"/>
          </w:tcPr>
          <w:p>
            <w:pPr>
              <w:pageBreakBefore w:val="0"/>
              <w:wordWrap/>
              <w:bidi w:val="0"/>
              <w:spacing w:line="240" w:lineRule="auto"/>
              <w:ind w:left="0" w:leftChars="0" w:right="0" w:right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评价范围内的动物、植被、土壤等生态环境</w:t>
            </w:r>
          </w:p>
        </w:tc>
        <w:tc>
          <w:tcPr>
            <w:tcW w:w="2161" w:type="dxa"/>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5" w:type="dxa"/>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环境风险</w:t>
            </w:r>
          </w:p>
        </w:tc>
        <w:tc>
          <w:tcPr>
            <w:tcW w:w="5546" w:type="dxa"/>
            <w:gridSpan w:val="6"/>
            <w:vAlign w:val="center"/>
          </w:tcPr>
          <w:p>
            <w:pPr>
              <w:pageBreakBefore w:val="0"/>
              <w:wordWrap/>
              <w:bidi w:val="0"/>
              <w:spacing w:line="240" w:lineRule="auto"/>
              <w:ind w:left="0" w:leftChars="0" w:right="0" w:right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尾矿库下游（北侧）10.32km范围内的草地以及该范围内居民</w:t>
            </w:r>
            <w:r>
              <w:rPr>
                <w:rFonts w:hint="default" w:ascii="Times New Roman" w:hAnsi="Times New Roman" w:eastAsia="宋体" w:cs="Times New Roman"/>
                <w:bCs/>
                <w:color w:val="auto"/>
                <w:sz w:val="21"/>
                <w:szCs w:val="21"/>
                <w:highlight w:val="none"/>
                <w:lang w:eastAsia="zh-CN"/>
              </w:rPr>
              <w:t>点（</w:t>
            </w:r>
            <w:r>
              <w:rPr>
                <w:rFonts w:hint="default" w:ascii="Times New Roman" w:hAnsi="Times New Roman" w:eastAsia="宋体" w:cs="Times New Roman"/>
                <w:color w:val="auto"/>
                <w:sz w:val="21"/>
                <w:szCs w:val="21"/>
                <w:highlight w:val="none"/>
                <w:lang w:eastAsia="zh-CN"/>
              </w:rPr>
              <w:t>莫日嘎查居民点</w:t>
            </w:r>
            <w:r>
              <w:rPr>
                <w:rFonts w:hint="default" w:ascii="Times New Roman" w:hAnsi="Times New Roman" w:eastAsia="宋体" w:cs="Times New Roman"/>
                <w:color w:val="auto"/>
                <w:sz w:val="21"/>
                <w:szCs w:val="21"/>
                <w:highlight w:val="none"/>
                <w:lang w:val="en-US" w:eastAsia="zh-CN"/>
              </w:rPr>
              <w:t>2、查干达巴居民点1、查干达巴居民点2、查干达巴居民点3</w:t>
            </w:r>
            <w:r>
              <w:rPr>
                <w:rFonts w:hint="default" w:ascii="Times New Roman" w:hAnsi="Times New Roman" w:eastAsia="宋体" w:cs="Times New Roman"/>
                <w:bCs/>
                <w:color w:val="auto"/>
                <w:sz w:val="21"/>
                <w:szCs w:val="21"/>
                <w:highlight w:val="none"/>
                <w:lang w:eastAsia="zh-CN"/>
              </w:rPr>
              <w:t>）</w:t>
            </w:r>
          </w:p>
        </w:tc>
        <w:tc>
          <w:tcPr>
            <w:tcW w:w="2161" w:type="dxa"/>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r>
      <w:bookmarkEnd w:id="270"/>
      <w:bookmarkEnd w:id="271"/>
      <w:bookmarkEnd w:id="272"/>
      <w:bookmarkEnd w:id="273"/>
      <w:bookmarkEnd w:id="274"/>
      <w:bookmarkEnd w:id="275"/>
      <w:bookmarkEnd w:id="276"/>
      <w:bookmarkEnd w:id="277"/>
    </w:tbl>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lang w:eastAsia="zh-CN"/>
        </w:rPr>
      </w:pP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lang w:eastAsia="zh-CN"/>
        </w:rPr>
      </w:pP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lang w:eastAsia="zh-CN"/>
        </w:rPr>
      </w:pP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lang w:eastAsia="zh-CN"/>
        </w:rPr>
        <w:sectPr>
          <w:footerReference r:id="rId16" w:type="default"/>
          <w:pgSz w:w="11906" w:h="16838"/>
          <w:pgMar w:top="1440" w:right="1800" w:bottom="1440" w:left="1800" w:header="851" w:footer="851" w:gutter="0"/>
          <w:pgNumType w:fmt="decimal"/>
          <w:cols w:space="720" w:num="1"/>
          <w:docGrid w:linePitch="312" w:charSpace="0"/>
        </w:sectPr>
      </w:pPr>
    </w:p>
    <w:p>
      <w:pPr>
        <w:pageBreakBefore w:val="0"/>
        <w:wordWrap/>
        <w:bidi w:val="0"/>
        <w:spacing w:line="360" w:lineRule="auto"/>
        <w:ind w:left="0" w:leftChars="0" w:right="0" w:rightChars="0"/>
        <w:jc w:val="center"/>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highlight w:val="none"/>
        </w:rPr>
        <w:drawing>
          <wp:anchor distT="0" distB="0" distL="114300" distR="114300" simplePos="0" relativeHeight="251663360" behindDoc="0" locked="0" layoutInCell="1" allowOverlap="1">
            <wp:simplePos x="0" y="0"/>
            <wp:positionH relativeFrom="column">
              <wp:posOffset>6899910</wp:posOffset>
            </wp:positionH>
            <wp:positionV relativeFrom="page">
              <wp:posOffset>915035</wp:posOffset>
            </wp:positionV>
            <wp:extent cx="1106805" cy="1214755"/>
            <wp:effectExtent l="0" t="0" r="17145" b="4445"/>
            <wp:wrapNone/>
            <wp:docPr id="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
                    <pic:cNvPicPr>
                      <a:picLocks noChangeAspect="1"/>
                    </pic:cNvPicPr>
                  </pic:nvPicPr>
                  <pic:blipFill>
                    <a:blip r:embed="rId23"/>
                    <a:srcRect l="3538" r="4555"/>
                    <a:stretch>
                      <a:fillRect/>
                    </a:stretch>
                  </pic:blipFill>
                  <pic:spPr>
                    <a:xfrm>
                      <a:off x="0" y="0"/>
                      <a:ext cx="1106805" cy="1214755"/>
                    </a:xfrm>
                    <a:prstGeom prst="rect">
                      <a:avLst/>
                    </a:prstGeom>
                    <a:noFill/>
                    <a:ln>
                      <a:noFill/>
                    </a:ln>
                  </pic:spPr>
                </pic:pic>
              </a:graphicData>
            </a:graphic>
          </wp:anchor>
        </w:drawing>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668480" behindDoc="0" locked="0" layoutInCell="1" allowOverlap="1">
                <wp:simplePos x="0" y="0"/>
                <wp:positionH relativeFrom="column">
                  <wp:posOffset>389255</wp:posOffset>
                </wp:positionH>
                <wp:positionV relativeFrom="paragraph">
                  <wp:posOffset>3956685</wp:posOffset>
                </wp:positionV>
                <wp:extent cx="288290" cy="107950"/>
                <wp:effectExtent l="6350" t="6350" r="10160" b="19050"/>
                <wp:wrapNone/>
                <wp:docPr id="24" name="矩形 24"/>
                <wp:cNvGraphicFramePr/>
                <a:graphic xmlns:a="http://schemas.openxmlformats.org/drawingml/2006/main">
                  <a:graphicData uri="http://schemas.microsoft.com/office/word/2010/wordprocessingShape">
                    <wps:wsp>
                      <wps:cNvSpPr/>
                      <wps:spPr>
                        <a:xfrm>
                          <a:off x="0" y="0"/>
                          <a:ext cx="288290" cy="107950"/>
                        </a:xfrm>
                        <a:prstGeom prst="rect">
                          <a:avLst/>
                        </a:prstGeom>
                        <a:solidFill>
                          <a:srgbClr val="7030A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0.65pt;margin-top:311.55pt;height:8.5pt;width:22.7pt;z-index:251668480;v-text-anchor:middle;mso-width-relative:page;mso-height-relative:page;" fillcolor="#7030A0" filled="t" stroked="t" coordsize="21600,21600" o:gfxdata="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CZ4/ii2AAAAAoBAAAPAAAAAAAAAAEAIAAAACIAAABkcnMv&#10;ZG93bnJldi54bWxQSwECFAAUAAAACACHTuJAzplsIHUCAAD1BAAADgAAAAAAAAABACAAAAAnAQAA&#10;ZHJzL2Uyb0RvYy54bWxQSwUGAAAAAAYABgBZAQAADgYAAAAA&#10;">
                <v:fill on="t" focussize="0,0"/>
                <v:stroke weight="1pt" color="#FF0000 [3204]" miterlimit="8" joinstyle="miter"/>
                <v:imagedata o:title=""/>
                <o:lock v:ext="edit" aspectratio="f"/>
              </v:rect>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666432" behindDoc="0" locked="0" layoutInCell="1" allowOverlap="1">
                <wp:simplePos x="0" y="0"/>
                <wp:positionH relativeFrom="column">
                  <wp:posOffset>1316355</wp:posOffset>
                </wp:positionH>
                <wp:positionV relativeFrom="paragraph">
                  <wp:posOffset>4286885</wp:posOffset>
                </wp:positionV>
                <wp:extent cx="288290" cy="107950"/>
                <wp:effectExtent l="6350" t="6350" r="10160" b="19050"/>
                <wp:wrapNone/>
                <wp:docPr id="22" name="矩形 22"/>
                <wp:cNvGraphicFramePr/>
                <a:graphic xmlns:a="http://schemas.openxmlformats.org/drawingml/2006/main">
                  <a:graphicData uri="http://schemas.microsoft.com/office/word/2010/wordprocessingShape">
                    <wps:wsp>
                      <wps:cNvSpPr/>
                      <wps:spPr>
                        <a:xfrm>
                          <a:off x="0" y="0"/>
                          <a:ext cx="288290" cy="1079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03.65pt;margin-top:337.55pt;height:8.5pt;width:22.7pt;z-index:251666432;v-text-anchor:middle;mso-width-relative:page;mso-height-relative:page;" filled="f" stroked="t" coordsize="21600,21600" o:gfxdata="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CdE5JO1wAAAAsBAAAPAAAAAAAAAAEAIAAAACIAAABkcnMvZG93bnJldi54bWxQ&#10;SwECFAAUAAAACACHTuJAQXpZbGoCAADMBAAADgAAAAAAAAABACAAAAAmAQAAZHJzL2Uyb0RvYy54&#10;bWxQSwUGAAAAAAYABgBZAQAAAgYAAAAA&#10;">
                <v:fill on="f" focussize="0,0"/>
                <v:stroke weight="1pt" color="#FF0000 [3204]" miterlimit="8" joinstyle="miter"/>
                <v:imagedata o:title=""/>
                <o:lock v:ext="edit" aspectratio="f"/>
              </v:rect>
            </w:pict>
          </mc:Fallback>
        </mc:AlternateContent>
      </w:r>
      <w:r>
        <w:rPr>
          <w:rFonts w:hint="default" w:ascii="Times New Roman" w:hAnsi="Times New Roman" w:eastAsia="宋体" w:cs="Times New Roman"/>
          <w:color w:val="auto"/>
          <w:sz w:val="32"/>
          <w:highlight w:val="none"/>
        </w:rPr>
        <mc:AlternateContent>
          <mc:Choice Requires="wps">
            <w:drawing>
              <wp:anchor distT="0" distB="0" distL="114300" distR="114300" simplePos="0" relativeHeight="251667456" behindDoc="0" locked="0" layoutInCell="1" allowOverlap="1">
                <wp:simplePos x="0" y="0"/>
                <wp:positionH relativeFrom="column">
                  <wp:posOffset>1348105</wp:posOffset>
                </wp:positionH>
                <wp:positionV relativeFrom="paragraph">
                  <wp:posOffset>4607560</wp:posOffset>
                </wp:positionV>
                <wp:extent cx="107950" cy="107950"/>
                <wp:effectExtent l="6350" t="6350" r="19050" b="19050"/>
                <wp:wrapNone/>
                <wp:docPr id="23" name="椭圆 23"/>
                <wp:cNvGraphicFramePr/>
                <a:graphic xmlns:a="http://schemas.openxmlformats.org/drawingml/2006/main">
                  <a:graphicData uri="http://schemas.microsoft.com/office/word/2010/wordprocessingShape">
                    <wps:wsp>
                      <wps:cNvSpPr/>
                      <wps:spPr>
                        <a:xfrm>
                          <a:off x="0" y="0"/>
                          <a:ext cx="107950" cy="107950"/>
                        </a:xfrm>
                        <a:prstGeom prst="ellipse">
                          <a:avLst/>
                        </a:prstGeom>
                        <a:solidFill>
                          <a:schemeClr val="tx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06.15pt;margin-top:362.8pt;height:8.5pt;width:8.5pt;z-index:251667456;v-text-anchor:middle;mso-width-relative:page;mso-height-relative:page;" fillcolor="#000000 [3213]" filled="t" stroked="t" coordsize="21600,21600" o:gfxdata="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JM+UrbYAAAACwEAAA8AAAAAAAAAAQAgAAAAIgAAAGRycy9kb3ducmV2&#10;LnhtbFBLAQIUABQAAAAIAIdO4kDZoWi/bgIAAPgEAAAOAAAAAAAAAAEAIAAAACcBAABkcnMvZTJv&#10;RG9jLnhtbFBLBQYAAAAABgAGAFkBAAAHBgAAAAA=&#10;">
                <v:fill on="t" focussize="0,0"/>
                <v:stroke weight="1pt" color="#FF0000 [3204]" miterlimit="8" joinstyle="miter"/>
                <v:imagedata o:title=""/>
                <o:lock v:ext="edit" aspectratio="f"/>
              </v:shape>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664384" behindDoc="0" locked="0" layoutInCell="1" allowOverlap="1">
                <wp:simplePos x="0" y="0"/>
                <wp:positionH relativeFrom="column">
                  <wp:posOffset>-69850</wp:posOffset>
                </wp:positionH>
                <wp:positionV relativeFrom="paragraph">
                  <wp:posOffset>3515360</wp:posOffset>
                </wp:positionV>
                <wp:extent cx="1850390" cy="1374140"/>
                <wp:effectExtent l="6350" t="6350" r="10160" b="10160"/>
                <wp:wrapNone/>
                <wp:docPr id="20" name="矩形 20"/>
                <wp:cNvGraphicFramePr/>
                <a:graphic xmlns:a="http://schemas.openxmlformats.org/drawingml/2006/main">
                  <a:graphicData uri="http://schemas.microsoft.com/office/word/2010/wordprocessingShape">
                    <wps:wsp>
                      <wps:cNvSpPr/>
                      <wps:spPr>
                        <a:xfrm>
                          <a:off x="0" y="0"/>
                          <a:ext cx="1850390" cy="1374140"/>
                        </a:xfrm>
                        <a:prstGeom prst="rect">
                          <a:avLst/>
                        </a:prstGeom>
                        <a:solidFill>
                          <a:schemeClr val="accent3">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keepNext w:val="0"/>
                              <w:keepLines w:val="0"/>
                              <w:pageBreakBefore w:val="0"/>
                              <w:widowControl w:val="0"/>
                              <w:kinsoku/>
                              <w:wordWrap/>
                              <w:overflowPunct/>
                              <w:topLinePunct/>
                              <w:autoSpaceDE w:val="0"/>
                              <w:autoSpaceDN/>
                              <w:bidi w:val="0"/>
                              <w:adjustRightInd/>
                              <w:snapToGrid/>
                              <w:spacing w:line="360" w:lineRule="auto"/>
                              <w:ind w:left="0" w:leftChars="0" w:firstLine="0" w:firstLineChars="0"/>
                              <w:jc w:val="center"/>
                              <w:textAlignment w:val="auto"/>
                              <w:rPr>
                                <w:rFonts w:hint="eastAsia"/>
                                <w:color w:val="000000" w:themeColor="text1"/>
                                <w:sz w:val="24"/>
                                <w:szCs w:val="2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4"/>
                                <w:szCs w:val="2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图例</w:t>
                            </w:r>
                          </w:p>
                          <w:p>
                            <w:pPr>
                              <w:pStyle w:val="27"/>
                              <w:keepNext w:val="0"/>
                              <w:keepLines w:val="0"/>
                              <w:pageBreakBefore w:val="0"/>
                              <w:widowControl w:val="0"/>
                              <w:kinsoku/>
                              <w:wordWrap/>
                              <w:overflowPunct/>
                              <w:topLinePunct/>
                              <w:autoSpaceDE w:val="0"/>
                              <w:autoSpaceDN/>
                              <w:bidi w:val="0"/>
                              <w:adjustRightInd/>
                              <w:snapToGrid/>
                              <w:spacing w:after="0" w:line="360" w:lineRule="auto"/>
                              <w:ind w:left="0" w:leftChars="0" w:firstLine="0" w:firstLineChars="0"/>
                              <w:jc w:val="left"/>
                              <w:textAlignment w:val="auto"/>
                              <w:rPr>
                                <w:rFonts w:hint="eastAsia"/>
                                <w:color w:val="000000" w:themeColor="text1"/>
                                <w:sz w:val="24"/>
                                <w:szCs w:val="2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4"/>
                                <w:szCs w:val="2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场区</w:t>
                            </w:r>
                          </w:p>
                          <w:p>
                            <w:pPr>
                              <w:keepNext w:val="0"/>
                              <w:keepLines w:val="0"/>
                              <w:pageBreakBefore w:val="0"/>
                              <w:widowControl w:val="0"/>
                              <w:kinsoku/>
                              <w:wordWrap/>
                              <w:overflowPunct/>
                              <w:topLinePunct/>
                              <w:autoSpaceDE w:val="0"/>
                              <w:autoSpaceDN/>
                              <w:bidi w:val="0"/>
                              <w:adjustRightInd/>
                              <w:snapToGrid/>
                              <w:spacing w:line="360" w:lineRule="auto"/>
                              <w:ind w:left="0" w:leftChars="0" w:firstLine="0" w:firstLineChars="0"/>
                              <w:jc w:val="left"/>
                              <w:textAlignment w:val="auto"/>
                              <w:rPr>
                                <w:rFonts w:hint="eastAsia"/>
                                <w:color w:val="000000" w:themeColor="text1"/>
                                <w:sz w:val="24"/>
                                <w:szCs w:val="2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4"/>
                                <w:szCs w:val="2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环境空气评价范围</w:t>
                            </w:r>
                          </w:p>
                          <w:p>
                            <w:pPr>
                              <w:pStyle w:val="27"/>
                              <w:keepNext w:val="0"/>
                              <w:keepLines w:val="0"/>
                              <w:pageBreakBefore w:val="0"/>
                              <w:widowControl w:val="0"/>
                              <w:kinsoku/>
                              <w:wordWrap/>
                              <w:overflowPunct/>
                              <w:topLinePunct/>
                              <w:autoSpaceDE w:val="0"/>
                              <w:autoSpaceDN/>
                              <w:bidi w:val="0"/>
                              <w:adjustRightInd/>
                              <w:snapToGrid/>
                              <w:spacing w:after="0" w:line="360" w:lineRule="auto"/>
                              <w:ind w:left="0" w:leftChars="0" w:firstLine="0" w:firstLineChars="0"/>
                              <w:jc w:val="left"/>
                              <w:textAlignment w:val="auto"/>
                              <w:rPr>
                                <w:rFonts w:hint="eastAsia"/>
                                <w:color w:val="000000" w:themeColor="text1"/>
                                <w:sz w:val="24"/>
                                <w:szCs w:val="2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4"/>
                                <w:szCs w:val="2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大气环境保护目标</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5pt;margin-top:276.8pt;height:108.2pt;width:145.7pt;z-index:251664384;v-text-anchor:middle;mso-width-relative:page;mso-height-relative:page;" fillcolor="#DBDBDB [1302]" filled="t" stroked="t" coordsize="21600,21600" o:gfxdata="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">
                <v:fill on="t" focussize="0,0"/>
                <v:stroke weight="1pt" color="#000000 [3213]" miterlimit="8" joinstyle="miter"/>
                <v:imagedata o:title=""/>
                <o:lock v:ext="edit" aspectratio="f"/>
                <v:textbox>
                  <w:txbxContent>
                    <w:p>
                      <w:pPr>
                        <w:keepNext w:val="0"/>
                        <w:keepLines w:val="0"/>
                        <w:pageBreakBefore w:val="0"/>
                        <w:widowControl w:val="0"/>
                        <w:kinsoku/>
                        <w:wordWrap/>
                        <w:overflowPunct/>
                        <w:topLinePunct/>
                        <w:autoSpaceDE w:val="0"/>
                        <w:autoSpaceDN/>
                        <w:bidi w:val="0"/>
                        <w:adjustRightInd/>
                        <w:snapToGrid/>
                        <w:spacing w:line="360" w:lineRule="auto"/>
                        <w:ind w:left="0" w:leftChars="0" w:firstLine="0" w:firstLineChars="0"/>
                        <w:jc w:val="center"/>
                        <w:textAlignment w:val="auto"/>
                        <w:rPr>
                          <w:rFonts w:hint="eastAsia"/>
                          <w:color w:val="000000" w:themeColor="text1"/>
                          <w:sz w:val="24"/>
                          <w:szCs w:val="2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4"/>
                          <w:szCs w:val="2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图例</w:t>
                      </w:r>
                    </w:p>
                    <w:p>
                      <w:pPr>
                        <w:pStyle w:val="27"/>
                        <w:keepNext w:val="0"/>
                        <w:keepLines w:val="0"/>
                        <w:pageBreakBefore w:val="0"/>
                        <w:widowControl w:val="0"/>
                        <w:kinsoku/>
                        <w:wordWrap/>
                        <w:overflowPunct/>
                        <w:topLinePunct/>
                        <w:autoSpaceDE w:val="0"/>
                        <w:autoSpaceDN/>
                        <w:bidi w:val="0"/>
                        <w:adjustRightInd/>
                        <w:snapToGrid/>
                        <w:spacing w:after="0" w:line="360" w:lineRule="auto"/>
                        <w:ind w:left="0" w:leftChars="0" w:firstLine="0" w:firstLineChars="0"/>
                        <w:jc w:val="left"/>
                        <w:textAlignment w:val="auto"/>
                        <w:rPr>
                          <w:rFonts w:hint="eastAsia"/>
                          <w:color w:val="000000" w:themeColor="text1"/>
                          <w:sz w:val="24"/>
                          <w:szCs w:val="2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4"/>
                          <w:szCs w:val="2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场区</w:t>
                      </w:r>
                    </w:p>
                    <w:p>
                      <w:pPr>
                        <w:keepNext w:val="0"/>
                        <w:keepLines w:val="0"/>
                        <w:pageBreakBefore w:val="0"/>
                        <w:widowControl w:val="0"/>
                        <w:kinsoku/>
                        <w:wordWrap/>
                        <w:overflowPunct/>
                        <w:topLinePunct/>
                        <w:autoSpaceDE w:val="0"/>
                        <w:autoSpaceDN/>
                        <w:bidi w:val="0"/>
                        <w:adjustRightInd/>
                        <w:snapToGrid/>
                        <w:spacing w:line="360" w:lineRule="auto"/>
                        <w:ind w:left="0" w:leftChars="0" w:firstLine="0" w:firstLineChars="0"/>
                        <w:jc w:val="left"/>
                        <w:textAlignment w:val="auto"/>
                        <w:rPr>
                          <w:rFonts w:hint="eastAsia"/>
                          <w:color w:val="000000" w:themeColor="text1"/>
                          <w:sz w:val="24"/>
                          <w:szCs w:val="2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4"/>
                          <w:szCs w:val="2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环境空气评价范围</w:t>
                      </w:r>
                    </w:p>
                    <w:p>
                      <w:pPr>
                        <w:pStyle w:val="27"/>
                        <w:keepNext w:val="0"/>
                        <w:keepLines w:val="0"/>
                        <w:pageBreakBefore w:val="0"/>
                        <w:widowControl w:val="0"/>
                        <w:kinsoku/>
                        <w:wordWrap/>
                        <w:overflowPunct/>
                        <w:topLinePunct/>
                        <w:autoSpaceDE w:val="0"/>
                        <w:autoSpaceDN/>
                        <w:bidi w:val="0"/>
                        <w:adjustRightInd/>
                        <w:snapToGrid/>
                        <w:spacing w:after="0" w:line="360" w:lineRule="auto"/>
                        <w:ind w:left="0" w:leftChars="0" w:firstLine="0" w:firstLineChars="0"/>
                        <w:jc w:val="left"/>
                        <w:textAlignment w:val="auto"/>
                        <w:rPr>
                          <w:rFonts w:hint="eastAsia"/>
                          <w:color w:val="000000" w:themeColor="text1"/>
                          <w:sz w:val="24"/>
                          <w:szCs w:val="2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4"/>
                          <w:szCs w:val="2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大气环境保护目标</w:t>
                      </w:r>
                    </w:p>
                  </w:txbxContent>
                </v:textbox>
              </v:rect>
            </w:pict>
          </mc:Fallback>
        </mc:AlternateContent>
      </w:r>
      <w:r>
        <w:rPr>
          <w:rFonts w:hint="default" w:ascii="Times New Roman" w:hAnsi="Times New Roman" w:eastAsia="宋体" w:cs="Times New Roman"/>
          <w:color w:val="auto"/>
          <w:sz w:val="21"/>
        </w:rPr>
        <mc:AlternateContent>
          <mc:Choice Requires="wps">
            <w:drawing>
              <wp:anchor distT="0" distB="0" distL="114300" distR="114300" simplePos="0" relativeHeight="251739136" behindDoc="0" locked="0" layoutInCell="1" allowOverlap="1">
                <wp:simplePos x="0" y="0"/>
                <wp:positionH relativeFrom="column">
                  <wp:posOffset>587375</wp:posOffset>
                </wp:positionH>
                <wp:positionV relativeFrom="paragraph">
                  <wp:posOffset>2319655</wp:posOffset>
                </wp:positionV>
                <wp:extent cx="7178040" cy="2578735"/>
                <wp:effectExtent l="6350" t="6350" r="16510" b="24765"/>
                <wp:wrapNone/>
                <wp:docPr id="144" name="任意多边形 144"/>
                <wp:cNvGraphicFramePr/>
                <a:graphic xmlns:a="http://schemas.openxmlformats.org/drawingml/2006/main">
                  <a:graphicData uri="http://schemas.microsoft.com/office/word/2010/wordprocessingShape">
                    <wps:wsp>
                      <wps:cNvSpPr/>
                      <wps:spPr>
                        <a:xfrm>
                          <a:off x="1771650" y="3227705"/>
                          <a:ext cx="7178040" cy="2578735"/>
                        </a:xfrm>
                        <a:custGeom>
                          <a:avLst/>
                          <a:gdLst>
                            <a:gd name="connisteX0" fmla="*/ 0 w 7150735"/>
                            <a:gd name="connsiteY0" fmla="*/ 0 h 2578735"/>
                            <a:gd name="connisteX1" fmla="*/ 591820 w 7150735"/>
                            <a:gd name="connsiteY1" fmla="*/ 0 h 2578735"/>
                            <a:gd name="connisteX2" fmla="*/ 2068195 w 7150735"/>
                            <a:gd name="connsiteY2" fmla="*/ 543560 h 2578735"/>
                            <a:gd name="connisteX3" fmla="*/ 3245485 w 7150735"/>
                            <a:gd name="connsiteY3" fmla="*/ 1442085 h 2578735"/>
                            <a:gd name="connisteX4" fmla="*/ 3578860 w 7150735"/>
                            <a:gd name="connsiteY4" fmla="*/ 1748790 h 2578735"/>
                            <a:gd name="connisteX5" fmla="*/ 4612640 w 7150735"/>
                            <a:gd name="connsiteY5" fmla="*/ 1781810 h 2578735"/>
                            <a:gd name="connisteX6" fmla="*/ 7150735 w 7150735"/>
                            <a:gd name="connsiteY6" fmla="*/ 1326515 h 2578735"/>
                            <a:gd name="connisteX7" fmla="*/ 7150735 w 7150735"/>
                            <a:gd name="connsiteY7" fmla="*/ 2578735 h 2578735"/>
                            <a:gd name="connisteX8" fmla="*/ 33655 w 7150735"/>
                            <a:gd name="connsiteY8" fmla="*/ 2571750 h 2578735"/>
                            <a:gd name="connisteX9" fmla="*/ 0 w 7150735"/>
                            <a:gd name="connsiteY9" fmla="*/ 0 h 257873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Lst>
                          <a:rect l="l" t="t" r="r" b="b"/>
                          <a:pathLst>
                            <a:path w="7150735" h="2578735">
                              <a:moveTo>
                                <a:pt x="0" y="0"/>
                              </a:moveTo>
                              <a:lnTo>
                                <a:pt x="591820" y="0"/>
                              </a:lnTo>
                              <a:lnTo>
                                <a:pt x="2068195" y="543560"/>
                              </a:lnTo>
                              <a:lnTo>
                                <a:pt x="3245485" y="1442085"/>
                              </a:lnTo>
                              <a:lnTo>
                                <a:pt x="3578860" y="1748790"/>
                              </a:lnTo>
                              <a:lnTo>
                                <a:pt x="4612640" y="1781810"/>
                              </a:lnTo>
                              <a:lnTo>
                                <a:pt x="7150735" y="1326515"/>
                              </a:lnTo>
                              <a:lnTo>
                                <a:pt x="7150735" y="2578735"/>
                              </a:lnTo>
                              <a:lnTo>
                                <a:pt x="33655" y="2571750"/>
                              </a:lnTo>
                              <a:lnTo>
                                <a:pt x="0" y="0"/>
                              </a:lnTo>
                              <a:close/>
                            </a:path>
                          </a:pathLst>
                        </a:custGeom>
                        <a:solidFill>
                          <a:srgbClr val="00B050">
                            <a:alpha val="40000"/>
                          </a:srgbClr>
                        </a:solidFill>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46.25pt;margin-top:182.65pt;height:203.05pt;width:565.2pt;z-index:251739136;mso-width-relative:page;mso-height-relative:page;" fillcolor="#00B050" filled="t" stroked="t" coordsize="7150735,2578735" o:gfxdata="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" path="m0,0l591820,0,2068195,543560,3245485,1442085,3578860,1748790,4612640,1781810,7150735,1326515,7150735,2578735,33655,2571750,0,0xe">
                <v:path o:connectlocs="0,0;594079,0;2076092,543560;3257877,1442085;3592525,1748790;4630253,1781810;7178040,1326515;7178040,2578735;33783,2571750;0,0" o:connectangles="0,0,0,0,0,0,0,0,0,0"/>
                <v:fill on="t" opacity="26214f" focussize="0,0"/>
                <v:stroke weight="1pt" color="#2F5597 [2404]" miterlimit="8" joinstyle="miter"/>
                <v:imagedata o:title=""/>
                <o:lock v:ext="edit" aspectratio="f"/>
              </v:shape>
            </w:pict>
          </mc:Fallback>
        </mc:AlternateContent>
      </w:r>
      <w:r>
        <w:rPr>
          <w:rFonts w:hint="default" w:ascii="Times New Roman" w:hAnsi="Times New Roman" w:eastAsia="宋体" w:cs="Times New Roman"/>
          <w:color w:val="auto"/>
          <w:sz w:val="21"/>
          <w:highlight w:val="none"/>
        </w:rPr>
        <mc:AlternateContent>
          <mc:Choice Requires="wps">
            <w:drawing>
              <wp:anchor distT="0" distB="0" distL="114300" distR="114300" simplePos="0" relativeHeight="251741184" behindDoc="0" locked="0" layoutInCell="1" allowOverlap="1">
                <wp:simplePos x="0" y="0"/>
                <wp:positionH relativeFrom="column">
                  <wp:posOffset>1801495</wp:posOffset>
                </wp:positionH>
                <wp:positionV relativeFrom="page">
                  <wp:posOffset>4681220</wp:posOffset>
                </wp:positionV>
                <wp:extent cx="2698750" cy="317500"/>
                <wp:effectExtent l="0" t="0" r="0" b="0"/>
                <wp:wrapNone/>
                <wp:docPr id="47" name="矩形 47"/>
                <wp:cNvGraphicFramePr/>
                <a:graphic xmlns:a="http://schemas.openxmlformats.org/drawingml/2006/main">
                  <a:graphicData uri="http://schemas.microsoft.com/office/word/2010/wordprocessingShape">
                    <wps:wsp>
                      <wps:cNvSpPr/>
                      <wps:spPr>
                        <a:xfrm>
                          <a:off x="0" y="0"/>
                          <a:ext cx="2698750" cy="3175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rPr>
                                <w:rFonts w:hint="default" w:ascii="Times New Roman" w:hAnsi="Times New Roman" w:eastAsia="宋体" w:cs="Times New Roman"/>
                                <w:b/>
                                <w:bCs/>
                                <w:color w:val="00B050"/>
                                <w:sz w:val="24"/>
                                <w:szCs w:val="24"/>
                                <w:highlight w:val="none"/>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default" w:ascii="Times New Roman" w:hAnsi="Times New Roman" w:eastAsia="宋体" w:cs="Times New Roman"/>
                                <w:b/>
                                <w:bCs/>
                                <w:color w:val="00B050"/>
                                <w:sz w:val="24"/>
                                <w:szCs w:val="24"/>
                                <w:highlight w:val="none"/>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内蒙古乌拉山自治区级自然保护区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41.85pt;margin-top:368.6pt;height:25pt;width:212.5pt;mso-position-vertical-relative:page;z-index:251741184;v-text-anchor:middle;mso-width-relative:page;mso-height-relative:page;" filled="f" stroked="f" coordsize="21600,21600" o:gfxdata="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IKLxVfXAAAACwEAAA8AAAAAAAAAAQAgAAAAIgAAAGRycy9kb3ducmV2LnhtbFBLAQIUABQAAAAI&#10;AIdO4kAyzZ+IYAIAAK8EAAAOAAAAAAAAAAEAIAAAACYBAABkcnMvZTJvRG9jLnhtbFBLBQYAAAAA&#10;BgAGAFkBAAD4BQAAAAA=&#10;">
                <v:fill on="f" focussize="0,0"/>
                <v:stroke on="f" weight="1pt" miterlimit="8" joinstyle="miter"/>
                <v:imagedata o:title=""/>
                <o:lock v:ext="edit" aspectratio="f"/>
                <v:textbox>
                  <w:txbxContent>
                    <w:p>
                      <w:pPr>
                        <w:rPr>
                          <w:rFonts w:hint="default" w:ascii="Times New Roman" w:hAnsi="Times New Roman" w:eastAsia="宋体" w:cs="Times New Roman"/>
                          <w:b/>
                          <w:bCs/>
                          <w:color w:val="00B050"/>
                          <w:sz w:val="24"/>
                          <w:szCs w:val="24"/>
                          <w:highlight w:val="none"/>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default" w:ascii="Times New Roman" w:hAnsi="Times New Roman" w:eastAsia="宋体" w:cs="Times New Roman"/>
                          <w:b/>
                          <w:bCs/>
                          <w:color w:val="00B050"/>
                          <w:sz w:val="24"/>
                          <w:szCs w:val="24"/>
                          <w:highlight w:val="none"/>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内蒙古乌拉山自治区级自然保护区</w:t>
                      </w:r>
                    </w:p>
                  </w:txbxContent>
                </v:textbox>
              </v:rect>
            </w:pict>
          </mc:Fallback>
        </mc:AlternateContent>
      </w:r>
      <w:r>
        <w:rPr>
          <w:rFonts w:hint="default" w:ascii="Times New Roman" w:hAnsi="Times New Roman" w:eastAsia="宋体" w:cs="Times New Roman"/>
          <w:color w:val="auto"/>
          <w:sz w:val="24"/>
          <w:highlight w:val="none"/>
          <w:lang w:eastAsia="zh-CN"/>
        </w:rPr>
        <w:drawing>
          <wp:inline distT="0" distB="0" distL="114300" distR="114300">
            <wp:extent cx="7167245" cy="4895850"/>
            <wp:effectExtent l="0" t="0" r="14605" b="0"/>
            <wp:docPr id="13" name="图片 13" descr="屏幕截图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屏幕截图222"/>
                    <pic:cNvPicPr>
                      <a:picLocks noChangeAspect="1"/>
                    </pic:cNvPicPr>
                  </pic:nvPicPr>
                  <pic:blipFill>
                    <a:blip r:embed="rId24"/>
                    <a:stretch>
                      <a:fillRect/>
                    </a:stretch>
                  </pic:blipFill>
                  <pic:spPr>
                    <a:xfrm>
                      <a:off x="0" y="0"/>
                      <a:ext cx="7167245" cy="4895850"/>
                    </a:xfrm>
                    <a:prstGeom prst="rect">
                      <a:avLst/>
                    </a:prstGeom>
                  </pic:spPr>
                </pic:pic>
              </a:graphicData>
            </a:graphic>
          </wp:inline>
        </w:drawing>
      </w:r>
      <w:r>
        <w:rPr>
          <w:rFonts w:hint="default" w:ascii="Times New Roman" w:hAnsi="Times New Roman" w:eastAsia="宋体" w:cs="Times New Roman"/>
          <w:color w:val="auto"/>
          <w:sz w:val="32"/>
          <w:highlight w:val="none"/>
        </w:rPr>
        <mc:AlternateContent>
          <mc:Choice Requires="wps">
            <w:drawing>
              <wp:anchor distT="0" distB="0" distL="114300" distR="114300" simplePos="0" relativeHeight="251669504" behindDoc="0" locked="0" layoutInCell="1" allowOverlap="1">
                <wp:simplePos x="0" y="0"/>
                <wp:positionH relativeFrom="column">
                  <wp:posOffset>2717800</wp:posOffset>
                </wp:positionH>
                <wp:positionV relativeFrom="paragraph">
                  <wp:posOffset>2800985</wp:posOffset>
                </wp:positionV>
                <wp:extent cx="107950" cy="107950"/>
                <wp:effectExtent l="6350" t="6350" r="19050" b="19050"/>
                <wp:wrapNone/>
                <wp:docPr id="27" name="椭圆 27"/>
                <wp:cNvGraphicFramePr/>
                <a:graphic xmlns:a="http://schemas.openxmlformats.org/drawingml/2006/main">
                  <a:graphicData uri="http://schemas.microsoft.com/office/word/2010/wordprocessingShape">
                    <wps:wsp>
                      <wps:cNvSpPr/>
                      <wps:spPr>
                        <a:xfrm>
                          <a:off x="0" y="0"/>
                          <a:ext cx="107950" cy="107950"/>
                        </a:xfrm>
                        <a:prstGeom prst="ellipse">
                          <a:avLst/>
                        </a:prstGeom>
                        <a:solidFill>
                          <a:schemeClr val="tx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14pt;margin-top:220.55pt;height:8.5pt;width:8.5pt;z-index:251669504;v-text-anchor:middle;mso-width-relative:page;mso-height-relative:page;" fillcolor="#000000 [3213]" filled="t" stroked="t" coordsize="21600,21600" o:gfxdata="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EiOvhzYAAAACwEAAA8AAAAAAAAAAQAgAAAAIgAAAGRycy9kb3ducmV2&#10;LnhtbFBLAQIUABQAAAAIAIdO4kBUnJNlbgIAAPgEAAAOAAAAAAAAAAEAIAAAACcBAABkcnMvZTJv&#10;RG9jLnhtbFBLBQYAAAAABgAGAFkBAAAHBgAAAAA=&#10;">
                <v:fill on="t" focussize="0,0"/>
                <v:stroke weight="1pt" color="#FF0000 [3204]" miterlimit="8" joinstyle="miter"/>
                <v:imagedata o:title=""/>
                <o:lock v:ext="edit" aspectratio="f"/>
              </v:shape>
            </w:pict>
          </mc:Fallback>
        </mc:AlternateContent>
      </w:r>
      <w:r>
        <w:rPr>
          <w:rFonts w:hint="default" w:ascii="Times New Roman" w:hAnsi="Times New Roman" w:eastAsia="宋体" w:cs="Times New Roman"/>
          <w:color w:val="auto"/>
          <w:sz w:val="21"/>
          <w:highlight w:val="none"/>
        </w:rPr>
        <mc:AlternateContent>
          <mc:Choice Requires="wps">
            <w:drawing>
              <wp:anchor distT="0" distB="0" distL="114300" distR="114300" simplePos="0" relativeHeight="251689984" behindDoc="0" locked="0" layoutInCell="1" allowOverlap="1">
                <wp:simplePos x="0" y="0"/>
                <wp:positionH relativeFrom="column">
                  <wp:posOffset>2160905</wp:posOffset>
                </wp:positionH>
                <wp:positionV relativeFrom="paragraph">
                  <wp:posOffset>2458720</wp:posOffset>
                </wp:positionV>
                <wp:extent cx="1374140" cy="358140"/>
                <wp:effectExtent l="0" t="0" r="0" b="0"/>
                <wp:wrapNone/>
                <wp:docPr id="39" name="矩形 39"/>
                <wp:cNvGraphicFramePr/>
                <a:graphic xmlns:a="http://schemas.openxmlformats.org/drawingml/2006/main">
                  <a:graphicData uri="http://schemas.microsoft.com/office/word/2010/wordprocessingShape">
                    <wps:wsp>
                      <wps:cNvSpPr/>
                      <wps:spPr>
                        <a:xfrm>
                          <a:off x="0" y="0"/>
                          <a:ext cx="1374140" cy="35814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rPr>
                                <w:b/>
                                <w:bCs/>
                                <w:color w:val="FF0000"/>
                                <w:sz w:val="24"/>
                                <w:szCs w:val="32"/>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default" w:ascii="Times New Roman" w:hAnsi="Times New Roman" w:eastAsia="宋体" w:cs="Times New Roman"/>
                                <w:b/>
                                <w:bCs/>
                                <w:color w:val="FF0000"/>
                                <w:sz w:val="24"/>
                                <w:szCs w:val="24"/>
                                <w:highlight w:val="none"/>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梅力更沟居民点</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70.15pt;margin-top:193.6pt;height:28.2pt;width:108.2pt;z-index:251689984;v-text-anchor:middle;mso-width-relative:page;mso-height-relative:page;" filled="f" stroked="f" coordsize="21600,21600" o:gfxdata="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yufe29oAAAALAQAADwAAAAAAAAABACAAAAAiAAAAZHJzL2Rvd25yZXYueG1sUEsBAhQAFAAA&#10;AAgAh07iQEBI/IdfAgAArwQAAA4AAAAAAAAAAQAgAAAAKQEAAGRycy9lMm9Eb2MueG1sUEsFBgAA&#10;AAAGAAYAWQEAAPoFAAAAAA==&#10;">
                <v:fill on="f" focussize="0,0"/>
                <v:stroke on="f" weight="1pt" miterlimit="8" joinstyle="miter"/>
                <v:imagedata o:title=""/>
                <o:lock v:ext="edit" aspectratio="f"/>
                <v:textbox>
                  <w:txbxContent>
                    <w:p>
                      <w:pPr>
                        <w:rPr>
                          <w:b/>
                          <w:bCs/>
                          <w:color w:val="FF0000"/>
                          <w:sz w:val="24"/>
                          <w:szCs w:val="32"/>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default" w:ascii="Times New Roman" w:hAnsi="Times New Roman" w:eastAsia="宋体" w:cs="Times New Roman"/>
                          <w:b/>
                          <w:bCs/>
                          <w:color w:val="FF0000"/>
                          <w:sz w:val="24"/>
                          <w:szCs w:val="24"/>
                          <w:highlight w:val="none"/>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梅力更沟居民点</w:t>
                      </w:r>
                    </w:p>
                  </w:txbxContent>
                </v:textbox>
              </v:rect>
            </w:pict>
          </mc:Fallback>
        </mc:AlternateContent>
      </w:r>
      <w:r>
        <w:rPr>
          <w:rFonts w:hint="default" w:ascii="Times New Roman" w:hAnsi="Times New Roman" w:eastAsia="宋体" w:cs="Times New Roman"/>
          <w:color w:val="auto"/>
          <w:sz w:val="21"/>
          <w:highlight w:val="none"/>
        </w:rPr>
        <mc:AlternateContent>
          <mc:Choice Requires="wps">
            <w:drawing>
              <wp:anchor distT="0" distB="0" distL="114300" distR="114300" simplePos="0" relativeHeight="251688960" behindDoc="0" locked="0" layoutInCell="1" allowOverlap="1">
                <wp:simplePos x="0" y="0"/>
                <wp:positionH relativeFrom="column">
                  <wp:posOffset>3868420</wp:posOffset>
                </wp:positionH>
                <wp:positionV relativeFrom="paragraph">
                  <wp:posOffset>3260725</wp:posOffset>
                </wp:positionV>
                <wp:extent cx="1509395" cy="317500"/>
                <wp:effectExtent l="0" t="0" r="0" b="0"/>
                <wp:wrapNone/>
                <wp:docPr id="38" name="矩形 38"/>
                <wp:cNvGraphicFramePr/>
                <a:graphic xmlns:a="http://schemas.openxmlformats.org/drawingml/2006/main">
                  <a:graphicData uri="http://schemas.microsoft.com/office/word/2010/wordprocessingShape">
                    <wps:wsp>
                      <wps:cNvSpPr/>
                      <wps:spPr>
                        <a:xfrm>
                          <a:off x="0" y="0"/>
                          <a:ext cx="1509395" cy="3175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rPr>
                                <w:b/>
                                <w:bCs/>
                                <w:color w:val="FF0000"/>
                                <w:sz w:val="24"/>
                                <w:szCs w:val="32"/>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default" w:ascii="Times New Roman" w:hAnsi="Times New Roman" w:eastAsia="宋体" w:cs="Times New Roman"/>
                                <w:b/>
                                <w:bCs/>
                                <w:color w:val="FF0000"/>
                                <w:sz w:val="24"/>
                                <w:szCs w:val="24"/>
                                <w:highlight w:val="none"/>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梅力更沟高万喜家</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04.6pt;margin-top:256.75pt;height:25pt;width:118.85pt;z-index:251688960;v-text-anchor:middle;mso-width-relative:page;mso-height-relative:page;" filled="f" stroked="f" coordsize="21600,21600" o:gfxdata="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e0gPUtgAAAALAQAADwAAAAAAAAABACAAAAAiAAAAZHJzL2Rvd25yZXYueG1sUEsBAhQAFAAA&#10;AAgAh07iQPGPeJxhAgAArwQAAA4AAAAAAAAAAQAgAAAAJwEAAGRycy9lMm9Eb2MueG1sUEsFBgAA&#10;AAAGAAYAWQEAAPoFAAAAAA==&#10;">
                <v:fill on="f" focussize="0,0"/>
                <v:stroke on="f" weight="1pt" miterlimit="8" joinstyle="miter"/>
                <v:imagedata o:title=""/>
                <o:lock v:ext="edit" aspectratio="f"/>
                <v:textbox>
                  <w:txbxContent>
                    <w:p>
                      <w:pPr>
                        <w:rPr>
                          <w:b/>
                          <w:bCs/>
                          <w:color w:val="FF0000"/>
                          <w:sz w:val="24"/>
                          <w:szCs w:val="32"/>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default" w:ascii="Times New Roman" w:hAnsi="Times New Roman" w:eastAsia="宋体" w:cs="Times New Roman"/>
                          <w:b/>
                          <w:bCs/>
                          <w:color w:val="FF0000"/>
                          <w:sz w:val="24"/>
                          <w:szCs w:val="24"/>
                          <w:highlight w:val="none"/>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梅力更沟高万喜家</w:t>
                      </w:r>
                    </w:p>
                  </w:txbxContent>
                </v:textbox>
              </v:rect>
            </w:pict>
          </mc:Fallback>
        </mc:AlternateContent>
      </w:r>
      <w:r>
        <w:rPr>
          <w:rFonts w:hint="default" w:ascii="Times New Roman" w:hAnsi="Times New Roman" w:eastAsia="宋体" w:cs="Times New Roman"/>
          <w:color w:val="auto"/>
          <w:sz w:val="21"/>
          <w:highlight w:val="none"/>
        </w:rPr>
        <mc:AlternateContent>
          <mc:Choice Requires="wps">
            <w:drawing>
              <wp:anchor distT="0" distB="0" distL="114300" distR="114300" simplePos="0" relativeHeight="251700224" behindDoc="0" locked="0" layoutInCell="1" allowOverlap="1">
                <wp:simplePos x="0" y="0"/>
                <wp:positionH relativeFrom="column">
                  <wp:posOffset>3126105</wp:posOffset>
                </wp:positionH>
                <wp:positionV relativeFrom="paragraph">
                  <wp:posOffset>1098550</wp:posOffset>
                </wp:positionV>
                <wp:extent cx="1438910" cy="373380"/>
                <wp:effectExtent l="0" t="0" r="0" b="0"/>
                <wp:wrapNone/>
                <wp:docPr id="60" name="矩形 60"/>
                <wp:cNvGraphicFramePr/>
                <a:graphic xmlns:a="http://schemas.openxmlformats.org/drawingml/2006/main">
                  <a:graphicData uri="http://schemas.microsoft.com/office/word/2010/wordprocessingShape">
                    <wps:wsp>
                      <wps:cNvSpPr/>
                      <wps:spPr>
                        <a:xfrm>
                          <a:off x="0" y="0"/>
                          <a:ext cx="1438910" cy="37338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b/>
                                <w:bCs/>
                                <w:color w:val="FF0000"/>
                                <w:sz w:val="24"/>
                                <w:szCs w:val="24"/>
                                <w:highlight w:val="none"/>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default" w:ascii="Times New Roman" w:hAnsi="Times New Roman" w:eastAsia="宋体" w:cs="Times New Roman"/>
                                <w:b/>
                                <w:bCs/>
                                <w:color w:val="FF0000"/>
                                <w:sz w:val="24"/>
                                <w:szCs w:val="24"/>
                                <w:highlight w:val="none"/>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查干达巴居民点</w:t>
                            </w:r>
                            <w:r>
                              <w:rPr>
                                <w:rFonts w:hint="eastAsia" w:ascii="Times New Roman" w:hAnsi="Times New Roman" w:eastAsia="宋体" w:cs="Times New Roman"/>
                                <w:b/>
                                <w:bCs/>
                                <w:color w:val="FF0000"/>
                                <w:sz w:val="24"/>
                                <w:szCs w:val="24"/>
                                <w:highlight w:val="none"/>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3</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46.15pt;margin-top:86.5pt;height:29.4pt;width:113.3pt;z-index:251700224;v-text-anchor:middle;mso-width-relative:page;mso-height-relative:page;" filled="f" stroked="f" coordsize="21600,21600" o:gfxdata="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RYlFX9kAAAALAQAADwAAAAAAAAABACAAAAAiAAAAZHJzL2Rvd25yZXYueG1sUEsBAhQAFAAA&#10;AAgAh07iQLER5vhgAgAArwQAAA4AAAAAAAAAAQAgAAAAKAEAAGRycy9lMm9Eb2MueG1sUEsFBgAA&#10;AAAGAAYAWQEAAPoFAAAAAA==&#10;">
                <v:fill on="f" focussize="0,0"/>
                <v:stroke on="f" weight="1pt" miterlimit="8" joinstyle="miter"/>
                <v:imagedata o:title=""/>
                <o:lock v:ext="edit" aspectratio="f"/>
                <v:textbox>
                  <w:txbxContent>
                    <w:p>
                      <w:pPr>
                        <w:jc w:val="center"/>
                        <w:rPr>
                          <w:rFonts w:hint="default" w:ascii="Times New Roman" w:hAnsi="Times New Roman" w:eastAsia="宋体" w:cs="Times New Roman"/>
                          <w:b/>
                          <w:bCs/>
                          <w:color w:val="FF0000"/>
                          <w:sz w:val="24"/>
                          <w:szCs w:val="24"/>
                          <w:highlight w:val="none"/>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default" w:ascii="Times New Roman" w:hAnsi="Times New Roman" w:eastAsia="宋体" w:cs="Times New Roman"/>
                          <w:b/>
                          <w:bCs/>
                          <w:color w:val="FF0000"/>
                          <w:sz w:val="24"/>
                          <w:szCs w:val="24"/>
                          <w:highlight w:val="none"/>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查干达巴居民点</w:t>
                      </w:r>
                      <w:r>
                        <w:rPr>
                          <w:rFonts w:hint="eastAsia" w:ascii="Times New Roman" w:hAnsi="Times New Roman" w:eastAsia="宋体" w:cs="Times New Roman"/>
                          <w:b/>
                          <w:bCs/>
                          <w:color w:val="FF0000"/>
                          <w:sz w:val="24"/>
                          <w:szCs w:val="24"/>
                          <w:highlight w:val="none"/>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3</w:t>
                      </w:r>
                    </w:p>
                  </w:txbxContent>
                </v:textbox>
              </v:rect>
            </w:pict>
          </mc:Fallback>
        </mc:AlternateContent>
      </w:r>
      <w:r>
        <w:rPr>
          <w:rFonts w:hint="default" w:ascii="Times New Roman" w:hAnsi="Times New Roman" w:eastAsia="宋体" w:cs="Times New Roman"/>
          <w:color w:val="auto"/>
          <w:sz w:val="21"/>
          <w:highlight w:val="none"/>
        </w:rPr>
        <mc:AlternateContent>
          <mc:Choice Requires="wps">
            <w:drawing>
              <wp:anchor distT="0" distB="0" distL="114300" distR="114300" simplePos="0" relativeHeight="251699200" behindDoc="0" locked="0" layoutInCell="1" allowOverlap="1">
                <wp:simplePos x="0" y="0"/>
                <wp:positionH relativeFrom="column">
                  <wp:posOffset>3451225</wp:posOffset>
                </wp:positionH>
                <wp:positionV relativeFrom="paragraph">
                  <wp:posOffset>1557020</wp:posOffset>
                </wp:positionV>
                <wp:extent cx="1438910" cy="373380"/>
                <wp:effectExtent l="0" t="0" r="0" b="0"/>
                <wp:wrapNone/>
                <wp:docPr id="59" name="矩形 59"/>
                <wp:cNvGraphicFramePr/>
                <a:graphic xmlns:a="http://schemas.openxmlformats.org/drawingml/2006/main">
                  <a:graphicData uri="http://schemas.microsoft.com/office/word/2010/wordprocessingShape">
                    <wps:wsp>
                      <wps:cNvSpPr/>
                      <wps:spPr>
                        <a:xfrm>
                          <a:off x="0" y="0"/>
                          <a:ext cx="1438910" cy="37338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b/>
                                <w:bCs/>
                                <w:color w:val="FF0000"/>
                                <w:sz w:val="24"/>
                                <w:szCs w:val="24"/>
                                <w:highlight w:val="none"/>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default" w:ascii="Times New Roman" w:hAnsi="Times New Roman" w:eastAsia="宋体" w:cs="Times New Roman"/>
                                <w:b/>
                                <w:bCs/>
                                <w:color w:val="FF0000"/>
                                <w:sz w:val="24"/>
                                <w:szCs w:val="24"/>
                                <w:highlight w:val="none"/>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查干达巴居民点</w:t>
                            </w:r>
                            <w:r>
                              <w:rPr>
                                <w:rFonts w:hint="eastAsia" w:ascii="Times New Roman" w:hAnsi="Times New Roman" w:eastAsia="宋体" w:cs="Times New Roman"/>
                                <w:b/>
                                <w:bCs/>
                                <w:color w:val="FF0000"/>
                                <w:sz w:val="24"/>
                                <w:szCs w:val="24"/>
                                <w:highlight w:val="none"/>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2</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71.75pt;margin-top:122.6pt;height:29.4pt;width:113.3pt;z-index:251699200;v-text-anchor:middle;mso-width-relative:page;mso-height-relative:page;" filled="f" stroked="f" coordsize="21600,21600" o:gfxdata="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AUBWJD2gAAAAsBAAAPAAAAAAAAAAEAIAAAACIAAABkcnMvZG93bnJldi54bWxQSwECFAAU&#10;AAAACACHTuJAfz/BaWECAACvBAAADgAAAAAAAAABACAAAAApAQAAZHJzL2Uyb0RvYy54bWxQSwUG&#10;AAAAAAYABgBZAQAA/AUAAAAA&#10;">
                <v:fill on="f" focussize="0,0"/>
                <v:stroke on="f" weight="1pt" miterlimit="8" joinstyle="miter"/>
                <v:imagedata o:title=""/>
                <o:lock v:ext="edit" aspectratio="f"/>
                <v:textbox>
                  <w:txbxContent>
                    <w:p>
                      <w:pPr>
                        <w:jc w:val="center"/>
                        <w:rPr>
                          <w:rFonts w:hint="default" w:ascii="Times New Roman" w:hAnsi="Times New Roman" w:eastAsia="宋体" w:cs="Times New Roman"/>
                          <w:b/>
                          <w:bCs/>
                          <w:color w:val="FF0000"/>
                          <w:sz w:val="24"/>
                          <w:szCs w:val="24"/>
                          <w:highlight w:val="none"/>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default" w:ascii="Times New Roman" w:hAnsi="Times New Roman" w:eastAsia="宋体" w:cs="Times New Roman"/>
                          <w:b/>
                          <w:bCs/>
                          <w:color w:val="FF0000"/>
                          <w:sz w:val="24"/>
                          <w:szCs w:val="24"/>
                          <w:highlight w:val="none"/>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查干达巴居民点</w:t>
                      </w:r>
                      <w:r>
                        <w:rPr>
                          <w:rFonts w:hint="eastAsia" w:ascii="Times New Roman" w:hAnsi="Times New Roman" w:eastAsia="宋体" w:cs="Times New Roman"/>
                          <w:b/>
                          <w:bCs/>
                          <w:color w:val="FF0000"/>
                          <w:sz w:val="24"/>
                          <w:szCs w:val="24"/>
                          <w:highlight w:val="none"/>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2</w:t>
                      </w:r>
                    </w:p>
                  </w:txbxContent>
                </v:textbox>
              </v:rect>
            </w:pict>
          </mc:Fallback>
        </mc:AlternateContent>
      </w:r>
      <w:r>
        <w:rPr>
          <w:rFonts w:hint="default" w:ascii="Times New Roman" w:hAnsi="Times New Roman" w:eastAsia="宋体" w:cs="Times New Roman"/>
          <w:color w:val="auto"/>
          <w:sz w:val="21"/>
          <w:highlight w:val="none"/>
        </w:rPr>
        <mc:AlternateContent>
          <mc:Choice Requires="wps">
            <w:drawing>
              <wp:anchor distT="0" distB="0" distL="114300" distR="114300" simplePos="0" relativeHeight="251698176" behindDoc="0" locked="0" layoutInCell="1" allowOverlap="1">
                <wp:simplePos x="0" y="0"/>
                <wp:positionH relativeFrom="column">
                  <wp:posOffset>4410075</wp:posOffset>
                </wp:positionH>
                <wp:positionV relativeFrom="paragraph">
                  <wp:posOffset>1129030</wp:posOffset>
                </wp:positionV>
                <wp:extent cx="1438910" cy="373380"/>
                <wp:effectExtent l="0" t="0" r="0" b="0"/>
                <wp:wrapNone/>
                <wp:docPr id="58" name="矩形 58"/>
                <wp:cNvGraphicFramePr/>
                <a:graphic xmlns:a="http://schemas.openxmlformats.org/drawingml/2006/main">
                  <a:graphicData uri="http://schemas.microsoft.com/office/word/2010/wordprocessingShape">
                    <wps:wsp>
                      <wps:cNvSpPr/>
                      <wps:spPr>
                        <a:xfrm>
                          <a:off x="0" y="0"/>
                          <a:ext cx="1438910" cy="37338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ascii="Times New Roman" w:hAnsi="Times New Roman" w:eastAsia="宋体" w:cs="Times New Roman"/>
                                <w:b/>
                                <w:bCs/>
                                <w:color w:val="FF0000"/>
                                <w:sz w:val="24"/>
                                <w:szCs w:val="24"/>
                                <w:highlight w:val="none"/>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default" w:ascii="Times New Roman" w:hAnsi="Times New Roman" w:eastAsia="宋体" w:cs="Times New Roman"/>
                                <w:b/>
                                <w:bCs/>
                                <w:color w:val="FF0000"/>
                                <w:sz w:val="24"/>
                                <w:szCs w:val="24"/>
                                <w:highlight w:val="none"/>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查干达巴居民点</w:t>
                            </w:r>
                            <w:r>
                              <w:rPr>
                                <w:rFonts w:hint="eastAsia" w:ascii="Times New Roman" w:hAnsi="Times New Roman" w:eastAsia="宋体" w:cs="Times New Roman"/>
                                <w:b/>
                                <w:bCs/>
                                <w:color w:val="FF0000"/>
                                <w:sz w:val="24"/>
                                <w:szCs w:val="24"/>
                                <w:highlight w:val="none"/>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1</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47.25pt;margin-top:88.9pt;height:29.4pt;width:113.3pt;z-index:251698176;v-text-anchor:middle;mso-width-relative:page;mso-height-relative:page;" filled="f" stroked="f" coordsize="21600,21600" o:gfxdata="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PrayytkAAAALAQAADwAAAAAAAAABACAAAAAiAAAAZHJzL2Rvd25yZXYueG1sUEsBAhQAFAAA&#10;AAgAh07iQP0HbXlgAgAArwQAAA4AAAAAAAAAAQAgAAAAKAEAAGRycy9lMm9Eb2MueG1sUEsFBgAA&#10;AAAGAAYAWQEAAPoFAAAAAA==&#10;">
                <v:fill on="f" focussize="0,0"/>
                <v:stroke on="f" weight="1pt" miterlimit="8" joinstyle="miter"/>
                <v:imagedata o:title=""/>
                <o:lock v:ext="edit" aspectratio="f"/>
                <v:textbox>
                  <w:txbxContent>
                    <w:p>
                      <w:pPr>
                        <w:jc w:val="center"/>
                        <w:rPr>
                          <w:rFonts w:hint="default" w:ascii="Times New Roman" w:hAnsi="Times New Roman" w:eastAsia="宋体" w:cs="Times New Roman"/>
                          <w:b/>
                          <w:bCs/>
                          <w:color w:val="FF0000"/>
                          <w:sz w:val="24"/>
                          <w:szCs w:val="24"/>
                          <w:highlight w:val="none"/>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default" w:ascii="Times New Roman" w:hAnsi="Times New Roman" w:eastAsia="宋体" w:cs="Times New Roman"/>
                          <w:b/>
                          <w:bCs/>
                          <w:color w:val="FF0000"/>
                          <w:sz w:val="24"/>
                          <w:szCs w:val="24"/>
                          <w:highlight w:val="none"/>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查干达巴居民点</w:t>
                      </w:r>
                      <w:r>
                        <w:rPr>
                          <w:rFonts w:hint="eastAsia" w:ascii="Times New Roman" w:hAnsi="Times New Roman" w:eastAsia="宋体" w:cs="Times New Roman"/>
                          <w:b/>
                          <w:bCs/>
                          <w:color w:val="FF0000"/>
                          <w:sz w:val="24"/>
                          <w:szCs w:val="24"/>
                          <w:highlight w:val="none"/>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1</w:t>
                      </w:r>
                    </w:p>
                  </w:txbxContent>
                </v:textbox>
              </v:rect>
            </w:pict>
          </mc:Fallback>
        </mc:AlternateContent>
      </w:r>
      <w:r>
        <w:rPr>
          <w:rFonts w:hint="default" w:ascii="Times New Roman" w:hAnsi="Times New Roman" w:eastAsia="宋体" w:cs="Times New Roman"/>
          <w:color w:val="auto"/>
          <w:sz w:val="32"/>
          <w:highlight w:val="none"/>
        </w:rPr>
        <mc:AlternateContent>
          <mc:Choice Requires="wps">
            <w:drawing>
              <wp:anchor distT="0" distB="0" distL="114300" distR="114300" simplePos="0" relativeHeight="251693056" behindDoc="0" locked="0" layoutInCell="1" allowOverlap="1">
                <wp:simplePos x="0" y="0"/>
                <wp:positionH relativeFrom="column">
                  <wp:posOffset>4241165</wp:posOffset>
                </wp:positionH>
                <wp:positionV relativeFrom="paragraph">
                  <wp:posOffset>1543050</wp:posOffset>
                </wp:positionV>
                <wp:extent cx="107950" cy="107950"/>
                <wp:effectExtent l="6350" t="6350" r="19050" b="19050"/>
                <wp:wrapNone/>
                <wp:docPr id="53" name="椭圆 53"/>
                <wp:cNvGraphicFramePr/>
                <a:graphic xmlns:a="http://schemas.openxmlformats.org/drawingml/2006/main">
                  <a:graphicData uri="http://schemas.microsoft.com/office/word/2010/wordprocessingShape">
                    <wps:wsp>
                      <wps:cNvSpPr/>
                      <wps:spPr>
                        <a:xfrm>
                          <a:off x="0" y="0"/>
                          <a:ext cx="107950" cy="107950"/>
                        </a:xfrm>
                        <a:prstGeom prst="ellipse">
                          <a:avLst/>
                        </a:prstGeom>
                        <a:solidFill>
                          <a:schemeClr val="tx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33.95pt;margin-top:121.5pt;height:8.5pt;width:8.5pt;z-index:251693056;v-text-anchor:middle;mso-width-relative:page;mso-height-relative:page;" fillcolor="#000000 [3213]" filled="t" stroked="t" coordsize="21600,21600" o:gfxdata="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V8XzzdcAAAALAQAADwAAAAAAAAABACAAAAAiAAAAZHJzL2Rvd25yZXYu&#10;eG1sUEsBAhQAFAAAAAgAh07iQAHmpkFuAgAA+AQAAA4AAAAAAAAAAQAgAAAAJgEAAGRycy9lMm9E&#10;b2MueG1sUEsFBgAAAAAGAAYAWQEAAAYGAAAAAA==&#10;">
                <v:fill on="t" focussize="0,0"/>
                <v:stroke weight="1pt" color="#FF0000 [3204]" miterlimit="8" joinstyle="miter"/>
                <v:imagedata o:title=""/>
                <o:lock v:ext="edit" aspectratio="f"/>
              </v:shape>
            </w:pict>
          </mc:Fallback>
        </mc:AlternateContent>
      </w:r>
      <w:r>
        <w:rPr>
          <w:rFonts w:hint="default" w:ascii="Times New Roman" w:hAnsi="Times New Roman" w:eastAsia="宋体" w:cs="Times New Roman"/>
          <w:color w:val="auto"/>
          <w:sz w:val="32"/>
          <w:highlight w:val="none"/>
        </w:rPr>
        <mc:AlternateContent>
          <mc:Choice Requires="wps">
            <w:drawing>
              <wp:anchor distT="0" distB="0" distL="114300" distR="114300" simplePos="0" relativeHeight="251694080" behindDoc="0" locked="0" layoutInCell="1" allowOverlap="1">
                <wp:simplePos x="0" y="0"/>
                <wp:positionH relativeFrom="column">
                  <wp:posOffset>4181475</wp:posOffset>
                </wp:positionH>
                <wp:positionV relativeFrom="paragraph">
                  <wp:posOffset>1051560</wp:posOffset>
                </wp:positionV>
                <wp:extent cx="107950" cy="107950"/>
                <wp:effectExtent l="6350" t="6350" r="19050" b="19050"/>
                <wp:wrapNone/>
                <wp:docPr id="54" name="椭圆 54"/>
                <wp:cNvGraphicFramePr/>
                <a:graphic xmlns:a="http://schemas.openxmlformats.org/drawingml/2006/main">
                  <a:graphicData uri="http://schemas.microsoft.com/office/word/2010/wordprocessingShape">
                    <wps:wsp>
                      <wps:cNvSpPr/>
                      <wps:spPr>
                        <a:xfrm>
                          <a:off x="0" y="0"/>
                          <a:ext cx="107950" cy="107950"/>
                        </a:xfrm>
                        <a:prstGeom prst="ellipse">
                          <a:avLst/>
                        </a:prstGeom>
                        <a:solidFill>
                          <a:schemeClr val="tx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29.25pt;margin-top:82.8pt;height:8.5pt;width:8.5pt;z-index:251694080;v-text-anchor:middle;mso-width-relative:page;mso-height-relative:page;" fillcolor="#000000 [3213]" filled="t" stroked="t" coordsize="21600,21600" o:gfxdata="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M5e3h/YAAAACwEAAA8AAAAAAAAAAQAgAAAAIgAAAGRycy9kb3ducmV2&#10;LnhtbFBLAQIUABQAAAAIAIdO4kCZSPpbbgIAAPgEAAAOAAAAAAAAAAEAIAAAACcBAABkcnMvZTJv&#10;RG9jLnhtbFBLBQYAAAAABgAGAFkBAAAHBgAAAAA=&#10;">
                <v:fill on="t" focussize="0,0"/>
                <v:stroke weight="1pt" color="#FF0000 [3204]" miterlimit="8" joinstyle="miter"/>
                <v:imagedata o:title=""/>
                <o:lock v:ext="edit" aspectratio="f"/>
              </v:shape>
            </w:pict>
          </mc:Fallback>
        </mc:AlternateContent>
      </w:r>
      <w:r>
        <w:rPr>
          <w:rFonts w:hint="default" w:ascii="Times New Roman" w:hAnsi="Times New Roman" w:eastAsia="宋体" w:cs="Times New Roman"/>
          <w:color w:val="auto"/>
          <w:sz w:val="32"/>
          <w:highlight w:val="none"/>
        </w:rPr>
        <mc:AlternateContent>
          <mc:Choice Requires="wps">
            <w:drawing>
              <wp:anchor distT="0" distB="0" distL="114300" distR="114300" simplePos="0" relativeHeight="251695104" behindDoc="0" locked="0" layoutInCell="1" allowOverlap="1">
                <wp:simplePos x="0" y="0"/>
                <wp:positionH relativeFrom="column">
                  <wp:posOffset>4971415</wp:posOffset>
                </wp:positionH>
                <wp:positionV relativeFrom="paragraph">
                  <wp:posOffset>1137920</wp:posOffset>
                </wp:positionV>
                <wp:extent cx="107950" cy="107950"/>
                <wp:effectExtent l="6350" t="6350" r="19050" b="19050"/>
                <wp:wrapNone/>
                <wp:docPr id="55" name="椭圆 55"/>
                <wp:cNvGraphicFramePr/>
                <a:graphic xmlns:a="http://schemas.openxmlformats.org/drawingml/2006/main">
                  <a:graphicData uri="http://schemas.microsoft.com/office/word/2010/wordprocessingShape">
                    <wps:wsp>
                      <wps:cNvSpPr/>
                      <wps:spPr>
                        <a:xfrm>
                          <a:off x="0" y="0"/>
                          <a:ext cx="107950" cy="107950"/>
                        </a:xfrm>
                        <a:prstGeom prst="ellipse">
                          <a:avLst/>
                        </a:prstGeom>
                        <a:solidFill>
                          <a:schemeClr val="tx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91.45pt;margin-top:89.6pt;height:8.5pt;width:8.5pt;z-index:251695104;v-text-anchor:middle;mso-width-relative:page;mso-height-relative:page;" fillcolor="#000000 [3213]" filled="t" stroked="t" coordsize="21600,21600" o:gfxdata="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Ro9il9cAAAALAQAADwAAAAAAAAABACAAAAAiAAAAZHJzL2Rvd25yZXYu&#10;eG1sUEsBAhQAFAAAAAgAh07iQGrGmBtuAgAA+AQAAA4AAAAAAAAAAQAgAAAAJgEAAGRycy9lMm9E&#10;b2MueG1sUEsFBgAAAAAGAAYAWQEAAAYGAAAAAA==&#10;">
                <v:fill on="t" focussize="0,0"/>
                <v:stroke weight="1pt" color="#FF0000 [3204]" miterlimit="8" joinstyle="miter"/>
                <v:imagedata o:title=""/>
                <o:lock v:ext="edit" aspectratio="f"/>
              </v:shape>
            </w:pict>
          </mc:Fallback>
        </mc:AlternateContent>
      </w:r>
      <w:r>
        <w:rPr>
          <w:rFonts w:hint="default" w:ascii="Times New Roman" w:hAnsi="Times New Roman" w:eastAsia="宋体" w:cs="Times New Roman"/>
          <w:color w:val="auto"/>
          <w:sz w:val="21"/>
          <w:highlight w:val="none"/>
        </w:rPr>
        <mc:AlternateContent>
          <mc:Choice Requires="wps">
            <w:drawing>
              <wp:anchor distT="0" distB="0" distL="114300" distR="114300" simplePos="0" relativeHeight="251697152" behindDoc="0" locked="0" layoutInCell="1" allowOverlap="1">
                <wp:simplePos x="0" y="0"/>
                <wp:positionH relativeFrom="column">
                  <wp:posOffset>4756150</wp:posOffset>
                </wp:positionH>
                <wp:positionV relativeFrom="paragraph">
                  <wp:posOffset>1614805</wp:posOffset>
                </wp:positionV>
                <wp:extent cx="1438910" cy="373380"/>
                <wp:effectExtent l="0" t="0" r="0" b="0"/>
                <wp:wrapNone/>
                <wp:docPr id="57" name="矩形 57"/>
                <wp:cNvGraphicFramePr/>
                <a:graphic xmlns:a="http://schemas.openxmlformats.org/drawingml/2006/main">
                  <a:graphicData uri="http://schemas.microsoft.com/office/word/2010/wordprocessingShape">
                    <wps:wsp>
                      <wps:cNvSpPr/>
                      <wps:spPr>
                        <a:xfrm>
                          <a:off x="0" y="0"/>
                          <a:ext cx="1438910" cy="37338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b/>
                                <w:bCs/>
                                <w:color w:val="FF0000"/>
                                <w:sz w:val="24"/>
                                <w:szCs w:val="32"/>
                                <w:lang w:val="en-US"/>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default" w:ascii="Times New Roman" w:hAnsi="Times New Roman" w:eastAsia="宋体" w:cs="Times New Roman"/>
                                <w:b/>
                                <w:bCs/>
                                <w:color w:val="FF0000"/>
                                <w:sz w:val="24"/>
                                <w:szCs w:val="24"/>
                                <w:highlight w:val="none"/>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莫日嘎查居民点</w:t>
                            </w:r>
                            <w:r>
                              <w:rPr>
                                <w:rFonts w:hint="eastAsia" w:cs="Times New Roman"/>
                                <w:b/>
                                <w:bCs/>
                                <w:color w:val="FF0000"/>
                                <w:sz w:val="24"/>
                                <w:szCs w:val="24"/>
                                <w:highlight w:val="none"/>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2</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74.5pt;margin-top:127.15pt;height:29.4pt;width:113.3pt;z-index:251697152;v-text-anchor:middle;mso-width-relative:page;mso-height-relative:page;" filled="f" stroked="f" coordsize="21600,21600" o:gfxdata="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BE12d52gAAAAsBAAAPAAAAAAAAAAEAIAAAACIAAABkcnMvZG93bnJldi54bWxQSwECFAAU&#10;AAAACACHTuJAY2hIj2ECAACvBAAADgAAAAAAAAABACAAAAApAQAAZHJzL2Uyb0RvYy54bWxQSwUG&#10;AAAAAAYABgBZAQAA/AUAAAAA&#10;">
                <v:fill on="f" focussize="0,0"/>
                <v:stroke on="f" weight="1pt" miterlimit="8" joinstyle="miter"/>
                <v:imagedata o:title=""/>
                <o:lock v:ext="edit" aspectratio="f"/>
                <v:textbox>
                  <w:txbxContent>
                    <w:p>
                      <w:pPr>
                        <w:jc w:val="center"/>
                        <w:rPr>
                          <w:rFonts w:hint="default"/>
                          <w:b/>
                          <w:bCs/>
                          <w:color w:val="FF0000"/>
                          <w:sz w:val="24"/>
                          <w:szCs w:val="32"/>
                          <w:lang w:val="en-US"/>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default" w:ascii="Times New Roman" w:hAnsi="Times New Roman" w:eastAsia="宋体" w:cs="Times New Roman"/>
                          <w:b/>
                          <w:bCs/>
                          <w:color w:val="FF0000"/>
                          <w:sz w:val="24"/>
                          <w:szCs w:val="24"/>
                          <w:highlight w:val="none"/>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莫日嘎查居民点</w:t>
                      </w:r>
                      <w:r>
                        <w:rPr>
                          <w:rFonts w:hint="eastAsia" w:cs="Times New Roman"/>
                          <w:b/>
                          <w:bCs/>
                          <w:color w:val="FF0000"/>
                          <w:sz w:val="24"/>
                          <w:szCs w:val="24"/>
                          <w:highlight w:val="none"/>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2</w:t>
                      </w:r>
                    </w:p>
                  </w:txbxContent>
                </v:textbox>
              </v:rect>
            </w:pict>
          </mc:Fallback>
        </mc:AlternateContent>
      </w:r>
      <w:r>
        <w:rPr>
          <w:rFonts w:hint="default" w:ascii="Times New Roman" w:hAnsi="Times New Roman" w:eastAsia="宋体" w:cs="Times New Roman"/>
          <w:color w:val="auto"/>
          <w:sz w:val="32"/>
          <w:highlight w:val="none"/>
        </w:rPr>
        <mc:AlternateContent>
          <mc:Choice Requires="wps">
            <w:drawing>
              <wp:anchor distT="0" distB="0" distL="114300" distR="114300" simplePos="0" relativeHeight="251696128" behindDoc="0" locked="0" layoutInCell="1" allowOverlap="1">
                <wp:simplePos x="0" y="0"/>
                <wp:positionH relativeFrom="column">
                  <wp:posOffset>5350510</wp:posOffset>
                </wp:positionH>
                <wp:positionV relativeFrom="paragraph">
                  <wp:posOffset>1612265</wp:posOffset>
                </wp:positionV>
                <wp:extent cx="107950" cy="107950"/>
                <wp:effectExtent l="6350" t="6350" r="19050" b="19050"/>
                <wp:wrapNone/>
                <wp:docPr id="56" name="椭圆 56"/>
                <wp:cNvGraphicFramePr/>
                <a:graphic xmlns:a="http://schemas.openxmlformats.org/drawingml/2006/main">
                  <a:graphicData uri="http://schemas.microsoft.com/office/word/2010/wordprocessingShape">
                    <wps:wsp>
                      <wps:cNvSpPr/>
                      <wps:spPr>
                        <a:xfrm>
                          <a:off x="0" y="0"/>
                          <a:ext cx="107950" cy="107950"/>
                        </a:xfrm>
                        <a:prstGeom prst="ellipse">
                          <a:avLst/>
                        </a:prstGeom>
                        <a:solidFill>
                          <a:schemeClr val="tx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421.3pt;margin-top:126.95pt;height:8.5pt;width:8.5pt;z-index:251696128;v-text-anchor:middle;mso-width-relative:page;mso-height-relative:page;" fillcolor="#000000 [3213]" filled="t" stroked="t" coordsize="21600,21600" o:gfxdata="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ArJKUd2QAAAAsBAAAPAAAAAAAAAAEAIAAAACIAAABkcnMvZG93bnJl&#10;di54bWxQSwECFAAUAAAACACHTuJAf1U/224CAAD4BAAADgAAAAAAAAABACAAAAAoAQAAZHJzL2Uy&#10;b0RvYy54bWxQSwUGAAAAAAYABgBZAQAACAYAAAAA&#10;">
                <v:fill on="t" focussize="0,0"/>
                <v:stroke weight="1pt" color="#FF0000 [3204]" miterlimit="8" joinstyle="miter"/>
                <v:imagedata o:title=""/>
                <o:lock v:ext="edit" aspectratio="f"/>
              </v:shape>
            </w:pict>
          </mc:Fallback>
        </mc:AlternateContent>
      </w:r>
      <w:r>
        <w:rPr>
          <w:rFonts w:hint="default" w:ascii="Times New Roman" w:hAnsi="Times New Roman" w:eastAsia="宋体" w:cs="Times New Roman"/>
          <w:color w:val="auto"/>
          <w:sz w:val="21"/>
          <w:highlight w:val="none"/>
        </w:rPr>
        <mc:AlternateContent>
          <mc:Choice Requires="wps">
            <w:drawing>
              <wp:anchor distT="0" distB="0" distL="114300" distR="114300" simplePos="0" relativeHeight="251685888" behindDoc="0" locked="0" layoutInCell="1" allowOverlap="1">
                <wp:simplePos x="0" y="0"/>
                <wp:positionH relativeFrom="column">
                  <wp:posOffset>4398645</wp:posOffset>
                </wp:positionH>
                <wp:positionV relativeFrom="paragraph">
                  <wp:posOffset>1982470</wp:posOffset>
                </wp:positionV>
                <wp:extent cx="1438910" cy="373380"/>
                <wp:effectExtent l="0" t="0" r="0" b="0"/>
                <wp:wrapNone/>
                <wp:docPr id="15" name="矩形 15"/>
                <wp:cNvGraphicFramePr/>
                <a:graphic xmlns:a="http://schemas.openxmlformats.org/drawingml/2006/main">
                  <a:graphicData uri="http://schemas.microsoft.com/office/word/2010/wordprocessingShape">
                    <wps:wsp>
                      <wps:cNvSpPr/>
                      <wps:spPr>
                        <a:xfrm>
                          <a:off x="3400425" y="2687955"/>
                          <a:ext cx="1438910" cy="37338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b/>
                                <w:bCs/>
                                <w:color w:val="FF0000"/>
                                <w:sz w:val="24"/>
                                <w:szCs w:val="32"/>
                                <w:lang w:val="en-US"/>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default" w:ascii="Times New Roman" w:hAnsi="Times New Roman" w:eastAsia="宋体" w:cs="Times New Roman"/>
                                <w:b/>
                                <w:bCs/>
                                <w:color w:val="FF0000"/>
                                <w:sz w:val="24"/>
                                <w:szCs w:val="24"/>
                                <w:highlight w:val="none"/>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莫日嘎查居民点</w:t>
                            </w:r>
                            <w:r>
                              <w:rPr>
                                <w:rFonts w:hint="eastAsia" w:cs="Times New Roman"/>
                                <w:b/>
                                <w:bCs/>
                                <w:color w:val="FF0000"/>
                                <w:sz w:val="24"/>
                                <w:szCs w:val="24"/>
                                <w:highlight w:val="none"/>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1</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46.35pt;margin-top:156.1pt;height:29.4pt;width:113.3pt;z-index:251685888;v-text-anchor:middle;mso-width-relative:page;mso-height-relative:page;" filled="f" stroked="f" coordsize="21600,21600" o:gfxdata="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rPOpINkAAAALAQAADwAAAAAAAAABACAAAAAiAAAAZHJzL2Rvd25y&#10;ZXYueG1sUEsBAhQAFAAAAAgAh07iQEJaZPxvAgAAuwQAAA4AAAAAAAAAAQAgAAAAKAEAAGRycy9l&#10;Mm9Eb2MueG1sUEsFBgAAAAAGAAYAWQEAAAkGAAAAAA==&#10;">
                <v:fill on="f" focussize="0,0"/>
                <v:stroke on="f" weight="1pt" miterlimit="8" joinstyle="miter"/>
                <v:imagedata o:title=""/>
                <o:lock v:ext="edit" aspectratio="f"/>
                <v:textbox>
                  <w:txbxContent>
                    <w:p>
                      <w:pPr>
                        <w:jc w:val="center"/>
                        <w:rPr>
                          <w:rFonts w:hint="default"/>
                          <w:b/>
                          <w:bCs/>
                          <w:color w:val="FF0000"/>
                          <w:sz w:val="24"/>
                          <w:szCs w:val="32"/>
                          <w:lang w:val="en-US"/>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default" w:ascii="Times New Roman" w:hAnsi="Times New Roman" w:eastAsia="宋体" w:cs="Times New Roman"/>
                          <w:b/>
                          <w:bCs/>
                          <w:color w:val="FF0000"/>
                          <w:sz w:val="24"/>
                          <w:szCs w:val="24"/>
                          <w:highlight w:val="none"/>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莫日嘎查居民点</w:t>
                      </w:r>
                      <w:r>
                        <w:rPr>
                          <w:rFonts w:hint="eastAsia" w:cs="Times New Roman"/>
                          <w:b/>
                          <w:bCs/>
                          <w:color w:val="FF0000"/>
                          <w:sz w:val="24"/>
                          <w:szCs w:val="24"/>
                          <w:highlight w:val="none"/>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1</w:t>
                      </w:r>
                    </w:p>
                  </w:txbxContent>
                </v:textbox>
              </v:rect>
            </w:pict>
          </mc:Fallback>
        </mc:AlternateContent>
      </w:r>
      <w:r>
        <w:rPr>
          <w:rFonts w:hint="default" w:ascii="Times New Roman" w:hAnsi="Times New Roman" w:eastAsia="宋体" w:cs="Times New Roman"/>
          <w:color w:val="auto"/>
          <w:sz w:val="21"/>
          <w:highlight w:val="none"/>
        </w:rPr>
        <mc:AlternateContent>
          <mc:Choice Requires="wps">
            <w:drawing>
              <wp:anchor distT="0" distB="0" distL="114300" distR="114300" simplePos="0" relativeHeight="251687936" behindDoc="0" locked="0" layoutInCell="1" allowOverlap="1">
                <wp:simplePos x="0" y="0"/>
                <wp:positionH relativeFrom="column">
                  <wp:posOffset>4950460</wp:posOffset>
                </wp:positionH>
                <wp:positionV relativeFrom="paragraph">
                  <wp:posOffset>3025775</wp:posOffset>
                </wp:positionV>
                <wp:extent cx="1318895" cy="365125"/>
                <wp:effectExtent l="0" t="0" r="0" b="0"/>
                <wp:wrapNone/>
                <wp:docPr id="37" name="矩形 37"/>
                <wp:cNvGraphicFramePr/>
                <a:graphic xmlns:a="http://schemas.openxmlformats.org/drawingml/2006/main">
                  <a:graphicData uri="http://schemas.microsoft.com/office/word/2010/wordprocessingShape">
                    <wps:wsp>
                      <wps:cNvSpPr/>
                      <wps:spPr>
                        <a:xfrm>
                          <a:off x="0" y="0"/>
                          <a:ext cx="1318895" cy="3651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rPr>
                                <w:b/>
                                <w:bCs/>
                                <w:color w:val="FF0000"/>
                                <w:sz w:val="24"/>
                                <w:szCs w:val="32"/>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default" w:ascii="Times New Roman" w:hAnsi="Times New Roman" w:eastAsia="宋体" w:cs="Times New Roman"/>
                                <w:b/>
                                <w:bCs/>
                                <w:color w:val="FF0000"/>
                                <w:sz w:val="24"/>
                                <w:szCs w:val="24"/>
                                <w:highlight w:val="none"/>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胡气高勒斯庆家</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89.8pt;margin-top:238.25pt;height:28.75pt;width:103.85pt;z-index:251687936;v-text-anchor:middle;mso-width-relative:page;mso-height-relative:page;" filled="f" stroked="f" coordsize="21600,21600" o:gfxdata="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IjkStNoAAAALAQAADwAAAAAAAAABACAAAAAiAAAAZHJzL2Rvd25yZXYueG1sUEsBAhQA&#10;FAAAAAgAh07iQHEKoiRiAgAArwQAAA4AAAAAAAAAAQAgAAAAKQEAAGRycy9lMm9Eb2MueG1sUEsF&#10;BgAAAAAGAAYAWQEAAP0FAAAAAA==&#10;">
                <v:fill on="f" focussize="0,0"/>
                <v:stroke on="f" weight="1pt" miterlimit="8" joinstyle="miter"/>
                <v:imagedata o:title=""/>
                <o:lock v:ext="edit" aspectratio="f"/>
                <v:textbox>
                  <w:txbxContent>
                    <w:p>
                      <w:pPr>
                        <w:rPr>
                          <w:b/>
                          <w:bCs/>
                          <w:color w:val="FF0000"/>
                          <w:sz w:val="24"/>
                          <w:szCs w:val="32"/>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default" w:ascii="Times New Roman" w:hAnsi="Times New Roman" w:eastAsia="宋体" w:cs="Times New Roman"/>
                          <w:b/>
                          <w:bCs/>
                          <w:color w:val="FF0000"/>
                          <w:sz w:val="24"/>
                          <w:szCs w:val="24"/>
                          <w:highlight w:val="none"/>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胡气高勒斯庆家</w:t>
                      </w:r>
                    </w:p>
                  </w:txbxContent>
                </v:textbox>
              </v:rect>
            </w:pict>
          </mc:Fallback>
        </mc:AlternateContent>
      </w:r>
      <w:r>
        <w:rPr>
          <w:rFonts w:hint="default" w:ascii="Times New Roman" w:hAnsi="Times New Roman" w:eastAsia="宋体" w:cs="Times New Roman"/>
          <w:color w:val="auto"/>
          <w:sz w:val="21"/>
          <w:highlight w:val="none"/>
        </w:rPr>
        <mc:AlternateContent>
          <mc:Choice Requires="wps">
            <w:drawing>
              <wp:anchor distT="0" distB="0" distL="114300" distR="114300" simplePos="0" relativeHeight="251686912" behindDoc="0" locked="0" layoutInCell="1" allowOverlap="1">
                <wp:simplePos x="0" y="0"/>
                <wp:positionH relativeFrom="column">
                  <wp:posOffset>4758690</wp:posOffset>
                </wp:positionH>
                <wp:positionV relativeFrom="paragraph">
                  <wp:posOffset>2294255</wp:posOffset>
                </wp:positionV>
                <wp:extent cx="1365250" cy="325120"/>
                <wp:effectExtent l="0" t="0" r="0" b="0"/>
                <wp:wrapNone/>
                <wp:docPr id="36" name="矩形 36"/>
                <wp:cNvGraphicFramePr/>
                <a:graphic xmlns:a="http://schemas.openxmlformats.org/drawingml/2006/main">
                  <a:graphicData uri="http://schemas.microsoft.com/office/word/2010/wordprocessingShape">
                    <wps:wsp>
                      <wps:cNvSpPr/>
                      <wps:spPr>
                        <a:xfrm>
                          <a:off x="0" y="0"/>
                          <a:ext cx="1365250" cy="32512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rPr>
                                <w:b/>
                                <w:bCs/>
                                <w:color w:val="FF0000"/>
                                <w:sz w:val="24"/>
                                <w:szCs w:val="32"/>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default" w:ascii="Times New Roman" w:hAnsi="Times New Roman" w:eastAsia="宋体" w:cs="Times New Roman"/>
                                <w:b/>
                                <w:bCs/>
                                <w:color w:val="FF0000"/>
                                <w:sz w:val="24"/>
                                <w:szCs w:val="24"/>
                                <w:highlight w:val="none"/>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莫日嘎查二虎家</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74.7pt;margin-top:180.65pt;height:25.6pt;width:107.5pt;z-index:251686912;v-text-anchor:middle;mso-width-relative:page;mso-height-relative:page;" filled="f" stroked="f" coordsize="21600,21600" o:gfxdata="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Cu+Q1C2gAAAAsBAAAPAAAAAAAAAAEAIAAAACIAAABkcnMvZG93bnJldi54bWxQSwECFAAU&#10;AAAACACHTuJAUTxiLWECAACvBAAADgAAAAAAAAABACAAAAApAQAAZHJzL2Uyb0RvYy54bWxQSwUG&#10;AAAAAAYABgBZAQAA/AUAAAAA&#10;">
                <v:fill on="f" focussize="0,0"/>
                <v:stroke on="f" weight="1pt" miterlimit="8" joinstyle="miter"/>
                <v:imagedata o:title=""/>
                <o:lock v:ext="edit" aspectratio="f"/>
                <v:textbox>
                  <w:txbxContent>
                    <w:p>
                      <w:pPr>
                        <w:rPr>
                          <w:b/>
                          <w:bCs/>
                          <w:color w:val="FF0000"/>
                          <w:sz w:val="24"/>
                          <w:szCs w:val="32"/>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default" w:ascii="Times New Roman" w:hAnsi="Times New Roman" w:eastAsia="宋体" w:cs="Times New Roman"/>
                          <w:b/>
                          <w:bCs/>
                          <w:color w:val="FF0000"/>
                          <w:sz w:val="24"/>
                          <w:szCs w:val="24"/>
                          <w:highlight w:val="none"/>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莫日嘎查二虎家</w:t>
                      </w:r>
                    </w:p>
                  </w:txbxContent>
                </v:textbox>
              </v:rect>
            </w:pict>
          </mc:Fallback>
        </mc:AlternateContent>
      </w:r>
      <w:r>
        <w:rPr>
          <w:rFonts w:hint="default" w:ascii="Times New Roman" w:hAnsi="Times New Roman" w:eastAsia="宋体" w:cs="Times New Roman"/>
          <w:color w:val="auto"/>
          <w:sz w:val="32"/>
          <w:highlight w:val="none"/>
        </w:rPr>
        <mc:AlternateContent>
          <mc:Choice Requires="wps">
            <w:drawing>
              <wp:anchor distT="0" distB="0" distL="114300" distR="114300" simplePos="0" relativeHeight="251673600" behindDoc="0" locked="0" layoutInCell="1" allowOverlap="1">
                <wp:simplePos x="0" y="0"/>
                <wp:positionH relativeFrom="column">
                  <wp:posOffset>5009515</wp:posOffset>
                </wp:positionH>
                <wp:positionV relativeFrom="paragraph">
                  <wp:posOffset>1998980</wp:posOffset>
                </wp:positionV>
                <wp:extent cx="107950" cy="107950"/>
                <wp:effectExtent l="6350" t="6350" r="19050" b="19050"/>
                <wp:wrapNone/>
                <wp:docPr id="34" name="椭圆 34"/>
                <wp:cNvGraphicFramePr/>
                <a:graphic xmlns:a="http://schemas.openxmlformats.org/drawingml/2006/main">
                  <a:graphicData uri="http://schemas.microsoft.com/office/word/2010/wordprocessingShape">
                    <wps:wsp>
                      <wps:cNvSpPr/>
                      <wps:spPr>
                        <a:xfrm>
                          <a:off x="0" y="0"/>
                          <a:ext cx="107950" cy="107950"/>
                        </a:xfrm>
                        <a:prstGeom prst="ellipse">
                          <a:avLst/>
                        </a:prstGeom>
                        <a:solidFill>
                          <a:schemeClr val="tx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94.45pt;margin-top:157.4pt;height:8.5pt;width:8.5pt;z-index:251673600;v-text-anchor:middle;mso-width-relative:page;mso-height-relative:page;" fillcolor="#000000 [3213]" filled="t" stroked="t" coordsize="21600,21600" o:gfxdata="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MlWcPfYAAAACwEAAA8AAAAAAAAAAQAgAAAAIgAAAGRycy9kb3ducmV2&#10;LnhtbFBLAQIUABQAAAAIAIdO4kBpzsCBbgIAAPgEAAAOAAAAAAAAAAEAIAAAACcBAABkcnMvZTJv&#10;RG9jLnhtbFBLBQYAAAAABgAGAFkBAAAHBgAAAAA=&#10;">
                <v:fill on="t" focussize="0,0"/>
                <v:stroke weight="1pt" color="#FF0000 [3204]" miterlimit="8" joinstyle="miter"/>
                <v:imagedata o:title=""/>
                <o:lock v:ext="edit" aspectratio="f"/>
              </v:shape>
            </w:pict>
          </mc:Fallback>
        </mc:AlternateContent>
      </w:r>
      <w:r>
        <w:rPr>
          <w:rFonts w:hint="default" w:ascii="Times New Roman" w:hAnsi="Times New Roman" w:eastAsia="宋体" w:cs="Times New Roman"/>
          <w:color w:val="auto"/>
          <w:sz w:val="32"/>
          <w:highlight w:val="none"/>
        </w:rPr>
        <mc:AlternateContent>
          <mc:Choice Requires="wps">
            <w:drawing>
              <wp:anchor distT="0" distB="0" distL="114300" distR="114300" simplePos="0" relativeHeight="251672576" behindDoc="0" locked="0" layoutInCell="1" allowOverlap="1">
                <wp:simplePos x="0" y="0"/>
                <wp:positionH relativeFrom="column">
                  <wp:posOffset>5180965</wp:posOffset>
                </wp:positionH>
                <wp:positionV relativeFrom="paragraph">
                  <wp:posOffset>2245995</wp:posOffset>
                </wp:positionV>
                <wp:extent cx="107950" cy="107950"/>
                <wp:effectExtent l="6350" t="6350" r="19050" b="19050"/>
                <wp:wrapNone/>
                <wp:docPr id="33" name="椭圆 33"/>
                <wp:cNvGraphicFramePr/>
                <a:graphic xmlns:a="http://schemas.openxmlformats.org/drawingml/2006/main">
                  <a:graphicData uri="http://schemas.microsoft.com/office/word/2010/wordprocessingShape">
                    <wps:wsp>
                      <wps:cNvSpPr/>
                      <wps:spPr>
                        <a:xfrm>
                          <a:off x="0" y="0"/>
                          <a:ext cx="107950" cy="107950"/>
                        </a:xfrm>
                        <a:prstGeom prst="ellipse">
                          <a:avLst/>
                        </a:prstGeom>
                        <a:solidFill>
                          <a:schemeClr val="tx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407.95pt;margin-top:176.85pt;height:8.5pt;width:8.5pt;z-index:251672576;v-text-anchor:middle;mso-width-relative:page;mso-height-relative:page;" fillcolor="#000000 [3213]" filled="t" stroked="t" coordsize="21600,21600" o:gfxdata="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C1lSsw2QAAAAsBAAAPAAAAAAAAAAEAIAAAACIAAABkcnMvZG93bnJl&#10;di54bWxQSwECFAAUAAAACACHTuJA8WCcm24CAAD4BAAADgAAAAAAAAABACAAAAAoAQAAZHJzL2Uy&#10;b0RvYy54bWxQSwUGAAAAAAYABgBZAQAACAYAAAAA&#10;">
                <v:fill on="t" focussize="0,0"/>
                <v:stroke weight="1pt" color="#FF0000 [3204]" miterlimit="8" joinstyle="miter"/>
                <v:imagedata o:title=""/>
                <o:lock v:ext="edit" aspectratio="f"/>
              </v:shape>
            </w:pict>
          </mc:Fallback>
        </mc:AlternateContent>
      </w:r>
      <w:r>
        <w:rPr>
          <w:rFonts w:hint="default" w:ascii="Times New Roman" w:hAnsi="Times New Roman" w:eastAsia="宋体" w:cs="Times New Roman"/>
          <w:color w:val="auto"/>
          <w:sz w:val="32"/>
          <w:highlight w:val="none"/>
        </w:rPr>
        <mc:AlternateContent>
          <mc:Choice Requires="wps">
            <w:drawing>
              <wp:anchor distT="0" distB="0" distL="114300" distR="114300" simplePos="0" relativeHeight="251671552" behindDoc="0" locked="0" layoutInCell="1" allowOverlap="1">
                <wp:simplePos x="0" y="0"/>
                <wp:positionH relativeFrom="column">
                  <wp:posOffset>5509260</wp:posOffset>
                </wp:positionH>
                <wp:positionV relativeFrom="paragraph">
                  <wp:posOffset>3012440</wp:posOffset>
                </wp:positionV>
                <wp:extent cx="107950" cy="107950"/>
                <wp:effectExtent l="6350" t="6350" r="19050" b="19050"/>
                <wp:wrapNone/>
                <wp:docPr id="32" name="椭圆 32"/>
                <wp:cNvGraphicFramePr/>
                <a:graphic xmlns:a="http://schemas.openxmlformats.org/drawingml/2006/main">
                  <a:graphicData uri="http://schemas.microsoft.com/office/word/2010/wordprocessingShape">
                    <wps:wsp>
                      <wps:cNvSpPr/>
                      <wps:spPr>
                        <a:xfrm>
                          <a:off x="0" y="0"/>
                          <a:ext cx="107950" cy="107950"/>
                        </a:xfrm>
                        <a:prstGeom prst="ellipse">
                          <a:avLst/>
                        </a:prstGeom>
                        <a:solidFill>
                          <a:schemeClr val="tx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433.8pt;margin-top:237.2pt;height:8.5pt;width:8.5pt;z-index:251671552;v-text-anchor:middle;mso-width-relative:page;mso-height-relative:page;" fillcolor="#000000 [3213]" filled="t" stroked="t" coordsize="21600,21600" o:gfxdata="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KRITgHYAAAACwEAAA8AAAAAAAAAAQAgAAAAIgAAAGRycy9kb3ducmV2&#10;LnhtbFBLAQIUABQAAAAIAIdO4kAC7v7bbgIAAPgEAAAOAAAAAAAAAAEAIAAAACcBAABkcnMvZTJv&#10;RG9jLnhtbFBLBQYAAAAABgAGAFkBAAAHBgAAAAA=&#10;">
                <v:fill on="t" focussize="0,0"/>
                <v:stroke weight="1pt" color="#FF0000 [3204]" miterlimit="8" joinstyle="miter"/>
                <v:imagedata o:title=""/>
                <o:lock v:ext="edit" aspectratio="f"/>
              </v:shape>
            </w:pict>
          </mc:Fallback>
        </mc:AlternateContent>
      </w:r>
      <w:r>
        <w:rPr>
          <w:rFonts w:hint="default" w:ascii="Times New Roman" w:hAnsi="Times New Roman" w:eastAsia="宋体" w:cs="Times New Roman"/>
          <w:color w:val="auto"/>
          <w:sz w:val="32"/>
          <w:highlight w:val="none"/>
        </w:rPr>
        <mc:AlternateContent>
          <mc:Choice Requires="wps">
            <w:drawing>
              <wp:anchor distT="0" distB="0" distL="114300" distR="114300" simplePos="0" relativeHeight="251670528" behindDoc="0" locked="0" layoutInCell="1" allowOverlap="1">
                <wp:simplePos x="0" y="0"/>
                <wp:positionH relativeFrom="column">
                  <wp:posOffset>3803650</wp:posOffset>
                </wp:positionH>
                <wp:positionV relativeFrom="paragraph">
                  <wp:posOffset>3318510</wp:posOffset>
                </wp:positionV>
                <wp:extent cx="107950" cy="107950"/>
                <wp:effectExtent l="6350" t="6350" r="19050" b="19050"/>
                <wp:wrapNone/>
                <wp:docPr id="25" name="椭圆 25"/>
                <wp:cNvGraphicFramePr/>
                <a:graphic xmlns:a="http://schemas.openxmlformats.org/drawingml/2006/main">
                  <a:graphicData uri="http://schemas.microsoft.com/office/word/2010/wordprocessingShape">
                    <wps:wsp>
                      <wps:cNvSpPr/>
                      <wps:spPr>
                        <a:xfrm>
                          <a:off x="0" y="0"/>
                          <a:ext cx="107950" cy="107950"/>
                        </a:xfrm>
                        <a:prstGeom prst="ellipse">
                          <a:avLst/>
                        </a:prstGeom>
                        <a:solidFill>
                          <a:schemeClr val="tx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99.5pt;margin-top:261.3pt;height:8.5pt;width:8.5pt;z-index:251670528;v-text-anchor:middle;mso-width-relative:page;mso-height-relative:page;" fillcolor="#000000 [3213]" filled="t" stroked="t" coordsize="21600,21600" o:gfxdata="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F4/ApvYAAAACwEAAA8AAAAAAAAAAQAgAAAAIgAAAGRycy9kb3ducmV2&#10;LnhtbFBLAQIUABQAAAAIAIdO4kCygVblbgIAAPgEAAAOAAAAAAAAAAEAIAAAACcBAABkcnMvZTJv&#10;RG9jLnhtbFBLBQYAAAAABgAGAFkBAAAHBgAAAAA=&#10;">
                <v:fill on="t" focussize="0,0"/>
                <v:stroke weight="1pt" color="#FF0000 [3204]" miterlimit="8" joinstyle="miter"/>
                <v:imagedata o:title=""/>
                <o:lock v:ext="edit" aspectratio="f"/>
              </v:shape>
            </w:pict>
          </mc:Fallback>
        </mc:AlternateContent>
      </w:r>
      <w:r>
        <w:rPr>
          <w:rFonts w:hint="default" w:ascii="Times New Roman" w:hAnsi="Times New Roman" w:eastAsia="宋体" w:cs="Times New Roman"/>
          <w:color w:val="auto"/>
          <w:sz w:val="32"/>
          <w:highlight w:val="none"/>
        </w:rPr>
        <mc:AlternateContent>
          <mc:Choice Requires="wps">
            <w:drawing>
              <wp:anchor distT="0" distB="0" distL="114300" distR="114300" simplePos="0" relativeHeight="251665408" behindDoc="0" locked="0" layoutInCell="1" allowOverlap="1">
                <wp:simplePos x="0" y="0"/>
                <wp:positionH relativeFrom="column">
                  <wp:posOffset>1847850</wp:posOffset>
                </wp:positionH>
                <wp:positionV relativeFrom="paragraph">
                  <wp:posOffset>677545</wp:posOffset>
                </wp:positionV>
                <wp:extent cx="4826000" cy="3636010"/>
                <wp:effectExtent l="6350" t="6350" r="6350" b="15240"/>
                <wp:wrapNone/>
                <wp:docPr id="21" name="矩形 21"/>
                <wp:cNvGraphicFramePr/>
                <a:graphic xmlns:a="http://schemas.openxmlformats.org/drawingml/2006/main">
                  <a:graphicData uri="http://schemas.microsoft.com/office/word/2010/wordprocessingShape">
                    <wps:wsp>
                      <wps:cNvSpPr/>
                      <wps:spPr>
                        <a:xfrm>
                          <a:off x="0" y="0"/>
                          <a:ext cx="4826000" cy="363601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45.5pt;margin-top:53.35pt;height:286.3pt;width:380pt;z-index:251665408;v-text-anchor:middle;mso-width-relative:page;mso-height-relative:page;" filled="f" stroked="t" coordsize="21600,21600" o:gfxdata="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LboIfbXAAAADAEAAA8AAAAAAAAAAQAgAAAAIgAAAGRycy9kb3ducmV2LnhtbFBL&#10;AQIUABQAAAAIAIdO4kAvLeymaQIAAM4EAAAOAAAAAAAAAAEAIAAAACYBAABkcnMvZTJvRG9jLnht&#10;bFBLBQYAAAAABgAGAFkBAAABBgAAAAA=&#10;">
                <v:fill on="f" focussize="0,0"/>
                <v:stroke weight="1pt" color="#FF0000 [3204]" miterlimit="8" joinstyle="miter"/>
                <v:imagedata o:title=""/>
                <o:lock v:ext="edit" aspectratio="f"/>
              </v:rect>
            </w:pict>
          </mc:Fallback>
        </mc:AlternateContent>
      </w:r>
    </w:p>
    <w:p>
      <w:pPr>
        <w:pageBreakBefore w:val="0"/>
        <w:wordWrap/>
        <w:bidi w:val="0"/>
        <w:spacing w:line="360" w:lineRule="auto"/>
        <w:ind w:left="0" w:leftChars="0" w:right="0" w:rightChars="0"/>
        <w:jc w:val="center"/>
        <w:rPr>
          <w:rFonts w:hint="default" w:ascii="Times New Roman" w:hAnsi="Times New Roman" w:eastAsia="宋体" w:cs="Times New Roman"/>
          <w:b/>
          <w:bCs/>
          <w:color w:val="auto"/>
          <w:sz w:val="24"/>
          <w:szCs w:val="22"/>
          <w:highlight w:val="none"/>
        </w:rPr>
        <w:sectPr>
          <w:pgSz w:w="16838" w:h="11906" w:orient="landscape"/>
          <w:pgMar w:top="1440" w:right="1800" w:bottom="1440" w:left="1800" w:header="851" w:footer="851" w:gutter="0"/>
          <w:pgNumType w:fmt="decimal"/>
          <w:cols w:space="720" w:num="1"/>
          <w:docGrid w:linePitch="312" w:charSpace="0"/>
        </w:sectPr>
      </w:pPr>
      <w:r>
        <w:rPr>
          <w:rFonts w:hint="default" w:ascii="Times New Roman" w:hAnsi="Times New Roman" w:eastAsia="宋体" w:cs="Times New Roman"/>
          <w:b/>
          <w:bCs/>
          <w:color w:val="auto"/>
          <w:sz w:val="24"/>
          <w:szCs w:val="22"/>
          <w:highlight w:val="none"/>
        </w:rPr>
        <w:t>图</w:t>
      </w:r>
      <w:r>
        <w:rPr>
          <w:rFonts w:hint="default" w:ascii="Times New Roman" w:hAnsi="Times New Roman" w:eastAsia="宋体" w:cs="Times New Roman"/>
          <w:b/>
          <w:bCs/>
          <w:color w:val="auto"/>
          <w:sz w:val="24"/>
          <w:szCs w:val="22"/>
          <w:highlight w:val="none"/>
          <w:lang w:val="en-US" w:eastAsia="zh-CN"/>
        </w:rPr>
        <w:t>1-2</w:t>
      </w:r>
      <w:r>
        <w:rPr>
          <w:rFonts w:hint="default" w:ascii="Times New Roman" w:hAnsi="Times New Roman" w:eastAsia="宋体" w:cs="Times New Roman"/>
          <w:b/>
          <w:bCs/>
          <w:color w:val="auto"/>
          <w:sz w:val="24"/>
          <w:szCs w:val="22"/>
          <w:highlight w:val="none"/>
        </w:rPr>
        <w:t>项目环境</w:t>
      </w:r>
      <w:r>
        <w:rPr>
          <w:rFonts w:hint="default" w:ascii="Times New Roman" w:hAnsi="Times New Roman" w:eastAsia="宋体" w:cs="Times New Roman"/>
          <w:b/>
          <w:bCs/>
          <w:color w:val="auto"/>
          <w:sz w:val="24"/>
          <w:szCs w:val="22"/>
          <w:highlight w:val="none"/>
          <w:lang w:eastAsia="zh-CN"/>
        </w:rPr>
        <w:t>空气环境</w:t>
      </w:r>
      <w:r>
        <w:rPr>
          <w:rFonts w:hint="default" w:ascii="Times New Roman" w:hAnsi="Times New Roman" w:eastAsia="宋体" w:cs="Times New Roman"/>
          <w:b/>
          <w:bCs/>
          <w:color w:val="auto"/>
          <w:sz w:val="24"/>
          <w:szCs w:val="22"/>
          <w:highlight w:val="none"/>
        </w:rPr>
        <w:t>保护目标及评价范围图</w:t>
      </w:r>
    </w:p>
    <w:p>
      <w:pPr>
        <w:pageBreakBefore w:val="0"/>
        <w:wordWrap/>
        <w:bidi w:val="0"/>
        <w:spacing w:line="360" w:lineRule="auto"/>
        <w:ind w:left="0" w:leftChars="0" w:right="0" w:rightChars="0"/>
        <w:jc w:val="center"/>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drawing>
          <wp:inline distT="0" distB="0" distL="114300" distR="114300">
            <wp:extent cx="5257800" cy="5307965"/>
            <wp:effectExtent l="0" t="0" r="0" b="6985"/>
            <wp:docPr id="61" name="图片 6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图片1"/>
                    <pic:cNvPicPr>
                      <a:picLocks noChangeAspect="1"/>
                    </pic:cNvPicPr>
                  </pic:nvPicPr>
                  <pic:blipFill>
                    <a:blip r:embed="rId22"/>
                    <a:stretch>
                      <a:fillRect/>
                    </a:stretch>
                  </pic:blipFill>
                  <pic:spPr>
                    <a:xfrm>
                      <a:off x="0" y="0"/>
                      <a:ext cx="5257800" cy="5307965"/>
                    </a:xfrm>
                    <a:prstGeom prst="rect">
                      <a:avLst/>
                    </a:prstGeom>
                  </pic:spPr>
                </pic:pic>
              </a:graphicData>
            </a:graphic>
          </wp:inline>
        </w:drawing>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lang w:eastAsia="zh-CN"/>
        </w:rPr>
      </w:pP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lang w:eastAsia="zh-CN"/>
        </w:rPr>
      </w:pPr>
    </w:p>
    <w:p>
      <w:pPr>
        <w:pageBreakBefore w:val="0"/>
        <w:wordWrap/>
        <w:bidi w:val="0"/>
        <w:spacing w:line="360" w:lineRule="auto"/>
        <w:ind w:left="0" w:leftChars="0" w:right="0" w:rightChars="0"/>
        <w:jc w:val="center"/>
        <w:rPr>
          <w:rFonts w:hint="default" w:ascii="Times New Roman" w:hAnsi="Times New Roman" w:eastAsia="宋体" w:cs="Times New Roman"/>
          <w:b/>
          <w:bCs/>
          <w:color w:val="auto"/>
          <w:sz w:val="24"/>
          <w:szCs w:val="22"/>
          <w:highlight w:val="none"/>
          <w:lang w:val="en-US" w:eastAsia="zh-CN"/>
        </w:rPr>
        <w:sectPr>
          <w:pgSz w:w="11906" w:h="16838"/>
          <w:pgMar w:top="1440" w:right="1800" w:bottom="1440" w:left="1800" w:header="851" w:footer="851" w:gutter="0"/>
          <w:pgNumType w:fmt="decimal"/>
          <w:cols w:space="720" w:num="1"/>
          <w:docGrid w:linePitch="312" w:charSpace="0"/>
        </w:sectPr>
      </w:pPr>
      <w:r>
        <w:rPr>
          <w:rFonts w:hint="default" w:ascii="Times New Roman" w:hAnsi="Times New Roman" w:eastAsia="宋体" w:cs="Times New Roman"/>
          <w:b/>
          <w:bCs/>
          <w:color w:val="auto"/>
          <w:sz w:val="24"/>
          <w:szCs w:val="22"/>
          <w:highlight w:val="none"/>
        </w:rPr>
        <w:t>图</w:t>
      </w:r>
      <w:r>
        <w:rPr>
          <w:rFonts w:hint="default" w:ascii="Times New Roman" w:hAnsi="Times New Roman" w:eastAsia="宋体" w:cs="Times New Roman"/>
          <w:b/>
          <w:bCs/>
          <w:color w:val="auto"/>
          <w:sz w:val="24"/>
          <w:szCs w:val="22"/>
          <w:highlight w:val="none"/>
          <w:lang w:val="en-US" w:eastAsia="zh-CN"/>
        </w:rPr>
        <w:t>1-3</w:t>
      </w:r>
      <w:r>
        <w:rPr>
          <w:rFonts w:hint="default" w:ascii="Times New Roman" w:hAnsi="Times New Roman" w:eastAsia="宋体" w:cs="Times New Roman"/>
          <w:b/>
          <w:bCs/>
          <w:color w:val="auto"/>
          <w:sz w:val="24"/>
          <w:szCs w:val="22"/>
          <w:highlight w:val="none"/>
        </w:rPr>
        <w:t>项目</w:t>
      </w:r>
      <w:r>
        <w:rPr>
          <w:rFonts w:hint="default" w:ascii="Times New Roman" w:hAnsi="Times New Roman" w:eastAsia="宋体" w:cs="Times New Roman"/>
          <w:b/>
          <w:bCs/>
          <w:color w:val="auto"/>
          <w:sz w:val="24"/>
          <w:szCs w:val="22"/>
          <w:highlight w:val="none"/>
          <w:lang w:eastAsia="zh-CN"/>
        </w:rPr>
        <w:t>地下水环境</w:t>
      </w:r>
      <w:r>
        <w:rPr>
          <w:rFonts w:hint="default" w:ascii="Times New Roman" w:hAnsi="Times New Roman" w:eastAsia="宋体" w:cs="Times New Roman"/>
          <w:b/>
          <w:bCs/>
          <w:color w:val="auto"/>
          <w:sz w:val="24"/>
          <w:szCs w:val="22"/>
          <w:highlight w:val="none"/>
        </w:rPr>
        <w:t>保护目标及评价范围图</w:t>
      </w:r>
    </w:p>
    <w:p>
      <w:pPr>
        <w:pageBreakBefore w:val="0"/>
        <w:wordWrap/>
        <w:bidi w:val="0"/>
        <w:spacing w:line="360" w:lineRule="auto"/>
        <w:ind w:left="0" w:leftChars="0" w:right="0" w:rightChars="0"/>
        <w:jc w:val="center"/>
        <w:rPr>
          <w:rFonts w:hint="default" w:ascii="Times New Roman" w:hAnsi="Times New Roman" w:eastAsia="宋体" w:cs="Times New Roman"/>
          <w:b/>
          <w:bCs/>
          <w:color w:val="auto"/>
          <w:sz w:val="24"/>
          <w:highlight w:val="none"/>
          <w:lang w:eastAsia="zh-CN"/>
        </w:rPr>
      </w:pP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678720" behindDoc="0" locked="0" layoutInCell="1" allowOverlap="1">
                <wp:simplePos x="0" y="0"/>
                <wp:positionH relativeFrom="column">
                  <wp:posOffset>2546350</wp:posOffset>
                </wp:positionH>
                <wp:positionV relativeFrom="paragraph">
                  <wp:posOffset>998220</wp:posOffset>
                </wp:positionV>
                <wp:extent cx="3392170" cy="2698750"/>
                <wp:effectExtent l="6985" t="6350" r="10795" b="19050"/>
                <wp:wrapNone/>
                <wp:docPr id="45" name="任意多边形 45"/>
                <wp:cNvGraphicFramePr/>
                <a:graphic xmlns:a="http://schemas.openxmlformats.org/drawingml/2006/main">
                  <a:graphicData uri="http://schemas.microsoft.com/office/word/2010/wordprocessingShape">
                    <wps:wsp>
                      <wps:cNvSpPr/>
                      <wps:spPr>
                        <a:xfrm>
                          <a:off x="3752215" y="2097405"/>
                          <a:ext cx="3392170" cy="2698750"/>
                        </a:xfrm>
                        <a:custGeom>
                          <a:avLst/>
                          <a:gdLst>
                            <a:gd name="connisteX0" fmla="*/ 1407795 w 3392170"/>
                            <a:gd name="connsiteY0" fmla="*/ 344170 h 2698750"/>
                            <a:gd name="connisteX1" fmla="*/ 212090 w 3392170"/>
                            <a:gd name="connsiteY1" fmla="*/ 1164590 h 2698750"/>
                            <a:gd name="connisteX2" fmla="*/ 0 w 3392170"/>
                            <a:gd name="connsiteY2" fmla="*/ 2000250 h 2698750"/>
                            <a:gd name="connisteX3" fmla="*/ 534670 w 3392170"/>
                            <a:gd name="connsiteY3" fmla="*/ 2603500 h 2698750"/>
                            <a:gd name="connisteX4" fmla="*/ 756920 w 3392170"/>
                            <a:gd name="connsiteY4" fmla="*/ 2540000 h 2698750"/>
                            <a:gd name="connisteX5" fmla="*/ 831215 w 3392170"/>
                            <a:gd name="connsiteY5" fmla="*/ 2698750 h 2698750"/>
                            <a:gd name="connisteX6" fmla="*/ 1206500 w 3392170"/>
                            <a:gd name="connsiteY6" fmla="*/ 2682875 h 2698750"/>
                            <a:gd name="connisteX7" fmla="*/ 1455420 w 3392170"/>
                            <a:gd name="connsiteY7" fmla="*/ 2413000 h 2698750"/>
                            <a:gd name="connisteX8" fmla="*/ 1963420 w 3392170"/>
                            <a:gd name="connsiteY8" fmla="*/ 2228215 h 2698750"/>
                            <a:gd name="connisteX9" fmla="*/ 3074670 w 3392170"/>
                            <a:gd name="connsiteY9" fmla="*/ 1497965 h 2698750"/>
                            <a:gd name="connisteX10" fmla="*/ 3175000 w 3392170"/>
                            <a:gd name="connsiteY10" fmla="*/ 841375 h 2698750"/>
                            <a:gd name="connisteX11" fmla="*/ 3392170 w 3392170"/>
                            <a:gd name="connsiteY11" fmla="*/ 407670 h 2698750"/>
                            <a:gd name="connisteX12" fmla="*/ 3101340 w 3392170"/>
                            <a:gd name="connsiteY12" fmla="*/ 0 h 2698750"/>
                            <a:gd name="connisteX13" fmla="*/ 2513965 w 3392170"/>
                            <a:gd name="connsiteY13" fmla="*/ 31750 h 2698750"/>
                            <a:gd name="connisteX14" fmla="*/ 2540000 w 3392170"/>
                            <a:gd name="connsiteY14" fmla="*/ 222250 h 2698750"/>
                            <a:gd name="connisteX15" fmla="*/ 2450465 w 3392170"/>
                            <a:gd name="connsiteY15" fmla="*/ 243840 h 2698750"/>
                            <a:gd name="connisteX16" fmla="*/ 2254250 w 3392170"/>
                            <a:gd name="connsiteY16" fmla="*/ 227965 h 2698750"/>
                            <a:gd name="connisteX17" fmla="*/ 1407795 w 3392170"/>
                            <a:gd name="connsiteY17" fmla="*/ 344170 h 269875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Lst>
                          <a:rect l="l" t="t" r="r" b="b"/>
                          <a:pathLst>
                            <a:path w="3392170" h="2698750">
                              <a:moveTo>
                                <a:pt x="1407795" y="344170"/>
                              </a:moveTo>
                              <a:lnTo>
                                <a:pt x="212090" y="1164590"/>
                              </a:lnTo>
                              <a:lnTo>
                                <a:pt x="0" y="2000250"/>
                              </a:lnTo>
                              <a:lnTo>
                                <a:pt x="534670" y="2603500"/>
                              </a:lnTo>
                              <a:lnTo>
                                <a:pt x="756920" y="2540000"/>
                              </a:lnTo>
                              <a:lnTo>
                                <a:pt x="831215" y="2698750"/>
                              </a:lnTo>
                              <a:lnTo>
                                <a:pt x="1206500" y="2682875"/>
                              </a:lnTo>
                              <a:lnTo>
                                <a:pt x="1455420" y="2413000"/>
                              </a:lnTo>
                              <a:lnTo>
                                <a:pt x="1963420" y="2228215"/>
                              </a:lnTo>
                              <a:lnTo>
                                <a:pt x="3074670" y="1497965"/>
                              </a:lnTo>
                              <a:lnTo>
                                <a:pt x="3175000" y="841375"/>
                              </a:lnTo>
                              <a:lnTo>
                                <a:pt x="3392170" y="407670"/>
                              </a:lnTo>
                              <a:lnTo>
                                <a:pt x="3101340" y="0"/>
                              </a:lnTo>
                              <a:lnTo>
                                <a:pt x="2513965" y="31750"/>
                              </a:lnTo>
                              <a:lnTo>
                                <a:pt x="2540000" y="222250"/>
                              </a:lnTo>
                              <a:lnTo>
                                <a:pt x="2450465" y="243840"/>
                              </a:lnTo>
                              <a:lnTo>
                                <a:pt x="2254250" y="227965"/>
                              </a:lnTo>
                              <a:lnTo>
                                <a:pt x="1407795" y="344170"/>
                              </a:lnTo>
                              <a:close/>
                            </a:path>
                          </a:pathLst>
                        </a:cu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200.5pt;margin-top:78.6pt;height:212.5pt;width:267.1pt;z-index:251678720;mso-width-relative:page;mso-height-relative:page;" filled="f" stroked="t" coordsize="3392170,2698750" o:gfxdata="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" path="m1407795,344170l212090,1164590,0,2000250,534670,2603500,756920,2540000,831215,2698750,1206500,2682875,1455420,2413000,1963420,2228215,3074670,1497965,3175000,841375,3392170,407670,3101340,0,2513965,31750,2540000,222250,2450465,243840,2254250,227965,1407795,344170xe">
                <v:path o:connectlocs="1407795,344170;212090,1164590;0,2000250;534670,2603500;756920,2540000;831215,2698750;1206500,2682875;1455420,2413000;1963420,2228215;3074670,1497965;3175000,841375;3392170,407670;3101340,0;2513965,31750;2540000,222250;2450465,243840;2254250,227965;1407795,344170" o:connectangles="0,0,0,0,0,0,0,0,0,0,0,0,0,0,0,0,0,0"/>
                <v:fill on="f" focussize="0,0"/>
                <v:stroke weight="1pt" color="#FFFF00 [3204]" miterlimit="8" joinstyle="miter"/>
                <v:imagedata o:title=""/>
                <o:lock v:ext="edit" aspectratio="f"/>
              </v:shape>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677696" behindDoc="0" locked="0" layoutInCell="1" allowOverlap="1">
                <wp:simplePos x="0" y="0"/>
                <wp:positionH relativeFrom="column">
                  <wp:posOffset>2832735</wp:posOffset>
                </wp:positionH>
                <wp:positionV relativeFrom="paragraph">
                  <wp:posOffset>1280160</wp:posOffset>
                </wp:positionV>
                <wp:extent cx="2814955" cy="2201545"/>
                <wp:effectExtent l="6985" t="6350" r="16510" b="20955"/>
                <wp:wrapNone/>
                <wp:docPr id="44" name="任意多边形 44"/>
                <wp:cNvGraphicFramePr/>
                <a:graphic xmlns:a="http://schemas.openxmlformats.org/drawingml/2006/main">
                  <a:graphicData uri="http://schemas.microsoft.com/office/word/2010/wordprocessingShape">
                    <wps:wsp>
                      <wps:cNvSpPr/>
                      <wps:spPr>
                        <a:xfrm>
                          <a:off x="4011930" y="2409825"/>
                          <a:ext cx="2814955" cy="2201545"/>
                        </a:xfrm>
                        <a:custGeom>
                          <a:avLst/>
                          <a:gdLst>
                            <a:gd name="connisteX0" fmla="*/ 1195705 w 2814955"/>
                            <a:gd name="connsiteY0" fmla="*/ 312420 h 2201545"/>
                            <a:gd name="connisteX1" fmla="*/ 132080 w 2814955"/>
                            <a:gd name="connsiteY1" fmla="*/ 1084580 h 2201545"/>
                            <a:gd name="connisteX2" fmla="*/ 0 w 2814955"/>
                            <a:gd name="connsiteY2" fmla="*/ 1656080 h 2201545"/>
                            <a:gd name="connisteX3" fmla="*/ 365125 w 2814955"/>
                            <a:gd name="connsiteY3" fmla="*/ 2084705 h 2201545"/>
                            <a:gd name="connisteX4" fmla="*/ 555625 w 2814955"/>
                            <a:gd name="connsiteY4" fmla="*/ 2047875 h 2201545"/>
                            <a:gd name="connisteX5" fmla="*/ 603250 w 2814955"/>
                            <a:gd name="connsiteY5" fmla="*/ 2190750 h 2201545"/>
                            <a:gd name="connisteX6" fmla="*/ 819785 w 2814955"/>
                            <a:gd name="connsiteY6" fmla="*/ 2201545 h 2201545"/>
                            <a:gd name="connisteX7" fmla="*/ 1063625 w 2814955"/>
                            <a:gd name="connsiteY7" fmla="*/ 1910080 h 2201545"/>
                            <a:gd name="connisteX8" fmla="*/ 1560830 w 2814955"/>
                            <a:gd name="connsiteY8" fmla="*/ 1757045 h 2201545"/>
                            <a:gd name="connisteX9" fmla="*/ 2587625 w 2814955"/>
                            <a:gd name="connsiteY9" fmla="*/ 1074420 h 2201545"/>
                            <a:gd name="connisteX10" fmla="*/ 2656205 w 2814955"/>
                            <a:gd name="connsiteY10" fmla="*/ 508000 h 2201545"/>
                            <a:gd name="connisteX11" fmla="*/ 2814955 w 2814955"/>
                            <a:gd name="connsiteY11" fmla="*/ 132080 h 2201545"/>
                            <a:gd name="connisteX12" fmla="*/ 2724785 w 2814955"/>
                            <a:gd name="connsiteY12" fmla="*/ 0 h 2201545"/>
                            <a:gd name="connisteX13" fmla="*/ 2444750 w 2814955"/>
                            <a:gd name="connsiteY13" fmla="*/ 0 h 2201545"/>
                            <a:gd name="connisteX14" fmla="*/ 2486660 w 2814955"/>
                            <a:gd name="connsiteY14" fmla="*/ 132080 h 2201545"/>
                            <a:gd name="connisteX15" fmla="*/ 2386330 w 2814955"/>
                            <a:gd name="connsiteY15" fmla="*/ 195580 h 2201545"/>
                            <a:gd name="connisteX16" fmla="*/ 2010410 w 2814955"/>
                            <a:gd name="connsiteY16" fmla="*/ 137795 h 2201545"/>
                            <a:gd name="connisteX17" fmla="*/ 1195705 w 2814955"/>
                            <a:gd name="connsiteY17" fmla="*/ 312420 h 220154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Lst>
                          <a:rect l="l" t="t" r="r" b="b"/>
                          <a:pathLst>
                            <a:path w="2814955" h="2201545">
                              <a:moveTo>
                                <a:pt x="1195705" y="312420"/>
                              </a:moveTo>
                              <a:lnTo>
                                <a:pt x="132080" y="1084580"/>
                              </a:lnTo>
                              <a:lnTo>
                                <a:pt x="0" y="1656080"/>
                              </a:lnTo>
                              <a:lnTo>
                                <a:pt x="365125" y="2084705"/>
                              </a:lnTo>
                              <a:lnTo>
                                <a:pt x="555625" y="2047875"/>
                              </a:lnTo>
                              <a:lnTo>
                                <a:pt x="603250" y="2190750"/>
                              </a:lnTo>
                              <a:lnTo>
                                <a:pt x="819785" y="2201545"/>
                              </a:lnTo>
                              <a:lnTo>
                                <a:pt x="1063625" y="1910080"/>
                              </a:lnTo>
                              <a:lnTo>
                                <a:pt x="1560830" y="1757045"/>
                              </a:lnTo>
                              <a:lnTo>
                                <a:pt x="2587625" y="1074420"/>
                              </a:lnTo>
                              <a:lnTo>
                                <a:pt x="2656205" y="508000"/>
                              </a:lnTo>
                              <a:lnTo>
                                <a:pt x="2814955" y="132080"/>
                              </a:lnTo>
                              <a:lnTo>
                                <a:pt x="2724785" y="0"/>
                              </a:lnTo>
                              <a:lnTo>
                                <a:pt x="2444750" y="0"/>
                              </a:lnTo>
                              <a:lnTo>
                                <a:pt x="2486660" y="132080"/>
                              </a:lnTo>
                              <a:lnTo>
                                <a:pt x="2386330" y="195580"/>
                              </a:lnTo>
                              <a:lnTo>
                                <a:pt x="2010410" y="137795"/>
                              </a:lnTo>
                              <a:lnTo>
                                <a:pt x="1195705" y="312420"/>
                              </a:lnTo>
                              <a:close/>
                            </a:path>
                          </a:pathLst>
                        </a:cu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223.05pt;margin-top:100.8pt;height:173.35pt;width:221.65pt;z-index:251677696;mso-width-relative:page;mso-height-relative:page;" filled="f" stroked="t" coordsize="2814955,2201545" o:gfxdata="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" path="m1195705,312420l132080,1084580,0,1656080,365125,2084705,555625,2047875,603250,2190750,819785,2201545,1063625,1910080,1560830,1757045,2587625,1074420,2656205,508000,2814955,132080,2724785,0,2444750,0,2486660,132080,2386330,195580,2010410,137795,1195705,312420xe">
                <v:path o:connectlocs="1195705,312420;132080,1084580;0,1656080;365125,2084705;555625,2047875;603250,2190750;819785,2201545;1063625,1910080;1560830,1757045;2587625,1074420;2656205,508000;2814955,132080;2724785,0;2444750,0;2486660,132080;2386330,195580;2010410,137795;1195705,312420" o:connectangles="0,0,0,0,0,0,0,0,0,0,0,0,0,0,0,0,0,0"/>
                <v:fill on="f" focussize="0,0"/>
                <v:stroke weight="1pt" color="#00B050 [3204]" miterlimit="8" joinstyle="miter"/>
                <v:imagedata o:title=""/>
                <o:lock v:ext="edit" aspectratio="f"/>
              </v:shape>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692032" behindDoc="0" locked="0" layoutInCell="1" allowOverlap="1">
                <wp:simplePos x="0" y="0"/>
                <wp:positionH relativeFrom="column">
                  <wp:posOffset>1518920</wp:posOffset>
                </wp:positionH>
                <wp:positionV relativeFrom="paragraph">
                  <wp:posOffset>4017645</wp:posOffset>
                </wp:positionV>
                <wp:extent cx="288290" cy="107950"/>
                <wp:effectExtent l="6350" t="6350" r="10160" b="19050"/>
                <wp:wrapNone/>
                <wp:docPr id="35" name="矩形 35"/>
                <wp:cNvGraphicFramePr/>
                <a:graphic xmlns:a="http://schemas.openxmlformats.org/drawingml/2006/main">
                  <a:graphicData uri="http://schemas.microsoft.com/office/word/2010/wordprocessingShape">
                    <wps:wsp>
                      <wps:cNvSpPr/>
                      <wps:spPr>
                        <a:xfrm>
                          <a:off x="0" y="0"/>
                          <a:ext cx="288290" cy="107950"/>
                        </a:xfrm>
                        <a:prstGeom prst="rect">
                          <a:avLst/>
                        </a:prstGeom>
                        <a:solidFill>
                          <a:srgbClr val="7030A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19.6pt;margin-top:316.35pt;height:8.5pt;width:22.7pt;z-index:251692032;v-text-anchor:middle;mso-width-relative:page;mso-height-relative:page;" fillcolor="#7030A0" filled="t" stroked="t" coordsize="21600,21600" o:gfxdata="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Ly5dzLaAAAACwEAAA8AAAAAAAAAAQAgAAAAIgAAAGRy&#10;cy9kb3ducmV2LnhtbFBLAQIUABQAAAAIAIdO4kCcWz+ndQIAAPUEAAAOAAAAAAAAAAEAIAAAACkB&#10;AABkcnMvZTJvRG9jLnhtbFBLBQYAAAAABgAGAFkBAAAQBgAAAAA=&#10;">
                <v:fill on="t" focussize="0,0"/>
                <v:stroke weight="1pt" color="#FF0000 [3204]" miterlimit="8" joinstyle="miter"/>
                <v:imagedata o:title=""/>
                <o:lock v:ext="edit" aspectratio="f"/>
              </v:rect>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676672" behindDoc="0" locked="0" layoutInCell="1" allowOverlap="1">
                <wp:simplePos x="0" y="0"/>
                <wp:positionH relativeFrom="column">
                  <wp:posOffset>2279015</wp:posOffset>
                </wp:positionH>
                <wp:positionV relativeFrom="paragraph">
                  <wp:posOffset>4671060</wp:posOffset>
                </wp:positionV>
                <wp:extent cx="288290" cy="107950"/>
                <wp:effectExtent l="6350" t="6350" r="10160" b="19050"/>
                <wp:wrapNone/>
                <wp:docPr id="89" name="矩形 89"/>
                <wp:cNvGraphicFramePr/>
                <a:graphic xmlns:a="http://schemas.openxmlformats.org/drawingml/2006/main">
                  <a:graphicData uri="http://schemas.microsoft.com/office/word/2010/wordprocessingShape">
                    <wps:wsp>
                      <wps:cNvSpPr/>
                      <wps:spPr>
                        <a:xfrm>
                          <a:off x="0" y="0"/>
                          <a:ext cx="288290" cy="107950"/>
                        </a:xfrm>
                        <a:prstGeom prst="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79.45pt;margin-top:367.8pt;height:8.5pt;width:22.7pt;z-index:251676672;v-text-anchor:middle;mso-width-relative:page;mso-height-relative:page;" filled="f" stroked="t" coordsize="21600,21600" o:gfxdata="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OHPks/bAAAACwEAAA8AAAAAAAAAAQAgAAAAIgAAAGRycy9kb3ducmV2Lnht&#10;bFBLAQIUABQAAAAIAIdO4kARBkAJaAIAAMwEAAAOAAAAAAAAAAEAIAAAACoBAABkcnMvZTJvRG9j&#10;LnhtbFBLBQYAAAAABgAGAFkBAAAEBgAAAAA=&#10;">
                <v:fill on="f" focussize="0,0"/>
                <v:stroke weight="1pt" color="#FFFF00 [3204]" miterlimit="8" joinstyle="miter"/>
                <v:imagedata o:title=""/>
                <o:lock v:ext="edit" aspectratio="f"/>
              </v:rect>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675648" behindDoc="0" locked="0" layoutInCell="1" allowOverlap="1">
                <wp:simplePos x="0" y="0"/>
                <wp:positionH relativeFrom="column">
                  <wp:posOffset>2454275</wp:posOffset>
                </wp:positionH>
                <wp:positionV relativeFrom="paragraph">
                  <wp:posOffset>4341495</wp:posOffset>
                </wp:positionV>
                <wp:extent cx="288290" cy="107950"/>
                <wp:effectExtent l="6350" t="6350" r="10160" b="19050"/>
                <wp:wrapNone/>
                <wp:docPr id="87" name="矩形 87"/>
                <wp:cNvGraphicFramePr/>
                <a:graphic xmlns:a="http://schemas.openxmlformats.org/drawingml/2006/main">
                  <a:graphicData uri="http://schemas.microsoft.com/office/word/2010/wordprocessingShape">
                    <wps:wsp>
                      <wps:cNvSpPr/>
                      <wps:spPr>
                        <a:xfrm>
                          <a:off x="0" y="0"/>
                          <a:ext cx="288290" cy="107950"/>
                        </a:xfrm>
                        <a:prstGeom prst="rect">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3.25pt;margin-top:341.85pt;height:8.5pt;width:22.7pt;z-index:251675648;v-text-anchor:middle;mso-width-relative:page;mso-height-relative:page;" filled="f" stroked="t" coordsize="21600,21600" o:gfxdata="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BvpT9jaAAAACwEAAA8AAAAAAAAAAQAgAAAAIgAAAGRycy9kb3ducmV2Lnht&#10;bFBLAQIUABQAAAAIAIdO4kDWEFpyaQIAAMwEAAAOAAAAAAAAAAEAIAAAACkBAABkcnMvZTJvRG9j&#10;LnhtbFBLBQYAAAAABgAGAFkBAAAEBgAAAAA=&#10;">
                <v:fill on="f" focussize="0,0"/>
                <v:stroke weight="1pt" color="#00B050 [3204]" miterlimit="8" joinstyle="miter"/>
                <v:imagedata o:title=""/>
                <o:lock v:ext="edit" aspectratio="f"/>
              </v:rect>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674624" behindDoc="0" locked="0" layoutInCell="1" allowOverlap="1">
                <wp:simplePos x="0" y="0"/>
                <wp:positionH relativeFrom="column">
                  <wp:posOffset>1075055</wp:posOffset>
                </wp:positionH>
                <wp:positionV relativeFrom="paragraph">
                  <wp:posOffset>3576320</wp:posOffset>
                </wp:positionV>
                <wp:extent cx="1806575" cy="1334135"/>
                <wp:effectExtent l="6350" t="6350" r="15875" b="12065"/>
                <wp:wrapNone/>
                <wp:docPr id="85" name="矩形 85"/>
                <wp:cNvGraphicFramePr/>
                <a:graphic xmlns:a="http://schemas.openxmlformats.org/drawingml/2006/main">
                  <a:graphicData uri="http://schemas.microsoft.com/office/word/2010/wordprocessingShape">
                    <wps:wsp>
                      <wps:cNvSpPr/>
                      <wps:spPr>
                        <a:xfrm>
                          <a:off x="0" y="0"/>
                          <a:ext cx="1806575" cy="1334135"/>
                        </a:xfrm>
                        <a:prstGeom prst="rect">
                          <a:avLst/>
                        </a:prstGeom>
                        <a:solidFill>
                          <a:schemeClr val="accent3">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keepNext w:val="0"/>
                              <w:keepLines w:val="0"/>
                              <w:pageBreakBefore w:val="0"/>
                              <w:widowControl w:val="0"/>
                              <w:kinsoku/>
                              <w:wordWrap/>
                              <w:overflowPunct/>
                              <w:topLinePunct/>
                              <w:autoSpaceDE w:val="0"/>
                              <w:autoSpaceDN/>
                              <w:bidi w:val="0"/>
                              <w:adjustRightInd/>
                              <w:snapToGrid/>
                              <w:spacing w:line="360" w:lineRule="auto"/>
                              <w:ind w:left="0" w:leftChars="0" w:firstLine="0" w:firstLineChars="0"/>
                              <w:jc w:val="center"/>
                              <w:textAlignment w:val="auto"/>
                              <w:rPr>
                                <w:rFonts w:hint="eastAsia"/>
                                <w:color w:val="000000" w:themeColor="text1"/>
                                <w:sz w:val="24"/>
                                <w:szCs w:val="2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4"/>
                                <w:szCs w:val="2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图例</w:t>
                            </w:r>
                          </w:p>
                          <w:p>
                            <w:pPr>
                              <w:pStyle w:val="27"/>
                              <w:keepNext w:val="0"/>
                              <w:keepLines w:val="0"/>
                              <w:pageBreakBefore w:val="0"/>
                              <w:widowControl w:val="0"/>
                              <w:kinsoku/>
                              <w:wordWrap/>
                              <w:overflowPunct/>
                              <w:topLinePunct/>
                              <w:autoSpaceDE w:val="0"/>
                              <w:autoSpaceDN/>
                              <w:bidi w:val="0"/>
                              <w:adjustRightInd/>
                              <w:snapToGrid/>
                              <w:spacing w:after="0" w:line="360" w:lineRule="auto"/>
                              <w:ind w:left="0" w:leftChars="0" w:firstLine="0" w:firstLineChars="0"/>
                              <w:jc w:val="left"/>
                              <w:textAlignment w:val="auto"/>
                              <w:rPr>
                                <w:rFonts w:hint="eastAsia"/>
                                <w:color w:val="000000" w:themeColor="text1"/>
                                <w:sz w:val="24"/>
                                <w:szCs w:val="2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4"/>
                                <w:szCs w:val="2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场区</w:t>
                            </w:r>
                          </w:p>
                          <w:p>
                            <w:pPr>
                              <w:keepNext w:val="0"/>
                              <w:keepLines w:val="0"/>
                              <w:pageBreakBefore w:val="0"/>
                              <w:widowControl w:val="0"/>
                              <w:kinsoku/>
                              <w:wordWrap/>
                              <w:overflowPunct/>
                              <w:topLinePunct/>
                              <w:autoSpaceDE w:val="0"/>
                              <w:autoSpaceDN/>
                              <w:bidi w:val="0"/>
                              <w:adjustRightInd/>
                              <w:snapToGrid/>
                              <w:spacing w:line="360" w:lineRule="auto"/>
                              <w:ind w:left="0" w:leftChars="0" w:firstLine="0" w:firstLineChars="0"/>
                              <w:jc w:val="left"/>
                              <w:textAlignment w:val="auto"/>
                              <w:rPr>
                                <w:rFonts w:hint="eastAsia"/>
                                <w:color w:val="000000" w:themeColor="text1"/>
                                <w:sz w:val="24"/>
                                <w:szCs w:val="2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4"/>
                                <w:szCs w:val="2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土壤环境评价范围</w:t>
                            </w:r>
                          </w:p>
                          <w:p>
                            <w:pPr>
                              <w:pStyle w:val="27"/>
                              <w:keepNext w:val="0"/>
                              <w:keepLines w:val="0"/>
                              <w:pageBreakBefore w:val="0"/>
                              <w:widowControl w:val="0"/>
                              <w:kinsoku/>
                              <w:wordWrap/>
                              <w:overflowPunct/>
                              <w:topLinePunct/>
                              <w:autoSpaceDE w:val="0"/>
                              <w:autoSpaceDN/>
                              <w:bidi w:val="0"/>
                              <w:adjustRightInd/>
                              <w:snapToGrid/>
                              <w:spacing w:after="0" w:line="360" w:lineRule="auto"/>
                              <w:ind w:left="0" w:leftChars="0" w:firstLine="0" w:firstLineChars="0"/>
                              <w:jc w:val="left"/>
                              <w:textAlignment w:val="auto"/>
                              <w:rPr>
                                <w:rFonts w:hint="eastAsia"/>
                                <w:color w:val="000000" w:themeColor="text1"/>
                                <w:sz w:val="24"/>
                                <w:szCs w:val="2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4"/>
                                <w:szCs w:val="2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声环境评价范围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4.65pt;margin-top:281.6pt;height:105.05pt;width:142.25pt;z-index:251674624;v-text-anchor:middle;mso-width-relative:page;mso-height-relative:page;" fillcolor="#DBDBDB [1302]" filled="t" stroked="t" coordsize="21600,21600" o:gfxdata="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">
                <v:fill on="t" focussize="0,0"/>
                <v:stroke weight="1pt" color="#000000 [3213]" miterlimit="8" joinstyle="miter"/>
                <v:imagedata o:title=""/>
                <o:lock v:ext="edit" aspectratio="f"/>
                <v:textbox>
                  <w:txbxContent>
                    <w:p>
                      <w:pPr>
                        <w:keepNext w:val="0"/>
                        <w:keepLines w:val="0"/>
                        <w:pageBreakBefore w:val="0"/>
                        <w:widowControl w:val="0"/>
                        <w:kinsoku/>
                        <w:wordWrap/>
                        <w:overflowPunct/>
                        <w:topLinePunct/>
                        <w:autoSpaceDE w:val="0"/>
                        <w:autoSpaceDN/>
                        <w:bidi w:val="0"/>
                        <w:adjustRightInd/>
                        <w:snapToGrid/>
                        <w:spacing w:line="360" w:lineRule="auto"/>
                        <w:ind w:left="0" w:leftChars="0" w:firstLine="0" w:firstLineChars="0"/>
                        <w:jc w:val="center"/>
                        <w:textAlignment w:val="auto"/>
                        <w:rPr>
                          <w:rFonts w:hint="eastAsia"/>
                          <w:color w:val="000000" w:themeColor="text1"/>
                          <w:sz w:val="24"/>
                          <w:szCs w:val="2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4"/>
                          <w:szCs w:val="2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图例</w:t>
                      </w:r>
                    </w:p>
                    <w:p>
                      <w:pPr>
                        <w:pStyle w:val="27"/>
                        <w:keepNext w:val="0"/>
                        <w:keepLines w:val="0"/>
                        <w:pageBreakBefore w:val="0"/>
                        <w:widowControl w:val="0"/>
                        <w:kinsoku/>
                        <w:wordWrap/>
                        <w:overflowPunct/>
                        <w:topLinePunct/>
                        <w:autoSpaceDE w:val="0"/>
                        <w:autoSpaceDN/>
                        <w:bidi w:val="0"/>
                        <w:adjustRightInd/>
                        <w:snapToGrid/>
                        <w:spacing w:after="0" w:line="360" w:lineRule="auto"/>
                        <w:ind w:left="0" w:leftChars="0" w:firstLine="0" w:firstLineChars="0"/>
                        <w:jc w:val="left"/>
                        <w:textAlignment w:val="auto"/>
                        <w:rPr>
                          <w:rFonts w:hint="eastAsia"/>
                          <w:color w:val="000000" w:themeColor="text1"/>
                          <w:sz w:val="24"/>
                          <w:szCs w:val="2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4"/>
                          <w:szCs w:val="2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场区</w:t>
                      </w:r>
                    </w:p>
                    <w:p>
                      <w:pPr>
                        <w:keepNext w:val="0"/>
                        <w:keepLines w:val="0"/>
                        <w:pageBreakBefore w:val="0"/>
                        <w:widowControl w:val="0"/>
                        <w:kinsoku/>
                        <w:wordWrap/>
                        <w:overflowPunct/>
                        <w:topLinePunct/>
                        <w:autoSpaceDE w:val="0"/>
                        <w:autoSpaceDN/>
                        <w:bidi w:val="0"/>
                        <w:adjustRightInd/>
                        <w:snapToGrid/>
                        <w:spacing w:line="360" w:lineRule="auto"/>
                        <w:ind w:left="0" w:leftChars="0" w:firstLine="0" w:firstLineChars="0"/>
                        <w:jc w:val="left"/>
                        <w:textAlignment w:val="auto"/>
                        <w:rPr>
                          <w:rFonts w:hint="eastAsia"/>
                          <w:color w:val="000000" w:themeColor="text1"/>
                          <w:sz w:val="24"/>
                          <w:szCs w:val="2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4"/>
                          <w:szCs w:val="2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土壤环境评价范围</w:t>
                      </w:r>
                    </w:p>
                    <w:p>
                      <w:pPr>
                        <w:pStyle w:val="27"/>
                        <w:keepNext w:val="0"/>
                        <w:keepLines w:val="0"/>
                        <w:pageBreakBefore w:val="0"/>
                        <w:widowControl w:val="0"/>
                        <w:kinsoku/>
                        <w:wordWrap/>
                        <w:overflowPunct/>
                        <w:topLinePunct/>
                        <w:autoSpaceDE w:val="0"/>
                        <w:autoSpaceDN/>
                        <w:bidi w:val="0"/>
                        <w:adjustRightInd/>
                        <w:snapToGrid/>
                        <w:spacing w:after="0" w:line="360" w:lineRule="auto"/>
                        <w:ind w:left="0" w:leftChars="0" w:firstLine="0" w:firstLineChars="0"/>
                        <w:jc w:val="left"/>
                        <w:textAlignment w:val="auto"/>
                        <w:rPr>
                          <w:rFonts w:hint="eastAsia"/>
                          <w:color w:val="000000" w:themeColor="text1"/>
                          <w:sz w:val="24"/>
                          <w:szCs w:val="2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4"/>
                          <w:szCs w:val="22"/>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声环境评价范围</w:t>
                      </w:r>
                    </w:p>
                  </w:txbxContent>
                </v:textbox>
              </v:rect>
            </w:pict>
          </mc:Fallback>
        </mc:AlternateContent>
      </w:r>
      <w:r>
        <w:rPr>
          <w:rFonts w:hint="default" w:ascii="Times New Roman" w:hAnsi="Times New Roman" w:eastAsia="宋体" w:cs="Times New Roman"/>
          <w:color w:val="auto"/>
          <w:highlight w:val="none"/>
        </w:rPr>
        <w:drawing>
          <wp:anchor distT="0" distB="0" distL="114300" distR="114300" simplePos="0" relativeHeight="251679744" behindDoc="0" locked="0" layoutInCell="1" allowOverlap="1">
            <wp:simplePos x="0" y="0"/>
            <wp:positionH relativeFrom="column">
              <wp:posOffset>7175500</wp:posOffset>
            </wp:positionH>
            <wp:positionV relativeFrom="paragraph">
              <wp:posOffset>12700</wp:posOffset>
            </wp:positionV>
            <wp:extent cx="588010" cy="647700"/>
            <wp:effectExtent l="0" t="0" r="2540" b="0"/>
            <wp:wrapNone/>
            <wp:docPr id="4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
                    <pic:cNvPicPr>
                      <a:picLocks noChangeAspect="1"/>
                    </pic:cNvPicPr>
                  </pic:nvPicPr>
                  <pic:blipFill>
                    <a:blip r:embed="rId25"/>
                    <a:stretch>
                      <a:fillRect/>
                    </a:stretch>
                  </pic:blipFill>
                  <pic:spPr>
                    <a:xfrm>
                      <a:off x="0" y="0"/>
                      <a:ext cx="588010" cy="647700"/>
                    </a:xfrm>
                    <a:prstGeom prst="rect">
                      <a:avLst/>
                    </a:prstGeom>
                    <a:noFill/>
                    <a:ln>
                      <a:noFill/>
                    </a:ln>
                  </pic:spPr>
                </pic:pic>
              </a:graphicData>
            </a:graphic>
          </wp:anchor>
        </w:drawing>
      </w:r>
      <w:r>
        <w:rPr>
          <w:rFonts w:hint="default" w:ascii="Times New Roman" w:hAnsi="Times New Roman" w:eastAsia="宋体" w:cs="Times New Roman"/>
          <w:b/>
          <w:bCs/>
          <w:color w:val="auto"/>
          <w:sz w:val="24"/>
          <w:highlight w:val="none"/>
          <w:lang w:eastAsia="zh-CN"/>
        </w:rPr>
        <w:drawing>
          <wp:inline distT="0" distB="0" distL="114300" distR="114300">
            <wp:extent cx="6697345" cy="4895850"/>
            <wp:effectExtent l="0" t="0" r="8255" b="0"/>
            <wp:docPr id="43" name="图片 43" descr="屏幕截图232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屏幕截图232111"/>
                    <pic:cNvPicPr>
                      <a:picLocks noChangeAspect="1"/>
                    </pic:cNvPicPr>
                  </pic:nvPicPr>
                  <pic:blipFill>
                    <a:blip r:embed="rId26"/>
                    <a:stretch>
                      <a:fillRect/>
                    </a:stretch>
                  </pic:blipFill>
                  <pic:spPr>
                    <a:xfrm>
                      <a:off x="0" y="0"/>
                      <a:ext cx="6697345" cy="4895850"/>
                    </a:xfrm>
                    <a:prstGeom prst="rect">
                      <a:avLst/>
                    </a:prstGeom>
                  </pic:spPr>
                </pic:pic>
              </a:graphicData>
            </a:graphic>
          </wp:inline>
        </w:drawing>
      </w:r>
    </w:p>
    <w:p>
      <w:pPr>
        <w:pageBreakBefore w:val="0"/>
        <w:wordWrap/>
        <w:bidi w:val="0"/>
        <w:ind w:left="0" w:leftChars="0" w:right="0" w:rightChars="0"/>
        <w:jc w:val="center"/>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w:t>图1-</w:t>
      </w:r>
      <w:r>
        <w:rPr>
          <w:rFonts w:hint="default" w:ascii="Times New Roman" w:hAnsi="Times New Roman" w:eastAsia="宋体" w:cs="Times New Roman"/>
          <w:b/>
          <w:color w:val="auto"/>
          <w:sz w:val="24"/>
          <w:highlight w:val="none"/>
          <w:lang w:val="en-US" w:eastAsia="zh-CN"/>
        </w:rPr>
        <w:t>4项目土壤环境和声环境保护目标及评价范围图</w:t>
      </w:r>
    </w:p>
    <w:p>
      <w:pPr>
        <w:pageBreakBefore w:val="0"/>
        <w:wordWrap/>
        <w:bidi w:val="0"/>
        <w:ind w:left="0" w:leftChars="0" w:right="0" w:rightChars="0"/>
        <w:jc w:val="center"/>
        <w:rPr>
          <w:rFonts w:hint="default" w:ascii="Times New Roman" w:hAnsi="Times New Roman" w:eastAsia="宋体" w:cs="Times New Roman"/>
          <w:b/>
          <w:color w:val="auto"/>
          <w:sz w:val="24"/>
          <w:highlight w:val="none"/>
        </w:rPr>
      </w:pPr>
    </w:p>
    <w:p>
      <w:pPr>
        <w:pageBreakBefore w:val="0"/>
        <w:wordWrap/>
        <w:bidi w:val="0"/>
        <w:ind w:left="0" w:leftChars="0" w:right="0" w:rightChars="0"/>
        <w:jc w:val="center"/>
        <w:rPr>
          <w:rFonts w:hint="default" w:ascii="Times New Roman" w:hAnsi="Times New Roman" w:eastAsia="宋体" w:cs="Times New Roman"/>
          <w:b/>
          <w:color w:val="auto"/>
          <w:sz w:val="24"/>
          <w:highlight w:val="none"/>
        </w:rPr>
      </w:pPr>
    </w:p>
    <w:p>
      <w:pPr>
        <w:pageBreakBefore w:val="0"/>
        <w:wordWrap/>
        <w:bidi w:val="0"/>
        <w:ind w:left="0" w:leftChars="0" w:right="0" w:rightChars="0"/>
        <w:jc w:val="center"/>
        <w:rPr>
          <w:rFonts w:hint="default" w:ascii="Times New Roman" w:hAnsi="Times New Roman" w:eastAsia="宋体" w:cs="Times New Roman"/>
          <w:b/>
          <w:color w:val="auto"/>
          <w:sz w:val="24"/>
          <w:highlight w:val="none"/>
        </w:rPr>
      </w:pPr>
    </w:p>
    <w:p>
      <w:pPr>
        <w:pageBreakBefore w:val="0"/>
        <w:wordWrap/>
        <w:bidi w:val="0"/>
        <w:ind w:left="0" w:leftChars="0" w:right="0" w:rightChars="0"/>
        <w:jc w:val="center"/>
        <w:rPr>
          <w:rFonts w:hint="default" w:ascii="Times New Roman" w:hAnsi="Times New Roman" w:eastAsia="宋体" w:cs="Times New Roman"/>
          <w:b/>
          <w:color w:val="auto"/>
          <w:sz w:val="24"/>
          <w:highlight w:val="none"/>
          <w:lang w:eastAsia="zh-CN"/>
        </w:rPr>
      </w:pPr>
      <w:r>
        <w:rPr>
          <w:rFonts w:hint="default" w:ascii="Times New Roman" w:hAnsi="Times New Roman" w:eastAsia="宋体" w:cs="Times New Roman"/>
          <w:color w:val="auto"/>
          <w:highlight w:val="none"/>
        </w:rPr>
        <mc:AlternateContent>
          <mc:Choice Requires="wps">
            <w:drawing>
              <wp:anchor distT="0" distB="0" distL="114300" distR="114300" simplePos="0" relativeHeight="251743232" behindDoc="0" locked="0" layoutInCell="1" allowOverlap="1">
                <wp:simplePos x="0" y="0"/>
                <wp:positionH relativeFrom="column">
                  <wp:posOffset>3171825</wp:posOffset>
                </wp:positionH>
                <wp:positionV relativeFrom="paragraph">
                  <wp:posOffset>584200</wp:posOffset>
                </wp:positionV>
                <wp:extent cx="1149985" cy="301625"/>
                <wp:effectExtent l="4445" t="4445" r="7620" b="341630"/>
                <wp:wrapNone/>
                <wp:docPr id="3" name="自选图形 353"/>
                <wp:cNvGraphicFramePr/>
                <a:graphic xmlns:a="http://schemas.openxmlformats.org/drawingml/2006/main">
                  <a:graphicData uri="http://schemas.microsoft.com/office/word/2010/wordprocessingShape">
                    <wps:wsp>
                      <wps:cNvSpPr/>
                      <wps:spPr>
                        <a:xfrm>
                          <a:off x="0" y="0"/>
                          <a:ext cx="1149985" cy="301625"/>
                        </a:xfrm>
                        <a:prstGeom prst="wedgeRectCallout">
                          <a:avLst>
                            <a:gd name="adj1" fmla="val 14108"/>
                            <a:gd name="adj2" fmla="val 156105"/>
                          </a:avLst>
                        </a:prstGeom>
                        <a:noFill/>
                        <a:ln w="9525" cap="flat" cmpd="sng">
                          <a:solidFill>
                            <a:srgbClr val="000000"/>
                          </a:solidFill>
                          <a:prstDash val="solid"/>
                          <a:miter/>
                          <a:headEnd type="none" w="med" len="med"/>
                          <a:tailEnd type="none" w="med" len="med"/>
                        </a:ln>
                      </wps:spPr>
                      <wps:txbx>
                        <w:txbxContent>
                          <w:p>
                            <w:pPr>
                              <w:spacing w:line="240" w:lineRule="auto"/>
                              <w:ind w:firstLine="0" w:firstLineChars="0"/>
                              <w:jc w:val="center"/>
                              <w:rPr>
                                <w:rFonts w:hint="eastAsia" w:eastAsia="宋体"/>
                                <w:b/>
                                <w:bCs/>
                                <w:color w:val="0000FF"/>
                                <w:sz w:val="28"/>
                                <w:szCs w:val="36"/>
                                <w:lang w:val="en-US" w:eastAsia="zh-CN"/>
                              </w:rPr>
                            </w:pPr>
                            <w:r>
                              <w:rPr>
                                <w:rFonts w:hint="eastAsia"/>
                                <w:b/>
                                <w:bCs/>
                                <w:color w:val="0000FF"/>
                                <w:sz w:val="28"/>
                                <w:szCs w:val="36"/>
                              </w:rPr>
                              <w:t>本项目</w:t>
                            </w:r>
                            <w:r>
                              <w:rPr>
                                <w:rFonts w:hint="eastAsia"/>
                                <w:b/>
                                <w:bCs/>
                                <w:color w:val="0000FF"/>
                                <w:sz w:val="28"/>
                                <w:szCs w:val="36"/>
                                <w:lang w:val="en-US" w:eastAsia="zh-CN"/>
                              </w:rPr>
                              <w:t>位置</w:t>
                            </w:r>
                          </w:p>
                        </w:txbxContent>
                      </wps:txbx>
                      <wps:bodyPr upright="1"/>
                    </wps:wsp>
                  </a:graphicData>
                </a:graphic>
              </wp:anchor>
            </w:drawing>
          </mc:Choice>
          <mc:Fallback>
            <w:pict>
              <v:shape id="自选图形 353" o:spid="_x0000_s1026" o:spt="61" type="#_x0000_t61" style="position:absolute;left:0pt;margin-left:249.75pt;margin-top:46pt;height:23.75pt;width:90.55pt;z-index:251743232;mso-width-relative:page;mso-height-relative:page;" filled="f" stroked="t" coordsize="21600,21600" o:gfxdata="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gUIXXtkAAAAKAQAADwAAAAAAAAABACAAAAAiAAAAZHJzL2Rvd25y&#10;ZXYueG1sUEsBAhQAFAAAAAgAh07iQEoDhgQ2AgAAZgQAAA4AAAAAAAAAAQAgAAAAKAEAAGRycy9l&#10;Mm9Eb2MueG1sUEsFBgAAAAAGAAYAWQEAANAFAAAAAA==&#10;" adj="13847,44519">
                <v:fill on="f" focussize="0,0"/>
                <v:stroke color="#000000" joinstyle="miter"/>
                <v:imagedata o:title=""/>
                <o:lock v:ext="edit" aspectratio="f"/>
                <v:textbox>
                  <w:txbxContent>
                    <w:p>
                      <w:pPr>
                        <w:spacing w:line="240" w:lineRule="auto"/>
                        <w:ind w:firstLine="0" w:firstLineChars="0"/>
                        <w:jc w:val="center"/>
                        <w:rPr>
                          <w:rFonts w:hint="eastAsia" w:eastAsia="宋体"/>
                          <w:b/>
                          <w:bCs/>
                          <w:color w:val="0000FF"/>
                          <w:sz w:val="28"/>
                          <w:szCs w:val="36"/>
                          <w:lang w:val="en-US" w:eastAsia="zh-CN"/>
                        </w:rPr>
                      </w:pPr>
                      <w:r>
                        <w:rPr>
                          <w:rFonts w:hint="eastAsia"/>
                          <w:b/>
                          <w:bCs/>
                          <w:color w:val="0000FF"/>
                          <w:sz w:val="28"/>
                          <w:szCs w:val="36"/>
                        </w:rPr>
                        <w:t>本项目</w:t>
                      </w:r>
                      <w:r>
                        <w:rPr>
                          <w:rFonts w:hint="eastAsia"/>
                          <w:b/>
                          <w:bCs/>
                          <w:color w:val="0000FF"/>
                          <w:sz w:val="28"/>
                          <w:szCs w:val="36"/>
                          <w:lang w:val="en-US" w:eastAsia="zh-CN"/>
                        </w:rPr>
                        <w:t>位置</w:t>
                      </w:r>
                    </w:p>
                  </w:txbxContent>
                </v:textbox>
              </v:shape>
            </w:pict>
          </mc:Fallback>
        </mc:AlternateContent>
      </w:r>
      <w:r>
        <w:rPr>
          <w:rFonts w:hint="default" w:ascii="Times New Roman" w:hAnsi="Times New Roman" w:eastAsia="宋体" w:cs="Times New Roman"/>
          <w:color w:val="auto"/>
          <w:sz w:val="24"/>
        </w:rPr>
        <mc:AlternateContent>
          <mc:Choice Requires="wps">
            <w:drawing>
              <wp:anchor distT="0" distB="0" distL="114300" distR="114300" simplePos="0" relativeHeight="251742208" behindDoc="0" locked="0" layoutInCell="1" allowOverlap="1">
                <wp:simplePos x="0" y="0"/>
                <wp:positionH relativeFrom="column">
                  <wp:posOffset>3832860</wp:posOffset>
                </wp:positionH>
                <wp:positionV relativeFrom="paragraph">
                  <wp:posOffset>1197610</wp:posOffset>
                </wp:positionV>
                <wp:extent cx="144145" cy="144145"/>
                <wp:effectExtent l="6350" t="6350" r="20955" b="20955"/>
                <wp:wrapNone/>
                <wp:docPr id="2" name="椭圆 2"/>
                <wp:cNvGraphicFramePr/>
                <a:graphic xmlns:a="http://schemas.openxmlformats.org/drawingml/2006/main">
                  <a:graphicData uri="http://schemas.microsoft.com/office/word/2010/wordprocessingShape">
                    <wps:wsp>
                      <wps:cNvSpPr/>
                      <wps:spPr>
                        <a:xfrm>
                          <a:off x="1197610" y="1096010"/>
                          <a:ext cx="144145" cy="144145"/>
                        </a:xfrm>
                        <a:prstGeom prst="ellipse">
                          <a:avLst/>
                        </a:prstGeom>
                        <a:solidFill>
                          <a:srgbClr val="00B0F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01.8pt;margin-top:94.3pt;height:11.35pt;width:11.35pt;z-index:251742208;v-text-anchor:middle;mso-width-relative:page;mso-height-relative:page;" fillcolor="#00B0F0" filled="t" stroked="t" coordsize="21600,21600" o:gfxdata="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p9jyrdcAAAALAQAADwAAAAAAAAABACAAAAAiAAAA&#10;ZHJzL2Rvd25yZXYueG1sUEsBAhQAFAAAAAgAh07iQAwrYs56AgAAAgUAAA4AAAAAAAAAAQAgAAAA&#10;JgEAAGRycy9lMm9Eb2MueG1sUEsFBgAAAAAGAAYAWQEAABIGAAAAAA==&#10;">
                <v:fill on="t" focussize="0,0"/>
                <v:stroke weight="1pt" color="#000000 [3213]" miterlimit="8" joinstyle="miter"/>
                <v:imagedata o:title=""/>
                <o:lock v:ext="edit" aspectratio="f"/>
              </v:shape>
            </w:pict>
          </mc:Fallback>
        </mc:AlternateContent>
      </w:r>
      <w:r>
        <w:rPr>
          <w:rFonts w:hint="default" w:ascii="Times New Roman" w:hAnsi="Times New Roman" w:eastAsia="宋体" w:cs="Times New Roman"/>
          <w:b/>
          <w:color w:val="auto"/>
          <w:sz w:val="24"/>
          <w:highlight w:val="none"/>
          <w:lang w:eastAsia="zh-CN"/>
        </w:rPr>
        <w:drawing>
          <wp:inline distT="0" distB="0" distL="114300" distR="114300">
            <wp:extent cx="6323965" cy="4895850"/>
            <wp:effectExtent l="0" t="0" r="635" b="0"/>
            <wp:docPr id="1" name="图片 1" descr="64511722d8f079d07e044645ae7c2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64511722d8f079d07e044645ae7c2bb"/>
                    <pic:cNvPicPr>
                      <a:picLocks noChangeAspect="1"/>
                    </pic:cNvPicPr>
                  </pic:nvPicPr>
                  <pic:blipFill>
                    <a:blip r:embed="rId27"/>
                    <a:srcRect l="51832" t="45500"/>
                    <a:stretch>
                      <a:fillRect/>
                    </a:stretch>
                  </pic:blipFill>
                  <pic:spPr>
                    <a:xfrm>
                      <a:off x="0" y="0"/>
                      <a:ext cx="6323965" cy="4895850"/>
                    </a:xfrm>
                    <a:prstGeom prst="rect">
                      <a:avLst/>
                    </a:prstGeom>
                  </pic:spPr>
                </pic:pic>
              </a:graphicData>
            </a:graphic>
          </wp:inline>
        </w:drawing>
      </w:r>
    </w:p>
    <w:p>
      <w:pPr>
        <w:pageBreakBefore w:val="0"/>
        <w:wordWrap/>
        <w:bidi w:val="0"/>
        <w:ind w:left="0" w:leftChars="0" w:right="0" w:rightChars="0"/>
        <w:jc w:val="center"/>
        <w:rPr>
          <w:rFonts w:hint="default" w:ascii="Times New Roman" w:hAnsi="Times New Roman" w:eastAsia="宋体" w:cs="Times New Roman"/>
          <w:b/>
          <w:color w:val="auto"/>
          <w:sz w:val="24"/>
          <w:highlight w:val="none"/>
        </w:rPr>
      </w:pPr>
    </w:p>
    <w:p>
      <w:pPr>
        <w:pageBreakBefore w:val="0"/>
        <w:wordWrap/>
        <w:bidi w:val="0"/>
        <w:ind w:left="0" w:leftChars="0" w:right="0" w:rightChars="0"/>
        <w:jc w:val="center"/>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w:t>图1-</w:t>
      </w:r>
      <w:r>
        <w:rPr>
          <w:rFonts w:hint="default" w:ascii="Times New Roman" w:hAnsi="Times New Roman" w:eastAsia="宋体" w:cs="Times New Roman"/>
          <w:b/>
          <w:color w:val="auto"/>
          <w:sz w:val="24"/>
          <w:highlight w:val="none"/>
          <w:lang w:val="en-US" w:eastAsia="zh-CN"/>
        </w:rPr>
        <w:t>5本项目与乌拉山自然保护区相对位置关系图</w:t>
      </w:r>
    </w:p>
    <w:p>
      <w:pPr>
        <w:pageBreakBefore w:val="0"/>
        <w:wordWrap/>
        <w:bidi w:val="0"/>
        <w:ind w:left="0" w:leftChars="0" w:right="0" w:rightChars="0"/>
        <w:jc w:val="center"/>
        <w:rPr>
          <w:rFonts w:hint="default" w:ascii="Times New Roman" w:hAnsi="Times New Roman" w:eastAsia="宋体" w:cs="Times New Roman"/>
          <w:b/>
          <w:color w:val="auto"/>
          <w:sz w:val="24"/>
          <w:highlight w:val="none"/>
          <w:lang w:eastAsia="zh-CN"/>
        </w:rPr>
      </w:pPr>
      <w:r>
        <w:rPr>
          <w:rFonts w:hint="default" w:ascii="Times New Roman" w:hAnsi="Times New Roman" w:eastAsia="宋体" w:cs="Times New Roman"/>
          <w:b/>
          <w:color w:val="auto"/>
          <w:sz w:val="24"/>
          <w:highlight w:val="none"/>
          <w:lang w:eastAsia="zh-CN"/>
        </w:rPr>
        <w:drawing>
          <wp:inline distT="0" distB="0" distL="114300" distR="114300">
            <wp:extent cx="6922770" cy="4895850"/>
            <wp:effectExtent l="0" t="0" r="11430" b="0"/>
            <wp:docPr id="41" name="图片 41" descr="遥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遥感"/>
                    <pic:cNvPicPr>
                      <a:picLocks noChangeAspect="1"/>
                    </pic:cNvPicPr>
                  </pic:nvPicPr>
                  <pic:blipFill>
                    <a:blip r:embed="rId28"/>
                    <a:stretch>
                      <a:fillRect/>
                    </a:stretch>
                  </pic:blipFill>
                  <pic:spPr>
                    <a:xfrm>
                      <a:off x="0" y="0"/>
                      <a:ext cx="6922770" cy="4895850"/>
                    </a:xfrm>
                    <a:prstGeom prst="rect">
                      <a:avLst/>
                    </a:prstGeom>
                  </pic:spPr>
                </pic:pic>
              </a:graphicData>
            </a:graphic>
          </wp:inline>
        </w:drawing>
      </w:r>
    </w:p>
    <w:p>
      <w:pPr>
        <w:pageBreakBefore w:val="0"/>
        <w:wordWrap/>
        <w:bidi w:val="0"/>
        <w:ind w:left="0" w:leftChars="0" w:right="0" w:rightChars="0"/>
        <w:jc w:val="center"/>
        <w:rPr>
          <w:rFonts w:hint="default" w:ascii="Times New Roman" w:hAnsi="Times New Roman" w:eastAsia="宋体" w:cs="Times New Roman"/>
          <w:b/>
          <w:color w:val="auto"/>
          <w:sz w:val="24"/>
          <w:highlight w:val="none"/>
          <w:lang w:val="en-US" w:eastAsia="zh-CN"/>
        </w:rPr>
      </w:pPr>
      <w:r>
        <w:rPr>
          <w:rFonts w:hint="default" w:ascii="Times New Roman" w:hAnsi="Times New Roman" w:eastAsia="宋体" w:cs="Times New Roman"/>
          <w:b/>
          <w:color w:val="auto"/>
          <w:sz w:val="24"/>
          <w:highlight w:val="none"/>
        </w:rPr>
        <w:t>图1-</w:t>
      </w:r>
      <w:r>
        <w:rPr>
          <w:rFonts w:hint="default" w:ascii="Times New Roman" w:hAnsi="Times New Roman" w:eastAsia="宋体" w:cs="Times New Roman"/>
          <w:b/>
          <w:color w:val="auto"/>
          <w:sz w:val="24"/>
          <w:highlight w:val="none"/>
          <w:lang w:val="en-US" w:eastAsia="zh-CN"/>
        </w:rPr>
        <w:t>6项目遥感影像图</w:t>
      </w:r>
    </w:p>
    <w:p>
      <w:pPr>
        <w:pStyle w:val="23"/>
        <w:rPr>
          <w:rFonts w:hint="default" w:ascii="Times New Roman" w:hAnsi="Times New Roman" w:eastAsia="宋体" w:cs="Times New Roman"/>
          <w:color w:val="auto"/>
        </w:rPr>
      </w:pPr>
    </w:p>
    <w:p>
      <w:pPr>
        <w:pageBreakBefore w:val="0"/>
        <w:wordWrap/>
        <w:bidi w:val="0"/>
        <w:ind w:left="0" w:leftChars="0" w:right="0" w:rightChars="0"/>
        <w:rPr>
          <w:rFonts w:hint="default" w:ascii="Times New Roman" w:hAnsi="Times New Roman" w:eastAsia="宋体" w:cs="Times New Roman"/>
          <w:color w:val="auto"/>
          <w:sz w:val="24"/>
          <w:highlight w:val="none"/>
        </w:rPr>
        <w:sectPr>
          <w:pgSz w:w="16838" w:h="11906" w:orient="landscape"/>
          <w:pgMar w:top="1440" w:right="1800" w:bottom="1440" w:left="1800" w:header="851" w:footer="851" w:gutter="0"/>
          <w:pgNumType w:fmt="decimal"/>
          <w:cols w:space="720" w:num="1"/>
          <w:docGrid w:linePitch="312" w:charSpace="0"/>
        </w:sectPr>
      </w:pPr>
    </w:p>
    <w:p>
      <w:pPr>
        <w:pStyle w:val="3"/>
        <w:pageBreakBefore w:val="0"/>
        <w:numPr>
          <w:ilvl w:val="0"/>
          <w:numId w:val="0"/>
        </w:numPr>
        <w:wordWrap/>
        <w:bidi w:val="0"/>
        <w:ind w:left="0" w:leftChars="0" w:right="0" w:rightChars="0" w:firstLine="0" w:firstLineChars="0"/>
        <w:outlineLvl w:val="2"/>
        <w:rPr>
          <w:rFonts w:hint="default" w:ascii="Times New Roman" w:hAnsi="Times New Roman" w:eastAsia="宋体" w:cs="Times New Roman"/>
          <w:b/>
          <w:bCs w:val="0"/>
          <w:color w:val="auto"/>
          <w:sz w:val="32"/>
          <w:szCs w:val="32"/>
          <w:highlight w:val="none"/>
        </w:rPr>
      </w:pPr>
      <w:bookmarkStart w:id="278" w:name="_Toc20884"/>
      <w:bookmarkStart w:id="279" w:name="_Toc30070"/>
      <w:bookmarkStart w:id="280" w:name="_Toc288306165"/>
      <w:bookmarkStart w:id="281" w:name="_Toc237963234"/>
      <w:bookmarkStart w:id="282" w:name="_Toc98215351"/>
      <w:bookmarkStart w:id="283" w:name="_Toc227651213"/>
      <w:bookmarkStart w:id="284" w:name="_Toc102185525"/>
      <w:bookmarkStart w:id="285" w:name="_Toc121847873"/>
      <w:bookmarkStart w:id="286" w:name="_Toc100334357"/>
      <w:bookmarkStart w:id="287" w:name="_Toc166964806"/>
      <w:bookmarkStart w:id="288" w:name="_Toc243904673"/>
      <w:r>
        <w:rPr>
          <w:rFonts w:hint="default" w:ascii="Times New Roman" w:hAnsi="Times New Roman" w:eastAsia="宋体" w:cs="Times New Roman"/>
          <w:b/>
          <w:bCs w:val="0"/>
          <w:i w:val="0"/>
          <w:color w:val="auto"/>
          <w:kern w:val="44"/>
          <w:sz w:val="32"/>
          <w:szCs w:val="32"/>
          <w:highlight w:val="none"/>
          <w:lang w:val="en-US" w:eastAsia="zh-CN" w:bidi="ar-SA"/>
        </w:rPr>
        <w:t>2工程</w:t>
      </w:r>
      <w:r>
        <w:rPr>
          <w:rFonts w:hint="default" w:ascii="Times New Roman" w:hAnsi="Times New Roman" w:eastAsia="宋体" w:cs="Times New Roman"/>
          <w:b/>
          <w:bCs w:val="0"/>
          <w:color w:val="auto"/>
          <w:sz w:val="32"/>
          <w:szCs w:val="32"/>
          <w:highlight w:val="none"/>
        </w:rPr>
        <w:t>概况</w:t>
      </w:r>
      <w:bookmarkEnd w:id="278"/>
      <w:bookmarkEnd w:id="279"/>
      <w:bookmarkEnd w:id="280"/>
    </w:p>
    <w:p>
      <w:pPr>
        <w:pStyle w:val="4"/>
        <w:pageBreakBefore w:val="0"/>
        <w:numPr>
          <w:ilvl w:val="1"/>
          <w:numId w:val="0"/>
        </w:numPr>
        <w:wordWrap/>
        <w:bidi w:val="0"/>
        <w:ind w:left="0" w:leftChars="0" w:right="0" w:rightChars="0" w:firstLine="0" w:firstLineChars="0"/>
        <w:rPr>
          <w:rFonts w:hint="default" w:ascii="Times New Roman" w:hAnsi="Times New Roman" w:eastAsia="宋体" w:cs="Times New Roman"/>
          <w:b/>
          <w:bCs w:val="0"/>
          <w:color w:val="auto"/>
          <w:highlight w:val="none"/>
        </w:rPr>
      </w:pPr>
      <w:bookmarkStart w:id="289" w:name="_Toc8810"/>
      <w:bookmarkStart w:id="290" w:name="_Toc16664"/>
      <w:r>
        <w:rPr>
          <w:rFonts w:hint="default" w:ascii="Times New Roman" w:hAnsi="Times New Roman" w:eastAsia="宋体" w:cs="Times New Roman"/>
          <w:b/>
          <w:bCs w:val="0"/>
          <w:i w:val="0"/>
          <w:color w:val="auto"/>
          <w:kern w:val="2"/>
          <w:sz w:val="28"/>
          <w:szCs w:val="28"/>
          <w:highlight w:val="none"/>
          <w:lang w:val="en-US" w:eastAsia="zh-CN" w:bidi="ar-SA"/>
        </w:rPr>
        <w:t>2.1</w:t>
      </w:r>
      <w:r>
        <w:rPr>
          <w:rFonts w:hint="default" w:ascii="Times New Roman" w:hAnsi="Times New Roman" w:eastAsia="宋体" w:cs="Times New Roman"/>
          <w:b/>
          <w:bCs w:val="0"/>
          <w:color w:val="auto"/>
          <w:highlight w:val="none"/>
        </w:rPr>
        <w:t>公司概况</w:t>
      </w:r>
      <w:bookmarkEnd w:id="289"/>
      <w:bookmarkEnd w:id="290"/>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乌拉特前旗西沙德盖钼业有限责任公司（以下简称西沙德盖钼业公司</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于2006年9月注册登记</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注册资金27800万元</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注册号</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152824000006921</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企业性质为有限责任公司</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该公司主要从事钼矿采选、钼矿产品销售等。</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2004年</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巴彦淖尔市环境科学研究所编制完成了《内蒙古乌拉特前旗西沙德盖矿区60万吨/年钼矿采选项目环境影响报告书》。同年</w:t>
      </w:r>
      <w:r>
        <w:rPr>
          <w:rFonts w:hint="default" w:ascii="Times New Roman" w:hAnsi="Times New Roman" w:eastAsia="宋体" w:cs="Times New Roman"/>
          <w:color w:val="auto"/>
          <w:sz w:val="24"/>
          <w:highlight w:val="none"/>
          <w:lang w:eastAsia="zh-CN"/>
        </w:rPr>
        <w:t>，原</w:t>
      </w:r>
      <w:r>
        <w:rPr>
          <w:rFonts w:hint="default" w:ascii="Times New Roman" w:hAnsi="Times New Roman" w:eastAsia="宋体" w:cs="Times New Roman"/>
          <w:color w:val="auto"/>
          <w:sz w:val="24"/>
          <w:highlight w:val="none"/>
        </w:rPr>
        <w:t>巴彦淖尔市环境保护局</w:t>
      </w:r>
      <w:r>
        <w:rPr>
          <w:rFonts w:hint="default" w:ascii="Times New Roman" w:hAnsi="Times New Roman" w:eastAsia="宋体" w:cs="Times New Roman"/>
          <w:color w:val="auto"/>
          <w:sz w:val="24"/>
          <w:highlight w:val="none"/>
          <w:lang w:eastAsia="zh-CN"/>
        </w:rPr>
        <w:t>出具了《关于对〈</w:t>
      </w:r>
      <w:r>
        <w:rPr>
          <w:rFonts w:hint="default" w:ascii="Times New Roman" w:hAnsi="Times New Roman" w:eastAsia="宋体" w:cs="Times New Roman"/>
          <w:color w:val="auto"/>
          <w:sz w:val="24"/>
          <w:highlight w:val="none"/>
          <w:lang w:val="en-US" w:eastAsia="zh-CN"/>
        </w:rPr>
        <w:t>内蒙古乌拉特前旗</w:t>
      </w:r>
      <w:r>
        <w:rPr>
          <w:rFonts w:hint="default" w:ascii="Times New Roman" w:hAnsi="Times New Roman" w:eastAsia="宋体" w:cs="Times New Roman"/>
          <w:color w:val="auto"/>
          <w:sz w:val="24"/>
          <w:highlight w:val="none"/>
          <w:lang w:eastAsia="zh-CN"/>
        </w:rPr>
        <w:t>西沙德盖</w:t>
      </w:r>
      <w:r>
        <w:rPr>
          <w:rFonts w:hint="default" w:ascii="Times New Roman" w:hAnsi="Times New Roman" w:eastAsia="宋体" w:cs="Times New Roman"/>
          <w:color w:val="auto"/>
          <w:sz w:val="24"/>
          <w:highlight w:val="none"/>
        </w:rPr>
        <w:t>矿区60万吨/年钼矿采选项目环境影响报告书</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的批复</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（巴环发〔2004〕27号</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eastAsia="zh-CN"/>
        </w:rPr>
        <w:t>该钼矿</w:t>
      </w:r>
      <w:r>
        <w:rPr>
          <w:rFonts w:hint="default" w:ascii="Times New Roman" w:hAnsi="Times New Roman" w:eastAsia="宋体" w:cs="Times New Roman"/>
          <w:color w:val="auto"/>
          <w:sz w:val="24"/>
          <w:highlight w:val="none"/>
        </w:rPr>
        <w:t>工程规模为年处理矿石60万t/a</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原矿品位为0.082</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产品为含钼45%的精矿1092t/a。项目在开采过程中实际开采能力为30万t/a</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开采方式为露天开采</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公路开拓汽车运输方式。2010年</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该矿山主体工程以及配套环保措施均已建成竣工并投入试生产</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在此情况下</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巴彦淖尔市环境监测站承担该项目的竣工环境保护验收调查工作。2011年</w:t>
      </w:r>
      <w:r>
        <w:rPr>
          <w:rFonts w:hint="default" w:ascii="Times New Roman" w:hAnsi="Times New Roman" w:eastAsia="宋体" w:cs="Times New Roman"/>
          <w:color w:val="auto"/>
          <w:sz w:val="24"/>
          <w:highlight w:val="none"/>
          <w:lang w:eastAsia="zh-CN"/>
        </w:rPr>
        <w:t>，原</w:t>
      </w:r>
      <w:r>
        <w:rPr>
          <w:rFonts w:hint="default" w:ascii="Times New Roman" w:hAnsi="Times New Roman" w:eastAsia="宋体" w:cs="Times New Roman"/>
          <w:color w:val="auto"/>
          <w:sz w:val="24"/>
          <w:highlight w:val="none"/>
        </w:rPr>
        <w:t>巴彦淖尔市环境保护局</w:t>
      </w:r>
      <w:r>
        <w:rPr>
          <w:rFonts w:hint="default" w:ascii="Times New Roman" w:hAnsi="Times New Roman" w:eastAsia="宋体" w:cs="Times New Roman"/>
          <w:color w:val="auto"/>
          <w:sz w:val="24"/>
          <w:highlight w:val="none"/>
          <w:lang w:eastAsia="zh-CN"/>
        </w:rPr>
        <w:t>出具了《关于</w:t>
      </w:r>
      <w:r>
        <w:rPr>
          <w:rFonts w:hint="default" w:ascii="Times New Roman" w:hAnsi="Times New Roman" w:eastAsia="宋体" w:cs="Times New Roman"/>
          <w:color w:val="auto"/>
          <w:sz w:val="24"/>
          <w:highlight w:val="none"/>
          <w:lang w:val="en-US" w:eastAsia="zh-CN"/>
        </w:rPr>
        <w:t>内蒙古乌拉特前旗</w:t>
      </w:r>
      <w:r>
        <w:rPr>
          <w:rFonts w:hint="default" w:ascii="Times New Roman" w:hAnsi="Times New Roman" w:eastAsia="宋体" w:cs="Times New Roman"/>
          <w:color w:val="auto"/>
          <w:sz w:val="24"/>
          <w:highlight w:val="none"/>
          <w:lang w:eastAsia="zh-CN"/>
        </w:rPr>
        <w:t>西沙德盖</w:t>
      </w:r>
      <w:r>
        <w:rPr>
          <w:rFonts w:hint="default" w:ascii="Times New Roman" w:hAnsi="Times New Roman" w:eastAsia="宋体" w:cs="Times New Roman"/>
          <w:color w:val="auto"/>
          <w:sz w:val="24"/>
          <w:highlight w:val="none"/>
        </w:rPr>
        <w:t>矿区60万吨/年钼矿采选项目</w:t>
      </w:r>
      <w:r>
        <w:rPr>
          <w:rFonts w:hint="default" w:ascii="Times New Roman" w:hAnsi="Times New Roman" w:eastAsia="宋体" w:cs="Times New Roman"/>
          <w:color w:val="auto"/>
          <w:sz w:val="24"/>
          <w:highlight w:val="none"/>
          <w:lang w:eastAsia="zh-CN"/>
        </w:rPr>
        <w:t>竣工环境保护验收意见》（</w:t>
      </w:r>
      <w:r>
        <w:rPr>
          <w:rFonts w:hint="default" w:ascii="Times New Roman" w:hAnsi="Times New Roman" w:eastAsia="宋体" w:cs="Times New Roman"/>
          <w:color w:val="auto"/>
          <w:sz w:val="24"/>
          <w:highlight w:val="none"/>
        </w:rPr>
        <w:t>巴环验〔2011〕13号</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同意该项目</w:t>
      </w:r>
      <w:r>
        <w:rPr>
          <w:rFonts w:hint="default" w:ascii="Times New Roman" w:hAnsi="Times New Roman" w:eastAsia="宋体" w:cs="Times New Roman"/>
          <w:color w:val="auto"/>
          <w:sz w:val="24"/>
          <w:highlight w:val="none"/>
          <w:lang w:eastAsia="zh-CN"/>
        </w:rPr>
        <w:t>通过</w:t>
      </w:r>
      <w:r>
        <w:rPr>
          <w:rFonts w:hint="default" w:ascii="Times New Roman" w:hAnsi="Times New Roman" w:eastAsia="宋体" w:cs="Times New Roman"/>
          <w:color w:val="auto"/>
          <w:sz w:val="24"/>
          <w:highlight w:val="none"/>
        </w:rPr>
        <w:t>环保验收。</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根据钼矿新增资源储量及矿权设置情况</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乌拉特前旗西沙德盖钼业有限责任公司拟在既有年开采30万吨钼矿石基础上</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实施钼矿石开采技术改造建设项目</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技改后矿区范围、矿区面积和开采标高不变</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首期采用露天开采工艺</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年新增钼矿石采矿能力270万吨（13500t/d</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钼矿石年综合采矿能力达到300万吨。</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2015年1月6日</w:t>
      </w:r>
      <w:r>
        <w:rPr>
          <w:rFonts w:hint="default" w:ascii="Times New Roman" w:hAnsi="Times New Roman" w:eastAsia="宋体" w:cs="Times New Roman"/>
          <w:color w:val="auto"/>
          <w:sz w:val="24"/>
          <w:highlight w:val="none"/>
          <w:lang w:eastAsia="zh-CN"/>
        </w:rPr>
        <w:t>，原</w:t>
      </w:r>
      <w:r>
        <w:rPr>
          <w:rFonts w:hint="default" w:ascii="Times New Roman" w:hAnsi="Times New Roman" w:eastAsia="宋体" w:cs="Times New Roman"/>
          <w:color w:val="auto"/>
          <w:sz w:val="24"/>
          <w:highlight w:val="none"/>
        </w:rPr>
        <w:t>内蒙古自治区环境保护厅</w:t>
      </w:r>
      <w:r>
        <w:rPr>
          <w:rFonts w:hint="default" w:ascii="Times New Roman" w:hAnsi="Times New Roman" w:eastAsia="宋体" w:cs="Times New Roman"/>
          <w:color w:val="auto"/>
          <w:sz w:val="24"/>
          <w:highlight w:val="none"/>
          <w:lang w:eastAsia="zh-CN"/>
        </w:rPr>
        <w:t>出具了</w:t>
      </w:r>
      <w:r>
        <w:rPr>
          <w:rFonts w:hint="default" w:ascii="Times New Roman" w:hAnsi="Times New Roman" w:eastAsia="宋体" w:cs="Times New Roman"/>
          <w:color w:val="auto"/>
          <w:sz w:val="24"/>
          <w:highlight w:val="none"/>
        </w:rPr>
        <w:t>《关于乌拉特前旗西沙德盖钼业有限责任公司西沙德盖钼矿年处理300万吨钼矿石采矿技改项目环境影响报告书的批复》</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内环审〔2015〕5号</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对项目的采矿工程进行了环境批复。2014年10月17日</w:t>
      </w:r>
      <w:r>
        <w:rPr>
          <w:rFonts w:hint="default" w:ascii="Times New Roman" w:hAnsi="Times New Roman" w:eastAsia="宋体" w:cs="Times New Roman"/>
          <w:color w:val="auto"/>
          <w:sz w:val="24"/>
          <w:highlight w:val="none"/>
          <w:lang w:eastAsia="zh-CN"/>
        </w:rPr>
        <w:t>原</w:t>
      </w:r>
      <w:r>
        <w:rPr>
          <w:rFonts w:hint="default" w:ascii="Times New Roman" w:hAnsi="Times New Roman" w:eastAsia="宋体" w:cs="Times New Roman"/>
          <w:color w:val="auto"/>
          <w:sz w:val="24"/>
          <w:highlight w:val="none"/>
        </w:rPr>
        <w:t>巴彦淖尔市环境保护局</w:t>
      </w:r>
      <w:r>
        <w:rPr>
          <w:rFonts w:hint="default" w:ascii="Times New Roman" w:hAnsi="Times New Roman" w:eastAsia="宋体" w:cs="Times New Roman"/>
          <w:color w:val="auto"/>
          <w:sz w:val="24"/>
          <w:highlight w:val="none"/>
          <w:lang w:eastAsia="zh-CN"/>
        </w:rPr>
        <w:t>出具了</w:t>
      </w:r>
      <w:r>
        <w:rPr>
          <w:rFonts w:hint="default" w:ascii="Times New Roman" w:hAnsi="Times New Roman" w:eastAsia="宋体" w:cs="Times New Roman"/>
          <w:color w:val="auto"/>
          <w:sz w:val="24"/>
          <w:highlight w:val="none"/>
        </w:rPr>
        <w:t>《关于乌拉特前旗西沙德盖钼业有限责任公司年处理300万吨钼矿选矿节能技改扩产项目环境影响报告书的批复》</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巴环审发〔2014〕039号</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2016年9月26日</w:t>
      </w:r>
      <w:r>
        <w:rPr>
          <w:rFonts w:hint="default" w:ascii="Times New Roman" w:hAnsi="Times New Roman" w:eastAsia="宋体" w:cs="Times New Roman"/>
          <w:color w:val="auto"/>
          <w:sz w:val="24"/>
          <w:highlight w:val="none"/>
          <w:lang w:eastAsia="zh-CN"/>
        </w:rPr>
        <w:t>原</w:t>
      </w:r>
      <w:r>
        <w:rPr>
          <w:rFonts w:hint="default" w:ascii="Times New Roman" w:hAnsi="Times New Roman" w:eastAsia="宋体" w:cs="Times New Roman"/>
          <w:color w:val="auto"/>
          <w:sz w:val="24"/>
          <w:highlight w:val="none"/>
        </w:rPr>
        <w:t>巴彦淖尔市环境保护局以《关于内蒙古自治区乌拉特前旗西沙德盖钼业有限责任公司10000t/d钼矿采选扩建尾矿库工程环境影响报告书的批复》</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巴环审发〔2016〕17号</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对</w:t>
      </w:r>
      <w:r>
        <w:rPr>
          <w:rFonts w:hint="default" w:ascii="Times New Roman" w:hAnsi="Times New Roman" w:eastAsia="宋体" w:cs="Times New Roman"/>
          <w:color w:val="auto"/>
          <w:sz w:val="24"/>
          <w:highlight w:val="none"/>
          <w:lang w:eastAsia="zh-CN"/>
        </w:rPr>
        <w:t>现有</w:t>
      </w:r>
      <w:r>
        <w:rPr>
          <w:rFonts w:hint="default" w:ascii="Times New Roman" w:hAnsi="Times New Roman" w:eastAsia="宋体" w:cs="Times New Roman"/>
          <w:color w:val="auto"/>
          <w:sz w:val="24"/>
          <w:highlight w:val="none"/>
        </w:rPr>
        <w:t>尾矿库进行了批复。</w:t>
      </w:r>
      <w:r>
        <w:rPr>
          <w:rFonts w:hint="default" w:ascii="Times New Roman" w:hAnsi="Times New Roman" w:eastAsia="宋体" w:cs="Times New Roman"/>
          <w:color w:val="auto"/>
          <w:sz w:val="24"/>
          <w:szCs w:val="24"/>
          <w:highlight w:val="none"/>
        </w:rPr>
        <w:t>2017年8月</w:t>
      </w:r>
      <w:r>
        <w:rPr>
          <w:rFonts w:hint="default" w:ascii="Times New Roman" w:hAnsi="Times New Roman" w:eastAsia="宋体" w:cs="Times New Roman"/>
          <w:color w:val="auto"/>
          <w:sz w:val="24"/>
          <w:szCs w:val="24"/>
          <w:highlight w:val="none"/>
          <w:lang w:val="en-US" w:eastAsia="zh-CN"/>
        </w:rPr>
        <w:t>委托内蒙古巴彦淖尔洁宇环保科技发展有限公司编制《</w:t>
      </w:r>
      <w:r>
        <w:rPr>
          <w:rFonts w:hint="default" w:ascii="Times New Roman" w:hAnsi="Times New Roman" w:eastAsia="宋体" w:cs="Times New Roman"/>
          <w:color w:val="auto"/>
          <w:sz w:val="24"/>
          <w:szCs w:val="24"/>
          <w:highlight w:val="none"/>
        </w:rPr>
        <w:t>内蒙古自治区乌拉特前旗西沙德盖钼业有限责任公司10000t/d钼矿采选扩建尾矿库工程环境</w:t>
      </w:r>
      <w:r>
        <w:rPr>
          <w:rFonts w:hint="default" w:ascii="Times New Roman" w:hAnsi="Times New Roman" w:eastAsia="宋体" w:cs="Times New Roman"/>
          <w:color w:val="auto"/>
          <w:sz w:val="24"/>
          <w:szCs w:val="24"/>
          <w:highlight w:val="none"/>
          <w:lang w:val="en-US" w:eastAsia="zh-CN"/>
        </w:rPr>
        <w:t>保护监理报告》</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highlight w:val="none"/>
        </w:rPr>
        <w:t>2017年8月23日</w:t>
      </w:r>
      <w:r>
        <w:rPr>
          <w:rFonts w:hint="default" w:ascii="Times New Roman" w:hAnsi="Times New Roman" w:eastAsia="宋体" w:cs="Times New Roman"/>
          <w:color w:val="auto"/>
          <w:sz w:val="24"/>
          <w:highlight w:val="none"/>
          <w:lang w:eastAsia="zh-CN"/>
        </w:rPr>
        <w:t>原</w:t>
      </w:r>
      <w:r>
        <w:rPr>
          <w:rFonts w:hint="default" w:ascii="Times New Roman" w:hAnsi="Times New Roman" w:eastAsia="宋体" w:cs="Times New Roman"/>
          <w:color w:val="auto"/>
          <w:sz w:val="24"/>
          <w:highlight w:val="none"/>
        </w:rPr>
        <w:t>巴彦淖尔市环境保护局以《内蒙古自治区乌拉特前旗西沙德盖钼业有限责任公司10000t/d钼矿采选扩建尾矿库工程竣工环境保护验收意见》</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巴环验〔2017〕28号</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同意</w:t>
      </w:r>
      <w:r>
        <w:rPr>
          <w:rFonts w:hint="default" w:ascii="Times New Roman" w:hAnsi="Times New Roman" w:eastAsia="宋体" w:cs="Times New Roman"/>
          <w:color w:val="auto"/>
          <w:sz w:val="24"/>
          <w:highlight w:val="none"/>
          <w:lang w:eastAsia="zh-CN"/>
        </w:rPr>
        <w:t>现有</w:t>
      </w:r>
      <w:r>
        <w:rPr>
          <w:rFonts w:hint="default" w:ascii="Times New Roman" w:hAnsi="Times New Roman" w:eastAsia="宋体" w:cs="Times New Roman"/>
          <w:color w:val="auto"/>
          <w:sz w:val="24"/>
          <w:highlight w:val="none"/>
        </w:rPr>
        <w:t>尾矿库通过竣工环境保护验收</w:t>
      </w:r>
      <w:r>
        <w:rPr>
          <w:rFonts w:hint="default" w:ascii="Times New Roman" w:hAnsi="Times New Roman" w:eastAsia="宋体" w:cs="Times New Roman"/>
          <w:color w:val="auto"/>
          <w:sz w:val="24"/>
          <w:highlight w:val="none"/>
          <w:lang w:eastAsia="zh-CN"/>
        </w:rPr>
        <w:t>。</w:t>
      </w:r>
    </w:p>
    <w:p>
      <w:pPr>
        <w:keepNext w:val="0"/>
        <w:keepLines w:val="0"/>
        <w:pageBreakBefore w:val="0"/>
        <w:widowControl w:val="0"/>
        <w:suppressLineNumbers w:val="0"/>
        <w:shd w:val="clear"/>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rPr>
          <w:rFonts w:hint="default" w:ascii="Times New Roman" w:hAnsi="Times New Roman" w:eastAsia="宋体" w:cs="Times New Roman"/>
          <w:color w:val="auto"/>
          <w:sz w:val="24"/>
          <w:szCs w:val="32"/>
          <w:highlight w:val="none"/>
          <w:lang w:val="en-US" w:eastAsia="zh-CN"/>
        </w:rPr>
      </w:pPr>
      <w:r>
        <w:rPr>
          <w:rFonts w:hint="default" w:ascii="Times New Roman" w:hAnsi="Times New Roman" w:eastAsia="宋体" w:cs="Times New Roman"/>
          <w:color w:val="auto"/>
          <w:sz w:val="24"/>
          <w:highlight w:val="none"/>
          <w:lang w:eastAsia="zh-CN"/>
        </w:rPr>
        <w:t>西沙德盖钼业公司</w:t>
      </w:r>
      <w:r>
        <w:rPr>
          <w:rFonts w:hint="default" w:ascii="Times New Roman" w:hAnsi="Times New Roman" w:eastAsia="宋体" w:cs="Times New Roman"/>
          <w:color w:val="auto"/>
          <w:sz w:val="24"/>
          <w:highlight w:val="none"/>
          <w:lang w:val="en-US" w:eastAsia="zh-CN"/>
        </w:rPr>
        <w:t>于2021年9月27日签署发布了突发环境事件应急预案，并于2021年9月27日进行了备案，备案编号</w:t>
      </w:r>
      <w:r>
        <w:rPr>
          <w:rFonts w:hint="default" w:ascii="Times New Roman" w:hAnsi="Times New Roman" w:eastAsia="宋体" w:cs="Times New Roman"/>
          <w:color w:val="auto"/>
          <w:sz w:val="24"/>
          <w:highlight w:val="none"/>
          <w:lang w:eastAsia="zh-CN"/>
        </w:rPr>
        <w:t>15082</w:t>
      </w:r>
      <w:r>
        <w:rPr>
          <w:rFonts w:hint="default" w:ascii="Times New Roman" w:hAnsi="Times New Roman" w:eastAsia="宋体" w:cs="Times New Roman"/>
          <w:color w:val="auto"/>
          <w:sz w:val="24"/>
          <w:highlight w:val="none"/>
          <w:lang w:val="en-US" w:eastAsia="zh-CN"/>
        </w:rPr>
        <w:t>3</w:t>
      </w:r>
      <w:r>
        <w:rPr>
          <w:rFonts w:hint="default" w:ascii="Times New Roman" w:hAnsi="Times New Roman" w:eastAsia="宋体" w:cs="Times New Roman"/>
          <w:color w:val="auto"/>
          <w:sz w:val="24"/>
          <w:highlight w:val="none"/>
          <w:lang w:eastAsia="zh-CN"/>
        </w:rPr>
        <w:t>-202</w:t>
      </w:r>
      <w:r>
        <w:rPr>
          <w:rFonts w:hint="default" w:ascii="Times New Roman" w:hAnsi="Times New Roman" w:eastAsia="宋体" w:cs="Times New Roman"/>
          <w:color w:val="auto"/>
          <w:sz w:val="24"/>
          <w:highlight w:val="none"/>
          <w:lang w:val="en-US" w:eastAsia="zh-CN"/>
        </w:rPr>
        <w:t>1</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H7-</w:t>
      </w:r>
      <w:r>
        <w:rPr>
          <w:rFonts w:hint="default" w:ascii="Times New Roman" w:hAnsi="Times New Roman" w:eastAsia="宋体" w:cs="Times New Roman"/>
          <w:color w:val="auto"/>
          <w:sz w:val="24"/>
          <w:highlight w:val="none"/>
          <w:lang w:eastAsia="zh-CN"/>
        </w:rPr>
        <w:t>L</w:t>
      </w:r>
      <w:r>
        <w:rPr>
          <w:rFonts w:hint="default" w:ascii="Times New Roman" w:hAnsi="Times New Roman" w:eastAsia="宋体" w:cs="Times New Roman"/>
          <w:color w:val="auto"/>
          <w:sz w:val="24"/>
          <w:highlight w:val="none"/>
          <w:lang w:val="en-US" w:eastAsia="zh-CN"/>
        </w:rPr>
        <w:t>。2020年5月29日取得了固定污染源排污登记回执，登记编号：91150823793617392H001Q。</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eastAsia="zh-CN"/>
        </w:rPr>
        <w:t>西沙德盖钼业钼矿采用露天开采工艺，年综合采矿能力达到300万吨；选矿厂年处理300万吨钼矿石，年排尾矿量299.46万t/a；</w:t>
      </w:r>
      <w:r>
        <w:rPr>
          <w:rFonts w:hint="default" w:ascii="Times New Roman" w:hAnsi="Times New Roman" w:eastAsia="宋体" w:cs="Times New Roman"/>
          <w:color w:val="auto"/>
          <w:sz w:val="24"/>
          <w:szCs w:val="24"/>
          <w:highlight w:val="none"/>
        </w:rPr>
        <w:t>尾矿库</w:t>
      </w:r>
      <w:r>
        <w:rPr>
          <w:rFonts w:hint="default" w:ascii="Times New Roman" w:hAnsi="Times New Roman" w:eastAsia="宋体" w:cs="Times New Roman"/>
          <w:color w:val="auto"/>
          <w:sz w:val="24"/>
          <w:highlight w:val="none"/>
          <w:lang w:eastAsia="zh-CN"/>
        </w:rPr>
        <w:t>有效</w:t>
      </w:r>
      <w:r>
        <w:rPr>
          <w:rFonts w:hint="default" w:ascii="Times New Roman" w:hAnsi="Times New Roman" w:eastAsia="宋体" w:cs="Times New Roman"/>
          <w:color w:val="auto"/>
          <w:sz w:val="24"/>
          <w:highlight w:val="none"/>
        </w:rPr>
        <w:t>库容约965.78万m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lang w:eastAsia="zh-CN"/>
        </w:rPr>
        <w:t>，设计服务年限</w:t>
      </w:r>
      <w:r>
        <w:rPr>
          <w:rFonts w:hint="default" w:ascii="Times New Roman" w:hAnsi="Times New Roman" w:eastAsia="宋体" w:cs="Times New Roman"/>
          <w:color w:val="auto"/>
          <w:sz w:val="24"/>
          <w:highlight w:val="none"/>
          <w:lang w:val="en-US" w:eastAsia="zh-CN"/>
        </w:rPr>
        <w:t>6.7</w:t>
      </w:r>
      <w:r>
        <w:rPr>
          <w:rFonts w:hint="default" w:ascii="Times New Roman" w:hAnsi="Times New Roman" w:eastAsia="宋体" w:cs="Times New Roman"/>
          <w:color w:val="auto"/>
          <w:sz w:val="24"/>
          <w:highlight w:val="none"/>
        </w:rPr>
        <w:t>年</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szCs w:val="24"/>
          <w:highlight w:val="none"/>
        </w:rPr>
        <w:t>剩余服务年限约0.9年</w:t>
      </w:r>
      <w:r>
        <w:rPr>
          <w:rFonts w:hint="default" w:ascii="Times New Roman" w:hAnsi="Times New Roman" w:eastAsia="宋体" w:cs="Times New Roman"/>
          <w:color w:val="auto"/>
          <w:sz w:val="24"/>
          <w:highlight w:val="none"/>
        </w:rPr>
        <w:t>。</w:t>
      </w:r>
    </w:p>
    <w:p>
      <w:pPr>
        <w:pStyle w:val="4"/>
        <w:pageBreakBefore w:val="0"/>
        <w:numPr>
          <w:ilvl w:val="1"/>
          <w:numId w:val="0"/>
        </w:numPr>
        <w:wordWrap/>
        <w:bidi w:val="0"/>
        <w:ind w:left="0" w:leftChars="0" w:right="0" w:rightChars="0" w:firstLine="0" w:firstLineChars="0"/>
        <w:rPr>
          <w:rFonts w:hint="default" w:ascii="Times New Roman" w:hAnsi="Times New Roman" w:eastAsia="宋体" w:cs="Times New Roman"/>
          <w:b/>
          <w:bCs/>
          <w:color w:val="auto"/>
          <w:highlight w:val="none"/>
        </w:rPr>
      </w:pPr>
      <w:bookmarkStart w:id="291" w:name="_Toc28327"/>
      <w:bookmarkStart w:id="292" w:name="_Toc27254"/>
      <w:r>
        <w:rPr>
          <w:rFonts w:hint="default" w:ascii="Times New Roman" w:hAnsi="Times New Roman" w:eastAsia="宋体" w:cs="Times New Roman"/>
          <w:b/>
          <w:bCs/>
          <w:i w:val="0"/>
          <w:color w:val="auto"/>
          <w:kern w:val="2"/>
          <w:sz w:val="28"/>
          <w:szCs w:val="28"/>
          <w:highlight w:val="none"/>
          <w:lang w:val="en-US" w:eastAsia="zh-CN" w:bidi="ar-SA"/>
        </w:rPr>
        <w:t>2.2</w:t>
      </w:r>
      <w:r>
        <w:rPr>
          <w:rFonts w:hint="default" w:ascii="Times New Roman" w:hAnsi="Times New Roman" w:eastAsia="宋体" w:cs="Times New Roman"/>
          <w:b/>
          <w:bCs/>
          <w:color w:val="auto"/>
          <w:highlight w:val="none"/>
        </w:rPr>
        <w:t>现有尾矿库工程概况</w:t>
      </w:r>
      <w:bookmarkEnd w:id="291"/>
      <w:bookmarkEnd w:id="292"/>
    </w:p>
    <w:p>
      <w:pPr>
        <w:pStyle w:val="5"/>
        <w:pageBreakBefore w:val="0"/>
        <w:numPr>
          <w:ilvl w:val="2"/>
          <w:numId w:val="0"/>
        </w:numPr>
        <w:wordWrap/>
        <w:bidi w:val="0"/>
        <w:ind w:left="0" w:leftChars="0" w:right="0" w:rightChars="0"/>
        <w:rPr>
          <w:rFonts w:hint="default" w:ascii="Times New Roman" w:hAnsi="Times New Roman" w:eastAsia="宋体" w:cs="Times New Roman"/>
          <w:b/>
          <w:bCs/>
          <w:color w:val="auto"/>
          <w:highlight w:val="none"/>
        </w:rPr>
      </w:pPr>
      <w:bookmarkStart w:id="293" w:name="_Toc32210"/>
      <w:bookmarkStart w:id="294" w:name="_Toc28681"/>
      <w:bookmarkStart w:id="295" w:name="_Toc30583"/>
      <w:r>
        <w:rPr>
          <w:rFonts w:hint="default" w:ascii="Times New Roman" w:hAnsi="Times New Roman" w:eastAsia="宋体" w:cs="Times New Roman"/>
          <w:b/>
          <w:bCs/>
          <w:i w:val="0"/>
          <w:iCs w:val="0"/>
          <w:caps w:val="0"/>
          <w:smallCaps w:val="0"/>
          <w:strike w:val="0"/>
          <w:dstrike w:val="0"/>
          <w:vanish w:val="0"/>
          <w:color w:val="auto"/>
          <w:spacing w:val="0"/>
          <w:kern w:val="2"/>
          <w:position w:val="0"/>
          <w:sz w:val="24"/>
          <w:szCs w:val="24"/>
          <w:highlight w:val="none"/>
          <w:u w:val="none"/>
          <w:vertAlign w:val="baseline"/>
          <w:lang w:val="en-US" w:eastAsia="zh-CN" w:bidi="ar-SA"/>
          <w14:shadow w14:blurRad="0" w14:dist="0" w14:dir="0" w14:sx="0" w14:sy="0" w14:kx="0" w14:ky="0" w14:algn="none">
            <w14:srgbClr w14:val="000000"/>
          </w14:shadow>
        </w:rPr>
        <w:t>2.2.1</w:t>
      </w:r>
      <w:r>
        <w:rPr>
          <w:rFonts w:hint="default" w:ascii="Times New Roman" w:hAnsi="Times New Roman" w:eastAsia="宋体" w:cs="Times New Roman"/>
          <w:b/>
          <w:bCs/>
          <w:color w:val="auto"/>
          <w:highlight w:val="none"/>
        </w:rPr>
        <w:t>现有尾矿库工程内容</w:t>
      </w:r>
      <w:bookmarkEnd w:id="293"/>
      <w:bookmarkEnd w:id="294"/>
      <w:bookmarkEnd w:id="295"/>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根据《内蒙古自治区乌拉特前旗西沙德盖钼业有限责任公司10000t/d钼矿采选扩建尾矿库工程环境影响报告书</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内蒙古自治区乌拉特前旗西沙德盖钼业有限责任公司10000t/d钼矿采选扩建尾矿库工程</w:t>
      </w:r>
      <w:r>
        <w:rPr>
          <w:rFonts w:hint="default" w:ascii="Times New Roman" w:hAnsi="Times New Roman" w:eastAsia="宋体" w:cs="Times New Roman"/>
          <w:color w:val="auto"/>
          <w:sz w:val="24"/>
          <w:highlight w:val="none"/>
          <w:lang w:eastAsia="zh-CN"/>
        </w:rPr>
        <w:t>建设项目竣工环境保护验收检测报告</w:t>
      </w:r>
      <w:r>
        <w:rPr>
          <w:rFonts w:hint="default" w:ascii="Times New Roman" w:hAnsi="Times New Roman" w:eastAsia="宋体" w:cs="Times New Roman"/>
          <w:color w:val="auto"/>
          <w:sz w:val="24"/>
          <w:highlight w:val="none"/>
        </w:rPr>
        <w:t>》以及现场踏勘</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现有尾矿库建设情况如下</w:t>
      </w:r>
      <w:r>
        <w:rPr>
          <w:rFonts w:hint="default" w:ascii="Times New Roman" w:hAnsi="Times New Roman" w:eastAsia="宋体" w:cs="Times New Roman"/>
          <w:color w:val="auto"/>
          <w:sz w:val="24"/>
          <w:highlight w:val="none"/>
          <w:lang w:eastAsia="zh-CN"/>
        </w:rPr>
        <w:t>：</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（1</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建设规模</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尾矿库</w:t>
      </w:r>
      <w:r>
        <w:rPr>
          <w:rFonts w:hint="default" w:ascii="Times New Roman" w:hAnsi="Times New Roman" w:eastAsia="宋体" w:cs="Times New Roman"/>
          <w:color w:val="auto"/>
          <w:sz w:val="24"/>
          <w:highlight w:val="none"/>
          <w:lang w:eastAsia="zh-CN"/>
        </w:rPr>
        <w:t>坝底标高</w:t>
      </w:r>
      <w:r>
        <w:rPr>
          <w:rFonts w:hint="default" w:ascii="Times New Roman" w:hAnsi="Times New Roman" w:eastAsia="宋体" w:cs="Times New Roman"/>
          <w:color w:val="auto"/>
          <w:sz w:val="24"/>
          <w:highlight w:val="none"/>
          <w:lang w:val="en-US" w:eastAsia="zh-CN"/>
        </w:rPr>
        <w:t>1366.0m</w:t>
      </w:r>
      <w:r>
        <w:rPr>
          <w:rFonts w:hint="default" w:ascii="Times New Roman" w:hAnsi="Times New Roman" w:eastAsia="宋体" w:cs="Times New Roman"/>
          <w:color w:val="auto"/>
          <w:sz w:val="24"/>
          <w:highlight w:val="none"/>
          <w:lang w:eastAsia="zh-CN"/>
        </w:rPr>
        <w:t>，最终</w:t>
      </w:r>
      <w:r>
        <w:rPr>
          <w:rFonts w:hint="default" w:ascii="Times New Roman" w:hAnsi="Times New Roman" w:eastAsia="宋体" w:cs="Times New Roman"/>
          <w:color w:val="auto"/>
          <w:sz w:val="24"/>
          <w:highlight w:val="none"/>
        </w:rPr>
        <w:t>堆积标高1454.0m</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总坝高88.0m</w:t>
      </w:r>
      <w:r>
        <w:rPr>
          <w:rFonts w:hint="default" w:ascii="Times New Roman" w:hAnsi="Times New Roman" w:eastAsia="宋体" w:cs="Times New Roman"/>
          <w:color w:val="auto"/>
          <w:sz w:val="24"/>
          <w:highlight w:val="none"/>
          <w:lang w:eastAsia="zh-CN"/>
        </w:rPr>
        <w:t>，有效</w:t>
      </w:r>
      <w:r>
        <w:rPr>
          <w:rFonts w:hint="default" w:ascii="Times New Roman" w:hAnsi="Times New Roman" w:eastAsia="宋体" w:cs="Times New Roman"/>
          <w:color w:val="auto"/>
          <w:sz w:val="24"/>
          <w:highlight w:val="none"/>
        </w:rPr>
        <w:t>库容约965.78万m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。目前</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该尾矿库坝顶标高约为1445.5m</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距离设计标高1454m</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剩余8.5m</w:t>
      </w:r>
      <w:r>
        <w:rPr>
          <w:rFonts w:hint="default" w:ascii="Times New Roman" w:hAnsi="Times New Roman" w:eastAsia="宋体" w:cs="Times New Roman"/>
          <w:color w:val="auto"/>
          <w:sz w:val="24"/>
          <w:highlight w:val="none"/>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（2</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尾矿排弃方式</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湿排工艺</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尾矿堆积坝采用“上游式”尾矿筑坝</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坝上分散放矿</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人工筑尾矿子坝。</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outlineLvl w:val="0"/>
        <w:rPr>
          <w:rFonts w:hint="default" w:ascii="Times New Roman" w:hAnsi="Times New Roman" w:eastAsia="宋体" w:cs="Times New Roman"/>
          <w:color w:val="auto"/>
          <w:sz w:val="24"/>
          <w:highlight w:val="none"/>
        </w:rPr>
      </w:pPr>
      <w:bookmarkStart w:id="296" w:name="_Toc27928"/>
      <w:bookmarkStart w:id="297" w:name="_Toc27707"/>
      <w:r>
        <w:rPr>
          <w:rFonts w:hint="default" w:ascii="Times New Roman" w:hAnsi="Times New Roman" w:eastAsia="宋体" w:cs="Times New Roman"/>
          <w:color w:val="auto"/>
          <w:sz w:val="24"/>
          <w:highlight w:val="none"/>
        </w:rPr>
        <w:t>（3</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建设地点</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内蒙古自治区巴彦淖尔市乌拉特前旗沙德格苏木。</w:t>
      </w:r>
      <w:bookmarkEnd w:id="296"/>
      <w:bookmarkEnd w:id="297"/>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（4</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服务年限</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szCs w:val="24"/>
          <w:highlight w:val="none"/>
        </w:rPr>
        <w:t>尾矿库</w:t>
      </w:r>
      <w:r>
        <w:rPr>
          <w:rFonts w:hint="default" w:ascii="Times New Roman" w:hAnsi="Times New Roman" w:eastAsia="宋体" w:cs="Times New Roman"/>
          <w:color w:val="auto"/>
          <w:sz w:val="24"/>
          <w:highlight w:val="none"/>
          <w:lang w:eastAsia="zh-CN"/>
        </w:rPr>
        <w:t>设计服务年限</w:t>
      </w:r>
      <w:r>
        <w:rPr>
          <w:rFonts w:hint="default" w:ascii="Times New Roman" w:hAnsi="Times New Roman" w:eastAsia="宋体" w:cs="Times New Roman"/>
          <w:color w:val="auto"/>
          <w:sz w:val="24"/>
          <w:highlight w:val="none"/>
          <w:lang w:val="en-US" w:eastAsia="zh-CN"/>
        </w:rPr>
        <w:t>6.7</w:t>
      </w:r>
      <w:r>
        <w:rPr>
          <w:rFonts w:hint="default" w:ascii="Times New Roman" w:hAnsi="Times New Roman" w:eastAsia="宋体" w:cs="Times New Roman"/>
          <w:color w:val="auto"/>
          <w:sz w:val="24"/>
          <w:highlight w:val="none"/>
        </w:rPr>
        <w:t>年</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szCs w:val="24"/>
          <w:highlight w:val="none"/>
        </w:rPr>
        <w:t>剩余服务年限约0.9年</w:t>
      </w:r>
      <w:r>
        <w:rPr>
          <w:rFonts w:hint="default" w:ascii="Times New Roman" w:hAnsi="Times New Roman" w:eastAsia="宋体" w:cs="Times New Roman"/>
          <w:color w:val="auto"/>
          <w:sz w:val="24"/>
          <w:szCs w:val="24"/>
          <w:highlight w:val="none"/>
          <w:lang w:eastAsia="zh-CN"/>
        </w:rPr>
        <w:t>。</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outlineLvl w:val="0"/>
        <w:rPr>
          <w:rFonts w:hint="default" w:ascii="Times New Roman" w:hAnsi="Times New Roman" w:eastAsia="宋体" w:cs="Times New Roman"/>
          <w:color w:val="auto"/>
          <w:sz w:val="24"/>
          <w:highlight w:val="none"/>
        </w:rPr>
      </w:pPr>
      <w:bookmarkStart w:id="298" w:name="_Toc8101"/>
      <w:bookmarkStart w:id="299" w:name="_Toc27125"/>
      <w:r>
        <w:rPr>
          <w:rFonts w:hint="default" w:ascii="Times New Roman" w:hAnsi="Times New Roman" w:eastAsia="宋体" w:cs="Times New Roman"/>
          <w:color w:val="auto"/>
          <w:sz w:val="24"/>
          <w:highlight w:val="none"/>
        </w:rPr>
        <w:t>（5</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总投资</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3324.11万元</w:t>
      </w:r>
      <w:bookmarkEnd w:id="298"/>
      <w:bookmarkEnd w:id="299"/>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（6</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本项目主体工程为尾矿库</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主要内容</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尾矿库位置、初期坝和</w:t>
      </w:r>
      <w:r>
        <w:rPr>
          <w:rFonts w:hint="default" w:ascii="Times New Roman" w:hAnsi="Times New Roman" w:eastAsia="宋体" w:cs="Times New Roman"/>
          <w:color w:val="auto"/>
          <w:sz w:val="24"/>
          <w:highlight w:val="none"/>
          <w:lang w:eastAsia="zh-CN"/>
        </w:rPr>
        <w:t>尾矿砂</w:t>
      </w:r>
      <w:r>
        <w:rPr>
          <w:rFonts w:hint="default" w:ascii="Times New Roman" w:hAnsi="Times New Roman" w:eastAsia="宋体" w:cs="Times New Roman"/>
          <w:color w:val="auto"/>
          <w:sz w:val="24"/>
          <w:highlight w:val="none"/>
        </w:rPr>
        <w:t>堆积坝、尾矿库排水防洪构筑物、尾矿库回水设施等。</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现有</w:t>
      </w:r>
      <w:r>
        <w:rPr>
          <w:rFonts w:hint="default" w:ascii="Times New Roman" w:hAnsi="Times New Roman" w:eastAsia="宋体" w:cs="Times New Roman"/>
          <w:color w:val="auto"/>
          <w:sz w:val="24"/>
          <w:highlight w:val="none"/>
          <w:lang w:eastAsia="zh-CN"/>
        </w:rPr>
        <w:t>尾矿库</w:t>
      </w:r>
      <w:r>
        <w:rPr>
          <w:rFonts w:hint="default" w:ascii="Times New Roman" w:hAnsi="Times New Roman" w:eastAsia="宋体" w:cs="Times New Roman"/>
          <w:color w:val="auto"/>
          <w:sz w:val="24"/>
          <w:highlight w:val="none"/>
        </w:rPr>
        <w:t>工程组成见表2-1。</w:t>
      </w:r>
    </w:p>
    <w:p>
      <w:pPr>
        <w:keepNext w:val="0"/>
        <w:keepLines w:val="0"/>
        <w:pageBreakBefore w:val="0"/>
        <w:widowControl w:val="0"/>
        <w:tabs>
          <w:tab w:val="left" w:pos="3062"/>
        </w:tabs>
        <w:kinsoku/>
        <w:wordWrap/>
        <w:overflowPunct/>
        <w:topLinePunct w:val="0"/>
        <w:autoSpaceDE/>
        <w:autoSpaceDN/>
        <w:bidi w:val="0"/>
        <w:adjustRightInd/>
        <w:snapToGrid/>
        <w:spacing w:line="360" w:lineRule="auto"/>
        <w:ind w:left="0" w:leftChars="0" w:right="0" w:rightChars="0"/>
        <w:jc w:val="center"/>
        <w:textAlignment w:val="auto"/>
        <w:rPr>
          <w:rFonts w:hint="default" w:ascii="Times New Roman" w:hAnsi="Times New Roman" w:eastAsia="宋体" w:cs="Times New Roman"/>
          <w:b/>
          <w:bCs/>
          <w:color w:val="auto"/>
          <w:sz w:val="24"/>
          <w:highlight w:val="none"/>
        </w:rPr>
      </w:pPr>
    </w:p>
    <w:p>
      <w:pPr>
        <w:keepNext w:val="0"/>
        <w:keepLines w:val="0"/>
        <w:pageBreakBefore w:val="0"/>
        <w:widowControl w:val="0"/>
        <w:tabs>
          <w:tab w:val="left" w:pos="3062"/>
        </w:tabs>
        <w:kinsoku/>
        <w:wordWrap/>
        <w:overflowPunct/>
        <w:topLinePunct w:val="0"/>
        <w:autoSpaceDE/>
        <w:autoSpaceDN/>
        <w:bidi w:val="0"/>
        <w:adjustRightInd/>
        <w:snapToGrid/>
        <w:spacing w:line="360" w:lineRule="auto"/>
        <w:ind w:left="0" w:leftChars="0" w:right="0" w:rightChars="0"/>
        <w:jc w:val="center"/>
        <w:textAlignment w:val="auto"/>
        <w:rPr>
          <w:rFonts w:hint="default" w:ascii="Times New Roman" w:hAnsi="Times New Roman" w:eastAsia="宋体" w:cs="Times New Roman"/>
          <w:b/>
          <w:bCs/>
          <w:color w:val="auto"/>
          <w:sz w:val="24"/>
          <w:highlight w:val="none"/>
        </w:rPr>
      </w:pPr>
    </w:p>
    <w:p>
      <w:pPr>
        <w:keepNext w:val="0"/>
        <w:keepLines w:val="0"/>
        <w:pageBreakBefore w:val="0"/>
        <w:widowControl w:val="0"/>
        <w:tabs>
          <w:tab w:val="left" w:pos="3062"/>
        </w:tabs>
        <w:kinsoku/>
        <w:wordWrap/>
        <w:overflowPunct/>
        <w:topLinePunct w:val="0"/>
        <w:autoSpaceDE/>
        <w:autoSpaceDN/>
        <w:bidi w:val="0"/>
        <w:adjustRightInd/>
        <w:snapToGrid/>
        <w:spacing w:line="360" w:lineRule="auto"/>
        <w:ind w:left="0" w:leftChars="0" w:right="0" w:rightChars="0"/>
        <w:jc w:val="center"/>
        <w:textAlignment w:val="auto"/>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表2-1现有尾矿库工程组成表</w:t>
      </w:r>
    </w:p>
    <w:tbl>
      <w:tblPr>
        <w:tblStyle w:val="54"/>
        <w:tblW w:w="5024"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71"/>
        <w:gridCol w:w="772"/>
        <w:gridCol w:w="772"/>
        <w:gridCol w:w="604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85" w:type="pct"/>
            <w:gridSpan w:val="3"/>
            <w:tcBorders>
              <w:top w:val="single" w:color="auto" w:sz="4" w:space="0"/>
              <w:left w:val="single" w:color="auto" w:sz="4" w:space="0"/>
            </w:tcBorders>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工程组成</w:t>
            </w:r>
          </w:p>
        </w:tc>
        <w:tc>
          <w:tcPr>
            <w:tcW w:w="3614" w:type="pct"/>
            <w:tcBorders>
              <w:top w:val="single" w:color="auto" w:sz="4" w:space="0"/>
              <w:right w:val="single" w:color="auto" w:sz="4" w:space="0"/>
            </w:tcBorders>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color w:val="auto"/>
                <w:sz w:val="21"/>
                <w:szCs w:val="21"/>
                <w:highlight w:val="none"/>
                <w:lang w:eastAsia="zh-CN"/>
              </w:rPr>
            </w:pPr>
            <w:r>
              <w:rPr>
                <w:rFonts w:hint="default" w:ascii="Times New Roman" w:hAnsi="Times New Roman" w:eastAsia="宋体" w:cs="Times New Roman"/>
                <w:b/>
                <w:color w:val="auto"/>
                <w:sz w:val="21"/>
                <w:szCs w:val="21"/>
                <w:highlight w:val="none"/>
              </w:rPr>
              <w:t>现有</w:t>
            </w:r>
            <w:r>
              <w:rPr>
                <w:rFonts w:hint="default" w:ascii="Times New Roman" w:hAnsi="Times New Roman" w:eastAsia="宋体" w:cs="Times New Roman"/>
                <w:b/>
                <w:color w:val="auto"/>
                <w:sz w:val="21"/>
                <w:szCs w:val="21"/>
                <w:highlight w:val="none"/>
                <w:lang w:eastAsia="zh-CN"/>
              </w:rPr>
              <w:t>尾矿库建设情况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1" w:type="pct"/>
            <w:vMerge w:val="restart"/>
            <w:tcBorders>
              <w:left w:val="single" w:color="auto" w:sz="4" w:space="0"/>
            </w:tcBorders>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主体</w:t>
            </w:r>
          </w:p>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工程</w:t>
            </w:r>
          </w:p>
        </w:tc>
        <w:tc>
          <w:tcPr>
            <w:tcW w:w="462" w:type="pct"/>
            <w:vMerge w:val="restart"/>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尾矿库</w:t>
            </w:r>
          </w:p>
        </w:tc>
        <w:tc>
          <w:tcPr>
            <w:tcW w:w="462" w:type="pct"/>
            <w:tcBorders>
              <w:bottom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rPr>
              <w:t>初期坝</w:t>
            </w:r>
          </w:p>
        </w:tc>
        <w:tc>
          <w:tcPr>
            <w:tcW w:w="3614" w:type="pct"/>
            <w:tcBorders>
              <w:right w:val="single" w:color="auto" w:sz="4" w:space="0"/>
            </w:tcBorders>
            <w:tcMar>
              <w:left w:w="0" w:type="dxa"/>
              <w:right w:w="0"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420" w:firstLineChars="200"/>
              <w:jc w:val="left"/>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初期坝为堆石坝</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内坡设有土工膜防渗</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坝底标高1366m</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坝顶标高1405m</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坝高39m</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坝顶宽5m。内、外坡比1:2.0。</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420" w:firstLineChars="200"/>
              <w:jc w:val="left"/>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根据加高扩容工程岩土工程勘察报告</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库区原地面地层为强风化花岗岩</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施工已按原设计要求清理至基岩</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初期坝坐落于强风化花岗岩。</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420" w:firstLineChars="200"/>
              <w:jc w:val="left"/>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rPr>
              <w:t>根据现场踏勘</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初期坝尺寸与设计要求一致</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外观质量良好。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1" w:type="pct"/>
            <w:vMerge w:val="continue"/>
            <w:tcBorders>
              <w:left w:val="single" w:color="auto" w:sz="4" w:space="0"/>
            </w:tcBorders>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462" w:type="pct"/>
            <w:vMerge w:val="continue"/>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462" w:type="pct"/>
            <w:tcBorders>
              <w:bottom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rPr>
              <w:t>堆积坝</w:t>
            </w:r>
          </w:p>
        </w:tc>
        <w:tc>
          <w:tcPr>
            <w:tcW w:w="3614" w:type="pct"/>
            <w:tcBorders>
              <w:right w:val="single" w:color="auto" w:sz="4" w:space="0"/>
            </w:tcBorders>
            <w:tcMar>
              <w:left w:w="0" w:type="dxa"/>
              <w:right w:w="0"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420" w:firstLineChars="200"/>
              <w:jc w:val="left"/>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现状总坝高为79.5m</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尾矿库等别为三等。现状尾矿库坝顶标高约为1445.5m</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主坝平均坡比为1:5.5</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主坝平均坡比缓于设计要求的1:4.0</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北侧及南侧副坝平均平坡比为1:4.0</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与设计要求一致。</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420" w:firstLineChars="200"/>
              <w:jc w:val="left"/>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根据业主提供的浸润线观测记录</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人工浸润线监测孔及在线浸润线监测孔均未见水</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浸润线埋深大于孔深12m。</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420" w:firstLineChars="200"/>
              <w:jc w:val="left"/>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rPr>
              <w:t>现状尾矿坝质量较好</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坝面无渗流、沼泽化</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无浸润线出逸迹象。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1" w:type="pct"/>
            <w:vMerge w:val="continue"/>
            <w:tcBorders>
              <w:left w:val="single" w:color="auto" w:sz="4" w:space="0"/>
            </w:tcBorders>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462" w:type="pct"/>
            <w:vMerge w:val="continue"/>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462" w:type="pct"/>
            <w:tcBorders>
              <w:bottom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rPr>
              <w:t>1号副坝</w:t>
            </w:r>
            <w:r>
              <w:rPr>
                <w:rFonts w:hint="default" w:ascii="Times New Roman" w:hAnsi="Times New Roman" w:eastAsia="宋体" w:cs="Times New Roman"/>
                <w:b w:val="0"/>
                <w:bCs w:val="0"/>
                <w:color w:val="auto"/>
                <w:sz w:val="21"/>
                <w:szCs w:val="21"/>
                <w:highlight w:val="none"/>
                <w:lang w:eastAsia="zh-CN"/>
              </w:rPr>
              <w:t>和</w:t>
            </w:r>
            <w:r>
              <w:rPr>
                <w:rFonts w:hint="default" w:ascii="Times New Roman" w:hAnsi="Times New Roman" w:eastAsia="宋体" w:cs="Times New Roman"/>
                <w:b w:val="0"/>
                <w:bCs w:val="0"/>
                <w:color w:val="auto"/>
                <w:sz w:val="21"/>
                <w:szCs w:val="21"/>
                <w:highlight w:val="none"/>
                <w:lang w:val="en-US" w:eastAsia="zh-CN"/>
              </w:rPr>
              <w:t>2号</w:t>
            </w:r>
            <w:r>
              <w:rPr>
                <w:rFonts w:hint="default" w:ascii="Times New Roman" w:hAnsi="Times New Roman" w:eastAsia="宋体" w:cs="Times New Roman"/>
                <w:b w:val="0"/>
                <w:bCs w:val="0"/>
                <w:color w:val="auto"/>
                <w:sz w:val="21"/>
                <w:szCs w:val="21"/>
                <w:highlight w:val="none"/>
              </w:rPr>
              <w:t>副坝</w:t>
            </w:r>
          </w:p>
        </w:tc>
        <w:tc>
          <w:tcPr>
            <w:tcW w:w="3614" w:type="pct"/>
            <w:tcBorders>
              <w:right w:val="single" w:color="auto" w:sz="4" w:space="0"/>
            </w:tcBorders>
            <w:tcMar>
              <w:left w:w="0" w:type="dxa"/>
              <w:right w:w="0"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420" w:firstLineChars="200"/>
              <w:jc w:val="left"/>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rPr>
              <w:t>在临近初期坝的东南侧山脊处有1号副坝</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库区西侧山脊处有2号副坝</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副坝均为堆石坝</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内坡设有土工膜防渗。1号副坝顶标高1410.0m</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顶宽3.0m</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坝轴线长92.0m</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坝高5.0m</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2号副坝顶标高1454.0m</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顶宽3.0m</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坝轴线长28.0m</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坝高3.0m。尾矿库运行过程中</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企业已对1号及2号副坝采用废石压坡</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外坡比均为1:2.0</w:t>
            </w:r>
            <w:r>
              <w:rPr>
                <w:rFonts w:hint="default" w:ascii="Times New Roman" w:hAnsi="Times New Roman" w:eastAsia="宋体" w:cs="Times New Roman"/>
                <w:b w:val="0"/>
                <w:bCs w:val="0"/>
                <w:color w:val="auto"/>
                <w:sz w:val="21"/>
                <w:szCs w:val="21"/>
                <w:highlight w:val="no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1" w:type="pct"/>
            <w:vMerge w:val="continue"/>
            <w:tcBorders>
              <w:left w:val="single" w:color="auto" w:sz="4" w:space="0"/>
            </w:tcBorders>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462" w:type="pct"/>
            <w:vMerge w:val="continue"/>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462"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排渗设施</w:t>
            </w:r>
          </w:p>
        </w:tc>
        <w:tc>
          <w:tcPr>
            <w:tcW w:w="3614" w:type="pct"/>
            <w:tcBorders>
              <w:right w:val="single" w:color="auto" w:sz="4" w:space="0"/>
            </w:tcBorders>
            <w:tcMar>
              <w:left w:w="0" w:type="dxa"/>
              <w:right w:w="0" w:type="dxa"/>
            </w:tcMar>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在标高在1412m、1422m、1432m及1442m标高平行坝轴线设置有排渗设施。</w:t>
            </w:r>
          </w:p>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堆积坝体内，每上升10.0m设排渗带一条，平行于坝轴线布置，断面为梯形，外包400g/m</w:t>
            </w:r>
            <w:r>
              <w:rPr>
                <w:rFonts w:hint="default" w:ascii="Times New Roman" w:hAnsi="Times New Roman" w:eastAsia="宋体" w:cs="Times New Roman"/>
                <w:color w:val="auto"/>
                <w:kern w:val="2"/>
                <w:sz w:val="21"/>
                <w:szCs w:val="21"/>
                <w:highlight w:val="none"/>
                <w:vertAlign w:val="superscript"/>
                <w:lang w:val="en-US" w:eastAsia="zh-CN" w:bidi="ar-SA"/>
              </w:rPr>
              <w:t>2</w:t>
            </w:r>
            <w:r>
              <w:rPr>
                <w:rFonts w:hint="default" w:ascii="Times New Roman" w:hAnsi="Times New Roman" w:eastAsia="宋体" w:cs="Times New Roman"/>
                <w:color w:val="auto"/>
                <w:kern w:val="2"/>
                <w:sz w:val="21"/>
                <w:szCs w:val="21"/>
                <w:highlight w:val="none"/>
                <w:lang w:val="en-US" w:eastAsia="zh-CN" w:bidi="ar-SA"/>
              </w:rPr>
              <w:t>土工无纺布，内部设穿孔PVC塑料渗水管，直径150mm，渗水管外接塑料PVC导水管，坡向库外i=0.01，间隔10.0m铺设。</w:t>
            </w:r>
          </w:p>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根据尾矿库勘察报告及浸润线记录，浸润线埋深约13.5，排渗设施运行正常，降低浸润线效果良好。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1" w:type="pct"/>
            <w:vMerge w:val="continue"/>
            <w:tcBorders>
              <w:left w:val="single" w:color="auto" w:sz="4" w:space="0"/>
            </w:tcBorders>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462" w:type="pct"/>
            <w:vMerge w:val="continue"/>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462"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排水系统</w:t>
            </w:r>
          </w:p>
        </w:tc>
        <w:tc>
          <w:tcPr>
            <w:tcW w:w="3614" w:type="pct"/>
            <w:tcBorders>
              <w:right w:val="single" w:color="auto" w:sz="4" w:space="0"/>
            </w:tcBorders>
            <w:tcMar>
              <w:left w:w="0" w:type="dxa"/>
              <w:right w:w="0" w:type="dxa"/>
            </w:tcMar>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排水系统为溢流井～回水管型式，共有5座溢流井，其中0、1、2、3号溢流井已封堵，目前使用的是4号溢流井，井高18m，圈梁内径2.5m，井座顶标高1438m，井顶标高1456。根据包头冶金建筑研究院2022年6月编制的《尾矿库排水构筑物4号井架及回水管检测报告》该工程4号井架及回水管结构布置及截面尺寸、混凝土现有钢筋强度、钢筋配置情况、钢筋保护层均符合设计要求，井架立柱变形满足规范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1" w:type="pct"/>
            <w:vMerge w:val="continue"/>
            <w:tcBorders>
              <w:left w:val="single" w:color="auto" w:sz="4" w:space="0"/>
            </w:tcBorders>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462" w:type="pct"/>
            <w:vMerge w:val="continue"/>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462"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监测设施</w:t>
            </w:r>
          </w:p>
        </w:tc>
        <w:tc>
          <w:tcPr>
            <w:tcW w:w="3614" w:type="pct"/>
            <w:tcBorders>
              <w:right w:val="single" w:color="auto" w:sz="4" w:space="0"/>
            </w:tcBorders>
            <w:tcMar>
              <w:left w:w="0" w:type="dxa"/>
              <w:right w:w="0" w:type="dxa"/>
            </w:tcMar>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尾矿库堆积坝的位移监测设施布置在堆积坝1412m、1422m、1432m标高上</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测点间距50</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120m。</w:t>
            </w:r>
          </w:p>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堆积坝浸润线监测设于堆积坝1412m、1422m、1432m标高上。</w:t>
            </w:r>
          </w:p>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库区水位标尺设于库区</w:t>
            </w:r>
            <w:r>
              <w:rPr>
                <w:rFonts w:hint="default" w:ascii="Times New Roman" w:hAnsi="Times New Roman" w:eastAsia="宋体" w:cs="Times New Roman"/>
                <w:color w:val="auto"/>
                <w:sz w:val="21"/>
                <w:szCs w:val="21"/>
                <w:highlight w:val="none"/>
                <w:lang w:eastAsia="zh-CN"/>
              </w:rPr>
              <w:t>溢流井</w:t>
            </w:r>
            <w:r>
              <w:rPr>
                <w:rFonts w:hint="default" w:ascii="Times New Roman" w:hAnsi="Times New Roman" w:eastAsia="宋体" w:cs="Times New Roman"/>
                <w:color w:val="auto"/>
                <w:sz w:val="21"/>
                <w:szCs w:val="21"/>
                <w:highlight w:val="none"/>
              </w:rPr>
              <w:t>身</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值班室外设置降雨量监测计1个。</w:t>
            </w:r>
          </w:p>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在线监测包括坝体位移、浸润线、库水位、干滩长度、防洪高度、降雨量及视频监控</w:t>
            </w:r>
            <w:r>
              <w:rPr>
                <w:rFonts w:hint="default" w:ascii="Times New Roman" w:hAnsi="Times New Roman" w:eastAsia="宋体" w:cs="Times New Roman"/>
                <w:color w:val="auto"/>
                <w:sz w:val="21"/>
                <w:szCs w:val="21"/>
                <w:highlight w:val="no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1" w:type="pct"/>
            <w:vMerge w:val="restart"/>
            <w:tcBorders>
              <w:left w:val="single" w:color="auto" w:sz="4" w:space="0"/>
            </w:tcBorders>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辅助</w:t>
            </w:r>
          </w:p>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工程</w:t>
            </w:r>
          </w:p>
        </w:tc>
        <w:tc>
          <w:tcPr>
            <w:tcW w:w="924" w:type="pct"/>
            <w:gridSpan w:val="2"/>
            <w:tcMar>
              <w:left w:w="0" w:type="dxa"/>
              <w:right w:w="0" w:type="dxa"/>
            </w:tcMar>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尾矿输送及放矿系统</w:t>
            </w:r>
          </w:p>
        </w:tc>
        <w:tc>
          <w:tcPr>
            <w:tcW w:w="3614" w:type="pct"/>
            <w:tcBorders>
              <w:right w:val="single" w:color="auto" w:sz="4" w:space="0"/>
            </w:tcBorders>
            <w:tcMar>
              <w:left w:w="0" w:type="dxa"/>
              <w:right w:w="0" w:type="dxa"/>
            </w:tcMar>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尾矿产量约为299.46万t/a</w:t>
            </w:r>
            <w:r>
              <w:rPr>
                <w:rFonts w:hint="default" w:ascii="Times New Roman" w:hAnsi="Times New Roman" w:eastAsia="宋体" w:cs="Times New Roman"/>
                <w:color w:val="auto"/>
                <w:sz w:val="21"/>
                <w:szCs w:val="21"/>
                <w:highlight w:val="none"/>
                <w:lang w:eastAsia="zh-CN"/>
              </w:rPr>
              <w:t>（干物质），</w:t>
            </w:r>
            <w:r>
              <w:rPr>
                <w:rFonts w:hint="default" w:ascii="Times New Roman" w:hAnsi="Times New Roman" w:eastAsia="宋体" w:cs="Times New Roman"/>
                <w:color w:val="auto"/>
                <w:sz w:val="21"/>
                <w:szCs w:val="21"/>
                <w:highlight w:val="none"/>
              </w:rPr>
              <w:t>尾矿浓度</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40%</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采用水隔膜泵加压输送</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通过尾矿管道输送到现有尾矿库进行排放。输送主管采用2条DN450钢管</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1用1备。尾矿放矿主管采用1条dn450（壁厚26.7mm）PE管道</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放矿支管采用dn160PE管道。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1" w:type="pct"/>
            <w:vMerge w:val="continue"/>
            <w:tcBorders>
              <w:left w:val="single" w:color="auto" w:sz="4" w:space="0"/>
            </w:tcBorders>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924" w:type="pct"/>
            <w:gridSpan w:val="2"/>
            <w:tcMar>
              <w:left w:w="0" w:type="dxa"/>
              <w:right w:w="0" w:type="dxa"/>
            </w:tcMar>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消力池</w:t>
            </w:r>
          </w:p>
        </w:tc>
        <w:tc>
          <w:tcPr>
            <w:tcW w:w="3614" w:type="pct"/>
            <w:tcBorders>
              <w:right w:val="single" w:color="auto" w:sz="4" w:space="0"/>
            </w:tcBorders>
            <w:tcMar>
              <w:left w:w="0" w:type="dxa"/>
              <w:right w:w="0" w:type="dxa"/>
            </w:tcMar>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消力池采用C30钢筋混凝土结构</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断面尺寸为10m×5m×3m</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侧壁和底板厚度均为300mm</w:t>
            </w:r>
            <w:r>
              <w:rPr>
                <w:rFonts w:hint="default" w:ascii="Times New Roman" w:hAnsi="Times New Roman" w:eastAsia="宋体" w:cs="Times New Roman"/>
                <w:color w:val="auto"/>
                <w:sz w:val="21"/>
                <w:szCs w:val="21"/>
                <w:highlight w:val="no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1" w:type="pct"/>
            <w:vMerge w:val="continue"/>
            <w:tcBorders>
              <w:left w:val="single" w:color="auto" w:sz="4" w:space="0"/>
            </w:tcBorders>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924" w:type="pct"/>
            <w:gridSpan w:val="2"/>
            <w:tcMar>
              <w:left w:w="0" w:type="dxa"/>
              <w:right w:w="0" w:type="dxa"/>
            </w:tcMar>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GB"/>
              </w:rPr>
              <w:t>回水池</w:t>
            </w:r>
          </w:p>
        </w:tc>
        <w:tc>
          <w:tcPr>
            <w:tcW w:w="3614" w:type="pct"/>
            <w:tcBorders>
              <w:right w:val="single" w:color="auto" w:sz="4" w:space="0"/>
            </w:tcBorders>
            <w:tcMar>
              <w:left w:w="0" w:type="dxa"/>
              <w:right w:w="0" w:type="dxa"/>
            </w:tcMar>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1座1000m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尾矿回水池</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储存2h尾矿回水量。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1" w:type="pct"/>
            <w:vMerge w:val="continue"/>
            <w:tcBorders>
              <w:left w:val="single" w:color="auto" w:sz="4" w:space="0"/>
            </w:tcBorders>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924" w:type="pct"/>
            <w:gridSpan w:val="2"/>
            <w:tcMar>
              <w:left w:w="0" w:type="dxa"/>
              <w:right w:w="0" w:type="dxa"/>
            </w:tcMar>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GB"/>
              </w:rPr>
              <w:t>回水泵站</w:t>
            </w:r>
          </w:p>
        </w:tc>
        <w:tc>
          <w:tcPr>
            <w:tcW w:w="3614" w:type="pct"/>
            <w:tcBorders>
              <w:right w:val="single" w:color="auto" w:sz="4" w:space="0"/>
            </w:tcBorders>
            <w:tcMar>
              <w:left w:w="0" w:type="dxa"/>
              <w:right w:w="0" w:type="dxa"/>
            </w:tcMar>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回水方式采用浮船式回水泵站</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回水泵站设在库上游沟顶端</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回水管采用DN133mm钢管</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管道长600m。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1" w:type="pct"/>
            <w:vMerge w:val="continue"/>
            <w:tcBorders>
              <w:left w:val="single" w:color="auto" w:sz="4" w:space="0"/>
            </w:tcBorders>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924" w:type="pct"/>
            <w:gridSpan w:val="2"/>
            <w:tcMar>
              <w:left w:w="0" w:type="dxa"/>
              <w:right w:w="0" w:type="dxa"/>
            </w:tcMar>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上坝道路</w:t>
            </w:r>
          </w:p>
        </w:tc>
        <w:tc>
          <w:tcPr>
            <w:tcW w:w="3614" w:type="pct"/>
            <w:tcBorders>
              <w:right w:val="single" w:color="auto" w:sz="4" w:space="0"/>
            </w:tcBorders>
            <w:tcMar>
              <w:left w:w="0" w:type="dxa"/>
              <w:right w:w="0" w:type="dxa"/>
            </w:tcMar>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土石路面</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路宽为5m</w:t>
            </w:r>
            <w:r>
              <w:rPr>
                <w:rFonts w:hint="default" w:ascii="Times New Roman" w:hAnsi="Times New Roman" w:eastAsia="宋体" w:cs="Times New Roman"/>
                <w:color w:val="auto"/>
                <w:sz w:val="21"/>
                <w:szCs w:val="21"/>
                <w:highlight w:val="no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1" w:type="pct"/>
            <w:vMerge w:val="continue"/>
            <w:tcBorders>
              <w:left w:val="single" w:color="auto" w:sz="4" w:space="0"/>
            </w:tcBorders>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924" w:type="pct"/>
            <w:gridSpan w:val="2"/>
            <w:tcMar>
              <w:left w:w="0" w:type="dxa"/>
              <w:right w:w="0" w:type="dxa"/>
            </w:tcMar>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库区值班室</w:t>
            </w:r>
          </w:p>
        </w:tc>
        <w:tc>
          <w:tcPr>
            <w:tcW w:w="3614" w:type="pct"/>
            <w:tcBorders>
              <w:right w:val="single" w:color="auto" w:sz="4" w:space="0"/>
            </w:tcBorders>
            <w:tcMar>
              <w:left w:w="0" w:type="dxa"/>
              <w:right w:w="0" w:type="dxa"/>
            </w:tcMar>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设在库区西侧的山坡平缓地带</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距尾矿坝约150m</w:t>
            </w:r>
            <w:r>
              <w:rPr>
                <w:rFonts w:hint="default" w:ascii="Times New Roman" w:hAnsi="Times New Roman" w:eastAsia="宋体" w:cs="Times New Roman"/>
                <w:color w:val="auto"/>
                <w:sz w:val="21"/>
                <w:szCs w:val="21"/>
                <w:highlight w:val="no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1" w:type="pct"/>
            <w:vMerge w:val="restart"/>
            <w:tcBorders>
              <w:left w:val="single" w:color="auto" w:sz="4" w:space="0"/>
            </w:tcBorders>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公用</w:t>
            </w:r>
          </w:p>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工程</w:t>
            </w:r>
          </w:p>
        </w:tc>
        <w:tc>
          <w:tcPr>
            <w:tcW w:w="924" w:type="pct"/>
            <w:gridSpan w:val="2"/>
            <w:tcMar>
              <w:left w:w="0" w:type="dxa"/>
              <w:right w:w="0"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给水工程</w:t>
            </w:r>
          </w:p>
        </w:tc>
        <w:tc>
          <w:tcPr>
            <w:tcW w:w="3614" w:type="pct"/>
            <w:tcBorders>
              <w:right w:val="single" w:color="auto" w:sz="4" w:space="0"/>
            </w:tcBorders>
            <w:tcMar>
              <w:left w:w="0" w:type="dxa"/>
              <w:right w:w="0"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lang w:eastAsia="zh-CN"/>
              </w:rPr>
              <w:t>洒水抑尘用水采用洒水车运输。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1" w:type="pct"/>
            <w:vMerge w:val="continue"/>
            <w:tcBorders>
              <w:left w:val="single" w:color="auto" w:sz="4" w:space="0"/>
            </w:tcBorders>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924" w:type="pct"/>
            <w:gridSpan w:val="2"/>
            <w:tcMar>
              <w:left w:w="0" w:type="dxa"/>
              <w:right w:w="0"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排水工程</w:t>
            </w:r>
          </w:p>
        </w:tc>
        <w:tc>
          <w:tcPr>
            <w:tcW w:w="3614" w:type="pct"/>
            <w:tcBorders>
              <w:right w:val="single" w:color="auto" w:sz="4" w:space="0"/>
            </w:tcBorders>
            <w:tcMar>
              <w:left w:w="0" w:type="dxa"/>
              <w:right w:w="0"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尾矿库内的水通过消力池、回水池及输水管线输送到选矿厂作为生产用水。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1" w:type="pct"/>
            <w:vMerge w:val="continue"/>
            <w:tcBorders>
              <w:left w:val="single" w:color="auto" w:sz="4" w:space="0"/>
            </w:tcBorders>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924" w:type="pct"/>
            <w:gridSpan w:val="2"/>
            <w:tcMar>
              <w:left w:w="0" w:type="dxa"/>
              <w:right w:w="0"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采暖工程</w:t>
            </w:r>
          </w:p>
        </w:tc>
        <w:tc>
          <w:tcPr>
            <w:tcW w:w="3614" w:type="pct"/>
            <w:tcBorders>
              <w:right w:val="single" w:color="auto" w:sz="4" w:space="0"/>
            </w:tcBorders>
            <w:tcMar>
              <w:left w:w="0" w:type="dxa"/>
              <w:right w:w="0"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泵站、值班室</w:t>
            </w:r>
            <w:r>
              <w:rPr>
                <w:rFonts w:hint="default" w:ascii="Times New Roman" w:hAnsi="Times New Roman" w:eastAsia="宋体" w:cs="Times New Roman"/>
                <w:color w:val="auto"/>
                <w:sz w:val="21"/>
                <w:szCs w:val="21"/>
                <w:highlight w:val="none"/>
              </w:rPr>
              <w:t>采用电热供暖方式。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1" w:type="pct"/>
            <w:vMerge w:val="continue"/>
            <w:tcBorders>
              <w:left w:val="single" w:color="auto" w:sz="4" w:space="0"/>
            </w:tcBorders>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924" w:type="pct"/>
            <w:gridSpan w:val="2"/>
            <w:tcMar>
              <w:left w:w="0" w:type="dxa"/>
              <w:right w:w="0"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供电工程</w:t>
            </w:r>
          </w:p>
        </w:tc>
        <w:tc>
          <w:tcPr>
            <w:tcW w:w="3614" w:type="pct"/>
            <w:tcBorders>
              <w:right w:val="single" w:color="auto" w:sz="4" w:space="0"/>
            </w:tcBorders>
            <w:tcMar>
              <w:left w:w="0" w:type="dxa"/>
              <w:right w:w="0"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由西沙德格苏本供电所供给。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1" w:type="pct"/>
            <w:vMerge w:val="restart"/>
            <w:tcBorders>
              <w:left w:val="single" w:color="auto" w:sz="4" w:space="0"/>
            </w:tcBorders>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环保</w:t>
            </w:r>
          </w:p>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工程</w:t>
            </w:r>
          </w:p>
        </w:tc>
        <w:tc>
          <w:tcPr>
            <w:tcW w:w="924" w:type="pct"/>
            <w:gridSpan w:val="2"/>
            <w:tcMar>
              <w:left w:w="0" w:type="dxa"/>
              <w:right w:w="0" w:type="dxa"/>
            </w:tcMar>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废气</w:t>
            </w:r>
          </w:p>
        </w:tc>
        <w:tc>
          <w:tcPr>
            <w:tcW w:w="3614" w:type="pct"/>
            <w:tcBorders>
              <w:right w:val="single" w:color="auto" w:sz="4" w:space="0"/>
            </w:tcBorders>
            <w:tcMar>
              <w:left w:w="0" w:type="dxa"/>
              <w:right w:w="0" w:type="dxa"/>
            </w:tcMar>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rPr>
              <w:t>尾矿库产生的粉尘</w:t>
            </w:r>
            <w:r>
              <w:rPr>
                <w:rFonts w:hint="default" w:ascii="Times New Roman" w:hAnsi="Times New Roman" w:eastAsia="宋体" w:cs="Times New Roman"/>
                <w:bCs/>
                <w:color w:val="auto"/>
                <w:sz w:val="21"/>
                <w:szCs w:val="21"/>
                <w:highlight w:val="none"/>
                <w:lang w:eastAsia="zh-CN"/>
              </w:rPr>
              <w:t>采用洒水车、水管进行</w:t>
            </w:r>
            <w:r>
              <w:rPr>
                <w:rFonts w:hint="default" w:ascii="Times New Roman" w:hAnsi="Times New Roman" w:eastAsia="宋体" w:cs="Times New Roman"/>
                <w:bCs/>
                <w:color w:val="auto"/>
                <w:sz w:val="21"/>
                <w:szCs w:val="21"/>
                <w:highlight w:val="none"/>
              </w:rPr>
              <w:t>洒水降尘。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1" w:type="pct"/>
            <w:vMerge w:val="continue"/>
            <w:tcBorders>
              <w:left w:val="single" w:color="auto" w:sz="4" w:space="0"/>
            </w:tcBorders>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924" w:type="pct"/>
            <w:gridSpan w:val="2"/>
            <w:tcMar>
              <w:left w:w="0" w:type="dxa"/>
              <w:right w:w="0" w:type="dxa"/>
            </w:tcMar>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废水</w:t>
            </w:r>
          </w:p>
        </w:tc>
        <w:tc>
          <w:tcPr>
            <w:tcW w:w="3614" w:type="pct"/>
            <w:tcBorders>
              <w:right w:val="single" w:color="auto" w:sz="4" w:space="0"/>
            </w:tcBorders>
            <w:tcMar>
              <w:left w:w="0" w:type="dxa"/>
              <w:right w:w="0"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420" w:firstLineChars="200"/>
              <w:jc w:val="left"/>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尾矿库内的水通过消力池、回水池及输水管线输送到选矿厂作为生产用水。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1" w:type="pct"/>
            <w:vMerge w:val="continue"/>
            <w:tcBorders>
              <w:left w:val="single" w:color="auto" w:sz="4" w:space="0"/>
            </w:tcBorders>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924" w:type="pct"/>
            <w:gridSpan w:val="2"/>
            <w:tcMar>
              <w:left w:w="0" w:type="dxa"/>
              <w:right w:w="0" w:type="dxa"/>
            </w:tcMar>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噪声</w:t>
            </w:r>
          </w:p>
        </w:tc>
        <w:tc>
          <w:tcPr>
            <w:tcW w:w="3614" w:type="pct"/>
            <w:tcBorders>
              <w:right w:val="single" w:color="auto" w:sz="4" w:space="0"/>
            </w:tcBorders>
            <w:tcMar>
              <w:left w:w="0" w:type="dxa"/>
              <w:right w:w="0" w:type="dxa"/>
            </w:tcMar>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采用低噪声设备、泵房隔声等措施。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1" w:type="pct"/>
            <w:vMerge w:val="continue"/>
            <w:tcBorders>
              <w:left w:val="single" w:color="auto" w:sz="4" w:space="0"/>
            </w:tcBorders>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924" w:type="pct"/>
            <w:gridSpan w:val="2"/>
            <w:tcMar>
              <w:left w:w="0" w:type="dxa"/>
              <w:right w:w="0" w:type="dxa"/>
            </w:tcMar>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固废</w:t>
            </w:r>
          </w:p>
        </w:tc>
        <w:tc>
          <w:tcPr>
            <w:tcW w:w="3614" w:type="pct"/>
            <w:tcBorders>
              <w:right w:val="single" w:color="auto" w:sz="4" w:space="0"/>
            </w:tcBorders>
            <w:tcMar>
              <w:left w:w="0" w:type="dxa"/>
              <w:right w:w="0" w:type="dxa"/>
            </w:tcMar>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选矿</w:t>
            </w:r>
            <w:r>
              <w:rPr>
                <w:rFonts w:hint="default" w:ascii="Times New Roman" w:hAnsi="Times New Roman" w:eastAsia="宋体" w:cs="Times New Roman"/>
                <w:color w:val="auto"/>
                <w:sz w:val="21"/>
                <w:szCs w:val="21"/>
                <w:highlight w:val="none"/>
                <w:lang w:eastAsia="zh-CN"/>
              </w:rPr>
              <w:t>尾矿砂</w:t>
            </w:r>
            <w:r>
              <w:rPr>
                <w:rFonts w:hint="default" w:ascii="Times New Roman" w:hAnsi="Times New Roman" w:eastAsia="宋体" w:cs="Times New Roman"/>
                <w:color w:val="auto"/>
                <w:sz w:val="21"/>
                <w:szCs w:val="21"/>
                <w:highlight w:val="none"/>
              </w:rPr>
              <w:t>为I类一般工业固废</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排至尾矿库堆存。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1" w:type="pct"/>
            <w:vMerge w:val="continue"/>
            <w:tcBorders>
              <w:left w:val="single" w:color="auto" w:sz="4" w:space="0"/>
            </w:tcBorders>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924" w:type="pct"/>
            <w:gridSpan w:val="2"/>
            <w:tcMar>
              <w:left w:w="0" w:type="dxa"/>
              <w:right w:w="0" w:type="dxa"/>
            </w:tcMar>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生态</w:t>
            </w:r>
          </w:p>
        </w:tc>
        <w:tc>
          <w:tcPr>
            <w:tcW w:w="3614" w:type="pct"/>
            <w:tcBorders>
              <w:right w:val="single" w:color="auto" w:sz="4" w:space="0"/>
            </w:tcBorders>
            <w:tcMar>
              <w:left w:w="0" w:type="dxa"/>
              <w:right w:w="0" w:type="dxa"/>
            </w:tcMar>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服务期满后</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按照《一般工业固体废物贮存和填埋污染控制标准》（GB18599-2020</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的</w:t>
            </w:r>
            <w:r>
              <w:rPr>
                <w:rFonts w:hint="default" w:ascii="Times New Roman" w:hAnsi="Times New Roman" w:eastAsia="宋体" w:cs="Times New Roman"/>
                <w:color w:val="auto"/>
                <w:sz w:val="21"/>
                <w:szCs w:val="21"/>
                <w:highlight w:val="none"/>
              </w:rPr>
              <w:fldChar w:fldCharType="begin"/>
            </w:r>
            <w:r>
              <w:rPr>
                <w:rFonts w:hint="default" w:ascii="Times New Roman" w:hAnsi="Times New Roman" w:eastAsia="宋体" w:cs="Times New Roman"/>
                <w:color w:val="auto"/>
                <w:sz w:val="21"/>
                <w:szCs w:val="21"/>
                <w:highlight w:val="none"/>
              </w:rPr>
              <w:instrText xml:space="preserve"> = 2 \* ROMAN \* MERGEFORMAT </w:instrText>
            </w:r>
            <w:r>
              <w:rPr>
                <w:rFonts w:hint="default" w:ascii="Times New Roman" w:hAnsi="Times New Roman" w:eastAsia="宋体" w:cs="Times New Roman"/>
                <w:color w:val="auto"/>
                <w:sz w:val="21"/>
                <w:szCs w:val="21"/>
                <w:highlight w:val="none"/>
              </w:rPr>
              <w:fldChar w:fldCharType="separate"/>
            </w:r>
            <w:r>
              <w:rPr>
                <w:rFonts w:hint="default" w:ascii="Times New Roman" w:hAnsi="Times New Roman" w:eastAsia="宋体" w:cs="Times New Roman"/>
                <w:color w:val="auto"/>
                <w:sz w:val="21"/>
                <w:szCs w:val="21"/>
                <w:highlight w:val="none"/>
                <w:lang w:eastAsia="zh-CN"/>
              </w:rPr>
              <w:t>Ⅱ</w:t>
            </w:r>
            <w:r>
              <w:rPr>
                <w:rFonts w:hint="default" w:ascii="Times New Roman" w:hAnsi="Times New Roman" w:eastAsia="宋体" w:cs="Times New Roman"/>
                <w:color w:val="auto"/>
                <w:sz w:val="21"/>
                <w:szCs w:val="21"/>
                <w:highlight w:val="none"/>
              </w:rPr>
              <w:fldChar w:fldCharType="end"/>
            </w:r>
            <w:r>
              <w:rPr>
                <w:rFonts w:hint="default" w:ascii="Times New Roman" w:hAnsi="Times New Roman" w:eastAsia="宋体" w:cs="Times New Roman"/>
                <w:color w:val="auto"/>
                <w:sz w:val="21"/>
                <w:szCs w:val="21"/>
                <w:highlight w:val="none"/>
              </w:rPr>
              <w:t>类场要求</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进行封场闭库</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表层采取固土和覆土措施</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撒播草种及时进行复垦恢复植被。</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1" w:type="pct"/>
            <w:vMerge w:val="continue"/>
            <w:tcBorders>
              <w:left w:val="single" w:color="auto" w:sz="4" w:space="0"/>
            </w:tcBorders>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924" w:type="pct"/>
            <w:gridSpan w:val="2"/>
            <w:tcMar>
              <w:left w:w="0" w:type="dxa"/>
              <w:right w:w="0" w:type="dxa"/>
            </w:tcMar>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风险</w:t>
            </w:r>
          </w:p>
        </w:tc>
        <w:tc>
          <w:tcPr>
            <w:tcW w:w="3614" w:type="pct"/>
            <w:tcBorders>
              <w:right w:val="single" w:color="auto" w:sz="4" w:space="0"/>
            </w:tcBorders>
            <w:tcMar>
              <w:left w:w="0" w:type="dxa"/>
              <w:right w:w="0" w:type="dxa"/>
            </w:tcMar>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设有排水涵管、排渗系统、安全观测设施等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1" w:type="pct"/>
            <w:vMerge w:val="continue"/>
            <w:tcBorders>
              <w:left w:val="single" w:color="auto" w:sz="4" w:space="0"/>
              <w:bottom w:val="single" w:color="auto" w:sz="4" w:space="0"/>
            </w:tcBorders>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924" w:type="pct"/>
            <w:gridSpan w:val="2"/>
            <w:tcBorders>
              <w:bottom w:val="single" w:color="auto" w:sz="4" w:space="0"/>
            </w:tcBorders>
            <w:tcMar>
              <w:left w:w="0" w:type="dxa"/>
              <w:right w:w="0" w:type="dxa"/>
            </w:tcMar>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防渗</w:t>
            </w:r>
          </w:p>
        </w:tc>
        <w:tc>
          <w:tcPr>
            <w:tcW w:w="3614" w:type="pct"/>
            <w:tcBorders>
              <w:bottom w:val="single" w:color="auto" w:sz="4" w:space="0"/>
              <w:right w:val="single" w:color="auto" w:sz="4" w:space="0"/>
            </w:tcBorders>
            <w:tcMar>
              <w:left w:w="0" w:type="dxa"/>
              <w:right w:w="0" w:type="dxa"/>
            </w:tcMar>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现有尾矿库区：根据《监理报告》可知：现有</w:t>
            </w:r>
            <w:r>
              <w:rPr>
                <w:rFonts w:hint="default" w:ascii="Times New Roman" w:hAnsi="Times New Roman" w:eastAsia="宋体" w:cs="Times New Roman"/>
                <w:color w:val="auto"/>
                <w:sz w:val="21"/>
                <w:szCs w:val="21"/>
                <w:highlight w:val="none"/>
                <w:lang w:eastAsia="zh-CN"/>
              </w:rPr>
              <w:t>尾矿库库底和边坡同样做防渗层，铺设300mm厚级配沙砾石过渡层，300mm厚粘土层（渗透系数不大于10</w:t>
            </w:r>
            <w:r>
              <w:rPr>
                <w:rFonts w:hint="default" w:ascii="Times New Roman" w:hAnsi="Times New Roman" w:eastAsia="宋体" w:cs="Times New Roman"/>
                <w:color w:val="auto"/>
                <w:sz w:val="21"/>
                <w:szCs w:val="21"/>
                <w:highlight w:val="none"/>
                <w:vertAlign w:val="superscript"/>
                <w:lang w:eastAsia="zh-CN"/>
              </w:rPr>
              <w:t>-7</w:t>
            </w:r>
            <w:r>
              <w:rPr>
                <w:rFonts w:hint="default" w:ascii="Times New Roman" w:hAnsi="Times New Roman" w:eastAsia="宋体" w:cs="Times New Roman"/>
                <w:color w:val="auto"/>
                <w:sz w:val="21"/>
                <w:szCs w:val="21"/>
                <w:highlight w:val="none"/>
                <w:lang w:eastAsia="zh-CN"/>
              </w:rPr>
              <w:t>cm/s），1.5mmHDPE土工膜，300mm厚细砂保护层，300mm砂砾石保护层（粒径4-6cm）；初期坝坝体上游坡</w:t>
            </w:r>
            <w:r>
              <w:rPr>
                <w:rFonts w:hint="default" w:ascii="Times New Roman" w:hAnsi="Times New Roman" w:eastAsia="宋体" w:cs="Times New Roman"/>
                <w:color w:val="auto"/>
                <w:sz w:val="21"/>
                <w:szCs w:val="21"/>
                <w:highlight w:val="none"/>
                <w:lang w:val="en-US" w:eastAsia="zh-CN"/>
              </w:rPr>
              <w:t>铺设400mm厚粗砂垫层，然后铺设</w:t>
            </w:r>
            <w:r>
              <w:rPr>
                <w:rFonts w:hint="default" w:ascii="Times New Roman" w:hAnsi="Times New Roman" w:eastAsia="宋体" w:cs="Times New Roman"/>
                <w:color w:val="auto"/>
                <w:sz w:val="21"/>
                <w:szCs w:val="21"/>
                <w:highlight w:val="none"/>
                <w:lang w:eastAsia="zh-CN"/>
              </w:rPr>
              <w:t>500g/m</w:t>
            </w:r>
            <w:r>
              <w:rPr>
                <w:rFonts w:hint="default" w:ascii="Times New Roman" w:hAnsi="Times New Roman" w:eastAsia="宋体" w:cs="Times New Roman"/>
                <w:color w:val="auto"/>
                <w:sz w:val="21"/>
                <w:szCs w:val="21"/>
                <w:highlight w:val="none"/>
                <w:vertAlign w:val="superscript"/>
                <w:lang w:eastAsia="zh-CN"/>
              </w:rPr>
              <w:t>2</w:t>
            </w:r>
            <w:r>
              <w:rPr>
                <w:rFonts w:hint="default" w:ascii="Times New Roman" w:hAnsi="Times New Roman" w:eastAsia="宋体" w:cs="Times New Roman"/>
                <w:color w:val="auto"/>
                <w:sz w:val="21"/>
                <w:szCs w:val="21"/>
                <w:highlight w:val="none"/>
                <w:lang w:val="en-US" w:eastAsia="zh-CN"/>
              </w:rPr>
              <w:t>加筋土工布，最上面铺500mm厚天然砂砾石保护层。</w:t>
            </w:r>
          </w:p>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highlight w:val="none"/>
                <w:lang w:val="en-US" w:eastAsia="zh-CN"/>
              </w:rPr>
              <w:t>消力池和</w:t>
            </w:r>
            <w:r>
              <w:rPr>
                <w:rFonts w:hint="default" w:ascii="Times New Roman" w:hAnsi="Times New Roman" w:eastAsia="宋体" w:cs="Times New Roman"/>
                <w:color w:val="auto"/>
                <w:sz w:val="21"/>
                <w:szCs w:val="21"/>
                <w:highlight w:val="none"/>
                <w:lang w:eastAsia="zh-CN"/>
              </w:rPr>
              <w:t>回水池坝体内侧及整个水池底部全部采用</w:t>
            </w:r>
            <w:r>
              <w:rPr>
                <w:rFonts w:hint="default" w:ascii="Times New Roman" w:hAnsi="Times New Roman" w:eastAsia="宋体" w:cs="Times New Roman"/>
                <w:color w:val="auto"/>
                <w:sz w:val="21"/>
                <w:szCs w:val="21"/>
                <w:highlight w:val="none"/>
                <w:lang w:val="en-US" w:eastAsia="zh-CN"/>
              </w:rPr>
              <w:t>C30抗渗等级P6混凝土。</w:t>
            </w:r>
          </w:p>
        </w:tc>
      </w:tr>
    </w:tbl>
    <w:p>
      <w:pPr>
        <w:pStyle w:val="5"/>
        <w:pageBreakBefore w:val="0"/>
        <w:numPr>
          <w:ilvl w:val="2"/>
          <w:numId w:val="0"/>
        </w:numPr>
        <w:wordWrap/>
        <w:bidi w:val="0"/>
        <w:adjustRightInd w:val="0"/>
        <w:snapToGrid w:val="0"/>
        <w:ind w:left="0" w:leftChars="0" w:right="0" w:rightChars="0"/>
        <w:outlineLvl w:val="1"/>
        <w:rPr>
          <w:rFonts w:hint="default" w:ascii="Times New Roman" w:hAnsi="Times New Roman" w:eastAsia="宋体" w:cs="Times New Roman"/>
          <w:b/>
          <w:bCs/>
          <w:color w:val="auto"/>
          <w:highlight w:val="none"/>
        </w:rPr>
      </w:pPr>
      <w:bookmarkStart w:id="300" w:name="_Toc24058"/>
      <w:bookmarkStart w:id="301" w:name="_Toc10471"/>
      <w:bookmarkStart w:id="302" w:name="_Toc17107"/>
      <w:r>
        <w:rPr>
          <w:rFonts w:hint="default" w:ascii="Times New Roman" w:hAnsi="Times New Roman" w:eastAsia="宋体" w:cs="Times New Roman"/>
          <w:b/>
          <w:bCs/>
          <w:i w:val="0"/>
          <w:iCs w:val="0"/>
          <w:caps w:val="0"/>
          <w:smallCaps w:val="0"/>
          <w:strike w:val="0"/>
          <w:dstrike w:val="0"/>
          <w:vanish w:val="0"/>
          <w:color w:val="auto"/>
          <w:spacing w:val="0"/>
          <w:kern w:val="2"/>
          <w:position w:val="0"/>
          <w:sz w:val="24"/>
          <w:szCs w:val="24"/>
          <w:highlight w:val="none"/>
          <w:u w:val="none"/>
          <w:vertAlign w:val="baseline"/>
          <w:lang w:val="en-US" w:eastAsia="zh-CN" w:bidi="ar-SA"/>
          <w14:shadow w14:blurRad="0" w14:dist="0" w14:dir="0" w14:sx="0" w14:sy="0" w14:kx="0" w14:ky="0" w14:algn="none">
            <w14:srgbClr w14:val="000000"/>
          </w14:shadow>
        </w:rPr>
        <w:t>2.2.2</w:t>
      </w:r>
      <w:r>
        <w:rPr>
          <w:rFonts w:hint="default" w:ascii="Times New Roman" w:hAnsi="Times New Roman" w:eastAsia="宋体" w:cs="Times New Roman"/>
          <w:b/>
          <w:bCs/>
          <w:color w:val="auto"/>
          <w:highlight w:val="none"/>
        </w:rPr>
        <w:t>尾矿库相关设计参数</w:t>
      </w:r>
      <w:bookmarkEnd w:id="300"/>
      <w:bookmarkEnd w:id="301"/>
      <w:bookmarkEnd w:id="302"/>
    </w:p>
    <w:p>
      <w:pPr>
        <w:pageBreakBefore w:val="0"/>
        <w:wordWrap/>
        <w:bidi w:val="0"/>
        <w:spacing w:line="360" w:lineRule="auto"/>
        <w:ind w:left="0" w:leftChars="0" w:right="0" w:rightChars="0"/>
        <w:outlineLvl w:val="2"/>
        <w:rPr>
          <w:rFonts w:hint="default" w:ascii="Times New Roman" w:hAnsi="Times New Roman" w:eastAsia="宋体" w:cs="Times New Roman"/>
          <w:b/>
          <w:bCs/>
          <w:color w:val="auto"/>
          <w:sz w:val="24"/>
          <w:highlight w:val="none"/>
        </w:rPr>
      </w:pPr>
      <w:bookmarkStart w:id="303" w:name="_Toc13562"/>
      <w:bookmarkStart w:id="304" w:name="_Toc7968"/>
      <w:r>
        <w:rPr>
          <w:rFonts w:hint="default" w:ascii="Times New Roman" w:hAnsi="Times New Roman" w:eastAsia="宋体" w:cs="Times New Roman"/>
          <w:b/>
          <w:bCs/>
          <w:color w:val="auto"/>
          <w:sz w:val="24"/>
          <w:highlight w:val="none"/>
        </w:rPr>
        <w:t>2.2.2.1尾矿库原设计概况</w:t>
      </w:r>
      <w:bookmarkEnd w:id="303"/>
      <w:bookmarkEnd w:id="304"/>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lang w:eastAsia="zh-CN"/>
        </w:rPr>
      </w:pPr>
      <w:bookmarkStart w:id="305" w:name="_Hlk124427991"/>
      <w:r>
        <w:rPr>
          <w:rFonts w:hint="default" w:ascii="Times New Roman" w:hAnsi="Times New Roman" w:eastAsia="宋体" w:cs="Times New Roman"/>
          <w:color w:val="auto"/>
          <w:sz w:val="24"/>
          <w:highlight w:val="none"/>
        </w:rPr>
        <w:t>2017年5月，沈阳有色冶金设计研究院编制了《内蒙古自治区乌拉特前旗西沙德盖钼业有限责任公司10000t/d钼矿采选扩建尾矿库工程安全设施设计》。尾矿库原设计总坝高为88m，总库容为965.78万m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等别为三等。其库内主要构筑物有初期坝、副坝、堆积坝、排水系统、排渗设施、防渗设施、安全观测设施等。2020年6月，海湾工程有限公司编制了《内蒙古自治区乌拉特前旗西沙德盖钼业有限责任公司10000t/d钼矿采选扩建尾矿库技改工程安全设施设计》。尾矿库技改设计总坝高为88m，总库容为1219.53万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等别为三等。服务年限为6.7年。技改设计对尾矿库堆积坝及相关附属设施方案进行调整，具体内容包括堆积坝、副坝、排渗、监测设施、坝面及坝肩排水沟等，初期坝、排水设施、库区防渗、输送及回水设施不变。</w:t>
      </w:r>
    </w:p>
    <w:bookmarkEnd w:id="305"/>
    <w:p>
      <w:pPr>
        <w:pageBreakBefore w:val="0"/>
        <w:wordWrap/>
        <w:bidi w:val="0"/>
        <w:spacing w:line="360" w:lineRule="auto"/>
        <w:ind w:left="0" w:leftChars="0" w:right="0" w:rightChars="0" w:firstLine="480" w:firstLineChars="200"/>
        <w:outlineLvl w:val="0"/>
        <w:rPr>
          <w:rFonts w:hint="default" w:ascii="Times New Roman" w:hAnsi="Times New Roman" w:eastAsia="宋体" w:cs="Times New Roman"/>
          <w:color w:val="auto"/>
          <w:sz w:val="24"/>
          <w:highlight w:val="none"/>
        </w:rPr>
      </w:pPr>
      <w:bookmarkStart w:id="306" w:name="_Toc20727"/>
      <w:bookmarkStart w:id="307" w:name="_Toc26340"/>
      <w:r>
        <w:rPr>
          <w:rFonts w:hint="default" w:ascii="Times New Roman" w:hAnsi="Times New Roman" w:eastAsia="宋体" w:cs="Times New Roman"/>
          <w:color w:val="auto"/>
          <w:sz w:val="24"/>
          <w:highlight w:val="none"/>
        </w:rPr>
        <w:t>（1</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初期坝</w:t>
      </w:r>
      <w:bookmarkEnd w:id="306"/>
      <w:bookmarkEnd w:id="307"/>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初期坝坝体为不透水堆石坝</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坝顶标高1405m</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坝底标高1366m</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坝高39m</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坝顶宽5m。初期坝内、外坡比均为1</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2.0。</w:t>
      </w:r>
      <w:r>
        <w:rPr>
          <w:rFonts w:hint="default" w:ascii="Times New Roman" w:hAnsi="Times New Roman" w:eastAsia="宋体" w:cs="Times New Roman"/>
          <w:bCs/>
          <w:color w:val="auto"/>
          <w:sz w:val="24"/>
          <w:highlight w:val="none"/>
        </w:rPr>
        <w:t>上游坡采用两布一膜的防渗反滤组合层</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上层为500g/m</w:t>
      </w:r>
      <w:r>
        <w:rPr>
          <w:rFonts w:hint="default" w:ascii="Times New Roman" w:hAnsi="Times New Roman" w:eastAsia="宋体" w:cs="Times New Roman"/>
          <w:bCs/>
          <w:color w:val="auto"/>
          <w:sz w:val="24"/>
          <w:highlight w:val="none"/>
          <w:vertAlign w:val="superscript"/>
        </w:rPr>
        <w:t>2</w:t>
      </w:r>
      <w:r>
        <w:rPr>
          <w:rFonts w:hint="default" w:ascii="Times New Roman" w:hAnsi="Times New Roman" w:eastAsia="宋体" w:cs="Times New Roman"/>
          <w:bCs/>
          <w:color w:val="auto"/>
          <w:sz w:val="24"/>
          <w:highlight w:val="none"/>
        </w:rPr>
        <w:t>土工布、中间层为HDPE土工膜、下层为500g/m</w:t>
      </w:r>
      <w:r>
        <w:rPr>
          <w:rFonts w:hint="default" w:ascii="Times New Roman" w:hAnsi="Times New Roman" w:eastAsia="宋体" w:cs="Times New Roman"/>
          <w:bCs/>
          <w:color w:val="auto"/>
          <w:sz w:val="24"/>
          <w:highlight w:val="none"/>
          <w:vertAlign w:val="superscript"/>
        </w:rPr>
        <w:t>2</w:t>
      </w:r>
      <w:r>
        <w:rPr>
          <w:rFonts w:hint="default" w:ascii="Times New Roman" w:hAnsi="Times New Roman" w:eastAsia="宋体" w:cs="Times New Roman"/>
          <w:bCs/>
          <w:color w:val="auto"/>
          <w:sz w:val="24"/>
          <w:highlight w:val="none"/>
        </w:rPr>
        <w:t>土工布。</w:t>
      </w:r>
    </w:p>
    <w:p>
      <w:pPr>
        <w:pageBreakBefore w:val="0"/>
        <w:wordWrap/>
        <w:bidi w:val="0"/>
        <w:spacing w:line="360" w:lineRule="auto"/>
        <w:ind w:left="0" w:leftChars="0" w:right="0" w:rightChars="0" w:firstLine="480" w:firstLineChars="200"/>
        <w:outlineLvl w:val="0"/>
        <w:rPr>
          <w:rFonts w:hint="default" w:ascii="Times New Roman" w:hAnsi="Times New Roman" w:eastAsia="宋体" w:cs="Times New Roman"/>
          <w:color w:val="auto"/>
          <w:sz w:val="24"/>
          <w:highlight w:val="none"/>
        </w:rPr>
      </w:pPr>
      <w:bookmarkStart w:id="308" w:name="_Toc13536"/>
      <w:bookmarkStart w:id="309" w:name="_Toc9656"/>
      <w:bookmarkStart w:id="310" w:name="_Hlk124428333"/>
      <w:r>
        <w:rPr>
          <w:rFonts w:hint="default" w:ascii="Times New Roman" w:hAnsi="Times New Roman" w:eastAsia="宋体" w:cs="Times New Roman"/>
          <w:color w:val="auto"/>
          <w:sz w:val="24"/>
          <w:highlight w:val="none"/>
        </w:rPr>
        <w:t>（2</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堆积坝</w:t>
      </w:r>
      <w:bookmarkEnd w:id="308"/>
      <w:bookmarkEnd w:id="309"/>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szCs w:val="32"/>
          <w:highlight w:val="none"/>
        </w:rPr>
      </w:pPr>
      <w:r>
        <w:rPr>
          <w:rFonts w:hint="default" w:ascii="Times New Roman" w:hAnsi="Times New Roman" w:eastAsia="宋体" w:cs="Times New Roman"/>
          <w:color w:val="auto"/>
          <w:sz w:val="24"/>
          <w:szCs w:val="32"/>
          <w:highlight w:val="none"/>
        </w:rPr>
        <w:t>设计堆积坝初期开始即采用三面放矿</w:t>
      </w:r>
      <w:r>
        <w:rPr>
          <w:rFonts w:hint="default"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rPr>
        <w:t>堆积坝紧邻初期坝堆筑</w:t>
      </w:r>
      <w:r>
        <w:rPr>
          <w:rFonts w:hint="default"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rPr>
        <w:t>不再向库内移动210m</w:t>
      </w:r>
      <w:r>
        <w:rPr>
          <w:rFonts w:hint="default"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rPr>
        <w:t>尾矿库最终堆积标高不变</w:t>
      </w:r>
      <w:r>
        <w:rPr>
          <w:rFonts w:hint="default"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rPr>
        <w:t>仍为1454.0m</w:t>
      </w:r>
      <w:r>
        <w:rPr>
          <w:rFonts w:hint="default"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rPr>
        <w:t>堆积高度49m</w:t>
      </w:r>
      <w:r>
        <w:rPr>
          <w:rFonts w:hint="default"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rPr>
        <w:t>尾矿库总堆高88m。堆积坝最终外坡比仍采用1</w:t>
      </w:r>
      <w:r>
        <w:rPr>
          <w:rFonts w:hint="default"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rPr>
        <w:t>4。</w:t>
      </w:r>
    </w:p>
    <w:p>
      <w:pPr>
        <w:pageBreakBefore w:val="0"/>
        <w:wordWrap/>
        <w:bidi w:val="0"/>
        <w:spacing w:line="360" w:lineRule="auto"/>
        <w:ind w:left="0" w:leftChars="0" w:right="0" w:rightChars="0" w:firstLine="480" w:firstLineChars="200"/>
        <w:outlineLvl w:val="0"/>
        <w:rPr>
          <w:rFonts w:hint="default" w:ascii="Times New Roman" w:hAnsi="Times New Roman" w:eastAsia="宋体" w:cs="Times New Roman"/>
          <w:color w:val="auto"/>
          <w:sz w:val="24"/>
          <w:szCs w:val="32"/>
          <w:highlight w:val="none"/>
        </w:rPr>
      </w:pPr>
      <w:bookmarkStart w:id="311" w:name="_Toc14348"/>
      <w:bookmarkStart w:id="312" w:name="_Toc25208"/>
      <w:r>
        <w:rPr>
          <w:rFonts w:hint="default" w:ascii="Times New Roman" w:hAnsi="Times New Roman" w:eastAsia="宋体" w:cs="Times New Roman"/>
          <w:color w:val="auto"/>
          <w:sz w:val="24"/>
          <w:szCs w:val="32"/>
          <w:highlight w:val="none"/>
        </w:rPr>
        <w:t>（3</w:t>
      </w:r>
      <w:r>
        <w:rPr>
          <w:rFonts w:hint="default"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rPr>
        <w:t>副坝</w:t>
      </w:r>
      <w:bookmarkEnd w:id="311"/>
      <w:bookmarkEnd w:id="312"/>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szCs w:val="32"/>
          <w:highlight w:val="none"/>
        </w:rPr>
      </w:pPr>
      <w:r>
        <w:rPr>
          <w:rFonts w:hint="default" w:ascii="Times New Roman" w:hAnsi="Times New Roman" w:eastAsia="宋体" w:cs="Times New Roman"/>
          <w:color w:val="auto"/>
          <w:sz w:val="24"/>
          <w:szCs w:val="32"/>
          <w:highlight w:val="none"/>
        </w:rPr>
        <w:t>在临近初期坝的东南侧山脊及库区尾部西侧山脊各修建一道副坝</w:t>
      </w:r>
      <w:r>
        <w:rPr>
          <w:rFonts w:hint="default"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rPr>
        <w:t>1#副坝为堆石坝</w:t>
      </w:r>
      <w:r>
        <w:rPr>
          <w:rFonts w:hint="default"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rPr>
        <w:t>顶标高1410.0m</w:t>
      </w:r>
      <w:r>
        <w:rPr>
          <w:rFonts w:hint="default"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rPr>
        <w:t>顶宽3.0m</w:t>
      </w:r>
      <w:r>
        <w:rPr>
          <w:rFonts w:hint="default"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rPr>
        <w:t>坝轴线长92.0m</w:t>
      </w:r>
      <w:r>
        <w:rPr>
          <w:rFonts w:hint="default"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rPr>
        <w:t>坝高5.0m</w:t>
      </w:r>
      <w:r>
        <w:rPr>
          <w:rFonts w:hint="default"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rPr>
        <w:t>内外坡比为1</w:t>
      </w:r>
      <w:r>
        <w:rPr>
          <w:rFonts w:hint="default"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rPr>
        <w:t>1.5</w:t>
      </w:r>
      <w:r>
        <w:rPr>
          <w:rFonts w:hint="default"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rPr>
        <w:t>内坡设置两布一膜防渗层</w:t>
      </w:r>
      <w:r>
        <w:rPr>
          <w:rFonts w:hint="default"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rPr>
        <w:t>上层为500g/m</w:t>
      </w:r>
      <w:r>
        <w:rPr>
          <w:rFonts w:hint="default" w:ascii="Times New Roman" w:hAnsi="Times New Roman" w:eastAsia="宋体" w:cs="Times New Roman"/>
          <w:color w:val="auto"/>
          <w:sz w:val="24"/>
          <w:szCs w:val="32"/>
          <w:highlight w:val="none"/>
          <w:vertAlign w:val="superscript"/>
        </w:rPr>
        <w:t>2</w:t>
      </w:r>
      <w:r>
        <w:rPr>
          <w:rFonts w:hint="default" w:ascii="Times New Roman" w:hAnsi="Times New Roman" w:eastAsia="宋体" w:cs="Times New Roman"/>
          <w:color w:val="auto"/>
          <w:sz w:val="24"/>
          <w:szCs w:val="32"/>
          <w:highlight w:val="none"/>
        </w:rPr>
        <w:t>土工布、中间层为1.5HDPE土工膜、下层为500g/m</w:t>
      </w:r>
      <w:r>
        <w:rPr>
          <w:rFonts w:hint="default" w:ascii="Times New Roman" w:hAnsi="Times New Roman" w:eastAsia="宋体" w:cs="Times New Roman"/>
          <w:color w:val="auto"/>
          <w:sz w:val="24"/>
          <w:szCs w:val="32"/>
          <w:highlight w:val="none"/>
          <w:vertAlign w:val="superscript"/>
        </w:rPr>
        <w:t>2</w:t>
      </w:r>
      <w:r>
        <w:rPr>
          <w:rFonts w:hint="default" w:ascii="Times New Roman" w:hAnsi="Times New Roman" w:eastAsia="宋体" w:cs="Times New Roman"/>
          <w:color w:val="auto"/>
          <w:sz w:val="24"/>
          <w:szCs w:val="32"/>
          <w:highlight w:val="none"/>
        </w:rPr>
        <w:t>土工布</w:t>
      </w:r>
      <w:r>
        <w:rPr>
          <w:rFonts w:hint="default"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rPr>
        <w:t>土工布上、下各铺一层300mm厚砂砾石保护层。</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szCs w:val="32"/>
          <w:highlight w:val="none"/>
        </w:rPr>
      </w:pPr>
      <w:r>
        <w:rPr>
          <w:rFonts w:hint="default" w:ascii="Times New Roman" w:hAnsi="Times New Roman" w:eastAsia="宋体" w:cs="Times New Roman"/>
          <w:color w:val="auto"/>
          <w:sz w:val="24"/>
          <w:szCs w:val="32"/>
          <w:highlight w:val="none"/>
        </w:rPr>
        <w:t>2#副坝为堆石坝</w:t>
      </w:r>
      <w:r>
        <w:rPr>
          <w:rFonts w:hint="default"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rPr>
        <w:t>顶标高1454.0m</w:t>
      </w:r>
      <w:r>
        <w:rPr>
          <w:rFonts w:hint="default"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rPr>
        <w:t>顶宽3.0m</w:t>
      </w:r>
      <w:r>
        <w:rPr>
          <w:rFonts w:hint="default"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rPr>
        <w:t>坝轴线长28.0m</w:t>
      </w:r>
      <w:r>
        <w:rPr>
          <w:rFonts w:hint="default"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rPr>
        <w:t>坝高3.0m</w:t>
      </w:r>
      <w:r>
        <w:rPr>
          <w:rFonts w:hint="default"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rPr>
        <w:t>内外坡比为1</w:t>
      </w:r>
      <w:r>
        <w:rPr>
          <w:rFonts w:hint="default"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rPr>
        <w:t>1.5</w:t>
      </w:r>
      <w:r>
        <w:rPr>
          <w:rFonts w:hint="default"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rPr>
        <w:t>内坡设置两布一膜防渗层</w:t>
      </w:r>
      <w:r>
        <w:rPr>
          <w:rFonts w:hint="default"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rPr>
        <w:t>上层为500g/m</w:t>
      </w:r>
      <w:r>
        <w:rPr>
          <w:rFonts w:hint="default" w:ascii="Times New Roman" w:hAnsi="Times New Roman" w:eastAsia="宋体" w:cs="Times New Roman"/>
          <w:color w:val="auto"/>
          <w:sz w:val="24"/>
          <w:szCs w:val="32"/>
          <w:highlight w:val="none"/>
          <w:vertAlign w:val="superscript"/>
        </w:rPr>
        <w:t>2</w:t>
      </w:r>
      <w:r>
        <w:rPr>
          <w:rFonts w:hint="default" w:ascii="Times New Roman" w:hAnsi="Times New Roman" w:eastAsia="宋体" w:cs="Times New Roman"/>
          <w:color w:val="auto"/>
          <w:sz w:val="24"/>
          <w:szCs w:val="32"/>
          <w:highlight w:val="none"/>
        </w:rPr>
        <w:t>土工布、中间层为1.5HDPE土工膜、下层为500g/m</w:t>
      </w:r>
      <w:r>
        <w:rPr>
          <w:rFonts w:hint="default" w:ascii="Times New Roman" w:hAnsi="Times New Roman" w:eastAsia="宋体" w:cs="Times New Roman"/>
          <w:color w:val="auto"/>
          <w:sz w:val="24"/>
          <w:szCs w:val="32"/>
          <w:highlight w:val="none"/>
          <w:vertAlign w:val="superscript"/>
        </w:rPr>
        <w:t>2</w:t>
      </w:r>
      <w:r>
        <w:rPr>
          <w:rFonts w:hint="default" w:ascii="Times New Roman" w:hAnsi="Times New Roman" w:eastAsia="宋体" w:cs="Times New Roman"/>
          <w:color w:val="auto"/>
          <w:sz w:val="24"/>
          <w:szCs w:val="32"/>
          <w:highlight w:val="none"/>
        </w:rPr>
        <w:t>土工布</w:t>
      </w:r>
      <w:r>
        <w:rPr>
          <w:rFonts w:hint="default"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rPr>
        <w:t>土工布上、下各铺一层300mm厚砂砾石保护层。</w:t>
      </w:r>
    </w:p>
    <w:bookmarkEnd w:id="310"/>
    <w:p>
      <w:pPr>
        <w:pageBreakBefore w:val="0"/>
        <w:wordWrap/>
        <w:bidi w:val="0"/>
        <w:spacing w:line="360" w:lineRule="auto"/>
        <w:ind w:left="0" w:leftChars="0" w:right="0" w:rightChars="0" w:firstLine="480" w:firstLineChars="200"/>
        <w:outlineLvl w:val="0"/>
        <w:rPr>
          <w:rFonts w:hint="default" w:ascii="Times New Roman" w:hAnsi="Times New Roman" w:eastAsia="宋体" w:cs="Times New Roman"/>
          <w:color w:val="auto"/>
          <w:sz w:val="24"/>
          <w:szCs w:val="32"/>
          <w:highlight w:val="none"/>
        </w:rPr>
      </w:pPr>
      <w:bookmarkStart w:id="313" w:name="_Toc7088"/>
      <w:bookmarkStart w:id="314" w:name="_Toc4157"/>
      <w:r>
        <w:rPr>
          <w:rFonts w:hint="default" w:ascii="Times New Roman" w:hAnsi="Times New Roman" w:eastAsia="宋体" w:cs="Times New Roman"/>
          <w:color w:val="auto"/>
          <w:sz w:val="24"/>
          <w:szCs w:val="32"/>
          <w:highlight w:val="none"/>
        </w:rPr>
        <w:t>（4</w:t>
      </w:r>
      <w:r>
        <w:rPr>
          <w:rFonts w:hint="default"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rPr>
        <w:t>排水系统</w:t>
      </w:r>
      <w:bookmarkEnd w:id="313"/>
      <w:bookmarkEnd w:id="314"/>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尾矿库排水设施由</w:t>
      </w:r>
      <w:r>
        <w:rPr>
          <w:rFonts w:hint="default" w:ascii="Times New Roman" w:hAnsi="Times New Roman" w:eastAsia="宋体" w:cs="Times New Roman"/>
          <w:color w:val="auto"/>
          <w:sz w:val="24"/>
          <w:highlight w:val="none"/>
          <w:lang w:eastAsia="zh-CN"/>
        </w:rPr>
        <w:t>回水管</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eastAsia="zh-CN"/>
        </w:rPr>
        <w:t>溢流井</w:t>
      </w:r>
      <w:r>
        <w:rPr>
          <w:rFonts w:hint="default" w:ascii="Times New Roman" w:hAnsi="Times New Roman" w:eastAsia="宋体" w:cs="Times New Roman"/>
          <w:color w:val="auto"/>
          <w:sz w:val="24"/>
          <w:highlight w:val="none"/>
        </w:rPr>
        <w:t>、转流井、消力池等组成。</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eastAsia="zh-CN"/>
        </w:rPr>
        <w:t>回水管</w:t>
      </w:r>
      <w:r>
        <w:rPr>
          <w:rFonts w:hint="default" w:ascii="Times New Roman" w:hAnsi="Times New Roman" w:eastAsia="宋体" w:cs="Times New Roman"/>
          <w:color w:val="auto"/>
          <w:sz w:val="24"/>
          <w:highlight w:val="none"/>
        </w:rPr>
        <w:t>直径1.5m</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管线长1170m</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管线沿沟底布设</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采用现浇钢筋混凝土结构；</w:t>
      </w:r>
      <w:r>
        <w:rPr>
          <w:rFonts w:hint="default" w:ascii="Times New Roman" w:hAnsi="Times New Roman" w:eastAsia="宋体" w:cs="Times New Roman"/>
          <w:color w:val="auto"/>
          <w:sz w:val="24"/>
          <w:highlight w:val="none"/>
          <w:lang w:eastAsia="zh-CN"/>
        </w:rPr>
        <w:t>溢流井</w:t>
      </w:r>
      <w:r>
        <w:rPr>
          <w:rFonts w:hint="default" w:ascii="Times New Roman" w:hAnsi="Times New Roman" w:eastAsia="宋体" w:cs="Times New Roman"/>
          <w:color w:val="auto"/>
          <w:sz w:val="24"/>
          <w:highlight w:val="none"/>
        </w:rPr>
        <w:t>为框架式</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井架内径4.5m</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共5座</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采用现浇钢筋混凝土结构</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其中0号井井架高9.0m</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1号井井架高12.0m</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其它井架高18.0m。转流井1座</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采用现浇钢筋混凝土结构。</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尾矿库回水采用坝后式无压回水系统</w:t>
      </w:r>
      <w:r>
        <w:rPr>
          <w:rFonts w:hint="default" w:ascii="Times New Roman" w:hAnsi="Times New Roman" w:eastAsia="宋体" w:cs="Times New Roman"/>
          <w:color w:val="auto"/>
          <w:sz w:val="24"/>
          <w:highlight w:val="none"/>
          <w:lang w:eastAsia="zh-CN"/>
        </w:rPr>
        <w:t>，尾矿水</w:t>
      </w:r>
      <w:r>
        <w:rPr>
          <w:rFonts w:hint="default" w:ascii="Times New Roman" w:hAnsi="Times New Roman" w:eastAsia="宋体" w:cs="Times New Roman"/>
          <w:color w:val="auto"/>
          <w:sz w:val="24"/>
          <w:highlight w:val="none"/>
        </w:rPr>
        <w:t>由水泵输送至选矿厂附近回水高位水池内。尾矿库附近设一座回水泵站及</w:t>
      </w:r>
      <w:r>
        <w:rPr>
          <w:rFonts w:hint="default" w:ascii="Times New Roman" w:hAnsi="Times New Roman" w:eastAsia="宋体" w:cs="Times New Roman"/>
          <w:color w:val="auto"/>
          <w:sz w:val="24"/>
          <w:highlight w:val="none"/>
          <w:lang w:eastAsia="zh-CN"/>
        </w:rPr>
        <w:t>回水池</w:t>
      </w:r>
      <w:r>
        <w:rPr>
          <w:rFonts w:hint="default" w:ascii="Times New Roman" w:hAnsi="Times New Roman" w:eastAsia="宋体" w:cs="Times New Roman"/>
          <w:color w:val="auto"/>
          <w:sz w:val="24"/>
          <w:highlight w:val="none"/>
        </w:rPr>
        <w:t>。</w:t>
      </w:r>
    </w:p>
    <w:p>
      <w:pPr>
        <w:pageBreakBefore w:val="0"/>
        <w:wordWrap/>
        <w:bidi w:val="0"/>
        <w:spacing w:line="360" w:lineRule="auto"/>
        <w:ind w:left="0" w:leftChars="0" w:right="0" w:rightChars="0" w:firstLine="480" w:firstLineChars="200"/>
        <w:outlineLvl w:val="0"/>
        <w:rPr>
          <w:rFonts w:hint="default" w:ascii="Times New Roman" w:hAnsi="Times New Roman" w:eastAsia="宋体" w:cs="Times New Roman"/>
          <w:color w:val="auto"/>
          <w:sz w:val="24"/>
          <w:highlight w:val="none"/>
        </w:rPr>
      </w:pPr>
      <w:bookmarkStart w:id="315" w:name="_Toc22330"/>
      <w:bookmarkStart w:id="316" w:name="_Toc20495"/>
      <w:r>
        <w:rPr>
          <w:rFonts w:hint="default" w:ascii="Times New Roman" w:hAnsi="Times New Roman" w:eastAsia="宋体" w:cs="Times New Roman"/>
          <w:color w:val="auto"/>
          <w:sz w:val="24"/>
          <w:highlight w:val="none"/>
        </w:rPr>
        <w:t>（5</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排水沟</w:t>
      </w:r>
      <w:bookmarkEnd w:id="315"/>
      <w:bookmarkEnd w:id="316"/>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bCs/>
          <w:color w:val="auto"/>
          <w:sz w:val="24"/>
          <w:highlight w:val="none"/>
        </w:rPr>
        <w:t>坝肩排水沟采用浆砌石或砖砌结构</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其净断面1.0m×1.0m。</w:t>
      </w:r>
      <w:r>
        <w:rPr>
          <w:rFonts w:hint="default" w:ascii="Times New Roman" w:hAnsi="Times New Roman" w:eastAsia="宋体" w:cs="Times New Roman"/>
          <w:bCs/>
          <w:color w:val="auto"/>
          <w:sz w:val="24"/>
          <w:highlight w:val="none"/>
          <w:lang w:eastAsia="zh-CN"/>
        </w:rPr>
        <w:t>尾矿砂</w:t>
      </w:r>
      <w:r>
        <w:rPr>
          <w:rFonts w:hint="default" w:ascii="Times New Roman" w:hAnsi="Times New Roman" w:eastAsia="宋体" w:cs="Times New Roman"/>
          <w:bCs/>
          <w:color w:val="auto"/>
          <w:sz w:val="24"/>
          <w:highlight w:val="none"/>
        </w:rPr>
        <w:t>堆积坝体外坡面随坝体升高修建纵向和横向排水沟</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其中横向排水沟每升高10m布置一条（第一条堆积坝升高7m时布置</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排水沟沿子坝坝顶内侧布置</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其断面尺寸为宽0.5m、深0.4～0.8m</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采用浆砌石或砖砌结构；纵向排水沟垂直横向排水沟沿坝体外坡面布置</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间距50m</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其断面尺寸为宽0.4m、深0.3～0.5m</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采用浆砌石或砖砌结构。</w:t>
      </w:r>
    </w:p>
    <w:p>
      <w:pPr>
        <w:pageBreakBefore w:val="0"/>
        <w:wordWrap/>
        <w:bidi w:val="0"/>
        <w:spacing w:line="360" w:lineRule="auto"/>
        <w:ind w:left="0" w:leftChars="0" w:right="0" w:rightChars="0" w:firstLine="480" w:firstLineChars="200"/>
        <w:outlineLvl w:val="0"/>
        <w:rPr>
          <w:rFonts w:hint="default" w:ascii="Times New Roman" w:hAnsi="Times New Roman" w:eastAsia="宋体" w:cs="Times New Roman"/>
          <w:bCs/>
          <w:color w:val="auto"/>
          <w:sz w:val="24"/>
          <w:highlight w:val="none"/>
        </w:rPr>
      </w:pPr>
      <w:bookmarkStart w:id="317" w:name="_Toc30083"/>
      <w:bookmarkStart w:id="318" w:name="_Toc18322"/>
      <w:r>
        <w:rPr>
          <w:rFonts w:hint="default" w:ascii="Times New Roman" w:hAnsi="Times New Roman" w:eastAsia="宋体" w:cs="Times New Roman"/>
          <w:bCs/>
          <w:color w:val="auto"/>
          <w:sz w:val="24"/>
          <w:highlight w:val="none"/>
        </w:rPr>
        <w:t>（6</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排渗设施</w:t>
      </w:r>
      <w:bookmarkEnd w:id="317"/>
      <w:bookmarkEnd w:id="318"/>
    </w:p>
    <w:p>
      <w:pPr>
        <w:pageBreakBefore w:val="0"/>
        <w:wordWrap/>
        <w:bidi w:val="0"/>
        <w:spacing w:line="360" w:lineRule="auto"/>
        <w:ind w:left="0" w:leftChars="0" w:right="0" w:rightChars="0" w:firstLine="480" w:firstLineChars="200"/>
        <w:rPr>
          <w:rFonts w:hint="default" w:ascii="Times New Roman" w:hAnsi="Times New Roman" w:eastAsia="宋体" w:cs="Times New Roman"/>
          <w:bCs/>
          <w:color w:val="auto"/>
          <w:sz w:val="24"/>
          <w:highlight w:val="none"/>
        </w:rPr>
      </w:pPr>
      <w:r>
        <w:rPr>
          <w:rFonts w:hint="default" w:ascii="Times New Roman" w:hAnsi="Times New Roman" w:eastAsia="宋体" w:cs="Times New Roman"/>
          <w:bCs/>
          <w:color w:val="auto"/>
          <w:sz w:val="24"/>
          <w:highlight w:val="none"/>
        </w:rPr>
        <w:t>对排渗设施形式进行调整</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每上升10.0m设排渗管网一层（第一层堆积坝升高7m时布置</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其中横向排渗管平行于坝轴线布置</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排渗管布置于距坝轴线70m的滩面上</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排渗管采用直径150mmPVC塑料制作</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其上半部分梅花形打孔</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外包400g/m</w:t>
      </w:r>
      <w:r>
        <w:rPr>
          <w:rFonts w:hint="default" w:ascii="Times New Roman" w:hAnsi="Times New Roman" w:eastAsia="宋体" w:cs="Times New Roman"/>
          <w:bCs/>
          <w:color w:val="auto"/>
          <w:sz w:val="24"/>
          <w:highlight w:val="none"/>
          <w:vertAlign w:val="superscript"/>
        </w:rPr>
        <w:t>2</w:t>
      </w:r>
      <w:r>
        <w:rPr>
          <w:rFonts w:hint="default" w:ascii="Times New Roman" w:hAnsi="Times New Roman" w:eastAsia="宋体" w:cs="Times New Roman"/>
          <w:bCs/>
          <w:color w:val="auto"/>
          <w:sz w:val="24"/>
          <w:highlight w:val="none"/>
        </w:rPr>
        <w:t>土工无纺布；纵向</w:t>
      </w:r>
      <w:r>
        <w:rPr>
          <w:rFonts w:hint="default" w:ascii="Times New Roman" w:hAnsi="Times New Roman" w:eastAsia="宋体" w:cs="Times New Roman"/>
          <w:bCs/>
          <w:color w:val="auto"/>
          <w:sz w:val="24"/>
          <w:highlight w:val="none"/>
          <w:lang w:eastAsia="zh-CN"/>
        </w:rPr>
        <w:t>回水管</w:t>
      </w:r>
      <w:r>
        <w:rPr>
          <w:rFonts w:hint="default" w:ascii="Times New Roman" w:hAnsi="Times New Roman" w:eastAsia="宋体" w:cs="Times New Roman"/>
          <w:bCs/>
          <w:color w:val="auto"/>
          <w:sz w:val="24"/>
          <w:highlight w:val="none"/>
        </w:rPr>
        <w:t>垂直于横向</w:t>
      </w:r>
      <w:r>
        <w:rPr>
          <w:rFonts w:hint="default" w:ascii="Times New Roman" w:hAnsi="Times New Roman" w:eastAsia="宋体" w:cs="Times New Roman"/>
          <w:bCs/>
          <w:color w:val="auto"/>
          <w:sz w:val="24"/>
          <w:highlight w:val="none"/>
          <w:lang w:eastAsia="zh-CN"/>
        </w:rPr>
        <w:t>回水管</w:t>
      </w:r>
      <w:r>
        <w:rPr>
          <w:rFonts w:hint="default" w:ascii="Times New Roman" w:hAnsi="Times New Roman" w:eastAsia="宋体" w:cs="Times New Roman"/>
          <w:bCs/>
          <w:color w:val="auto"/>
          <w:sz w:val="24"/>
          <w:highlight w:val="none"/>
        </w:rPr>
        <w:t>布置</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间距20m</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排渗管采用直径150mmPVC塑料制作</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其上半部分梅花形打孔</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外包400g/m</w:t>
      </w:r>
      <w:r>
        <w:rPr>
          <w:rFonts w:hint="default" w:ascii="Times New Roman" w:hAnsi="Times New Roman" w:eastAsia="宋体" w:cs="Times New Roman"/>
          <w:bCs/>
          <w:color w:val="auto"/>
          <w:sz w:val="24"/>
          <w:highlight w:val="none"/>
          <w:vertAlign w:val="superscript"/>
        </w:rPr>
        <w:t>2</w:t>
      </w:r>
      <w:r>
        <w:rPr>
          <w:rFonts w:hint="default" w:ascii="Times New Roman" w:hAnsi="Times New Roman" w:eastAsia="宋体" w:cs="Times New Roman"/>
          <w:bCs/>
          <w:color w:val="auto"/>
          <w:sz w:val="24"/>
          <w:highlight w:val="none"/>
        </w:rPr>
        <w:t>土工无纺布</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其坡度为0.01、坡向坝前</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出口位于坝面横向排水沟。</w:t>
      </w:r>
    </w:p>
    <w:p>
      <w:pPr>
        <w:pageBreakBefore w:val="0"/>
        <w:wordWrap/>
        <w:bidi w:val="0"/>
        <w:spacing w:line="360" w:lineRule="auto"/>
        <w:ind w:left="0" w:leftChars="0" w:right="0" w:rightChars="0" w:firstLine="480" w:firstLineChars="200"/>
        <w:outlineLvl w:val="0"/>
        <w:rPr>
          <w:rFonts w:hint="default" w:ascii="Times New Roman" w:hAnsi="Times New Roman" w:eastAsia="宋体" w:cs="Times New Roman"/>
          <w:bCs/>
          <w:color w:val="auto"/>
          <w:sz w:val="24"/>
          <w:highlight w:val="none"/>
        </w:rPr>
      </w:pPr>
      <w:bookmarkStart w:id="319" w:name="_Toc17689"/>
      <w:bookmarkStart w:id="320" w:name="_Toc23319"/>
      <w:r>
        <w:rPr>
          <w:rFonts w:hint="default" w:ascii="Times New Roman" w:hAnsi="Times New Roman" w:eastAsia="宋体" w:cs="Times New Roman"/>
          <w:bCs/>
          <w:color w:val="auto"/>
          <w:sz w:val="24"/>
          <w:highlight w:val="none"/>
        </w:rPr>
        <w:t>（7</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监测设施</w:t>
      </w:r>
      <w:bookmarkEnd w:id="319"/>
      <w:bookmarkEnd w:id="320"/>
    </w:p>
    <w:p>
      <w:pPr>
        <w:pageBreakBefore w:val="0"/>
        <w:wordWrap/>
        <w:bidi w:val="0"/>
        <w:spacing w:line="360" w:lineRule="auto"/>
        <w:ind w:left="0" w:leftChars="0" w:right="0" w:rightChars="0" w:firstLine="480" w:firstLineChars="200"/>
        <w:rPr>
          <w:rFonts w:hint="default" w:ascii="Times New Roman" w:hAnsi="Times New Roman" w:eastAsia="宋体" w:cs="Times New Roman"/>
          <w:bCs/>
          <w:color w:val="auto"/>
          <w:sz w:val="24"/>
          <w:highlight w:val="none"/>
        </w:rPr>
      </w:pPr>
      <w:r>
        <w:rPr>
          <w:rFonts w:hint="default" w:ascii="Times New Roman" w:hAnsi="Times New Roman" w:eastAsia="宋体" w:cs="Times New Roman"/>
          <w:bCs/>
          <w:color w:val="auto"/>
          <w:sz w:val="24"/>
          <w:highlight w:val="none"/>
        </w:rPr>
        <w:t>该尾矿库堆积坝</w:t>
      </w:r>
      <w:r>
        <w:rPr>
          <w:rFonts w:hint="default" w:ascii="Times New Roman" w:hAnsi="Times New Roman" w:eastAsia="宋体" w:cs="Times New Roman"/>
          <w:bCs/>
          <w:color w:val="auto"/>
          <w:sz w:val="24"/>
          <w:highlight w:val="none"/>
          <w:lang w:eastAsia="zh-CN"/>
        </w:rPr>
        <w:t>的</w:t>
      </w:r>
      <w:r>
        <w:rPr>
          <w:rFonts w:hint="default" w:ascii="Times New Roman" w:hAnsi="Times New Roman" w:eastAsia="宋体" w:cs="Times New Roman"/>
          <w:bCs/>
          <w:color w:val="auto"/>
          <w:sz w:val="24"/>
          <w:highlight w:val="none"/>
        </w:rPr>
        <w:t>位移监测设施布置在堆积坝1412m、1422m、1432m、1442m、1452m标高上</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测点间距50-120m。</w:t>
      </w:r>
    </w:p>
    <w:p>
      <w:pPr>
        <w:pageBreakBefore w:val="0"/>
        <w:wordWrap/>
        <w:bidi w:val="0"/>
        <w:spacing w:line="360" w:lineRule="auto"/>
        <w:ind w:left="0" w:leftChars="0" w:right="0" w:rightChars="0" w:firstLine="480" w:firstLineChars="200"/>
        <w:rPr>
          <w:rFonts w:hint="default" w:ascii="Times New Roman" w:hAnsi="Times New Roman" w:eastAsia="宋体" w:cs="Times New Roman"/>
          <w:bCs/>
          <w:color w:val="auto"/>
          <w:sz w:val="24"/>
          <w:highlight w:val="none"/>
        </w:rPr>
      </w:pPr>
      <w:r>
        <w:rPr>
          <w:rFonts w:hint="default" w:ascii="Times New Roman" w:hAnsi="Times New Roman" w:eastAsia="宋体" w:cs="Times New Roman"/>
          <w:bCs/>
          <w:color w:val="auto"/>
          <w:sz w:val="24"/>
          <w:highlight w:val="none"/>
        </w:rPr>
        <w:t>堆积坝浸润线监测剖面沿垂直坝体轴线方向布置</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每条剖面线为1组</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该尾矿库共布置14组</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每组布置2-5个观测孔不等</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设于堆积坝1412m、1422m、1432m、1442m、1452m标高上。</w:t>
      </w:r>
    </w:p>
    <w:p>
      <w:pPr>
        <w:pageBreakBefore w:val="0"/>
        <w:wordWrap/>
        <w:bidi w:val="0"/>
        <w:spacing w:line="360" w:lineRule="auto"/>
        <w:ind w:left="0" w:leftChars="0" w:right="0" w:rightChars="0"/>
        <w:jc w:val="left"/>
        <w:outlineLvl w:val="1"/>
        <w:rPr>
          <w:rFonts w:hint="default" w:ascii="Times New Roman" w:hAnsi="Times New Roman" w:eastAsia="宋体" w:cs="Times New Roman"/>
          <w:b/>
          <w:bCs/>
          <w:color w:val="auto"/>
          <w:sz w:val="24"/>
          <w:highlight w:val="none"/>
        </w:rPr>
      </w:pPr>
      <w:bookmarkStart w:id="321" w:name="_Toc31362"/>
      <w:bookmarkStart w:id="322" w:name="_Toc23171"/>
      <w:bookmarkStart w:id="323" w:name="_Toc142038847"/>
      <w:bookmarkStart w:id="324" w:name="_Toc181268345"/>
      <w:bookmarkStart w:id="325" w:name="_Toc198277867"/>
      <w:bookmarkStart w:id="326" w:name="_Toc143141137"/>
      <w:bookmarkStart w:id="327" w:name="_Toc141849714"/>
      <w:bookmarkStart w:id="328" w:name="_Toc220306384"/>
      <w:bookmarkStart w:id="329" w:name="_Toc199307652"/>
      <w:bookmarkStart w:id="330" w:name="_Toc200009597"/>
      <w:bookmarkStart w:id="331" w:name="_Toc141849752"/>
      <w:bookmarkStart w:id="332" w:name="_Toc141411709"/>
      <w:bookmarkStart w:id="333" w:name="_Toc214598225"/>
      <w:bookmarkStart w:id="334" w:name="_Toc198258369"/>
      <w:bookmarkStart w:id="335" w:name="_Toc162695069"/>
      <w:r>
        <w:rPr>
          <w:rFonts w:hint="default" w:ascii="Times New Roman" w:hAnsi="Times New Roman" w:eastAsia="宋体" w:cs="Times New Roman"/>
          <w:b/>
          <w:bCs/>
          <w:color w:val="auto"/>
          <w:sz w:val="24"/>
          <w:highlight w:val="none"/>
        </w:rPr>
        <w:t>2.2.2.2尾矿库运行现状</w:t>
      </w:r>
      <w:bookmarkEnd w:id="321"/>
      <w:bookmarkEnd w:id="322"/>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根据尾矿库现状图及现场踏勘及企业提供资料对尾矿库现状情况简述如下</w:t>
      </w:r>
      <w:r>
        <w:rPr>
          <w:rFonts w:hint="default" w:ascii="Times New Roman" w:hAnsi="Times New Roman" w:eastAsia="宋体" w:cs="Times New Roman"/>
          <w:color w:val="auto"/>
          <w:sz w:val="24"/>
          <w:highlight w:val="none"/>
          <w:lang w:eastAsia="zh-CN"/>
        </w:rPr>
        <w:t>：</w:t>
      </w:r>
    </w:p>
    <w:p>
      <w:pPr>
        <w:pageBreakBefore w:val="0"/>
        <w:wordWrap/>
        <w:bidi w:val="0"/>
        <w:spacing w:line="360" w:lineRule="auto"/>
        <w:ind w:left="0" w:leftChars="0" w:right="0" w:rightChars="0" w:firstLine="480" w:firstLineChars="200"/>
        <w:outlineLvl w:val="0"/>
        <w:rPr>
          <w:rFonts w:hint="default" w:ascii="Times New Roman" w:hAnsi="Times New Roman" w:eastAsia="宋体" w:cs="Times New Roman"/>
          <w:color w:val="auto"/>
          <w:sz w:val="24"/>
          <w:highlight w:val="none"/>
        </w:rPr>
      </w:pPr>
      <w:bookmarkStart w:id="336" w:name="_Toc14201"/>
      <w:bookmarkStart w:id="337" w:name="_Toc445"/>
      <w:r>
        <w:rPr>
          <w:rFonts w:hint="default" w:ascii="Times New Roman" w:hAnsi="Times New Roman" w:eastAsia="宋体" w:cs="Times New Roman"/>
          <w:color w:val="auto"/>
          <w:sz w:val="24"/>
          <w:highlight w:val="none"/>
        </w:rPr>
        <w:t>（1）初期坝及副坝现状</w:t>
      </w:r>
      <w:bookmarkEnd w:id="336"/>
      <w:bookmarkEnd w:id="337"/>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初期坝为堆石坝</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内坡设有土工膜防渗</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坝底标高1366m</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坝顶标高1405m</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坝高39m</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坝顶宽5m。内、外坡比1:2.0。</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根据加高扩容工程岩土工程勘察报告</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库区原地面地层为强风化花岗岩</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施工已按原设计要求清理至基岩</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初期坝坐落于强风化花岗岩。</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根据现场踏勘</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初期坝尺寸与设计要求一致</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外观质量良好</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初期坝外坝脚有少量清澈渗透水渗出。渗透通道为强风化地基岩层或局部土工膜防渗失效。</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在临近初期坝的东南侧山脊处有1号副坝</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库区西侧山脊处有2号副坝</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副坝均为堆石坝</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内坡设有土工膜防渗。1号副坝顶标高1410.0m</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顶宽3.0m</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坝轴线长92.0m</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坝高5.0m</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2号副坝顶标高1454.0m</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顶宽3.0m</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坝轴线长28.0m</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坝高3.0m。尾矿库运行过程中</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企业已对1号及2号副坝采用废石压坡</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外坡比均为1:2.0。</w:t>
      </w:r>
    </w:p>
    <w:p>
      <w:pPr>
        <w:pageBreakBefore w:val="0"/>
        <w:wordWrap/>
        <w:bidi w:val="0"/>
        <w:spacing w:line="360" w:lineRule="auto"/>
        <w:ind w:left="0" w:leftChars="0" w:right="0" w:rightChars="0" w:firstLine="480" w:firstLineChars="200"/>
        <w:outlineLvl w:val="0"/>
        <w:rPr>
          <w:rFonts w:hint="default" w:ascii="Times New Roman" w:hAnsi="Times New Roman" w:eastAsia="宋体" w:cs="Times New Roman"/>
          <w:color w:val="auto"/>
          <w:sz w:val="24"/>
          <w:highlight w:val="none"/>
        </w:rPr>
      </w:pPr>
      <w:bookmarkStart w:id="338" w:name="_Toc8533"/>
      <w:bookmarkStart w:id="339" w:name="_Toc3032"/>
      <w:r>
        <w:rPr>
          <w:rFonts w:hint="default" w:ascii="Times New Roman" w:hAnsi="Times New Roman" w:eastAsia="宋体" w:cs="Times New Roman"/>
          <w:color w:val="auto"/>
          <w:sz w:val="24"/>
          <w:highlight w:val="none"/>
        </w:rPr>
        <w:t>（2）堆积坝现状</w:t>
      </w:r>
      <w:bookmarkEnd w:id="338"/>
      <w:bookmarkEnd w:id="339"/>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现状总坝高为79.5m</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尾矿库等别为三等。现状尾矿库坝顶标高约为1445.5m</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主坝平均坡比为1:5.5</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主坝平均坡比缓于设计要求的1:4.0</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北侧及南侧副坝平均平坡比为1:4.0</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与设计要求一致。</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根据业主提供的浸润线观测记录</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人工浸润线监测孔及在线浸润线监测孔均未见水</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浸润线埋深大于孔深12m。</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现状尾矿坝质量较好</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坝面无渗流、沼泽化</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无浸润线出逸迹象。</w:t>
      </w:r>
    </w:p>
    <w:p>
      <w:pPr>
        <w:pageBreakBefore w:val="0"/>
        <w:wordWrap/>
        <w:bidi w:val="0"/>
        <w:spacing w:line="360" w:lineRule="auto"/>
        <w:ind w:left="0" w:leftChars="0" w:right="0" w:rightChars="0" w:firstLine="480" w:firstLineChars="200"/>
        <w:outlineLvl w:val="0"/>
        <w:rPr>
          <w:rFonts w:hint="default" w:ascii="Times New Roman" w:hAnsi="Times New Roman" w:eastAsia="宋体" w:cs="Times New Roman"/>
          <w:color w:val="auto"/>
          <w:sz w:val="24"/>
          <w:highlight w:val="none"/>
        </w:rPr>
      </w:pPr>
      <w:bookmarkStart w:id="340" w:name="_Toc24478"/>
      <w:bookmarkStart w:id="341" w:name="_Toc5673"/>
      <w:r>
        <w:rPr>
          <w:rFonts w:hint="default" w:ascii="Times New Roman" w:hAnsi="Times New Roman" w:eastAsia="宋体" w:cs="Times New Roman"/>
          <w:color w:val="auto"/>
          <w:sz w:val="24"/>
          <w:highlight w:val="none"/>
        </w:rPr>
        <w:t>（3）排水系统现状</w:t>
      </w:r>
      <w:bookmarkEnd w:id="340"/>
      <w:bookmarkEnd w:id="341"/>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排水系统为</w:t>
      </w:r>
      <w:r>
        <w:rPr>
          <w:rFonts w:hint="default" w:ascii="Times New Roman" w:hAnsi="Times New Roman" w:eastAsia="宋体" w:cs="Times New Roman"/>
          <w:color w:val="auto"/>
          <w:sz w:val="24"/>
          <w:highlight w:val="none"/>
          <w:lang w:eastAsia="zh-CN"/>
        </w:rPr>
        <w:t>溢流井</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eastAsia="zh-CN"/>
        </w:rPr>
        <w:t>回水管</w:t>
      </w:r>
      <w:r>
        <w:rPr>
          <w:rFonts w:hint="default" w:ascii="Times New Roman" w:hAnsi="Times New Roman" w:eastAsia="宋体" w:cs="Times New Roman"/>
          <w:color w:val="auto"/>
          <w:sz w:val="24"/>
          <w:highlight w:val="none"/>
        </w:rPr>
        <w:t>型式</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共有5座</w:t>
      </w:r>
      <w:r>
        <w:rPr>
          <w:rFonts w:hint="default" w:ascii="Times New Roman" w:hAnsi="Times New Roman" w:eastAsia="宋体" w:cs="Times New Roman"/>
          <w:color w:val="auto"/>
          <w:sz w:val="24"/>
          <w:highlight w:val="none"/>
          <w:lang w:eastAsia="zh-CN"/>
        </w:rPr>
        <w:t>溢流井，</w:t>
      </w:r>
      <w:r>
        <w:rPr>
          <w:rFonts w:hint="default" w:ascii="Times New Roman" w:hAnsi="Times New Roman" w:eastAsia="宋体" w:cs="Times New Roman"/>
          <w:color w:val="auto"/>
          <w:sz w:val="24"/>
          <w:highlight w:val="none"/>
        </w:rPr>
        <w:t>其中0、1、2、3号</w:t>
      </w:r>
      <w:r>
        <w:rPr>
          <w:rFonts w:hint="default" w:ascii="Times New Roman" w:hAnsi="Times New Roman" w:eastAsia="宋体" w:cs="Times New Roman"/>
          <w:color w:val="auto"/>
          <w:sz w:val="24"/>
          <w:highlight w:val="none"/>
          <w:lang w:eastAsia="zh-CN"/>
        </w:rPr>
        <w:t>溢流井</w:t>
      </w:r>
      <w:r>
        <w:rPr>
          <w:rFonts w:hint="default" w:ascii="Times New Roman" w:hAnsi="Times New Roman" w:eastAsia="宋体" w:cs="Times New Roman"/>
          <w:color w:val="auto"/>
          <w:sz w:val="24"/>
          <w:highlight w:val="none"/>
        </w:rPr>
        <w:t>已封堵</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目前使用的是4号</w:t>
      </w:r>
      <w:r>
        <w:rPr>
          <w:rFonts w:hint="default" w:ascii="Times New Roman" w:hAnsi="Times New Roman" w:eastAsia="宋体" w:cs="Times New Roman"/>
          <w:color w:val="auto"/>
          <w:sz w:val="24"/>
          <w:highlight w:val="none"/>
          <w:lang w:eastAsia="zh-CN"/>
        </w:rPr>
        <w:t>溢流井，</w:t>
      </w:r>
      <w:r>
        <w:rPr>
          <w:rFonts w:hint="default" w:ascii="Times New Roman" w:hAnsi="Times New Roman" w:eastAsia="宋体" w:cs="Times New Roman"/>
          <w:color w:val="auto"/>
          <w:sz w:val="24"/>
          <w:highlight w:val="none"/>
        </w:rPr>
        <w:t>井高18m</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圈梁内径2.5m</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井座顶标高1438m</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井顶标高1456。根据包头</w:t>
      </w:r>
      <w:r>
        <w:rPr>
          <w:rFonts w:hint="default" w:ascii="Times New Roman" w:hAnsi="Times New Roman" w:eastAsia="宋体" w:cs="Times New Roman"/>
          <w:color w:val="auto"/>
          <w:sz w:val="24"/>
          <w:highlight w:val="none"/>
          <w:lang w:eastAsia="zh-CN"/>
        </w:rPr>
        <w:t>冶金</w:t>
      </w:r>
      <w:r>
        <w:rPr>
          <w:rFonts w:hint="default" w:ascii="Times New Roman" w:hAnsi="Times New Roman" w:eastAsia="宋体" w:cs="Times New Roman"/>
          <w:color w:val="auto"/>
          <w:sz w:val="24"/>
          <w:highlight w:val="none"/>
        </w:rPr>
        <w:t>建筑研究院2022年6月编制的《尾矿库排水构筑物4号井架及</w:t>
      </w:r>
      <w:r>
        <w:rPr>
          <w:rFonts w:hint="default" w:ascii="Times New Roman" w:hAnsi="Times New Roman" w:eastAsia="宋体" w:cs="Times New Roman"/>
          <w:color w:val="auto"/>
          <w:sz w:val="24"/>
          <w:highlight w:val="none"/>
          <w:lang w:eastAsia="zh-CN"/>
        </w:rPr>
        <w:t>回水管</w:t>
      </w:r>
      <w:r>
        <w:rPr>
          <w:rFonts w:hint="default" w:ascii="Times New Roman" w:hAnsi="Times New Roman" w:eastAsia="宋体" w:cs="Times New Roman"/>
          <w:color w:val="auto"/>
          <w:sz w:val="24"/>
          <w:highlight w:val="none"/>
        </w:rPr>
        <w:t>检测报告》该工程4号井架及</w:t>
      </w:r>
      <w:r>
        <w:rPr>
          <w:rFonts w:hint="default" w:ascii="Times New Roman" w:hAnsi="Times New Roman" w:eastAsia="宋体" w:cs="Times New Roman"/>
          <w:color w:val="auto"/>
          <w:sz w:val="24"/>
          <w:highlight w:val="none"/>
          <w:lang w:eastAsia="zh-CN"/>
        </w:rPr>
        <w:t>回水管</w:t>
      </w:r>
      <w:r>
        <w:rPr>
          <w:rFonts w:hint="default" w:ascii="Times New Roman" w:hAnsi="Times New Roman" w:eastAsia="宋体" w:cs="Times New Roman"/>
          <w:color w:val="auto"/>
          <w:sz w:val="24"/>
          <w:highlight w:val="none"/>
        </w:rPr>
        <w:t>结构布置及截面尺寸、混凝土现有</w:t>
      </w:r>
      <w:r>
        <w:rPr>
          <w:rFonts w:hint="default" w:ascii="Times New Roman" w:hAnsi="Times New Roman" w:eastAsia="宋体" w:cs="Times New Roman"/>
          <w:color w:val="auto"/>
          <w:sz w:val="24"/>
          <w:highlight w:val="none"/>
          <w:lang w:eastAsia="zh-CN"/>
        </w:rPr>
        <w:t>钢筋</w:t>
      </w:r>
      <w:r>
        <w:rPr>
          <w:rFonts w:hint="default" w:ascii="Times New Roman" w:hAnsi="Times New Roman" w:eastAsia="宋体" w:cs="Times New Roman"/>
          <w:color w:val="auto"/>
          <w:sz w:val="24"/>
          <w:highlight w:val="none"/>
        </w:rPr>
        <w:t>强度、钢筋配置情况、钢筋保护层均符合设计要求</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井架立柱变形满足规范要求。</w:t>
      </w:r>
    </w:p>
    <w:p>
      <w:pPr>
        <w:pageBreakBefore w:val="0"/>
        <w:wordWrap/>
        <w:bidi w:val="0"/>
        <w:spacing w:line="360" w:lineRule="auto"/>
        <w:ind w:left="0" w:leftChars="0" w:right="0" w:rightChars="0" w:firstLine="480" w:firstLineChars="200"/>
        <w:outlineLvl w:val="0"/>
        <w:rPr>
          <w:rFonts w:hint="default" w:ascii="Times New Roman" w:hAnsi="Times New Roman" w:eastAsia="宋体" w:cs="Times New Roman"/>
          <w:color w:val="auto"/>
          <w:sz w:val="24"/>
          <w:highlight w:val="none"/>
        </w:rPr>
      </w:pPr>
      <w:bookmarkStart w:id="342" w:name="_Toc17754"/>
      <w:bookmarkStart w:id="343" w:name="_Toc22211"/>
      <w:r>
        <w:rPr>
          <w:rFonts w:hint="default" w:ascii="Times New Roman" w:hAnsi="Times New Roman" w:eastAsia="宋体" w:cs="Times New Roman"/>
          <w:color w:val="auto"/>
          <w:sz w:val="24"/>
          <w:highlight w:val="none"/>
        </w:rPr>
        <w:t>（4）排水明沟现状</w:t>
      </w:r>
      <w:bookmarkEnd w:id="342"/>
      <w:bookmarkEnd w:id="343"/>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现状坝体与两侧山体结合处设有坝肩排水明沟</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坝面设有排水沟。在1412m、1422m、1432m标高平台处各设有一道纵向排水沟</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纵向排水沟之间设有竖向排水沟。排水沟外观良好</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无破损</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淤堵现象。</w:t>
      </w:r>
    </w:p>
    <w:p>
      <w:pPr>
        <w:pageBreakBefore w:val="0"/>
        <w:wordWrap/>
        <w:bidi w:val="0"/>
        <w:spacing w:line="360" w:lineRule="auto"/>
        <w:ind w:left="0" w:leftChars="0" w:right="0" w:rightChars="0" w:firstLine="480" w:firstLineChars="200"/>
        <w:outlineLvl w:val="0"/>
        <w:rPr>
          <w:rFonts w:hint="default" w:ascii="Times New Roman" w:hAnsi="Times New Roman" w:eastAsia="宋体" w:cs="Times New Roman"/>
          <w:color w:val="auto"/>
          <w:sz w:val="24"/>
          <w:highlight w:val="none"/>
        </w:rPr>
      </w:pPr>
      <w:bookmarkStart w:id="344" w:name="_Toc32712"/>
      <w:bookmarkStart w:id="345" w:name="_Toc24586"/>
      <w:r>
        <w:rPr>
          <w:rFonts w:hint="default" w:ascii="Times New Roman" w:hAnsi="Times New Roman" w:eastAsia="宋体" w:cs="Times New Roman"/>
          <w:color w:val="auto"/>
          <w:sz w:val="24"/>
          <w:highlight w:val="none"/>
        </w:rPr>
        <w:t>（5）排渗设施现状</w:t>
      </w:r>
      <w:bookmarkEnd w:id="344"/>
      <w:bookmarkEnd w:id="345"/>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在标高在1412m、1422m、1432m及1442m标高平行坝轴线设置有排渗设施。根据尾矿库勘察报告及浸润线记录</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浸润线埋深约13.5</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排渗设施运行正常</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降低浸润线效果良好。</w:t>
      </w:r>
    </w:p>
    <w:p>
      <w:pPr>
        <w:pageBreakBefore w:val="0"/>
        <w:wordWrap/>
        <w:bidi w:val="0"/>
        <w:spacing w:line="360" w:lineRule="auto"/>
        <w:ind w:left="0" w:leftChars="0" w:right="0" w:rightChars="0" w:firstLine="480" w:firstLineChars="200"/>
        <w:outlineLvl w:val="0"/>
        <w:rPr>
          <w:rFonts w:hint="default" w:ascii="Times New Roman" w:hAnsi="Times New Roman" w:eastAsia="宋体" w:cs="Times New Roman"/>
          <w:color w:val="auto"/>
          <w:sz w:val="24"/>
          <w:highlight w:val="none"/>
        </w:rPr>
      </w:pPr>
      <w:bookmarkStart w:id="346" w:name="_Toc11275"/>
      <w:bookmarkStart w:id="347" w:name="_Toc7973"/>
      <w:r>
        <w:rPr>
          <w:rFonts w:hint="default" w:ascii="Times New Roman" w:hAnsi="Times New Roman" w:eastAsia="宋体" w:cs="Times New Roman"/>
          <w:color w:val="auto"/>
          <w:sz w:val="24"/>
          <w:highlight w:val="none"/>
        </w:rPr>
        <w:t>（6）监测设施现状</w:t>
      </w:r>
      <w:bookmarkEnd w:id="346"/>
      <w:bookmarkEnd w:id="347"/>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尾矿库堆积坝的位移监测设施布置在堆积坝1412m、1422m、1432m标高上</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测点间距50</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120m。</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堆积坝浸润线监测设于堆积坝1412m、1422m、1432m标高上。</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库区水位标尺设于库区</w:t>
      </w:r>
      <w:r>
        <w:rPr>
          <w:rFonts w:hint="default" w:ascii="Times New Roman" w:hAnsi="Times New Roman" w:eastAsia="宋体" w:cs="Times New Roman"/>
          <w:color w:val="auto"/>
          <w:sz w:val="24"/>
          <w:highlight w:val="none"/>
          <w:lang w:eastAsia="zh-CN"/>
        </w:rPr>
        <w:t>溢流井</w:t>
      </w:r>
      <w:r>
        <w:rPr>
          <w:rFonts w:hint="default" w:ascii="Times New Roman" w:hAnsi="Times New Roman" w:eastAsia="宋体" w:cs="Times New Roman"/>
          <w:color w:val="auto"/>
          <w:sz w:val="24"/>
          <w:highlight w:val="none"/>
        </w:rPr>
        <w:t>身</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值班室外设置降雨量监测计1个。</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在线监测包括坝体位移、浸润线、库水位、干滩长度、防洪高度、降雨量及视频监控</w:t>
      </w:r>
      <w:r>
        <w:rPr>
          <w:rFonts w:hint="default" w:ascii="Times New Roman" w:hAnsi="Times New Roman" w:eastAsia="宋体" w:cs="Times New Roman"/>
          <w:color w:val="auto"/>
          <w:sz w:val="24"/>
          <w:szCs w:val="24"/>
          <w:highlight w:val="none"/>
          <w:lang w:eastAsia="zh-CN"/>
        </w:rPr>
        <w:t>。</w:t>
      </w:r>
    </w:p>
    <w:p>
      <w:pPr>
        <w:pageBreakBefore w:val="0"/>
        <w:wordWrap/>
        <w:bidi w:val="0"/>
        <w:spacing w:line="360" w:lineRule="auto"/>
        <w:ind w:left="0" w:leftChars="0" w:right="0" w:rightChars="0" w:firstLine="480" w:firstLineChars="200"/>
        <w:outlineLvl w:val="0"/>
        <w:rPr>
          <w:rFonts w:hint="default" w:ascii="Times New Roman" w:hAnsi="Times New Roman" w:eastAsia="宋体" w:cs="Times New Roman"/>
          <w:color w:val="auto"/>
          <w:sz w:val="24"/>
          <w:szCs w:val="24"/>
          <w:highlight w:val="none"/>
        </w:rPr>
      </w:pPr>
      <w:bookmarkStart w:id="348" w:name="_Toc23679"/>
      <w:bookmarkStart w:id="349" w:name="_Toc31039"/>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7</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eastAsia="zh-CN"/>
        </w:rPr>
        <w:t>防渗</w:t>
      </w:r>
      <w:r>
        <w:rPr>
          <w:rFonts w:hint="default" w:ascii="Times New Roman" w:hAnsi="Times New Roman" w:eastAsia="宋体" w:cs="Times New Roman"/>
          <w:color w:val="auto"/>
          <w:sz w:val="24"/>
          <w:szCs w:val="24"/>
          <w:highlight w:val="none"/>
        </w:rPr>
        <w:t>设施现状</w:t>
      </w:r>
      <w:bookmarkEnd w:id="348"/>
      <w:bookmarkEnd w:id="349"/>
    </w:p>
    <w:p>
      <w:pPr>
        <w:keepNext w:val="0"/>
        <w:keepLines w:val="0"/>
        <w:pageBreakBefore w:val="0"/>
        <w:widowControl w:val="0"/>
        <w:kinsoku/>
        <w:wordWrap/>
        <w:overflowPunct/>
        <w:topLinePunct w:val="0"/>
        <w:autoSpaceDE/>
        <w:autoSpaceDN/>
        <w:bidi w:val="0"/>
        <w:spacing w:line="360" w:lineRule="auto"/>
        <w:ind w:left="0" w:leftChars="0" w:right="0" w:rightChars="0" w:firstLine="480" w:firstLineChars="200"/>
        <w:jc w:val="left"/>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根据《</w:t>
      </w:r>
      <w:r>
        <w:rPr>
          <w:rFonts w:hint="default" w:ascii="Times New Roman" w:hAnsi="Times New Roman" w:eastAsia="宋体" w:cs="Times New Roman"/>
          <w:color w:val="auto"/>
          <w:sz w:val="24"/>
          <w:szCs w:val="24"/>
          <w:highlight w:val="none"/>
        </w:rPr>
        <w:t>内蒙古自治区乌拉特前旗西沙德盖钼业有限责任公司10000t/d钼矿采选扩建尾矿库工程环境</w:t>
      </w:r>
      <w:r>
        <w:rPr>
          <w:rFonts w:hint="default" w:ascii="Times New Roman" w:hAnsi="Times New Roman" w:eastAsia="宋体" w:cs="Times New Roman"/>
          <w:color w:val="auto"/>
          <w:sz w:val="24"/>
          <w:szCs w:val="24"/>
          <w:highlight w:val="none"/>
          <w:lang w:val="en-US" w:eastAsia="zh-CN"/>
        </w:rPr>
        <w:t>保护监理报告》《</w:t>
      </w:r>
      <w:r>
        <w:rPr>
          <w:rFonts w:hint="default" w:ascii="Times New Roman" w:hAnsi="Times New Roman" w:eastAsia="宋体" w:cs="Times New Roman"/>
          <w:color w:val="auto"/>
          <w:sz w:val="24"/>
          <w:szCs w:val="24"/>
          <w:highlight w:val="none"/>
        </w:rPr>
        <w:t>内蒙古自治区乌拉特前旗西沙德盖钼业有限责任公司10000t/d钼矿采选扩建尾矿库工程竣工环境保护验收意见》（巴环验〔2017〕28号）</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乌拉特前旗西沙德盖钼业有限责任公司年处理300万吨钼矿选矿节能技改扩产项目尾矿库加高扩容工程初步设计（备案版）》和《乌拉特前旗西沙德盖钼业有限责任公司年处理300万吨钼矿选矿节能技改扩产项目尾矿库加高扩容工程安全设施设计》（工程号：SZ5-2023N006CS）可知：</w:t>
      </w:r>
    </w:p>
    <w:p>
      <w:pPr>
        <w:keepNext w:val="0"/>
        <w:keepLines w:val="0"/>
        <w:pageBreakBefore w:val="0"/>
        <w:widowControl w:val="0"/>
        <w:kinsoku/>
        <w:wordWrap/>
        <w:overflowPunct/>
        <w:topLinePunct w:val="0"/>
        <w:autoSpaceDE/>
        <w:autoSpaceDN/>
        <w:bidi w:val="0"/>
        <w:spacing w:line="360" w:lineRule="auto"/>
        <w:ind w:left="0" w:leftChars="0" w:right="0" w:rightChars="0" w:firstLine="480" w:firstLineChars="200"/>
        <w:jc w:val="left"/>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现有</w:t>
      </w:r>
      <w:r>
        <w:rPr>
          <w:rFonts w:hint="default" w:ascii="Times New Roman" w:hAnsi="Times New Roman" w:eastAsia="宋体" w:cs="Times New Roman"/>
          <w:color w:val="auto"/>
          <w:sz w:val="24"/>
          <w:szCs w:val="24"/>
          <w:highlight w:val="none"/>
          <w:lang w:eastAsia="zh-CN"/>
        </w:rPr>
        <w:t>尾矿库库底和边坡同样做防渗层，铺设300mm厚级配沙砾石过渡层，300mm厚粘土层（渗透系数不大于10</w:t>
      </w:r>
      <w:r>
        <w:rPr>
          <w:rFonts w:hint="default" w:ascii="Times New Roman" w:hAnsi="Times New Roman" w:eastAsia="宋体" w:cs="Times New Roman"/>
          <w:color w:val="auto"/>
          <w:sz w:val="24"/>
          <w:szCs w:val="24"/>
          <w:highlight w:val="none"/>
          <w:vertAlign w:val="superscript"/>
          <w:lang w:eastAsia="zh-CN"/>
        </w:rPr>
        <w:t>-7</w:t>
      </w:r>
      <w:r>
        <w:rPr>
          <w:rFonts w:hint="default" w:ascii="Times New Roman" w:hAnsi="Times New Roman" w:eastAsia="宋体" w:cs="Times New Roman"/>
          <w:color w:val="auto"/>
          <w:sz w:val="24"/>
          <w:szCs w:val="24"/>
          <w:highlight w:val="none"/>
          <w:lang w:eastAsia="zh-CN"/>
        </w:rPr>
        <w:t>cm/s），1.5mmHDPE土工膜，300mm厚细砂保护层，300mm砂砾石保护层（粒径4-6cm）；初期坝坝体上游坡</w:t>
      </w:r>
      <w:r>
        <w:rPr>
          <w:rFonts w:hint="default" w:ascii="Times New Roman" w:hAnsi="Times New Roman" w:eastAsia="宋体" w:cs="Times New Roman"/>
          <w:color w:val="auto"/>
          <w:sz w:val="24"/>
          <w:szCs w:val="24"/>
          <w:highlight w:val="none"/>
          <w:lang w:val="en-US" w:eastAsia="zh-CN"/>
        </w:rPr>
        <w:t>铺设400mm厚粗砂垫层，然后铺设</w:t>
      </w:r>
      <w:r>
        <w:rPr>
          <w:rFonts w:hint="default" w:ascii="Times New Roman" w:hAnsi="Times New Roman" w:eastAsia="宋体" w:cs="Times New Roman"/>
          <w:color w:val="auto"/>
          <w:sz w:val="24"/>
          <w:szCs w:val="24"/>
          <w:highlight w:val="none"/>
          <w:lang w:eastAsia="zh-CN"/>
        </w:rPr>
        <w:t>500g/m</w:t>
      </w:r>
      <w:r>
        <w:rPr>
          <w:rFonts w:hint="default" w:ascii="Times New Roman" w:hAnsi="Times New Roman" w:eastAsia="宋体" w:cs="Times New Roman"/>
          <w:color w:val="auto"/>
          <w:sz w:val="24"/>
          <w:szCs w:val="24"/>
          <w:highlight w:val="none"/>
          <w:vertAlign w:val="superscript"/>
          <w:lang w:eastAsia="zh-CN"/>
        </w:rPr>
        <w:t>2</w:t>
      </w:r>
      <w:r>
        <w:rPr>
          <w:rFonts w:hint="default" w:ascii="Times New Roman" w:hAnsi="Times New Roman" w:eastAsia="宋体" w:cs="Times New Roman"/>
          <w:color w:val="auto"/>
          <w:sz w:val="24"/>
          <w:szCs w:val="24"/>
          <w:highlight w:val="none"/>
          <w:lang w:val="en-US" w:eastAsia="zh-CN"/>
        </w:rPr>
        <w:t>加筋土工布，最上面铺500mm厚天然砂砾石保护层。</w:t>
      </w:r>
      <w:r>
        <w:rPr>
          <w:rFonts w:hint="default" w:ascii="Times New Roman" w:hAnsi="Times New Roman" w:eastAsia="宋体" w:cs="Times New Roman"/>
          <w:color w:val="auto"/>
          <w:sz w:val="24"/>
          <w:szCs w:val="24"/>
          <w:highlight w:val="none"/>
        </w:rPr>
        <w:t>2017年8月23日原巴彦淖尔市环境保护局以《内蒙古自治区乌拉特前旗西沙德盖钼业有限责任公司10000t/d钼矿采选扩建尾矿库工程竣工环境保护验收意见》（巴环验〔2017〕28号）</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尾矿库做防渗处理，满足《一般工业固体废物贮存、处置场污染控制标准》（GB18599-2001）Ⅱ类场要求运行和管理</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同意现有尾矿库通过竣工环境保护验收</w:t>
      </w:r>
      <w:r>
        <w:rPr>
          <w:rFonts w:hint="default" w:ascii="Times New Roman" w:hAnsi="Times New Roman" w:eastAsia="宋体" w:cs="Times New Roman"/>
          <w:color w:val="auto"/>
          <w:sz w:val="24"/>
          <w:szCs w:val="24"/>
          <w:highlight w:val="none"/>
          <w:lang w:eastAsia="zh-CN"/>
        </w:rPr>
        <w:t>。</w:t>
      </w:r>
    </w:p>
    <w:p>
      <w:pPr>
        <w:keepNext w:val="0"/>
        <w:keepLines w:val="0"/>
        <w:pageBreakBefore w:val="0"/>
        <w:widowControl w:val="0"/>
        <w:kinsoku/>
        <w:wordWrap/>
        <w:overflowPunct/>
        <w:topLinePunct w:val="0"/>
        <w:autoSpaceDE/>
        <w:autoSpaceDN/>
        <w:bidi w:val="0"/>
        <w:spacing w:line="360" w:lineRule="auto"/>
        <w:ind w:left="0" w:leftChars="0" w:right="0" w:rightChars="0" w:firstLine="480" w:firstLineChars="200"/>
        <w:jc w:val="left"/>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现有</w:t>
      </w:r>
      <w:r>
        <w:rPr>
          <w:rFonts w:hint="default" w:ascii="Times New Roman" w:hAnsi="Times New Roman" w:eastAsia="宋体" w:cs="Times New Roman"/>
          <w:color w:val="auto"/>
          <w:sz w:val="24"/>
          <w:szCs w:val="24"/>
          <w:highlight w:val="none"/>
          <w:lang w:eastAsia="zh-CN"/>
        </w:rPr>
        <w:t>回水池坝体内侧及整个水池底部全部采用</w:t>
      </w:r>
      <w:r>
        <w:rPr>
          <w:rFonts w:hint="default" w:ascii="Times New Roman" w:hAnsi="Times New Roman" w:eastAsia="宋体" w:cs="Times New Roman"/>
          <w:color w:val="auto"/>
          <w:sz w:val="24"/>
          <w:szCs w:val="24"/>
          <w:highlight w:val="none"/>
          <w:lang w:val="en-US" w:eastAsia="zh-CN"/>
        </w:rPr>
        <w:t>C30抗渗等级P6混凝土。</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现有</w:t>
      </w:r>
      <w:r>
        <w:rPr>
          <w:rFonts w:hint="default" w:ascii="Times New Roman" w:hAnsi="Times New Roman" w:eastAsia="宋体" w:cs="Times New Roman"/>
          <w:color w:val="auto"/>
          <w:sz w:val="24"/>
          <w:szCs w:val="24"/>
          <w:highlight w:val="none"/>
          <w:lang w:eastAsia="zh-CN"/>
        </w:rPr>
        <w:t>消力池坝体内侧及整个水池底部全部采用</w:t>
      </w:r>
      <w:r>
        <w:rPr>
          <w:rFonts w:hint="default" w:ascii="Times New Roman" w:hAnsi="Times New Roman" w:eastAsia="宋体" w:cs="Times New Roman"/>
          <w:color w:val="auto"/>
          <w:sz w:val="24"/>
          <w:szCs w:val="24"/>
          <w:highlight w:val="none"/>
          <w:lang w:val="en-US" w:eastAsia="zh-CN"/>
        </w:rPr>
        <w:t>C30抗渗等级P6混凝土。</w:t>
      </w:r>
    </w:p>
    <w:bookmarkEnd w:id="323"/>
    <w:bookmarkEnd w:id="324"/>
    <w:bookmarkEnd w:id="325"/>
    <w:bookmarkEnd w:id="326"/>
    <w:bookmarkEnd w:id="327"/>
    <w:bookmarkEnd w:id="328"/>
    <w:bookmarkEnd w:id="329"/>
    <w:bookmarkEnd w:id="330"/>
    <w:bookmarkEnd w:id="331"/>
    <w:bookmarkEnd w:id="332"/>
    <w:bookmarkEnd w:id="333"/>
    <w:bookmarkEnd w:id="334"/>
    <w:bookmarkEnd w:id="335"/>
    <w:p>
      <w:pPr>
        <w:pStyle w:val="5"/>
        <w:pageBreakBefore w:val="0"/>
        <w:numPr>
          <w:ilvl w:val="2"/>
          <w:numId w:val="0"/>
        </w:numPr>
        <w:wordWrap/>
        <w:bidi w:val="0"/>
        <w:ind w:left="0" w:leftChars="0" w:right="0" w:rightChars="0"/>
        <w:outlineLvl w:val="1"/>
        <w:rPr>
          <w:rFonts w:hint="default" w:ascii="Times New Roman" w:hAnsi="Times New Roman" w:eastAsia="宋体" w:cs="Times New Roman"/>
          <w:b/>
          <w:bCs/>
          <w:color w:val="auto"/>
          <w:highlight w:val="none"/>
        </w:rPr>
      </w:pPr>
      <w:bookmarkStart w:id="350" w:name="_Toc31712"/>
      <w:bookmarkStart w:id="351" w:name="_Toc19739"/>
      <w:bookmarkStart w:id="352" w:name="_Toc990"/>
      <w:r>
        <w:rPr>
          <w:rFonts w:hint="default" w:ascii="Times New Roman" w:hAnsi="Times New Roman" w:eastAsia="宋体" w:cs="Times New Roman"/>
          <w:b/>
          <w:bCs/>
          <w:i w:val="0"/>
          <w:iCs w:val="0"/>
          <w:caps w:val="0"/>
          <w:smallCaps w:val="0"/>
          <w:strike w:val="0"/>
          <w:dstrike w:val="0"/>
          <w:vanish w:val="0"/>
          <w:color w:val="auto"/>
          <w:spacing w:val="0"/>
          <w:kern w:val="2"/>
          <w:position w:val="0"/>
          <w:sz w:val="24"/>
          <w:szCs w:val="24"/>
          <w:highlight w:val="none"/>
          <w:u w:val="none"/>
          <w:vertAlign w:val="baseline"/>
          <w:lang w:val="en-US" w:eastAsia="zh-CN" w:bidi="ar-SA"/>
          <w14:shadow w14:blurRad="0" w14:dist="0" w14:dir="0" w14:sx="0" w14:sy="0" w14:kx="0" w14:ky="0" w14:algn="none">
            <w14:srgbClr w14:val="000000"/>
          </w14:shadow>
        </w:rPr>
        <w:t>2.2.3</w:t>
      </w:r>
      <w:r>
        <w:rPr>
          <w:rFonts w:hint="default" w:ascii="Times New Roman" w:hAnsi="Times New Roman" w:eastAsia="宋体" w:cs="Times New Roman"/>
          <w:b/>
          <w:bCs/>
          <w:color w:val="auto"/>
          <w:highlight w:val="none"/>
        </w:rPr>
        <w:t>工艺流程</w:t>
      </w:r>
      <w:bookmarkEnd w:id="350"/>
      <w:bookmarkEnd w:id="351"/>
      <w:bookmarkEnd w:id="352"/>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现有工程尾矿库</w:t>
      </w:r>
      <w:r>
        <w:rPr>
          <w:rFonts w:hint="default" w:ascii="Times New Roman" w:hAnsi="Times New Roman" w:eastAsia="宋体" w:cs="Times New Roman"/>
          <w:color w:val="auto"/>
          <w:sz w:val="24"/>
          <w:highlight w:val="none"/>
          <w:lang w:eastAsia="zh-CN"/>
        </w:rPr>
        <w:t>尾矿砂</w:t>
      </w:r>
      <w:r>
        <w:rPr>
          <w:rFonts w:hint="default" w:ascii="Times New Roman" w:hAnsi="Times New Roman" w:eastAsia="宋体" w:cs="Times New Roman"/>
          <w:color w:val="auto"/>
          <w:sz w:val="24"/>
          <w:highlight w:val="none"/>
        </w:rPr>
        <w:t>采用湿式排放的方式。</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乌拉特前旗西沙德盖钼业有限责任公司年处理300万t钼矿</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尾矿产量约为</w:t>
      </w:r>
      <w:r>
        <w:rPr>
          <w:rFonts w:hint="default" w:ascii="Times New Roman" w:hAnsi="Times New Roman" w:eastAsia="宋体" w:cs="Times New Roman"/>
          <w:color w:val="auto"/>
          <w:sz w:val="24"/>
          <w:highlight w:val="none"/>
          <w:lang w:eastAsia="zh-CN"/>
        </w:rPr>
        <w:t>299.46</w:t>
      </w:r>
      <w:r>
        <w:rPr>
          <w:rFonts w:hint="default" w:ascii="Times New Roman" w:hAnsi="Times New Roman" w:eastAsia="宋体" w:cs="Times New Roman"/>
          <w:color w:val="auto"/>
          <w:sz w:val="24"/>
          <w:highlight w:val="none"/>
        </w:rPr>
        <w:t>万t/a</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尾矿浓度</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40%</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采用水隔膜泵加压输送</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通过尾矿管道输送到现有尾矿库进行排放。输送主管采用2条DN450钢管</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1用1备。尾矿放矿主管采用1条dn450（壁厚26.7mm）PE管道</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放矿支管采用dn160PE管道。尾矿回水经现有尾矿回水泵站加压输送至选厂使用。现有尾矿库设计最终堆积标高为1454m。选厂现有尾矿设施见表</w:t>
      </w:r>
      <w:r>
        <w:rPr>
          <w:rFonts w:hint="default" w:ascii="Times New Roman" w:hAnsi="Times New Roman" w:eastAsia="宋体" w:cs="Times New Roman"/>
          <w:color w:val="auto"/>
          <w:sz w:val="24"/>
          <w:highlight w:val="none"/>
          <w:lang w:val="en-US" w:eastAsia="zh-CN"/>
        </w:rPr>
        <w:t>2</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2</w:t>
      </w:r>
      <w:r>
        <w:rPr>
          <w:rFonts w:hint="default" w:ascii="Times New Roman" w:hAnsi="Times New Roman" w:eastAsia="宋体" w:cs="Times New Roman"/>
          <w:color w:val="auto"/>
          <w:sz w:val="24"/>
          <w:highlight w:val="none"/>
        </w:rPr>
        <w:t>。</w:t>
      </w:r>
    </w:p>
    <w:p>
      <w:pPr>
        <w:pageBreakBefore w:val="0"/>
        <w:wordWrap/>
        <w:bidi w:val="0"/>
        <w:spacing w:line="360" w:lineRule="auto"/>
        <w:ind w:left="0" w:leftChars="0" w:right="0" w:rightChars="0"/>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表</w:t>
      </w:r>
      <w:r>
        <w:rPr>
          <w:rFonts w:hint="default" w:ascii="Times New Roman" w:hAnsi="Times New Roman" w:eastAsia="宋体" w:cs="Times New Roman"/>
          <w:b/>
          <w:bCs/>
          <w:color w:val="auto"/>
          <w:sz w:val="24"/>
          <w:highlight w:val="none"/>
          <w:lang w:val="en-US" w:eastAsia="zh-CN"/>
        </w:rPr>
        <w:t>2</w:t>
      </w:r>
      <w:r>
        <w:rPr>
          <w:rFonts w:hint="default" w:ascii="Times New Roman" w:hAnsi="Times New Roman" w:eastAsia="宋体" w:cs="Times New Roman"/>
          <w:b/>
          <w:bCs/>
          <w:color w:val="auto"/>
          <w:sz w:val="24"/>
          <w:highlight w:val="none"/>
        </w:rPr>
        <w:t>-</w:t>
      </w:r>
      <w:r>
        <w:rPr>
          <w:rFonts w:hint="default" w:ascii="Times New Roman" w:hAnsi="Times New Roman" w:eastAsia="宋体" w:cs="Times New Roman"/>
          <w:b/>
          <w:bCs/>
          <w:color w:val="auto"/>
          <w:sz w:val="24"/>
          <w:highlight w:val="none"/>
          <w:lang w:val="en-US" w:eastAsia="zh-CN"/>
        </w:rPr>
        <w:t>2</w:t>
      </w:r>
      <w:r>
        <w:rPr>
          <w:rFonts w:hint="default" w:ascii="Times New Roman" w:hAnsi="Times New Roman" w:eastAsia="宋体" w:cs="Times New Roman"/>
          <w:b/>
          <w:bCs/>
          <w:color w:val="auto"/>
          <w:sz w:val="24"/>
          <w:highlight w:val="none"/>
        </w:rPr>
        <w:t>选厂现有尾矿系统主要设备表</w:t>
      </w:r>
    </w:p>
    <w:tbl>
      <w:tblPr>
        <w:tblStyle w:val="54"/>
        <w:tblW w:w="8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11"/>
        <w:gridCol w:w="1875"/>
        <w:gridCol w:w="2700"/>
        <w:gridCol w:w="633"/>
        <w:gridCol w:w="633"/>
        <w:gridCol w:w="19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25" w:type="dxa"/>
            <w:tcBorders>
              <w:top w:val="single" w:color="auto" w:sz="4" w:space="0"/>
              <w:left w:val="single" w:color="auto" w:sz="4" w:space="0"/>
              <w:bottom w:val="single" w:color="auto" w:sz="4" w:space="0"/>
              <w:right w:val="single" w:color="auto" w:sz="4" w:space="0"/>
            </w:tcBorders>
            <w:noWrap w:val="0"/>
            <w:vAlign w:val="bottom"/>
          </w:tcPr>
          <w:p>
            <w:pPr>
              <w:pageBreakBefore w:val="0"/>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序号</w:t>
            </w:r>
          </w:p>
        </w:tc>
        <w:tc>
          <w:tcPr>
            <w:tcW w:w="1926" w:type="dxa"/>
            <w:tcBorders>
              <w:top w:val="single" w:color="auto" w:sz="4" w:space="0"/>
              <w:left w:val="single" w:color="auto" w:sz="4" w:space="0"/>
              <w:bottom w:val="single" w:color="auto" w:sz="4" w:space="0"/>
              <w:right w:val="single" w:color="auto" w:sz="4" w:space="0"/>
            </w:tcBorders>
            <w:noWrap w:val="0"/>
            <w:vAlign w:val="bottom"/>
          </w:tcPr>
          <w:p>
            <w:pPr>
              <w:pageBreakBefore w:val="0"/>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名称</w:t>
            </w:r>
          </w:p>
        </w:tc>
        <w:tc>
          <w:tcPr>
            <w:tcW w:w="2774"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型号及规格</w:t>
            </w:r>
          </w:p>
        </w:tc>
        <w:tc>
          <w:tcPr>
            <w:tcW w:w="650" w:type="dxa"/>
            <w:tcBorders>
              <w:top w:val="single" w:color="auto" w:sz="4" w:space="0"/>
              <w:left w:val="single" w:color="auto" w:sz="4" w:space="0"/>
              <w:bottom w:val="single" w:color="auto" w:sz="4" w:space="0"/>
              <w:right w:val="single" w:color="auto" w:sz="4" w:space="0"/>
            </w:tcBorders>
            <w:noWrap w:val="0"/>
            <w:vAlign w:val="bottom"/>
          </w:tcPr>
          <w:p>
            <w:pPr>
              <w:pageBreakBefore w:val="0"/>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单位</w:t>
            </w:r>
          </w:p>
        </w:tc>
        <w:tc>
          <w:tcPr>
            <w:tcW w:w="650" w:type="dxa"/>
            <w:tcBorders>
              <w:top w:val="single" w:color="auto" w:sz="4" w:space="0"/>
              <w:left w:val="single" w:color="auto" w:sz="4" w:space="0"/>
              <w:bottom w:val="single" w:color="auto" w:sz="4" w:space="0"/>
              <w:right w:val="single" w:color="auto" w:sz="4" w:space="0"/>
            </w:tcBorders>
            <w:noWrap w:val="0"/>
            <w:vAlign w:val="bottom"/>
          </w:tcPr>
          <w:p>
            <w:pPr>
              <w:pageBreakBefore w:val="0"/>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数量</w:t>
            </w:r>
          </w:p>
        </w:tc>
        <w:tc>
          <w:tcPr>
            <w:tcW w:w="1989" w:type="dxa"/>
            <w:tcBorders>
              <w:top w:val="single" w:color="auto" w:sz="4" w:space="0"/>
              <w:left w:val="single" w:color="auto" w:sz="4" w:space="0"/>
              <w:bottom w:val="single" w:color="auto" w:sz="4" w:space="0"/>
              <w:right w:val="single" w:color="auto" w:sz="4" w:space="0"/>
            </w:tcBorders>
            <w:noWrap w:val="0"/>
            <w:vAlign w:val="bottom"/>
          </w:tcPr>
          <w:p>
            <w:pPr>
              <w:pageBreakBefore w:val="0"/>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25"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1926"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水隔离泵</w:t>
            </w:r>
          </w:p>
        </w:tc>
        <w:tc>
          <w:tcPr>
            <w:tcW w:w="2774"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szCs w:val="21"/>
                <w:highlight w:val="none"/>
              </w:rPr>
              <w:t>型号</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D450-60×3</w:t>
            </w:r>
          </w:p>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Q=450m</w:t>
            </w:r>
            <w:r>
              <w:rPr>
                <w:rFonts w:hint="default" w:ascii="Times New Roman" w:hAnsi="Times New Roman" w:eastAsia="宋体" w:cs="Times New Roman"/>
                <w:color w:val="auto"/>
                <w:szCs w:val="21"/>
                <w:highlight w:val="none"/>
                <w:vertAlign w:val="superscript"/>
              </w:rPr>
              <w:t>3</w:t>
            </w:r>
            <w:r>
              <w:rPr>
                <w:rFonts w:hint="default" w:ascii="Times New Roman" w:hAnsi="Times New Roman" w:eastAsia="宋体" w:cs="Times New Roman"/>
                <w:color w:val="auto"/>
                <w:szCs w:val="21"/>
                <w:highlight w:val="none"/>
              </w:rPr>
              <w:t>/h</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H=180m</w:t>
            </w:r>
          </w:p>
          <w:p>
            <w:pPr>
              <w:pageBreakBefore w:val="0"/>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szCs w:val="21"/>
                <w:highlight w:val="none"/>
              </w:rPr>
              <w:t>N=355kW</w:t>
            </w:r>
          </w:p>
        </w:tc>
        <w:tc>
          <w:tcPr>
            <w:tcW w:w="650"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套</w:t>
            </w:r>
          </w:p>
        </w:tc>
        <w:tc>
          <w:tcPr>
            <w:tcW w:w="650"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w:t>
            </w:r>
          </w:p>
        </w:tc>
        <w:tc>
          <w:tcPr>
            <w:tcW w:w="1989" w:type="dxa"/>
            <w:tcBorders>
              <w:top w:val="single" w:color="auto" w:sz="4" w:space="0"/>
              <w:left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2用1备</w:t>
            </w:r>
          </w:p>
        </w:tc>
      </w:tr>
    </w:tbl>
    <w:p>
      <w:pPr>
        <w:pStyle w:val="5"/>
        <w:pageBreakBefore w:val="0"/>
        <w:numPr>
          <w:ilvl w:val="2"/>
          <w:numId w:val="0"/>
        </w:numPr>
        <w:wordWrap/>
        <w:bidi w:val="0"/>
        <w:ind w:left="0" w:leftChars="0" w:right="0" w:rightChars="0"/>
        <w:outlineLvl w:val="1"/>
        <w:rPr>
          <w:rFonts w:hint="default" w:ascii="Times New Roman" w:hAnsi="Times New Roman" w:eastAsia="宋体" w:cs="Times New Roman"/>
          <w:b/>
          <w:bCs/>
          <w:color w:val="auto"/>
          <w:highlight w:val="none"/>
        </w:rPr>
      </w:pPr>
      <w:bookmarkStart w:id="353" w:name="_Toc289"/>
      <w:bookmarkStart w:id="354" w:name="_Toc5309"/>
      <w:bookmarkStart w:id="355" w:name="_Toc30213"/>
      <w:r>
        <w:rPr>
          <w:rFonts w:hint="default" w:ascii="Times New Roman" w:hAnsi="Times New Roman" w:eastAsia="宋体" w:cs="Times New Roman"/>
          <w:b/>
          <w:bCs/>
          <w:i w:val="0"/>
          <w:iCs w:val="0"/>
          <w:caps w:val="0"/>
          <w:smallCaps w:val="0"/>
          <w:strike w:val="0"/>
          <w:dstrike w:val="0"/>
          <w:vanish w:val="0"/>
          <w:color w:val="auto"/>
          <w:spacing w:val="0"/>
          <w:kern w:val="2"/>
          <w:position w:val="0"/>
          <w:sz w:val="24"/>
          <w:szCs w:val="24"/>
          <w:highlight w:val="none"/>
          <w:u w:val="none"/>
          <w:vertAlign w:val="baseline"/>
          <w:lang w:val="en-US" w:eastAsia="zh-CN" w:bidi="ar-SA"/>
          <w14:shadow w14:blurRad="0" w14:dist="0" w14:dir="0" w14:sx="0" w14:sy="0" w14:kx="0" w14:ky="0" w14:algn="none">
            <w14:srgbClr w14:val="000000"/>
          </w14:shadow>
        </w:rPr>
        <w:t>2.2.4</w:t>
      </w:r>
      <w:r>
        <w:rPr>
          <w:rFonts w:hint="default" w:ascii="Times New Roman" w:hAnsi="Times New Roman" w:eastAsia="宋体" w:cs="Times New Roman"/>
          <w:b/>
          <w:bCs/>
          <w:color w:val="auto"/>
          <w:highlight w:val="none"/>
        </w:rPr>
        <w:t>污染物排放情况</w:t>
      </w:r>
      <w:bookmarkEnd w:id="353"/>
      <w:bookmarkEnd w:id="354"/>
      <w:bookmarkEnd w:id="355"/>
    </w:p>
    <w:p>
      <w:pPr>
        <w:pageBreakBefore w:val="0"/>
        <w:wordWrap/>
        <w:bidi w:val="0"/>
        <w:spacing w:line="360" w:lineRule="auto"/>
        <w:ind w:left="0" w:leftChars="0" w:right="0" w:rightChars="0" w:firstLine="480" w:firstLineChars="200"/>
        <w:rPr>
          <w:rFonts w:hint="default" w:ascii="Times New Roman" w:hAnsi="Times New Roman" w:eastAsia="宋体" w:cs="Times New Roman"/>
          <w:bCs/>
          <w:color w:val="auto"/>
          <w:sz w:val="24"/>
          <w:highlight w:val="none"/>
          <w:lang w:eastAsia="zh-CN"/>
        </w:rPr>
      </w:pPr>
      <w:r>
        <w:rPr>
          <w:rFonts w:hint="default" w:ascii="Times New Roman" w:hAnsi="Times New Roman" w:eastAsia="宋体" w:cs="Times New Roman"/>
          <w:bCs/>
          <w:color w:val="auto"/>
          <w:sz w:val="24"/>
          <w:highlight w:val="none"/>
        </w:rPr>
        <w:t>现有工程污染物排放</w:t>
      </w:r>
      <w:r>
        <w:rPr>
          <w:rFonts w:hint="default" w:ascii="Times New Roman" w:hAnsi="Times New Roman" w:eastAsia="宋体" w:cs="Times New Roman"/>
          <w:bCs/>
          <w:color w:val="auto"/>
          <w:sz w:val="24"/>
          <w:highlight w:val="none"/>
          <w:lang w:eastAsia="zh-CN"/>
        </w:rPr>
        <w:t>情况如下：</w:t>
      </w:r>
    </w:p>
    <w:p>
      <w:pPr>
        <w:pageBreakBefore w:val="0"/>
        <w:wordWrap/>
        <w:bidi w:val="0"/>
        <w:spacing w:line="360" w:lineRule="auto"/>
        <w:ind w:left="0" w:leftChars="0" w:right="0" w:rightChars="0" w:firstLine="480" w:firstLineChars="200"/>
        <w:outlineLvl w:val="0"/>
        <w:rPr>
          <w:rFonts w:hint="default" w:ascii="Times New Roman" w:hAnsi="Times New Roman" w:eastAsia="宋体" w:cs="Times New Roman"/>
          <w:bCs/>
          <w:color w:val="auto"/>
          <w:sz w:val="24"/>
          <w:highlight w:val="none"/>
          <w:lang w:eastAsia="zh-CN"/>
        </w:rPr>
      </w:pPr>
      <w:bookmarkStart w:id="356" w:name="_Toc31125"/>
      <w:bookmarkStart w:id="357" w:name="_Toc18979"/>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lang w:val="en-US" w:eastAsia="zh-CN"/>
        </w:rPr>
        <w:t>1</w:t>
      </w:r>
      <w:r>
        <w:rPr>
          <w:rFonts w:hint="default" w:ascii="Times New Roman" w:hAnsi="Times New Roman" w:eastAsia="宋体" w:cs="Times New Roman"/>
          <w:bCs/>
          <w:color w:val="auto"/>
          <w:sz w:val="24"/>
          <w:highlight w:val="none"/>
          <w:lang w:eastAsia="zh-CN"/>
        </w:rPr>
        <w:t>）废气</w:t>
      </w:r>
      <w:bookmarkEnd w:id="356"/>
      <w:bookmarkEnd w:id="357"/>
    </w:p>
    <w:p>
      <w:pPr>
        <w:pageBreakBefore w:val="0"/>
        <w:wordWrap/>
        <w:bidi w:val="0"/>
        <w:spacing w:line="360" w:lineRule="auto"/>
        <w:ind w:left="0" w:leftChars="0" w:right="0" w:rightChars="0" w:firstLine="480" w:firstLineChars="200"/>
        <w:rPr>
          <w:rFonts w:hint="default" w:ascii="Times New Roman" w:hAnsi="Times New Roman" w:eastAsia="宋体" w:cs="Times New Roman"/>
          <w:bCs/>
          <w:color w:val="auto"/>
          <w:sz w:val="24"/>
          <w:highlight w:val="none"/>
          <w:lang w:eastAsia="zh-CN"/>
        </w:rPr>
      </w:pPr>
      <w:r>
        <w:rPr>
          <w:rFonts w:hint="default" w:ascii="Times New Roman" w:hAnsi="Times New Roman" w:eastAsia="宋体" w:cs="Times New Roman"/>
          <w:bCs/>
          <w:color w:val="auto"/>
          <w:sz w:val="24"/>
          <w:highlight w:val="none"/>
        </w:rPr>
        <w:t>现有工程废气污染物主要为</w:t>
      </w:r>
      <w:r>
        <w:rPr>
          <w:rFonts w:hint="default" w:ascii="Times New Roman" w:hAnsi="Times New Roman" w:eastAsia="宋体" w:cs="Times New Roman"/>
          <w:color w:val="auto"/>
          <w:sz w:val="24"/>
          <w:highlight w:val="none"/>
        </w:rPr>
        <w:t>尾矿库干滩面产生的扬尘</w:t>
      </w:r>
      <w:r>
        <w:rPr>
          <w:rFonts w:hint="default" w:ascii="Times New Roman" w:hAnsi="Times New Roman" w:eastAsia="宋体" w:cs="Times New Roman"/>
          <w:color w:val="auto"/>
          <w:sz w:val="24"/>
          <w:highlight w:val="none"/>
          <w:lang w:eastAsia="zh-CN"/>
        </w:rPr>
        <w:t>，采取</w:t>
      </w:r>
      <w:r>
        <w:rPr>
          <w:rFonts w:hint="default" w:ascii="Times New Roman" w:hAnsi="Times New Roman" w:eastAsia="宋体" w:cs="Times New Roman"/>
          <w:bCs/>
          <w:color w:val="auto"/>
          <w:sz w:val="24"/>
          <w:highlight w:val="none"/>
        </w:rPr>
        <w:t>定期洒水等措施抑尘</w:t>
      </w:r>
      <w:r>
        <w:rPr>
          <w:rFonts w:hint="default" w:ascii="Times New Roman" w:hAnsi="Times New Roman" w:eastAsia="宋体" w:cs="Times New Roman"/>
          <w:bCs/>
          <w:color w:val="auto"/>
          <w:sz w:val="24"/>
          <w:highlight w:val="none"/>
          <w:lang w:eastAsia="zh-CN"/>
        </w:rPr>
        <w:t>。</w:t>
      </w:r>
    </w:p>
    <w:p>
      <w:pPr>
        <w:pageBreakBefore w:val="0"/>
        <w:wordWrap/>
        <w:bidi w:val="0"/>
        <w:spacing w:line="360" w:lineRule="auto"/>
        <w:ind w:left="0" w:leftChars="0" w:right="0" w:rightChars="0" w:firstLine="480" w:firstLineChars="200"/>
        <w:rPr>
          <w:rFonts w:hint="default" w:ascii="Times New Roman" w:hAnsi="Times New Roman" w:eastAsia="宋体" w:cs="Times New Roman"/>
          <w:bCs/>
          <w:color w:val="auto"/>
          <w:sz w:val="24"/>
          <w:highlight w:val="none"/>
          <w:lang w:eastAsia="zh-CN"/>
        </w:rPr>
      </w:pPr>
      <w:r>
        <w:rPr>
          <w:rFonts w:hint="default" w:ascii="Times New Roman" w:hAnsi="Times New Roman" w:eastAsia="宋体" w:cs="Times New Roman"/>
          <w:bCs/>
          <w:color w:val="auto"/>
          <w:sz w:val="24"/>
          <w:highlight w:val="none"/>
        </w:rPr>
        <w:t>根据</w:t>
      </w:r>
      <w:r>
        <w:rPr>
          <w:rFonts w:hint="default" w:ascii="Times New Roman" w:hAnsi="Times New Roman" w:eastAsia="宋体" w:cs="Times New Roman"/>
          <w:bCs/>
          <w:color w:val="auto"/>
          <w:sz w:val="24"/>
          <w:highlight w:val="none"/>
          <w:lang w:eastAsia="zh-CN"/>
        </w:rPr>
        <w:t>内蒙古路易精普检测科技有限公司于</w:t>
      </w:r>
      <w:r>
        <w:rPr>
          <w:rFonts w:hint="default" w:ascii="Times New Roman" w:hAnsi="Times New Roman" w:eastAsia="宋体" w:cs="Times New Roman"/>
          <w:bCs/>
          <w:color w:val="auto"/>
          <w:sz w:val="24"/>
          <w:highlight w:val="none"/>
          <w:lang w:val="en-US" w:eastAsia="zh-CN"/>
        </w:rPr>
        <w:t>2023年5月26日出具的《乌拉特前旗西沙德盖钼业有限责任公司尾矿库自行监测2023年第二季度检验监测报告》</w:t>
      </w:r>
      <w:r>
        <w:rPr>
          <w:rFonts w:hint="default" w:ascii="Times New Roman" w:hAnsi="Times New Roman" w:eastAsia="宋体" w:cs="Times New Roman"/>
          <w:bCs/>
          <w:color w:val="auto"/>
          <w:sz w:val="24"/>
          <w:highlight w:val="none"/>
        </w:rPr>
        <w:t>可知</w:t>
      </w:r>
      <w:r>
        <w:rPr>
          <w:rFonts w:hint="default" w:ascii="Times New Roman" w:hAnsi="Times New Roman" w:eastAsia="宋体" w:cs="Times New Roman"/>
          <w:bCs/>
          <w:color w:val="auto"/>
          <w:sz w:val="24"/>
          <w:highlight w:val="none"/>
          <w:lang w:eastAsia="zh-CN"/>
        </w:rPr>
        <w:t>：</w:t>
      </w:r>
    </w:p>
    <w:p>
      <w:pPr>
        <w:pageBreakBefore w:val="0"/>
        <w:wordWrap/>
        <w:bidi w:val="0"/>
        <w:spacing w:line="360" w:lineRule="auto"/>
        <w:ind w:left="0" w:leftChars="0" w:right="0" w:rightChars="0"/>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表</w:t>
      </w:r>
      <w:r>
        <w:rPr>
          <w:rFonts w:hint="default" w:ascii="Times New Roman" w:hAnsi="Times New Roman" w:eastAsia="宋体" w:cs="Times New Roman"/>
          <w:b/>
          <w:bCs/>
          <w:color w:val="auto"/>
          <w:sz w:val="24"/>
          <w:highlight w:val="none"/>
          <w:lang w:val="en-US" w:eastAsia="zh-CN"/>
        </w:rPr>
        <w:t>2</w:t>
      </w:r>
      <w:r>
        <w:rPr>
          <w:rFonts w:hint="default" w:ascii="Times New Roman" w:hAnsi="Times New Roman" w:eastAsia="宋体" w:cs="Times New Roman"/>
          <w:b/>
          <w:bCs/>
          <w:color w:val="auto"/>
          <w:sz w:val="24"/>
          <w:highlight w:val="none"/>
        </w:rPr>
        <w:t>-</w:t>
      </w:r>
      <w:r>
        <w:rPr>
          <w:rFonts w:hint="default" w:ascii="Times New Roman" w:hAnsi="Times New Roman" w:eastAsia="宋体" w:cs="Times New Roman"/>
          <w:b/>
          <w:bCs/>
          <w:color w:val="auto"/>
          <w:sz w:val="24"/>
          <w:highlight w:val="none"/>
          <w:lang w:val="en-US" w:eastAsia="zh-CN"/>
        </w:rPr>
        <w:t>3</w:t>
      </w:r>
      <w:r>
        <w:rPr>
          <w:rFonts w:hint="default" w:ascii="Times New Roman" w:hAnsi="Times New Roman" w:eastAsia="宋体" w:cs="Times New Roman"/>
          <w:b/>
          <w:bCs/>
          <w:color w:val="auto"/>
          <w:sz w:val="24"/>
          <w:highlight w:val="none"/>
          <w:lang w:eastAsia="zh-CN"/>
        </w:rPr>
        <w:t>无组织废气检验检测结果一览</w:t>
      </w:r>
      <w:r>
        <w:rPr>
          <w:rFonts w:hint="default" w:ascii="Times New Roman" w:hAnsi="Times New Roman" w:eastAsia="宋体" w:cs="Times New Roman"/>
          <w:b/>
          <w:bCs/>
          <w:color w:val="auto"/>
          <w:sz w:val="24"/>
          <w:highlight w:val="none"/>
        </w:rPr>
        <w:t>表</w:t>
      </w:r>
    </w:p>
    <w:tbl>
      <w:tblPr>
        <w:tblStyle w:val="5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386"/>
        <w:gridCol w:w="1386"/>
        <w:gridCol w:w="1386"/>
        <w:gridCol w:w="1386"/>
        <w:gridCol w:w="1386"/>
        <w:gridCol w:w="13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669" w:type="dxa"/>
            <w:tcBorders>
              <w:top w:val="single" w:color="auto" w:sz="4" w:space="0"/>
              <w:left w:val="single" w:color="auto" w:sz="4" w:space="0"/>
              <w:bottom w:val="single" w:color="auto" w:sz="4" w:space="0"/>
              <w:right w:val="single" w:color="auto" w:sz="4" w:space="0"/>
            </w:tcBorders>
            <w:noWrap w:val="0"/>
            <w:vAlign w:val="bottom"/>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序号</w:t>
            </w:r>
          </w:p>
        </w:tc>
        <w:tc>
          <w:tcPr>
            <w:tcW w:w="5669" w:type="dxa"/>
            <w:tcBorders>
              <w:top w:val="single" w:color="auto" w:sz="4" w:space="0"/>
              <w:left w:val="single" w:color="auto" w:sz="4" w:space="0"/>
              <w:bottom w:val="single" w:color="auto" w:sz="4" w:space="0"/>
              <w:right w:val="single" w:color="auto" w:sz="4" w:space="0"/>
            </w:tcBorders>
            <w:noWrap w:val="0"/>
            <w:vAlign w:val="bottom"/>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采样点位</w:t>
            </w:r>
          </w:p>
        </w:tc>
        <w:tc>
          <w:tcPr>
            <w:tcW w:w="5669"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检测项目</w:t>
            </w:r>
          </w:p>
        </w:tc>
        <w:tc>
          <w:tcPr>
            <w:tcW w:w="5669" w:type="dxa"/>
            <w:tcBorders>
              <w:top w:val="single" w:color="auto" w:sz="4" w:space="0"/>
              <w:left w:val="single" w:color="auto" w:sz="4" w:space="0"/>
              <w:bottom w:val="single" w:color="auto" w:sz="4" w:space="0"/>
              <w:right w:val="single" w:color="auto" w:sz="4" w:space="0"/>
            </w:tcBorders>
            <w:noWrap w:val="0"/>
            <w:vAlign w:val="bottom"/>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单位</w:t>
            </w:r>
          </w:p>
        </w:tc>
        <w:tc>
          <w:tcPr>
            <w:tcW w:w="5669" w:type="dxa"/>
            <w:tcBorders>
              <w:top w:val="single" w:color="auto" w:sz="4" w:space="0"/>
              <w:left w:val="single" w:color="auto" w:sz="4" w:space="0"/>
              <w:bottom w:val="single" w:color="auto" w:sz="4" w:space="0"/>
              <w:right w:val="single" w:color="auto" w:sz="4" w:space="0"/>
            </w:tcBorders>
            <w:noWrap w:val="0"/>
            <w:vAlign w:val="bottom"/>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检测结果</w:t>
            </w:r>
          </w:p>
        </w:tc>
        <w:tc>
          <w:tcPr>
            <w:tcW w:w="5669" w:type="dxa"/>
            <w:tcBorders>
              <w:top w:val="single" w:color="auto" w:sz="4" w:space="0"/>
              <w:left w:val="single" w:color="auto" w:sz="4" w:space="0"/>
              <w:bottom w:val="single" w:color="auto" w:sz="4" w:space="0"/>
              <w:right w:val="single" w:color="auto" w:sz="4" w:space="0"/>
            </w:tcBorders>
            <w:noWrap w:val="0"/>
            <w:vAlign w:val="bottom"/>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669"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5669" w:type="dxa"/>
            <w:vMerge w:val="restart"/>
            <w:tcBorders>
              <w:top w:val="single" w:color="auto" w:sz="4" w:space="0"/>
              <w:left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eastAsia="zh-CN"/>
              </w:rPr>
              <w:t>厂界上风向</w:t>
            </w:r>
            <w:r>
              <w:rPr>
                <w:rFonts w:hint="default" w:ascii="Times New Roman" w:hAnsi="Times New Roman" w:eastAsia="宋体" w:cs="Times New Roman"/>
                <w:color w:val="auto"/>
                <w:sz w:val="21"/>
                <w:szCs w:val="21"/>
                <w:highlight w:val="none"/>
                <w:lang w:val="en-US" w:eastAsia="zh-CN"/>
              </w:rPr>
              <w:t>1#</w:t>
            </w:r>
          </w:p>
        </w:tc>
        <w:tc>
          <w:tcPr>
            <w:tcW w:w="5669" w:type="dxa"/>
            <w:vMerge w:val="restart"/>
            <w:tcBorders>
              <w:top w:val="single" w:color="auto" w:sz="4" w:space="0"/>
              <w:left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颗粒物</w:t>
            </w:r>
          </w:p>
        </w:tc>
        <w:tc>
          <w:tcPr>
            <w:tcW w:w="5669" w:type="dxa"/>
            <w:vMerge w:val="restart"/>
            <w:tcBorders>
              <w:top w:val="single" w:color="auto" w:sz="4" w:space="0"/>
              <w:left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rPr>
              <w:t>mg/m</w:t>
            </w:r>
            <w:r>
              <w:rPr>
                <w:rFonts w:hint="default" w:ascii="Times New Roman" w:hAnsi="Times New Roman" w:eastAsia="宋体" w:cs="Times New Roman"/>
                <w:bCs/>
                <w:color w:val="auto"/>
                <w:sz w:val="21"/>
                <w:szCs w:val="21"/>
                <w:highlight w:val="none"/>
                <w:vertAlign w:val="superscript"/>
              </w:rPr>
              <w:t>3</w:t>
            </w:r>
          </w:p>
        </w:tc>
        <w:tc>
          <w:tcPr>
            <w:tcW w:w="5669"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0.238</w:t>
            </w:r>
          </w:p>
        </w:tc>
        <w:tc>
          <w:tcPr>
            <w:tcW w:w="5669" w:type="dxa"/>
            <w:vMerge w:val="restart"/>
            <w:tcBorders>
              <w:top w:val="single" w:color="auto" w:sz="4" w:space="0"/>
              <w:left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669"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w:t>
            </w:r>
          </w:p>
        </w:tc>
        <w:tc>
          <w:tcPr>
            <w:tcW w:w="5669" w:type="dxa"/>
            <w:vMerge w:val="continue"/>
            <w:tcBorders>
              <w:left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5669" w:type="dxa"/>
            <w:vMerge w:val="continue"/>
            <w:tcBorders>
              <w:left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5669" w:type="dxa"/>
            <w:vMerge w:val="continue"/>
            <w:tcBorders>
              <w:left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5669"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0.263</w:t>
            </w:r>
          </w:p>
        </w:tc>
        <w:tc>
          <w:tcPr>
            <w:tcW w:w="5669" w:type="dxa"/>
            <w:vMerge w:val="continue"/>
            <w:tcBorders>
              <w:left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5669"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w:t>
            </w:r>
          </w:p>
        </w:tc>
        <w:tc>
          <w:tcPr>
            <w:tcW w:w="5669" w:type="dxa"/>
            <w:vMerge w:val="continue"/>
            <w:tcBorders>
              <w:left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5669" w:type="dxa"/>
            <w:vMerge w:val="continue"/>
            <w:tcBorders>
              <w:left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5669" w:type="dxa"/>
            <w:vMerge w:val="continue"/>
            <w:tcBorders>
              <w:left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5669"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0.245</w:t>
            </w:r>
          </w:p>
        </w:tc>
        <w:tc>
          <w:tcPr>
            <w:tcW w:w="5669" w:type="dxa"/>
            <w:vMerge w:val="continue"/>
            <w:tcBorders>
              <w:left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669"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w:t>
            </w:r>
          </w:p>
        </w:tc>
        <w:tc>
          <w:tcPr>
            <w:tcW w:w="5669" w:type="dxa"/>
            <w:vMerge w:val="continue"/>
            <w:tcBorders>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5669" w:type="dxa"/>
            <w:vMerge w:val="continue"/>
            <w:tcBorders>
              <w:left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5669" w:type="dxa"/>
            <w:vMerge w:val="continue"/>
            <w:tcBorders>
              <w:left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5669"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0.258</w:t>
            </w:r>
          </w:p>
        </w:tc>
        <w:tc>
          <w:tcPr>
            <w:tcW w:w="5669" w:type="dxa"/>
            <w:vMerge w:val="continue"/>
            <w:tcBorders>
              <w:left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5669"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w:t>
            </w:r>
          </w:p>
        </w:tc>
        <w:tc>
          <w:tcPr>
            <w:tcW w:w="5669" w:type="dxa"/>
            <w:vMerge w:val="restart"/>
            <w:tcBorders>
              <w:top w:val="single" w:color="auto" w:sz="4" w:space="0"/>
              <w:left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厂界下风向</w:t>
            </w:r>
            <w:r>
              <w:rPr>
                <w:rFonts w:hint="default" w:ascii="Times New Roman" w:hAnsi="Times New Roman" w:eastAsia="宋体" w:cs="Times New Roman"/>
                <w:color w:val="auto"/>
                <w:sz w:val="21"/>
                <w:szCs w:val="21"/>
                <w:highlight w:val="none"/>
                <w:lang w:val="en-US" w:eastAsia="zh-CN"/>
              </w:rPr>
              <w:t>2#</w:t>
            </w:r>
          </w:p>
        </w:tc>
        <w:tc>
          <w:tcPr>
            <w:tcW w:w="5669" w:type="dxa"/>
            <w:vMerge w:val="continue"/>
            <w:tcBorders>
              <w:left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5669" w:type="dxa"/>
            <w:vMerge w:val="continue"/>
            <w:tcBorders>
              <w:left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5669"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0.445</w:t>
            </w:r>
          </w:p>
        </w:tc>
        <w:tc>
          <w:tcPr>
            <w:tcW w:w="5669" w:type="dxa"/>
            <w:vMerge w:val="continue"/>
            <w:tcBorders>
              <w:left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5669"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w:t>
            </w:r>
          </w:p>
        </w:tc>
        <w:tc>
          <w:tcPr>
            <w:tcW w:w="5669" w:type="dxa"/>
            <w:vMerge w:val="continue"/>
            <w:tcBorders>
              <w:left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5669" w:type="dxa"/>
            <w:vMerge w:val="continue"/>
            <w:tcBorders>
              <w:left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5669" w:type="dxa"/>
            <w:vMerge w:val="continue"/>
            <w:tcBorders>
              <w:left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5669"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0.452</w:t>
            </w:r>
          </w:p>
        </w:tc>
        <w:tc>
          <w:tcPr>
            <w:tcW w:w="5669" w:type="dxa"/>
            <w:vMerge w:val="continue"/>
            <w:tcBorders>
              <w:left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669"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w:t>
            </w:r>
          </w:p>
        </w:tc>
        <w:tc>
          <w:tcPr>
            <w:tcW w:w="5669" w:type="dxa"/>
            <w:vMerge w:val="continue"/>
            <w:tcBorders>
              <w:left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5669" w:type="dxa"/>
            <w:vMerge w:val="continue"/>
            <w:tcBorders>
              <w:left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5669" w:type="dxa"/>
            <w:vMerge w:val="continue"/>
            <w:tcBorders>
              <w:left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5669"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0.462</w:t>
            </w:r>
          </w:p>
        </w:tc>
        <w:tc>
          <w:tcPr>
            <w:tcW w:w="5669" w:type="dxa"/>
            <w:vMerge w:val="continue"/>
            <w:tcBorders>
              <w:left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669"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w:t>
            </w:r>
          </w:p>
        </w:tc>
        <w:tc>
          <w:tcPr>
            <w:tcW w:w="5669" w:type="dxa"/>
            <w:vMerge w:val="continue"/>
            <w:tcBorders>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5669" w:type="dxa"/>
            <w:vMerge w:val="continue"/>
            <w:tcBorders>
              <w:left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5669" w:type="dxa"/>
            <w:vMerge w:val="continue"/>
            <w:tcBorders>
              <w:left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5669"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0.437</w:t>
            </w:r>
          </w:p>
        </w:tc>
        <w:tc>
          <w:tcPr>
            <w:tcW w:w="5669" w:type="dxa"/>
            <w:vMerge w:val="continue"/>
            <w:tcBorders>
              <w:left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669"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9</w:t>
            </w:r>
          </w:p>
        </w:tc>
        <w:tc>
          <w:tcPr>
            <w:tcW w:w="5669" w:type="dxa"/>
            <w:vMerge w:val="restart"/>
            <w:tcBorders>
              <w:top w:val="single" w:color="auto" w:sz="4" w:space="0"/>
              <w:left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厂界下风向</w:t>
            </w:r>
            <w:r>
              <w:rPr>
                <w:rFonts w:hint="default" w:ascii="Times New Roman" w:hAnsi="Times New Roman" w:eastAsia="宋体" w:cs="Times New Roman"/>
                <w:color w:val="auto"/>
                <w:sz w:val="21"/>
                <w:szCs w:val="21"/>
                <w:highlight w:val="none"/>
                <w:lang w:val="en-US" w:eastAsia="zh-CN"/>
              </w:rPr>
              <w:t>3#</w:t>
            </w:r>
          </w:p>
        </w:tc>
        <w:tc>
          <w:tcPr>
            <w:tcW w:w="5669" w:type="dxa"/>
            <w:vMerge w:val="continue"/>
            <w:tcBorders>
              <w:left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5669" w:type="dxa"/>
            <w:vMerge w:val="continue"/>
            <w:tcBorders>
              <w:left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5669"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0.455</w:t>
            </w:r>
          </w:p>
        </w:tc>
        <w:tc>
          <w:tcPr>
            <w:tcW w:w="5669" w:type="dxa"/>
            <w:vMerge w:val="continue"/>
            <w:tcBorders>
              <w:left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669"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w:t>
            </w:r>
          </w:p>
        </w:tc>
        <w:tc>
          <w:tcPr>
            <w:tcW w:w="5669" w:type="dxa"/>
            <w:vMerge w:val="continue"/>
            <w:tcBorders>
              <w:left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5669" w:type="dxa"/>
            <w:vMerge w:val="continue"/>
            <w:tcBorders>
              <w:left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5669" w:type="dxa"/>
            <w:vMerge w:val="continue"/>
            <w:tcBorders>
              <w:left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5669"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0.440</w:t>
            </w:r>
          </w:p>
        </w:tc>
        <w:tc>
          <w:tcPr>
            <w:tcW w:w="5669" w:type="dxa"/>
            <w:vMerge w:val="continue"/>
            <w:tcBorders>
              <w:left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669"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11</w:t>
            </w:r>
          </w:p>
        </w:tc>
        <w:tc>
          <w:tcPr>
            <w:tcW w:w="5669" w:type="dxa"/>
            <w:vMerge w:val="continue"/>
            <w:tcBorders>
              <w:left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5669" w:type="dxa"/>
            <w:vMerge w:val="continue"/>
            <w:tcBorders>
              <w:left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5669" w:type="dxa"/>
            <w:vMerge w:val="continue"/>
            <w:tcBorders>
              <w:left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5669"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0.430</w:t>
            </w:r>
          </w:p>
        </w:tc>
        <w:tc>
          <w:tcPr>
            <w:tcW w:w="5669" w:type="dxa"/>
            <w:vMerge w:val="continue"/>
            <w:tcBorders>
              <w:left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669"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12</w:t>
            </w:r>
          </w:p>
        </w:tc>
        <w:tc>
          <w:tcPr>
            <w:tcW w:w="5669" w:type="dxa"/>
            <w:vMerge w:val="continue"/>
            <w:tcBorders>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5669" w:type="dxa"/>
            <w:vMerge w:val="continue"/>
            <w:tcBorders>
              <w:left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5669" w:type="dxa"/>
            <w:vMerge w:val="continue"/>
            <w:tcBorders>
              <w:left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5669"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0.452</w:t>
            </w:r>
          </w:p>
        </w:tc>
        <w:tc>
          <w:tcPr>
            <w:tcW w:w="5669" w:type="dxa"/>
            <w:vMerge w:val="continue"/>
            <w:tcBorders>
              <w:left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669"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13</w:t>
            </w:r>
          </w:p>
        </w:tc>
        <w:tc>
          <w:tcPr>
            <w:tcW w:w="5669" w:type="dxa"/>
            <w:vMerge w:val="restart"/>
            <w:tcBorders>
              <w:top w:val="single" w:color="auto" w:sz="4" w:space="0"/>
              <w:left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厂界下风向</w:t>
            </w:r>
            <w:r>
              <w:rPr>
                <w:rFonts w:hint="default" w:ascii="Times New Roman" w:hAnsi="Times New Roman" w:eastAsia="宋体" w:cs="Times New Roman"/>
                <w:color w:val="auto"/>
                <w:sz w:val="21"/>
                <w:szCs w:val="21"/>
                <w:highlight w:val="none"/>
                <w:lang w:val="en-US" w:eastAsia="zh-CN"/>
              </w:rPr>
              <w:t>4#</w:t>
            </w:r>
          </w:p>
        </w:tc>
        <w:tc>
          <w:tcPr>
            <w:tcW w:w="5669" w:type="dxa"/>
            <w:vMerge w:val="continue"/>
            <w:tcBorders>
              <w:left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5669" w:type="dxa"/>
            <w:vMerge w:val="continue"/>
            <w:tcBorders>
              <w:left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5669"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0.453</w:t>
            </w:r>
          </w:p>
        </w:tc>
        <w:tc>
          <w:tcPr>
            <w:tcW w:w="5669" w:type="dxa"/>
            <w:vMerge w:val="continue"/>
            <w:tcBorders>
              <w:left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669"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14</w:t>
            </w:r>
          </w:p>
        </w:tc>
        <w:tc>
          <w:tcPr>
            <w:tcW w:w="5669" w:type="dxa"/>
            <w:vMerge w:val="continue"/>
            <w:tcBorders>
              <w:left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5669" w:type="dxa"/>
            <w:vMerge w:val="continue"/>
            <w:tcBorders>
              <w:left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5669" w:type="dxa"/>
            <w:vMerge w:val="continue"/>
            <w:tcBorders>
              <w:left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5669"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0.445</w:t>
            </w:r>
          </w:p>
        </w:tc>
        <w:tc>
          <w:tcPr>
            <w:tcW w:w="5669" w:type="dxa"/>
            <w:vMerge w:val="continue"/>
            <w:tcBorders>
              <w:left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669"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15</w:t>
            </w:r>
          </w:p>
        </w:tc>
        <w:tc>
          <w:tcPr>
            <w:tcW w:w="5669" w:type="dxa"/>
            <w:vMerge w:val="continue"/>
            <w:tcBorders>
              <w:left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5669" w:type="dxa"/>
            <w:vMerge w:val="continue"/>
            <w:tcBorders>
              <w:left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5669" w:type="dxa"/>
            <w:vMerge w:val="continue"/>
            <w:tcBorders>
              <w:left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5669"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0.427</w:t>
            </w:r>
          </w:p>
        </w:tc>
        <w:tc>
          <w:tcPr>
            <w:tcW w:w="5669" w:type="dxa"/>
            <w:vMerge w:val="continue"/>
            <w:tcBorders>
              <w:left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669"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16</w:t>
            </w:r>
          </w:p>
        </w:tc>
        <w:tc>
          <w:tcPr>
            <w:tcW w:w="5669" w:type="dxa"/>
            <w:vMerge w:val="continue"/>
            <w:tcBorders>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5669" w:type="dxa"/>
            <w:vMerge w:val="continue"/>
            <w:tcBorders>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5669" w:type="dxa"/>
            <w:vMerge w:val="continue"/>
            <w:tcBorders>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5669"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0.432</w:t>
            </w:r>
          </w:p>
        </w:tc>
        <w:tc>
          <w:tcPr>
            <w:tcW w:w="5669" w:type="dxa"/>
            <w:vMerge w:val="continue"/>
            <w:tcBorders>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r>
    </w:tbl>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bCs/>
          <w:color w:val="auto"/>
          <w:sz w:val="24"/>
          <w:highlight w:val="none"/>
        </w:rPr>
        <w:t>厂界无组织颗粒物排放值为</w:t>
      </w:r>
      <w:r>
        <w:rPr>
          <w:rFonts w:hint="default" w:ascii="Times New Roman" w:hAnsi="Times New Roman" w:eastAsia="宋体" w:cs="Times New Roman"/>
          <w:bCs/>
          <w:color w:val="auto"/>
          <w:sz w:val="24"/>
          <w:highlight w:val="none"/>
          <w:lang w:val="en-US" w:eastAsia="zh-CN"/>
        </w:rPr>
        <w:t>0.238～0.462</w:t>
      </w:r>
      <w:r>
        <w:rPr>
          <w:rFonts w:hint="default" w:ascii="Times New Roman" w:hAnsi="Times New Roman" w:eastAsia="宋体" w:cs="Times New Roman"/>
          <w:bCs/>
          <w:color w:val="auto"/>
          <w:sz w:val="24"/>
          <w:highlight w:val="none"/>
        </w:rPr>
        <w:t>mg/m</w:t>
      </w:r>
      <w:r>
        <w:rPr>
          <w:rFonts w:hint="default" w:ascii="Times New Roman" w:hAnsi="Times New Roman" w:eastAsia="宋体" w:cs="Times New Roman"/>
          <w:bCs/>
          <w:color w:val="auto"/>
          <w:sz w:val="24"/>
          <w:highlight w:val="none"/>
          <w:vertAlign w:val="superscript"/>
        </w:rPr>
        <w:t>3</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满足《大气污染物综合排放标准》（GB16297-1996</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表2新污染源大气污染物排放限值中“无组织排放监控浓度限值”。</w:t>
      </w:r>
    </w:p>
    <w:p>
      <w:pPr>
        <w:pageBreakBefore w:val="0"/>
        <w:wordWrap/>
        <w:bidi w:val="0"/>
        <w:spacing w:line="360" w:lineRule="auto"/>
        <w:ind w:left="0" w:leftChars="0" w:right="0" w:rightChars="0" w:firstLine="480" w:firstLineChars="200"/>
        <w:outlineLvl w:val="0"/>
        <w:rPr>
          <w:rFonts w:hint="default" w:ascii="Times New Roman" w:hAnsi="Times New Roman" w:eastAsia="宋体" w:cs="Times New Roman"/>
          <w:color w:val="auto"/>
          <w:sz w:val="24"/>
          <w:highlight w:val="none"/>
          <w:lang w:eastAsia="zh-CN"/>
        </w:rPr>
      </w:pPr>
      <w:bookmarkStart w:id="358" w:name="_Toc18339"/>
      <w:bookmarkStart w:id="359" w:name="_Toc7167"/>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2</w:t>
      </w:r>
      <w:r>
        <w:rPr>
          <w:rFonts w:hint="default" w:ascii="Times New Roman" w:hAnsi="Times New Roman" w:eastAsia="宋体" w:cs="Times New Roman"/>
          <w:color w:val="auto"/>
          <w:sz w:val="24"/>
          <w:highlight w:val="none"/>
          <w:lang w:eastAsia="zh-CN"/>
        </w:rPr>
        <w:t>）噪声</w:t>
      </w:r>
      <w:bookmarkEnd w:id="358"/>
      <w:bookmarkEnd w:id="359"/>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现有工程噪声源主要为水泵等</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采用低噪声设备、泵房隔声等措施</w:t>
      </w:r>
      <w:r>
        <w:rPr>
          <w:rFonts w:hint="default" w:ascii="Times New Roman" w:hAnsi="Times New Roman" w:eastAsia="宋体" w:cs="Times New Roman"/>
          <w:color w:val="auto"/>
          <w:sz w:val="24"/>
          <w:highlight w:val="none"/>
          <w:lang w:eastAsia="zh-CN"/>
        </w:rPr>
        <w:t>。</w:t>
      </w:r>
    </w:p>
    <w:p>
      <w:pPr>
        <w:pageBreakBefore w:val="0"/>
        <w:wordWrap/>
        <w:bidi w:val="0"/>
        <w:spacing w:line="360" w:lineRule="auto"/>
        <w:ind w:left="0" w:leftChars="0" w:right="0" w:rightChars="0" w:firstLine="480" w:firstLineChars="200"/>
        <w:rPr>
          <w:rFonts w:hint="default" w:ascii="Times New Roman" w:hAnsi="Times New Roman" w:eastAsia="宋体" w:cs="Times New Roman"/>
          <w:bCs/>
          <w:color w:val="auto"/>
          <w:sz w:val="24"/>
          <w:highlight w:val="none"/>
          <w:lang w:eastAsia="zh-CN"/>
        </w:rPr>
      </w:pPr>
      <w:r>
        <w:rPr>
          <w:rFonts w:hint="default" w:ascii="Times New Roman" w:hAnsi="Times New Roman" w:eastAsia="宋体" w:cs="Times New Roman"/>
          <w:bCs/>
          <w:color w:val="auto"/>
          <w:sz w:val="24"/>
          <w:highlight w:val="none"/>
        </w:rPr>
        <w:t>根据</w:t>
      </w:r>
      <w:r>
        <w:rPr>
          <w:rFonts w:hint="default" w:ascii="Times New Roman" w:hAnsi="Times New Roman" w:eastAsia="宋体" w:cs="Times New Roman"/>
          <w:bCs/>
          <w:color w:val="auto"/>
          <w:sz w:val="24"/>
          <w:highlight w:val="none"/>
          <w:lang w:eastAsia="zh-CN"/>
        </w:rPr>
        <w:t>内蒙古路易精普检测科技有限公司于</w:t>
      </w:r>
      <w:r>
        <w:rPr>
          <w:rFonts w:hint="default" w:ascii="Times New Roman" w:hAnsi="Times New Roman" w:eastAsia="宋体" w:cs="Times New Roman"/>
          <w:bCs/>
          <w:color w:val="auto"/>
          <w:sz w:val="24"/>
          <w:highlight w:val="none"/>
          <w:lang w:val="en-US" w:eastAsia="zh-CN"/>
        </w:rPr>
        <w:t>2023年4月4日出具的《乌拉特前旗西沙德盖钼业有限责任公司尾矿库自行监测2023年第一季度检验监测报告》</w:t>
      </w:r>
      <w:r>
        <w:rPr>
          <w:rFonts w:hint="default" w:ascii="Times New Roman" w:hAnsi="Times New Roman" w:eastAsia="宋体" w:cs="Times New Roman"/>
          <w:bCs/>
          <w:color w:val="auto"/>
          <w:sz w:val="24"/>
          <w:highlight w:val="none"/>
        </w:rPr>
        <w:t>可知</w:t>
      </w:r>
      <w:r>
        <w:rPr>
          <w:rFonts w:hint="default" w:ascii="Times New Roman" w:hAnsi="Times New Roman" w:eastAsia="宋体" w:cs="Times New Roman"/>
          <w:bCs/>
          <w:color w:val="auto"/>
          <w:sz w:val="24"/>
          <w:highlight w:val="none"/>
          <w:lang w:eastAsia="zh-CN"/>
        </w:rPr>
        <w:t>：</w:t>
      </w:r>
    </w:p>
    <w:p>
      <w:pPr>
        <w:pageBreakBefore w:val="0"/>
        <w:wordWrap/>
        <w:bidi w:val="0"/>
        <w:spacing w:line="360" w:lineRule="auto"/>
        <w:ind w:left="0" w:leftChars="0" w:right="0" w:rightChars="0"/>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表</w:t>
      </w:r>
      <w:r>
        <w:rPr>
          <w:rFonts w:hint="default" w:ascii="Times New Roman" w:hAnsi="Times New Roman" w:eastAsia="宋体" w:cs="Times New Roman"/>
          <w:b/>
          <w:bCs/>
          <w:color w:val="auto"/>
          <w:sz w:val="24"/>
          <w:highlight w:val="none"/>
          <w:lang w:val="en-US" w:eastAsia="zh-CN"/>
        </w:rPr>
        <w:t>2</w:t>
      </w:r>
      <w:r>
        <w:rPr>
          <w:rFonts w:hint="default" w:ascii="Times New Roman" w:hAnsi="Times New Roman" w:eastAsia="宋体" w:cs="Times New Roman"/>
          <w:b/>
          <w:bCs/>
          <w:color w:val="auto"/>
          <w:sz w:val="24"/>
          <w:highlight w:val="none"/>
        </w:rPr>
        <w:t>-</w:t>
      </w:r>
      <w:r>
        <w:rPr>
          <w:rFonts w:hint="default" w:ascii="Times New Roman" w:hAnsi="Times New Roman" w:eastAsia="宋体" w:cs="Times New Roman"/>
          <w:b/>
          <w:bCs/>
          <w:color w:val="auto"/>
          <w:sz w:val="24"/>
          <w:highlight w:val="none"/>
          <w:lang w:val="en-US" w:eastAsia="zh-CN"/>
        </w:rPr>
        <w:t>4噪声检验检测结果一览</w:t>
      </w:r>
      <w:r>
        <w:rPr>
          <w:rFonts w:hint="default" w:ascii="Times New Roman" w:hAnsi="Times New Roman" w:eastAsia="宋体" w:cs="Times New Roman"/>
          <w:b/>
          <w:bCs/>
          <w:color w:val="auto"/>
          <w:sz w:val="24"/>
          <w:highlight w:val="none"/>
        </w:rPr>
        <w:t>表</w:t>
      </w:r>
    </w:p>
    <w:tbl>
      <w:tblPr>
        <w:tblStyle w:val="54"/>
        <w:tblW w:w="500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665"/>
        <w:gridCol w:w="1665"/>
        <w:gridCol w:w="1665"/>
        <w:gridCol w:w="1666"/>
        <w:gridCol w:w="16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664" w:type="dxa"/>
            <w:vMerge w:val="restart"/>
            <w:tcBorders>
              <w:top w:val="single" w:color="auto" w:sz="4" w:space="0"/>
              <w:left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检测时间</w:t>
            </w:r>
          </w:p>
        </w:tc>
        <w:tc>
          <w:tcPr>
            <w:tcW w:w="1664" w:type="dxa"/>
            <w:vMerge w:val="restart"/>
            <w:tcBorders>
              <w:top w:val="single" w:color="auto" w:sz="4" w:space="0"/>
              <w:left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点位编号</w:t>
            </w:r>
          </w:p>
        </w:tc>
        <w:tc>
          <w:tcPr>
            <w:tcW w:w="1664" w:type="dxa"/>
            <w:vMerge w:val="restart"/>
            <w:tcBorders>
              <w:top w:val="single" w:color="auto" w:sz="4" w:space="0"/>
              <w:left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测量位置</w:t>
            </w:r>
          </w:p>
        </w:tc>
        <w:tc>
          <w:tcPr>
            <w:tcW w:w="3330" w:type="dxa"/>
            <w:gridSpan w:val="2"/>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检测结果</w:t>
            </w:r>
            <w:r>
              <w:rPr>
                <w:rFonts w:hint="default" w:ascii="Times New Roman" w:hAnsi="Times New Roman" w:eastAsia="宋体" w:cs="Times New Roman"/>
                <w:b w:val="0"/>
                <w:bCs w:val="0"/>
                <w:color w:val="auto"/>
                <w:sz w:val="21"/>
                <w:szCs w:val="21"/>
                <w:highlight w:val="none"/>
              </w:rPr>
              <w:t>dB</w:t>
            </w:r>
            <w:r>
              <w:rPr>
                <w:rFonts w:hint="default" w:ascii="Times New Roman" w:hAnsi="Times New Roman" w:eastAsia="宋体" w:cs="Times New Roman"/>
                <w:b w:val="0"/>
                <w:bCs w:val="0"/>
                <w:color w:val="auto"/>
                <w:sz w:val="21"/>
                <w:szCs w:val="21"/>
                <w:highlight w:val="none"/>
                <w:lang w:eastAsia="zh-CN"/>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664" w:type="dxa"/>
            <w:vMerge w:val="continue"/>
            <w:tcBorders>
              <w:left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val="0"/>
                <w:bCs w:val="0"/>
                <w:color w:val="auto"/>
                <w:sz w:val="21"/>
                <w:szCs w:val="21"/>
                <w:highlight w:val="none"/>
              </w:rPr>
            </w:pPr>
          </w:p>
        </w:tc>
        <w:tc>
          <w:tcPr>
            <w:tcW w:w="1664" w:type="dxa"/>
            <w:vMerge w:val="continue"/>
            <w:tcBorders>
              <w:left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val="0"/>
                <w:bCs w:val="0"/>
                <w:color w:val="auto"/>
                <w:sz w:val="21"/>
                <w:szCs w:val="21"/>
                <w:highlight w:val="none"/>
              </w:rPr>
            </w:pPr>
          </w:p>
        </w:tc>
        <w:tc>
          <w:tcPr>
            <w:tcW w:w="1664" w:type="dxa"/>
            <w:vMerge w:val="continue"/>
            <w:tcBorders>
              <w:left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val="0"/>
                <w:bCs w:val="0"/>
                <w:color w:val="auto"/>
                <w:sz w:val="21"/>
                <w:szCs w:val="21"/>
                <w:highlight w:val="none"/>
              </w:rPr>
            </w:pPr>
          </w:p>
        </w:tc>
        <w:tc>
          <w:tcPr>
            <w:tcW w:w="1665"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昼间</w:t>
            </w:r>
          </w:p>
        </w:tc>
        <w:tc>
          <w:tcPr>
            <w:tcW w:w="1665"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664" w:type="dxa"/>
            <w:vMerge w:val="continue"/>
            <w:tcBorders>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val="0"/>
                <w:bCs w:val="0"/>
                <w:color w:val="auto"/>
                <w:sz w:val="21"/>
                <w:szCs w:val="21"/>
                <w:highlight w:val="none"/>
              </w:rPr>
            </w:pPr>
          </w:p>
        </w:tc>
        <w:tc>
          <w:tcPr>
            <w:tcW w:w="1664" w:type="dxa"/>
            <w:vMerge w:val="continue"/>
            <w:tcBorders>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val="0"/>
                <w:bCs w:val="0"/>
                <w:color w:val="auto"/>
                <w:sz w:val="21"/>
                <w:szCs w:val="21"/>
                <w:highlight w:val="none"/>
              </w:rPr>
            </w:pPr>
          </w:p>
        </w:tc>
        <w:tc>
          <w:tcPr>
            <w:tcW w:w="1664" w:type="dxa"/>
            <w:vMerge w:val="continue"/>
            <w:tcBorders>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val="0"/>
                <w:bCs w:val="0"/>
                <w:color w:val="auto"/>
                <w:sz w:val="21"/>
                <w:szCs w:val="21"/>
                <w:highlight w:val="none"/>
              </w:rPr>
            </w:pPr>
          </w:p>
        </w:tc>
        <w:tc>
          <w:tcPr>
            <w:tcW w:w="1665"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Leq值</w:t>
            </w:r>
          </w:p>
        </w:tc>
        <w:tc>
          <w:tcPr>
            <w:tcW w:w="1665"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Leq值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664" w:type="dxa"/>
            <w:vMerge w:val="restart"/>
            <w:tcBorders>
              <w:top w:val="single" w:color="auto" w:sz="4" w:space="0"/>
              <w:left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2023-03-25~03-26</w:t>
            </w:r>
          </w:p>
        </w:tc>
        <w:tc>
          <w:tcPr>
            <w:tcW w:w="1664"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1#</w:t>
            </w:r>
          </w:p>
        </w:tc>
        <w:tc>
          <w:tcPr>
            <w:tcW w:w="1664"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厂界南侧</w:t>
            </w:r>
          </w:p>
        </w:tc>
        <w:tc>
          <w:tcPr>
            <w:tcW w:w="1665"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57</w:t>
            </w:r>
          </w:p>
        </w:tc>
        <w:tc>
          <w:tcPr>
            <w:tcW w:w="1665"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664" w:type="dxa"/>
            <w:vMerge w:val="continue"/>
            <w:tcBorders>
              <w:left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val="0"/>
                <w:bCs w:val="0"/>
                <w:color w:val="auto"/>
                <w:sz w:val="21"/>
                <w:szCs w:val="21"/>
                <w:highlight w:val="none"/>
              </w:rPr>
            </w:pPr>
          </w:p>
        </w:tc>
        <w:tc>
          <w:tcPr>
            <w:tcW w:w="1664"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2#</w:t>
            </w:r>
          </w:p>
        </w:tc>
        <w:tc>
          <w:tcPr>
            <w:tcW w:w="1664"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eastAsia="zh-CN"/>
              </w:rPr>
              <w:t>厂界东侧</w:t>
            </w:r>
          </w:p>
        </w:tc>
        <w:tc>
          <w:tcPr>
            <w:tcW w:w="1665"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57</w:t>
            </w:r>
          </w:p>
        </w:tc>
        <w:tc>
          <w:tcPr>
            <w:tcW w:w="1665"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664" w:type="dxa"/>
            <w:vMerge w:val="continue"/>
            <w:tcBorders>
              <w:left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val="0"/>
                <w:bCs w:val="0"/>
                <w:color w:val="auto"/>
                <w:sz w:val="21"/>
                <w:szCs w:val="21"/>
                <w:highlight w:val="none"/>
              </w:rPr>
            </w:pPr>
          </w:p>
        </w:tc>
        <w:tc>
          <w:tcPr>
            <w:tcW w:w="1664"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3#</w:t>
            </w:r>
          </w:p>
        </w:tc>
        <w:tc>
          <w:tcPr>
            <w:tcW w:w="1664"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eastAsia="zh-CN"/>
              </w:rPr>
              <w:t>厂界北侧</w:t>
            </w:r>
          </w:p>
        </w:tc>
        <w:tc>
          <w:tcPr>
            <w:tcW w:w="1665"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56</w:t>
            </w:r>
          </w:p>
        </w:tc>
        <w:tc>
          <w:tcPr>
            <w:tcW w:w="1665"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664" w:type="dxa"/>
            <w:vMerge w:val="continue"/>
            <w:tcBorders>
              <w:left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val="0"/>
                <w:bCs w:val="0"/>
                <w:color w:val="auto"/>
                <w:sz w:val="21"/>
                <w:szCs w:val="21"/>
                <w:highlight w:val="none"/>
              </w:rPr>
            </w:pPr>
          </w:p>
        </w:tc>
        <w:tc>
          <w:tcPr>
            <w:tcW w:w="1664"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4#</w:t>
            </w:r>
          </w:p>
        </w:tc>
        <w:tc>
          <w:tcPr>
            <w:tcW w:w="1664"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eastAsia="zh-CN"/>
              </w:rPr>
              <w:t>厂界西侧</w:t>
            </w:r>
          </w:p>
        </w:tc>
        <w:tc>
          <w:tcPr>
            <w:tcW w:w="1665"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57</w:t>
            </w:r>
          </w:p>
        </w:tc>
        <w:tc>
          <w:tcPr>
            <w:tcW w:w="1665"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992" w:type="dxa"/>
            <w:gridSpan w:val="3"/>
            <w:tcBorders>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限值</w:t>
            </w:r>
          </w:p>
        </w:tc>
        <w:tc>
          <w:tcPr>
            <w:tcW w:w="1665"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60</w:t>
            </w:r>
          </w:p>
        </w:tc>
        <w:tc>
          <w:tcPr>
            <w:tcW w:w="1665"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50</w:t>
            </w:r>
          </w:p>
        </w:tc>
      </w:tr>
    </w:tbl>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bCs/>
          <w:color w:val="auto"/>
          <w:sz w:val="24"/>
          <w:highlight w:val="none"/>
        </w:rPr>
        <w:t>厂界噪声监测结果昼间</w:t>
      </w:r>
      <w:r>
        <w:rPr>
          <w:rFonts w:hint="default" w:ascii="Times New Roman" w:hAnsi="Times New Roman" w:eastAsia="宋体" w:cs="Times New Roman"/>
          <w:bCs/>
          <w:color w:val="auto"/>
          <w:sz w:val="24"/>
          <w:highlight w:val="none"/>
          <w:lang w:val="en-US" w:eastAsia="zh-CN"/>
        </w:rPr>
        <w:t>56</w:t>
      </w:r>
      <w:r>
        <w:rPr>
          <w:rFonts w:hint="default" w:ascii="Times New Roman" w:hAnsi="Times New Roman" w:eastAsia="宋体" w:cs="Times New Roman"/>
          <w:bCs/>
          <w:color w:val="auto"/>
          <w:sz w:val="24"/>
          <w:highlight w:val="none"/>
        </w:rPr>
        <w:t>dB</w:t>
      </w:r>
      <w:r>
        <w:rPr>
          <w:rFonts w:hint="default" w:ascii="Times New Roman" w:hAnsi="Times New Roman" w:eastAsia="宋体" w:cs="Times New Roman"/>
          <w:bCs/>
          <w:color w:val="auto"/>
          <w:sz w:val="24"/>
          <w:highlight w:val="none"/>
          <w:lang w:eastAsia="zh-CN"/>
        </w:rPr>
        <w:t>（A）</w:t>
      </w:r>
      <w:r>
        <w:rPr>
          <w:rFonts w:hint="default" w:ascii="Times New Roman" w:hAnsi="Times New Roman" w:eastAsia="宋体" w:cs="Times New Roman"/>
          <w:bCs/>
          <w:color w:val="auto"/>
          <w:sz w:val="24"/>
          <w:highlight w:val="none"/>
        </w:rPr>
        <w:t>～5</w:t>
      </w:r>
      <w:r>
        <w:rPr>
          <w:rFonts w:hint="default" w:ascii="Times New Roman" w:hAnsi="Times New Roman" w:eastAsia="宋体" w:cs="Times New Roman"/>
          <w:bCs/>
          <w:color w:val="auto"/>
          <w:sz w:val="24"/>
          <w:highlight w:val="none"/>
          <w:lang w:val="en-US" w:eastAsia="zh-CN"/>
        </w:rPr>
        <w:t>7</w:t>
      </w:r>
      <w:r>
        <w:rPr>
          <w:rFonts w:hint="default" w:ascii="Times New Roman" w:hAnsi="Times New Roman" w:eastAsia="宋体" w:cs="Times New Roman"/>
          <w:bCs/>
          <w:color w:val="auto"/>
          <w:sz w:val="24"/>
          <w:highlight w:val="none"/>
        </w:rPr>
        <w:t>dB</w:t>
      </w:r>
      <w:r>
        <w:rPr>
          <w:rFonts w:hint="default" w:ascii="Times New Roman" w:hAnsi="Times New Roman" w:eastAsia="宋体" w:cs="Times New Roman"/>
          <w:bCs/>
          <w:color w:val="auto"/>
          <w:sz w:val="24"/>
          <w:highlight w:val="none"/>
          <w:lang w:eastAsia="zh-CN"/>
        </w:rPr>
        <w:t>（A），</w:t>
      </w:r>
      <w:r>
        <w:rPr>
          <w:rFonts w:hint="default" w:ascii="Times New Roman" w:hAnsi="Times New Roman" w:eastAsia="宋体" w:cs="Times New Roman"/>
          <w:bCs/>
          <w:color w:val="auto"/>
          <w:sz w:val="24"/>
          <w:highlight w:val="none"/>
        </w:rPr>
        <w:t>夜间</w:t>
      </w:r>
      <w:r>
        <w:rPr>
          <w:rFonts w:hint="default" w:ascii="Times New Roman" w:hAnsi="Times New Roman" w:eastAsia="宋体" w:cs="Times New Roman"/>
          <w:bCs/>
          <w:color w:val="auto"/>
          <w:sz w:val="24"/>
          <w:highlight w:val="none"/>
          <w:lang w:val="en-US" w:eastAsia="zh-CN"/>
        </w:rPr>
        <w:t>45</w:t>
      </w:r>
      <w:r>
        <w:rPr>
          <w:rFonts w:hint="default" w:ascii="Times New Roman" w:hAnsi="Times New Roman" w:eastAsia="宋体" w:cs="Times New Roman"/>
          <w:bCs/>
          <w:color w:val="auto"/>
          <w:sz w:val="24"/>
          <w:highlight w:val="none"/>
        </w:rPr>
        <w:t>dB</w:t>
      </w:r>
      <w:r>
        <w:rPr>
          <w:rFonts w:hint="default" w:ascii="Times New Roman" w:hAnsi="Times New Roman" w:eastAsia="宋体" w:cs="Times New Roman"/>
          <w:bCs/>
          <w:color w:val="auto"/>
          <w:sz w:val="24"/>
          <w:highlight w:val="none"/>
          <w:lang w:eastAsia="zh-CN"/>
        </w:rPr>
        <w:t>（A）</w:t>
      </w:r>
      <w:r>
        <w:rPr>
          <w:rFonts w:hint="default" w:ascii="Times New Roman" w:hAnsi="Times New Roman" w:eastAsia="宋体" w:cs="Times New Roman"/>
          <w:bCs/>
          <w:color w:val="auto"/>
          <w:sz w:val="24"/>
          <w:highlight w:val="none"/>
        </w:rPr>
        <w:t>～4</w:t>
      </w:r>
      <w:r>
        <w:rPr>
          <w:rFonts w:hint="default" w:ascii="Times New Roman" w:hAnsi="Times New Roman" w:eastAsia="宋体" w:cs="Times New Roman"/>
          <w:bCs/>
          <w:color w:val="auto"/>
          <w:sz w:val="24"/>
          <w:highlight w:val="none"/>
          <w:lang w:val="en-US" w:eastAsia="zh-CN"/>
        </w:rPr>
        <w:t>7</w:t>
      </w:r>
      <w:r>
        <w:rPr>
          <w:rFonts w:hint="default" w:ascii="Times New Roman" w:hAnsi="Times New Roman" w:eastAsia="宋体" w:cs="Times New Roman"/>
          <w:bCs/>
          <w:color w:val="auto"/>
          <w:sz w:val="24"/>
          <w:highlight w:val="none"/>
        </w:rPr>
        <w:t>dB</w:t>
      </w:r>
      <w:r>
        <w:rPr>
          <w:rFonts w:hint="default" w:ascii="Times New Roman" w:hAnsi="Times New Roman" w:eastAsia="宋体" w:cs="Times New Roman"/>
          <w:bCs/>
          <w:color w:val="auto"/>
          <w:sz w:val="24"/>
          <w:highlight w:val="none"/>
          <w:lang w:eastAsia="zh-CN"/>
        </w:rPr>
        <w:t>（A），满足</w:t>
      </w:r>
      <w:r>
        <w:rPr>
          <w:rFonts w:hint="default" w:ascii="Times New Roman" w:hAnsi="Times New Roman" w:eastAsia="宋体" w:cs="Times New Roman"/>
          <w:bCs/>
          <w:color w:val="auto"/>
          <w:sz w:val="24"/>
          <w:highlight w:val="none"/>
        </w:rPr>
        <w:t>《工业企业厂界环境噪声排放标准》（GB12348-2008</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2类标准限值要求。</w:t>
      </w:r>
    </w:p>
    <w:p>
      <w:pPr>
        <w:pageBreakBefore w:val="0"/>
        <w:wordWrap/>
        <w:bidi w:val="0"/>
        <w:spacing w:line="360" w:lineRule="auto"/>
        <w:ind w:left="0" w:leftChars="0" w:right="0" w:rightChars="0" w:firstLine="480" w:firstLineChars="200"/>
        <w:outlineLvl w:val="0"/>
        <w:rPr>
          <w:rFonts w:hint="default" w:ascii="Times New Roman" w:hAnsi="Times New Roman" w:eastAsia="宋体" w:cs="Times New Roman"/>
          <w:color w:val="auto"/>
          <w:sz w:val="24"/>
          <w:highlight w:val="none"/>
          <w:lang w:eastAsia="zh-CN"/>
        </w:rPr>
      </w:pPr>
      <w:bookmarkStart w:id="360" w:name="_Toc14897"/>
      <w:bookmarkStart w:id="361" w:name="_Toc24299"/>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3</w:t>
      </w:r>
      <w:r>
        <w:rPr>
          <w:rFonts w:hint="default" w:ascii="Times New Roman" w:hAnsi="Times New Roman" w:eastAsia="宋体" w:cs="Times New Roman"/>
          <w:color w:val="auto"/>
          <w:sz w:val="24"/>
          <w:highlight w:val="none"/>
          <w:lang w:eastAsia="zh-CN"/>
        </w:rPr>
        <w:t>）土壤</w:t>
      </w:r>
      <w:bookmarkEnd w:id="360"/>
      <w:bookmarkEnd w:id="361"/>
    </w:p>
    <w:p>
      <w:pPr>
        <w:pageBreakBefore w:val="0"/>
        <w:wordWrap/>
        <w:bidi w:val="0"/>
        <w:spacing w:line="360" w:lineRule="auto"/>
        <w:ind w:left="0" w:leftChars="0" w:right="0" w:rightChars="0" w:firstLine="480" w:firstLineChars="200"/>
        <w:rPr>
          <w:rFonts w:hint="default" w:ascii="Times New Roman" w:hAnsi="Times New Roman" w:eastAsia="宋体" w:cs="Times New Roman"/>
          <w:bCs/>
          <w:color w:val="auto"/>
          <w:sz w:val="24"/>
          <w:highlight w:val="none"/>
          <w:lang w:eastAsia="zh-CN"/>
        </w:rPr>
      </w:pPr>
      <w:r>
        <w:rPr>
          <w:rFonts w:hint="default" w:ascii="Times New Roman" w:hAnsi="Times New Roman" w:eastAsia="宋体" w:cs="Times New Roman"/>
          <w:bCs/>
          <w:color w:val="auto"/>
          <w:sz w:val="24"/>
          <w:highlight w:val="none"/>
        </w:rPr>
        <w:t>根据</w:t>
      </w:r>
      <w:r>
        <w:rPr>
          <w:rFonts w:hint="default" w:ascii="Times New Roman" w:hAnsi="Times New Roman" w:eastAsia="宋体" w:cs="Times New Roman"/>
          <w:bCs/>
          <w:color w:val="auto"/>
          <w:sz w:val="24"/>
          <w:highlight w:val="none"/>
          <w:lang w:eastAsia="zh-CN"/>
        </w:rPr>
        <w:t>内蒙古路易精普检测科技有限公司于</w:t>
      </w:r>
      <w:r>
        <w:rPr>
          <w:rFonts w:hint="default" w:ascii="Times New Roman" w:hAnsi="Times New Roman" w:eastAsia="宋体" w:cs="Times New Roman"/>
          <w:bCs/>
          <w:color w:val="auto"/>
          <w:sz w:val="24"/>
          <w:highlight w:val="none"/>
          <w:lang w:val="en-US" w:eastAsia="zh-CN"/>
        </w:rPr>
        <w:t>2023年4月4日出具的《乌拉特前旗西沙德盖钼业有限责任公司尾矿库自行监测2023年第一季度检验监测报告》</w:t>
      </w:r>
      <w:r>
        <w:rPr>
          <w:rFonts w:hint="default" w:ascii="Times New Roman" w:hAnsi="Times New Roman" w:eastAsia="宋体" w:cs="Times New Roman"/>
          <w:bCs/>
          <w:color w:val="auto"/>
          <w:sz w:val="24"/>
          <w:highlight w:val="none"/>
        </w:rPr>
        <w:t>可知</w:t>
      </w:r>
      <w:r>
        <w:rPr>
          <w:rFonts w:hint="default" w:ascii="Times New Roman" w:hAnsi="Times New Roman" w:eastAsia="宋体" w:cs="Times New Roman"/>
          <w:bCs/>
          <w:color w:val="auto"/>
          <w:sz w:val="24"/>
          <w:highlight w:val="none"/>
          <w:lang w:eastAsia="zh-CN"/>
        </w:rPr>
        <w:t>：</w:t>
      </w:r>
    </w:p>
    <w:p>
      <w:pPr>
        <w:pageBreakBefore w:val="0"/>
        <w:wordWrap/>
        <w:bidi w:val="0"/>
        <w:spacing w:line="360" w:lineRule="auto"/>
        <w:ind w:left="0" w:leftChars="0" w:right="0" w:rightChars="0"/>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表</w:t>
      </w:r>
      <w:r>
        <w:rPr>
          <w:rFonts w:hint="default" w:ascii="Times New Roman" w:hAnsi="Times New Roman" w:eastAsia="宋体" w:cs="Times New Roman"/>
          <w:b/>
          <w:bCs/>
          <w:color w:val="auto"/>
          <w:sz w:val="24"/>
          <w:highlight w:val="none"/>
          <w:lang w:val="en-US" w:eastAsia="zh-CN"/>
        </w:rPr>
        <w:t>2</w:t>
      </w:r>
      <w:r>
        <w:rPr>
          <w:rFonts w:hint="default" w:ascii="Times New Roman" w:hAnsi="Times New Roman" w:eastAsia="宋体" w:cs="Times New Roman"/>
          <w:b/>
          <w:bCs/>
          <w:color w:val="auto"/>
          <w:sz w:val="24"/>
          <w:highlight w:val="none"/>
        </w:rPr>
        <w:t>-</w:t>
      </w:r>
      <w:r>
        <w:rPr>
          <w:rFonts w:hint="default" w:ascii="Times New Roman" w:hAnsi="Times New Roman" w:eastAsia="宋体" w:cs="Times New Roman"/>
          <w:b/>
          <w:bCs/>
          <w:color w:val="auto"/>
          <w:sz w:val="24"/>
          <w:highlight w:val="none"/>
          <w:lang w:val="en-US" w:eastAsia="zh-CN"/>
        </w:rPr>
        <w:t>5土壤</w:t>
      </w:r>
      <w:r>
        <w:rPr>
          <w:rFonts w:hint="default" w:ascii="Times New Roman" w:hAnsi="Times New Roman" w:eastAsia="宋体" w:cs="Times New Roman"/>
          <w:b/>
          <w:bCs/>
          <w:color w:val="auto"/>
          <w:sz w:val="24"/>
          <w:highlight w:val="none"/>
          <w:lang w:eastAsia="zh-CN"/>
        </w:rPr>
        <w:t>检验检测结果一览</w:t>
      </w:r>
      <w:r>
        <w:rPr>
          <w:rFonts w:hint="default" w:ascii="Times New Roman" w:hAnsi="Times New Roman" w:eastAsia="宋体" w:cs="Times New Roman"/>
          <w:b/>
          <w:bCs/>
          <w:color w:val="auto"/>
          <w:sz w:val="24"/>
          <w:highlight w:val="none"/>
        </w:rPr>
        <w:t>表</w:t>
      </w:r>
    </w:p>
    <w:tbl>
      <w:tblPr>
        <w:tblStyle w:val="5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2079"/>
        <w:gridCol w:w="2079"/>
        <w:gridCol w:w="2079"/>
        <w:gridCol w:w="20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391"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序号</w:t>
            </w:r>
          </w:p>
        </w:tc>
        <w:tc>
          <w:tcPr>
            <w:tcW w:w="1391"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检测项目</w:t>
            </w:r>
          </w:p>
        </w:tc>
        <w:tc>
          <w:tcPr>
            <w:tcW w:w="1391"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检测结果</w:t>
            </w:r>
          </w:p>
        </w:tc>
        <w:tc>
          <w:tcPr>
            <w:tcW w:w="1391"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执行标准限值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391"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1</w:t>
            </w:r>
          </w:p>
        </w:tc>
        <w:tc>
          <w:tcPr>
            <w:tcW w:w="1391"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pH（无量纲）</w:t>
            </w:r>
          </w:p>
        </w:tc>
        <w:tc>
          <w:tcPr>
            <w:tcW w:w="1391"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8.30</w:t>
            </w:r>
          </w:p>
        </w:tc>
        <w:tc>
          <w:tcPr>
            <w:tcW w:w="1391"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391"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w:t>
            </w:r>
          </w:p>
        </w:tc>
        <w:tc>
          <w:tcPr>
            <w:tcW w:w="1391"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砷</w:t>
            </w:r>
            <w:r>
              <w:rPr>
                <w:rFonts w:hint="default" w:ascii="Times New Roman" w:hAnsi="Times New Roman" w:eastAsia="宋体" w:cs="Times New Roman"/>
                <w:color w:val="auto"/>
                <w:sz w:val="21"/>
                <w:szCs w:val="21"/>
                <w:highlight w:val="none"/>
                <w:lang w:val="en-US" w:eastAsia="zh-CN"/>
              </w:rPr>
              <w:t>mg/kg</w:t>
            </w:r>
          </w:p>
        </w:tc>
        <w:tc>
          <w:tcPr>
            <w:tcW w:w="1391"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14.8</w:t>
            </w:r>
          </w:p>
        </w:tc>
        <w:tc>
          <w:tcPr>
            <w:tcW w:w="1391"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391"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3</w:t>
            </w:r>
          </w:p>
        </w:tc>
        <w:tc>
          <w:tcPr>
            <w:tcW w:w="1391"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铜</w:t>
            </w:r>
            <w:r>
              <w:rPr>
                <w:rFonts w:hint="default" w:ascii="Times New Roman" w:hAnsi="Times New Roman" w:eastAsia="宋体" w:cs="Times New Roman"/>
                <w:color w:val="auto"/>
                <w:sz w:val="21"/>
                <w:szCs w:val="21"/>
                <w:highlight w:val="none"/>
                <w:lang w:val="en-US" w:eastAsia="zh-CN"/>
              </w:rPr>
              <w:t>mg/kg</w:t>
            </w:r>
          </w:p>
        </w:tc>
        <w:tc>
          <w:tcPr>
            <w:tcW w:w="1391"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8.2</w:t>
            </w:r>
          </w:p>
        </w:tc>
        <w:tc>
          <w:tcPr>
            <w:tcW w:w="1391"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18000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391"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4</w:t>
            </w:r>
          </w:p>
        </w:tc>
        <w:tc>
          <w:tcPr>
            <w:tcW w:w="1391"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锌</w:t>
            </w:r>
            <w:r>
              <w:rPr>
                <w:rFonts w:hint="default" w:ascii="Times New Roman" w:hAnsi="Times New Roman" w:eastAsia="宋体" w:cs="Times New Roman"/>
                <w:color w:val="auto"/>
                <w:sz w:val="21"/>
                <w:szCs w:val="21"/>
                <w:highlight w:val="none"/>
                <w:lang w:val="en-US" w:eastAsia="zh-CN"/>
              </w:rPr>
              <w:t>mg/kg</w:t>
            </w:r>
          </w:p>
        </w:tc>
        <w:tc>
          <w:tcPr>
            <w:tcW w:w="1391"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50</w:t>
            </w:r>
          </w:p>
        </w:tc>
        <w:tc>
          <w:tcPr>
            <w:tcW w:w="1391"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391"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5</w:t>
            </w:r>
          </w:p>
        </w:tc>
        <w:tc>
          <w:tcPr>
            <w:tcW w:w="1391"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铅</w:t>
            </w:r>
            <w:r>
              <w:rPr>
                <w:rFonts w:hint="default" w:ascii="Times New Roman" w:hAnsi="Times New Roman" w:eastAsia="宋体" w:cs="Times New Roman"/>
                <w:color w:val="auto"/>
                <w:sz w:val="21"/>
                <w:szCs w:val="21"/>
                <w:highlight w:val="none"/>
                <w:lang w:val="en-US" w:eastAsia="zh-CN"/>
              </w:rPr>
              <w:t>mg/kg</w:t>
            </w:r>
          </w:p>
        </w:tc>
        <w:tc>
          <w:tcPr>
            <w:tcW w:w="1391"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34</w:t>
            </w:r>
          </w:p>
        </w:tc>
        <w:tc>
          <w:tcPr>
            <w:tcW w:w="1391"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391"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6</w:t>
            </w:r>
          </w:p>
        </w:tc>
        <w:tc>
          <w:tcPr>
            <w:tcW w:w="1391"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镉</w:t>
            </w:r>
            <w:r>
              <w:rPr>
                <w:rFonts w:hint="default" w:ascii="Times New Roman" w:hAnsi="Times New Roman" w:eastAsia="宋体" w:cs="Times New Roman"/>
                <w:color w:val="auto"/>
                <w:sz w:val="21"/>
                <w:szCs w:val="21"/>
                <w:highlight w:val="none"/>
                <w:lang w:val="en-US" w:eastAsia="zh-CN"/>
              </w:rPr>
              <w:t>mg/kg</w:t>
            </w:r>
          </w:p>
        </w:tc>
        <w:tc>
          <w:tcPr>
            <w:tcW w:w="1391"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0.23</w:t>
            </w:r>
          </w:p>
        </w:tc>
        <w:tc>
          <w:tcPr>
            <w:tcW w:w="1391"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391"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7</w:t>
            </w:r>
          </w:p>
        </w:tc>
        <w:tc>
          <w:tcPr>
            <w:tcW w:w="1391"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锰</w:t>
            </w:r>
            <w:r>
              <w:rPr>
                <w:rFonts w:hint="default" w:ascii="Times New Roman" w:hAnsi="Times New Roman" w:eastAsia="宋体" w:cs="Times New Roman"/>
                <w:color w:val="auto"/>
                <w:sz w:val="21"/>
                <w:szCs w:val="21"/>
                <w:highlight w:val="none"/>
                <w:lang w:val="en-US" w:eastAsia="zh-CN"/>
              </w:rPr>
              <w:t>mg/kg</w:t>
            </w:r>
          </w:p>
        </w:tc>
        <w:tc>
          <w:tcPr>
            <w:tcW w:w="1391"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595</w:t>
            </w:r>
          </w:p>
        </w:tc>
        <w:tc>
          <w:tcPr>
            <w:tcW w:w="1391"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1391"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8</w:t>
            </w:r>
          </w:p>
        </w:tc>
        <w:tc>
          <w:tcPr>
            <w:tcW w:w="1391"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镍</w:t>
            </w:r>
            <w:r>
              <w:rPr>
                <w:rFonts w:hint="default" w:ascii="Times New Roman" w:hAnsi="Times New Roman" w:eastAsia="宋体" w:cs="Times New Roman"/>
                <w:color w:val="auto"/>
                <w:sz w:val="21"/>
                <w:szCs w:val="21"/>
                <w:highlight w:val="none"/>
                <w:lang w:val="en-US" w:eastAsia="zh-CN"/>
              </w:rPr>
              <w:t>mg/kg</w:t>
            </w:r>
          </w:p>
        </w:tc>
        <w:tc>
          <w:tcPr>
            <w:tcW w:w="1391"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42</w:t>
            </w:r>
          </w:p>
        </w:tc>
        <w:tc>
          <w:tcPr>
            <w:tcW w:w="1391"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900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391"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9</w:t>
            </w:r>
          </w:p>
        </w:tc>
        <w:tc>
          <w:tcPr>
            <w:tcW w:w="1391"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钼</w:t>
            </w:r>
            <w:r>
              <w:rPr>
                <w:rFonts w:hint="default" w:ascii="Times New Roman" w:hAnsi="Times New Roman" w:eastAsia="宋体" w:cs="Times New Roman"/>
                <w:color w:val="auto"/>
                <w:sz w:val="21"/>
                <w:szCs w:val="21"/>
                <w:highlight w:val="none"/>
                <w:lang w:val="en-US" w:eastAsia="zh-CN"/>
              </w:rPr>
              <w:t>mg/kg</w:t>
            </w:r>
          </w:p>
        </w:tc>
        <w:tc>
          <w:tcPr>
            <w:tcW w:w="1391"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0.6</w:t>
            </w:r>
          </w:p>
        </w:tc>
        <w:tc>
          <w:tcPr>
            <w:tcW w:w="1391"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391"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10</w:t>
            </w:r>
          </w:p>
        </w:tc>
        <w:tc>
          <w:tcPr>
            <w:tcW w:w="1391"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银</w:t>
            </w:r>
            <w:r>
              <w:rPr>
                <w:rFonts w:hint="default" w:ascii="Times New Roman" w:hAnsi="Times New Roman" w:eastAsia="宋体" w:cs="Times New Roman"/>
                <w:color w:val="auto"/>
                <w:sz w:val="21"/>
                <w:szCs w:val="21"/>
                <w:highlight w:val="none"/>
                <w:lang w:val="en-US" w:eastAsia="zh-CN"/>
              </w:rPr>
              <w:t>mg/kg</w:t>
            </w:r>
          </w:p>
        </w:tc>
        <w:tc>
          <w:tcPr>
            <w:tcW w:w="1391"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0.07</w:t>
            </w:r>
          </w:p>
        </w:tc>
        <w:tc>
          <w:tcPr>
            <w:tcW w:w="1391"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391"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11</w:t>
            </w:r>
          </w:p>
        </w:tc>
        <w:tc>
          <w:tcPr>
            <w:tcW w:w="1391"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汞</w:t>
            </w:r>
            <w:r>
              <w:rPr>
                <w:rFonts w:hint="default" w:ascii="Times New Roman" w:hAnsi="Times New Roman" w:eastAsia="宋体" w:cs="Times New Roman"/>
                <w:color w:val="auto"/>
                <w:sz w:val="21"/>
                <w:szCs w:val="21"/>
                <w:highlight w:val="none"/>
                <w:lang w:val="en-US" w:eastAsia="zh-CN"/>
              </w:rPr>
              <w:t>mg/kg</w:t>
            </w:r>
          </w:p>
        </w:tc>
        <w:tc>
          <w:tcPr>
            <w:tcW w:w="1391"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0.208</w:t>
            </w:r>
          </w:p>
        </w:tc>
        <w:tc>
          <w:tcPr>
            <w:tcW w:w="1391"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391"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12</w:t>
            </w:r>
          </w:p>
        </w:tc>
        <w:tc>
          <w:tcPr>
            <w:tcW w:w="1391"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eastAsia="zh-CN"/>
              </w:rPr>
              <w:t>阴离子交换量</w:t>
            </w:r>
            <w:r>
              <w:rPr>
                <w:rFonts w:hint="default" w:ascii="Times New Roman" w:hAnsi="Times New Roman" w:eastAsia="宋体" w:cs="Times New Roman"/>
                <w:color w:val="auto"/>
                <w:sz w:val="21"/>
                <w:szCs w:val="21"/>
                <w:highlight w:val="none"/>
                <w:lang w:val="en-US" w:eastAsia="zh-CN"/>
              </w:rPr>
              <w:t>cmol/kg</w:t>
            </w:r>
          </w:p>
        </w:tc>
        <w:tc>
          <w:tcPr>
            <w:tcW w:w="1391"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6.3</w:t>
            </w:r>
          </w:p>
        </w:tc>
        <w:tc>
          <w:tcPr>
            <w:tcW w:w="1391"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391"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13</w:t>
            </w:r>
          </w:p>
        </w:tc>
        <w:tc>
          <w:tcPr>
            <w:tcW w:w="1391"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eastAsia="zh-CN"/>
              </w:rPr>
              <w:t>铁（以</w:t>
            </w:r>
            <w:r>
              <w:rPr>
                <w:rFonts w:hint="default" w:ascii="Times New Roman" w:hAnsi="Times New Roman" w:eastAsia="宋体" w:cs="Times New Roman"/>
                <w:color w:val="auto"/>
                <w:sz w:val="21"/>
                <w:szCs w:val="21"/>
                <w:highlight w:val="none"/>
                <w:lang w:val="en-US" w:eastAsia="zh-CN"/>
              </w:rPr>
              <w:t>Fe</w:t>
            </w:r>
            <w:r>
              <w:rPr>
                <w:rFonts w:hint="default" w:ascii="Times New Roman" w:hAnsi="Times New Roman" w:eastAsia="宋体" w:cs="Times New Roman"/>
                <w:color w:val="auto"/>
                <w:sz w:val="21"/>
                <w:szCs w:val="21"/>
                <w:highlight w:val="none"/>
                <w:vertAlign w:val="subscript"/>
                <w:lang w:val="en-US" w:eastAsia="zh-CN"/>
              </w:rPr>
              <w:t>2</w:t>
            </w:r>
            <w:r>
              <w:rPr>
                <w:rFonts w:hint="default" w:ascii="Times New Roman" w:hAnsi="Times New Roman" w:eastAsia="宋体" w:cs="Times New Roman"/>
                <w:color w:val="auto"/>
                <w:sz w:val="21"/>
                <w:szCs w:val="21"/>
                <w:highlight w:val="none"/>
                <w:lang w:val="en-US" w:eastAsia="zh-CN"/>
              </w:rPr>
              <w:t>O</w:t>
            </w:r>
            <w:r>
              <w:rPr>
                <w:rFonts w:hint="default" w:ascii="Times New Roman" w:hAnsi="Times New Roman" w:eastAsia="宋体" w:cs="Times New Roman"/>
                <w:color w:val="auto"/>
                <w:sz w:val="21"/>
                <w:szCs w:val="21"/>
                <w:highlight w:val="none"/>
                <w:vertAlign w:val="subscript"/>
                <w:lang w:val="en-US" w:eastAsia="zh-CN"/>
              </w:rPr>
              <w:t>3</w:t>
            </w:r>
            <w:r>
              <w:rPr>
                <w:rFonts w:hint="default" w:ascii="Times New Roman" w:hAnsi="Times New Roman" w:eastAsia="宋体" w:cs="Times New Roman"/>
                <w:color w:val="auto"/>
                <w:sz w:val="21"/>
                <w:szCs w:val="21"/>
                <w:highlight w:val="none"/>
                <w:lang w:val="en-US" w:eastAsia="zh-CN"/>
              </w:rPr>
              <w:t>计</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w:t>
            </w:r>
          </w:p>
        </w:tc>
        <w:tc>
          <w:tcPr>
            <w:tcW w:w="1391"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6.13</w:t>
            </w:r>
          </w:p>
        </w:tc>
        <w:tc>
          <w:tcPr>
            <w:tcW w:w="1391"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391"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14</w:t>
            </w:r>
          </w:p>
        </w:tc>
        <w:tc>
          <w:tcPr>
            <w:tcW w:w="1391"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eastAsia="zh-CN"/>
              </w:rPr>
              <w:t>铬</w:t>
            </w:r>
            <w:r>
              <w:rPr>
                <w:rFonts w:hint="default" w:ascii="Times New Roman" w:hAnsi="Times New Roman" w:eastAsia="宋体" w:cs="Times New Roman"/>
                <w:color w:val="auto"/>
                <w:sz w:val="21"/>
                <w:szCs w:val="21"/>
                <w:highlight w:val="none"/>
                <w:lang w:val="en-US" w:eastAsia="zh-CN"/>
              </w:rPr>
              <w:t>mg/kg</w:t>
            </w:r>
          </w:p>
        </w:tc>
        <w:tc>
          <w:tcPr>
            <w:tcW w:w="1391"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52</w:t>
            </w:r>
          </w:p>
        </w:tc>
        <w:tc>
          <w:tcPr>
            <w:tcW w:w="1391"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r>
    </w:tbl>
    <w:p>
      <w:pPr>
        <w:pageBreakBefore w:val="0"/>
        <w:wordWrap/>
        <w:bidi w:val="0"/>
        <w:spacing w:line="360" w:lineRule="auto"/>
        <w:ind w:left="0" w:leftChars="0" w:right="0" w:rightChars="0" w:firstLine="480" w:firstLineChars="200"/>
        <w:rPr>
          <w:rFonts w:hint="default" w:ascii="Times New Roman" w:hAnsi="Times New Roman" w:eastAsia="宋体" w:cs="Times New Roman"/>
          <w:bCs/>
          <w:color w:val="auto"/>
          <w:sz w:val="24"/>
          <w:highlight w:val="none"/>
          <w:lang w:eastAsia="zh-CN"/>
        </w:rPr>
      </w:pPr>
      <w:r>
        <w:rPr>
          <w:rFonts w:hint="default" w:ascii="Times New Roman" w:hAnsi="Times New Roman" w:eastAsia="宋体" w:cs="Times New Roman"/>
          <w:bCs/>
          <w:color w:val="auto"/>
          <w:sz w:val="24"/>
          <w:highlight w:val="none"/>
          <w:lang w:eastAsia="zh-CN"/>
        </w:rPr>
        <w:t>尾矿库土壤满足《土壤环境质量建设用地土壤污染风险管控标准（试行）》（GB36600-2018）二类用地的筛选值。</w:t>
      </w:r>
    </w:p>
    <w:p>
      <w:pPr>
        <w:pageBreakBefore w:val="0"/>
        <w:wordWrap/>
        <w:bidi w:val="0"/>
        <w:spacing w:line="360" w:lineRule="auto"/>
        <w:ind w:left="0" w:leftChars="0" w:right="0" w:rightChars="0" w:firstLine="480" w:firstLineChars="200"/>
        <w:outlineLvl w:val="0"/>
        <w:rPr>
          <w:rFonts w:hint="default" w:ascii="Times New Roman" w:hAnsi="Times New Roman" w:eastAsia="宋体" w:cs="Times New Roman"/>
          <w:color w:val="auto"/>
          <w:sz w:val="24"/>
          <w:highlight w:val="none"/>
          <w:lang w:eastAsia="zh-CN"/>
        </w:rPr>
      </w:pPr>
      <w:bookmarkStart w:id="362" w:name="_Toc28456"/>
      <w:bookmarkStart w:id="363" w:name="_Toc5373"/>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4</w:t>
      </w:r>
      <w:r>
        <w:rPr>
          <w:rFonts w:hint="default" w:ascii="Times New Roman" w:hAnsi="Times New Roman" w:eastAsia="宋体" w:cs="Times New Roman"/>
          <w:color w:val="auto"/>
          <w:sz w:val="24"/>
          <w:highlight w:val="none"/>
          <w:lang w:eastAsia="zh-CN"/>
        </w:rPr>
        <w:t>）地下水</w:t>
      </w:r>
      <w:bookmarkEnd w:id="362"/>
      <w:bookmarkEnd w:id="363"/>
    </w:p>
    <w:p>
      <w:pPr>
        <w:pageBreakBefore w:val="0"/>
        <w:wordWrap/>
        <w:bidi w:val="0"/>
        <w:spacing w:line="360" w:lineRule="auto"/>
        <w:ind w:left="0" w:leftChars="0" w:right="0" w:rightChars="0" w:firstLine="480" w:firstLineChars="200"/>
        <w:rPr>
          <w:rFonts w:hint="default" w:ascii="Times New Roman" w:hAnsi="Times New Roman" w:eastAsia="宋体" w:cs="Times New Roman"/>
          <w:bCs/>
          <w:color w:val="auto"/>
          <w:sz w:val="24"/>
          <w:highlight w:val="none"/>
          <w:lang w:eastAsia="zh-CN"/>
        </w:rPr>
      </w:pPr>
      <w:r>
        <w:rPr>
          <w:rFonts w:hint="default" w:ascii="Times New Roman" w:hAnsi="Times New Roman" w:eastAsia="宋体" w:cs="Times New Roman"/>
          <w:bCs/>
          <w:color w:val="auto"/>
          <w:sz w:val="24"/>
          <w:highlight w:val="none"/>
          <w:lang w:eastAsia="zh-CN"/>
        </w:rPr>
        <w:t>内蒙古路易精普检测科技有限公司于</w:t>
      </w:r>
      <w:r>
        <w:rPr>
          <w:rFonts w:hint="default" w:ascii="Times New Roman" w:hAnsi="Times New Roman" w:eastAsia="宋体" w:cs="Times New Roman"/>
          <w:bCs/>
          <w:color w:val="auto"/>
          <w:sz w:val="24"/>
          <w:highlight w:val="none"/>
          <w:lang w:val="en-US" w:eastAsia="zh-CN"/>
        </w:rPr>
        <w:t>2023年5月30日对</w:t>
      </w:r>
      <w:r>
        <w:rPr>
          <w:rFonts w:hint="default" w:ascii="Times New Roman" w:hAnsi="Times New Roman" w:eastAsia="宋体" w:cs="Times New Roman"/>
          <w:color w:val="auto"/>
          <w:sz w:val="24"/>
          <w:highlight w:val="none"/>
          <w:lang w:val="en-US" w:eastAsia="zh-CN"/>
        </w:rPr>
        <w:t>西沙德盖钼业公司矿区、选厂、尾矿库设置的4口</w:t>
      </w:r>
      <w:r>
        <w:rPr>
          <w:rFonts w:hint="default" w:ascii="Times New Roman" w:hAnsi="Times New Roman" w:eastAsia="宋体" w:cs="Times New Roman"/>
          <w:bCs/>
          <w:color w:val="auto"/>
          <w:sz w:val="24"/>
          <w:highlight w:val="none"/>
          <w:lang w:val="en-US" w:eastAsia="zh-CN"/>
        </w:rPr>
        <w:t>监控井进行检测，</w:t>
      </w:r>
      <w:r>
        <w:rPr>
          <w:rFonts w:hint="default" w:ascii="Times New Roman" w:hAnsi="Times New Roman" w:eastAsia="宋体" w:cs="Times New Roman"/>
          <w:bCs/>
          <w:color w:val="auto"/>
          <w:sz w:val="24"/>
          <w:highlight w:val="none"/>
        </w:rPr>
        <w:t>根据</w:t>
      </w:r>
      <w:r>
        <w:rPr>
          <w:rFonts w:hint="default" w:ascii="Times New Roman" w:hAnsi="Times New Roman" w:eastAsia="宋体" w:cs="Times New Roman"/>
          <w:bCs/>
          <w:color w:val="auto"/>
          <w:sz w:val="24"/>
          <w:highlight w:val="none"/>
          <w:lang w:val="en-US" w:eastAsia="zh-CN"/>
        </w:rPr>
        <w:t>《乌拉特前旗西沙德盖钼业有限责任公司地下水自行监测2023年第二季度检验监测报告》</w:t>
      </w:r>
      <w:r>
        <w:rPr>
          <w:rFonts w:hint="default" w:ascii="Times New Roman" w:hAnsi="Times New Roman" w:eastAsia="宋体" w:cs="Times New Roman"/>
          <w:bCs/>
          <w:color w:val="auto"/>
          <w:sz w:val="24"/>
          <w:highlight w:val="none"/>
        </w:rPr>
        <w:t>可知</w:t>
      </w:r>
      <w:r>
        <w:rPr>
          <w:rFonts w:hint="default" w:ascii="Times New Roman" w:hAnsi="Times New Roman" w:eastAsia="宋体" w:cs="Times New Roman"/>
          <w:bCs/>
          <w:color w:val="auto"/>
          <w:sz w:val="24"/>
          <w:highlight w:val="none"/>
          <w:lang w:eastAsia="zh-CN"/>
        </w:rPr>
        <w:t>：</w:t>
      </w:r>
    </w:p>
    <w:p>
      <w:pPr>
        <w:pageBreakBefore w:val="0"/>
        <w:wordWrap/>
        <w:bidi w:val="0"/>
        <w:spacing w:line="360" w:lineRule="auto"/>
        <w:ind w:left="0" w:leftChars="0" w:right="0" w:rightChars="0"/>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表</w:t>
      </w:r>
      <w:r>
        <w:rPr>
          <w:rFonts w:hint="default" w:ascii="Times New Roman" w:hAnsi="Times New Roman" w:eastAsia="宋体" w:cs="Times New Roman"/>
          <w:b/>
          <w:bCs/>
          <w:color w:val="auto"/>
          <w:sz w:val="24"/>
          <w:highlight w:val="none"/>
          <w:lang w:val="en-US" w:eastAsia="zh-CN"/>
        </w:rPr>
        <w:t>2</w:t>
      </w:r>
      <w:r>
        <w:rPr>
          <w:rFonts w:hint="default" w:ascii="Times New Roman" w:hAnsi="Times New Roman" w:eastAsia="宋体" w:cs="Times New Roman"/>
          <w:b/>
          <w:bCs/>
          <w:color w:val="auto"/>
          <w:sz w:val="24"/>
          <w:highlight w:val="none"/>
        </w:rPr>
        <w:t>-</w:t>
      </w:r>
      <w:r>
        <w:rPr>
          <w:rFonts w:hint="default" w:ascii="Times New Roman" w:hAnsi="Times New Roman" w:eastAsia="宋体" w:cs="Times New Roman"/>
          <w:b/>
          <w:bCs/>
          <w:color w:val="auto"/>
          <w:sz w:val="24"/>
          <w:highlight w:val="none"/>
          <w:lang w:val="en-US" w:eastAsia="zh-CN"/>
        </w:rPr>
        <w:t>6地下水</w:t>
      </w:r>
      <w:r>
        <w:rPr>
          <w:rFonts w:hint="default" w:ascii="Times New Roman" w:hAnsi="Times New Roman" w:eastAsia="宋体" w:cs="Times New Roman"/>
          <w:b/>
          <w:bCs/>
          <w:color w:val="auto"/>
          <w:sz w:val="24"/>
          <w:highlight w:val="none"/>
          <w:lang w:eastAsia="zh-CN"/>
        </w:rPr>
        <w:t>检验检测结果一览</w:t>
      </w:r>
      <w:r>
        <w:rPr>
          <w:rFonts w:hint="default" w:ascii="Times New Roman" w:hAnsi="Times New Roman" w:eastAsia="宋体" w:cs="Times New Roman"/>
          <w:b/>
          <w:bCs/>
          <w:color w:val="auto"/>
          <w:sz w:val="24"/>
          <w:highlight w:val="none"/>
        </w:rPr>
        <w:t>表</w:t>
      </w:r>
    </w:p>
    <w:tbl>
      <w:tblPr>
        <w:tblStyle w:val="54"/>
        <w:tblW w:w="502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52"/>
        <w:gridCol w:w="906"/>
        <w:gridCol w:w="906"/>
        <w:gridCol w:w="1307"/>
        <w:gridCol w:w="1307"/>
        <w:gridCol w:w="1307"/>
        <w:gridCol w:w="1307"/>
        <w:gridCol w:w="8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260" w:type="pct"/>
            <w:vMerge w:val="restart"/>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序号</w:t>
            </w:r>
          </w:p>
        </w:tc>
        <w:tc>
          <w:tcPr>
            <w:tcW w:w="520" w:type="pct"/>
            <w:vMerge w:val="restart"/>
            <w:vAlign w:val="center"/>
          </w:tcPr>
          <w:p>
            <w:pPr>
              <w:keepNext w:val="0"/>
              <w:keepLines w:val="0"/>
              <w:pageBreakBefore w:val="0"/>
              <w:widowControl/>
              <w:suppressLineNumbers w:val="0"/>
              <w:wordWrap/>
              <w:bidi w:val="0"/>
              <w:spacing w:line="240" w:lineRule="auto"/>
              <w:ind w:left="0" w:leftChars="0" w:right="0" w:rightChars="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kern w:val="0"/>
                <w:sz w:val="21"/>
                <w:szCs w:val="21"/>
                <w:highlight w:val="none"/>
                <w:lang w:val="en-US" w:eastAsia="zh-CN" w:bidi="ar"/>
              </w:rPr>
              <w:t>检测项目</w:t>
            </w:r>
          </w:p>
        </w:tc>
        <w:tc>
          <w:tcPr>
            <w:tcW w:w="520" w:type="pct"/>
            <w:vMerge w:val="restar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单位</w:t>
            </w:r>
          </w:p>
        </w:tc>
        <w:tc>
          <w:tcPr>
            <w:tcW w:w="750" w:type="pct"/>
            <w:gridSpan w:val="4"/>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检测结果</w:t>
            </w:r>
          </w:p>
        </w:tc>
        <w:tc>
          <w:tcPr>
            <w:tcW w:w="500" w:type="pct"/>
            <w:vMerge w:val="restar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lang w:eastAsia="zh-CN"/>
              </w:rPr>
              <w:t>执行标准</w:t>
            </w:r>
            <w:r>
              <w:rPr>
                <w:rFonts w:hint="default" w:ascii="Times New Roman" w:hAnsi="Times New Roman" w:eastAsia="宋体" w:cs="Times New Roman"/>
                <w:b w:val="0"/>
                <w:bCs/>
                <w:color w:val="auto"/>
                <w:sz w:val="21"/>
                <w:szCs w:val="21"/>
                <w:highlight w:val="none"/>
              </w:rPr>
              <w:t>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165" w:hRule="atLeast"/>
          <w:jc w:val="center"/>
        </w:trPr>
        <w:tc>
          <w:tcPr>
            <w:tcW w:w="260" w:type="pct"/>
            <w:vMerge w:val="continue"/>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val="0"/>
                <w:bCs/>
                <w:color w:val="auto"/>
                <w:sz w:val="21"/>
                <w:szCs w:val="21"/>
                <w:highlight w:val="none"/>
              </w:rPr>
            </w:pPr>
          </w:p>
        </w:tc>
        <w:tc>
          <w:tcPr>
            <w:tcW w:w="520" w:type="pct"/>
            <w:vMerge w:val="continue"/>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val="0"/>
                <w:bCs/>
                <w:color w:val="auto"/>
                <w:sz w:val="21"/>
                <w:szCs w:val="21"/>
                <w:highlight w:val="none"/>
              </w:rPr>
            </w:pPr>
          </w:p>
        </w:tc>
        <w:tc>
          <w:tcPr>
            <w:tcW w:w="520" w:type="pct"/>
            <w:vMerge w:val="continue"/>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b w:val="0"/>
                <w:bCs/>
                <w:color w:val="auto"/>
                <w:sz w:val="21"/>
                <w:szCs w:val="21"/>
                <w:highlight w:val="none"/>
              </w:rPr>
            </w:pPr>
          </w:p>
        </w:tc>
        <w:tc>
          <w:tcPr>
            <w:tcW w:w="750" w:type="pct"/>
            <w:vAlign w:val="center"/>
          </w:tcPr>
          <w:p>
            <w:pPr>
              <w:keepNext w:val="0"/>
              <w:keepLines w:val="0"/>
              <w:pageBreakBefore w:val="0"/>
              <w:widowControl/>
              <w:suppressLineNumbers w:val="0"/>
              <w:wordWrap/>
              <w:bidi w:val="0"/>
              <w:spacing w:line="240" w:lineRule="auto"/>
              <w:ind w:left="0" w:leftChars="0" w:right="0" w:rightChars="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kern w:val="0"/>
                <w:sz w:val="21"/>
                <w:szCs w:val="21"/>
                <w:highlight w:val="none"/>
                <w:lang w:val="en-US" w:eastAsia="zh-CN" w:bidi="ar"/>
              </w:rPr>
              <w:t>地下水井</w:t>
            </w:r>
          </w:p>
          <w:p>
            <w:pPr>
              <w:keepNext w:val="0"/>
              <w:keepLines w:val="0"/>
              <w:pageBreakBefore w:val="0"/>
              <w:widowControl/>
              <w:suppressLineNumbers w:val="0"/>
              <w:wordWrap/>
              <w:bidi w:val="0"/>
              <w:spacing w:line="240" w:lineRule="auto"/>
              <w:ind w:left="0" w:leftChars="0" w:right="0" w:rightChars="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kern w:val="0"/>
                <w:sz w:val="21"/>
                <w:szCs w:val="21"/>
                <w:highlight w:val="none"/>
                <w:lang w:val="en-US" w:eastAsia="zh-CN" w:bidi="ar"/>
              </w:rPr>
              <w:t>（E:109°26′31.65″；</w:t>
            </w:r>
          </w:p>
          <w:p>
            <w:pPr>
              <w:keepNext w:val="0"/>
              <w:keepLines w:val="0"/>
              <w:pageBreakBefore w:val="0"/>
              <w:widowControl/>
              <w:suppressLineNumbers w:val="0"/>
              <w:wordWrap/>
              <w:bidi w:val="0"/>
              <w:spacing w:line="240" w:lineRule="auto"/>
              <w:ind w:left="0" w:leftChars="0" w:right="0" w:rightChars="0"/>
              <w:jc w:val="center"/>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kern w:val="0"/>
                <w:sz w:val="21"/>
                <w:szCs w:val="21"/>
                <w:highlight w:val="none"/>
                <w:lang w:val="en-US" w:eastAsia="zh-CN" w:bidi="ar"/>
              </w:rPr>
              <w:t>N:40°47′18.12″）</w:t>
            </w:r>
          </w:p>
        </w:tc>
        <w:tc>
          <w:tcPr>
            <w:tcW w:w="750" w:type="pct"/>
            <w:vAlign w:val="center"/>
          </w:tcPr>
          <w:p>
            <w:pPr>
              <w:keepNext w:val="0"/>
              <w:keepLines w:val="0"/>
              <w:pageBreakBefore w:val="0"/>
              <w:widowControl/>
              <w:suppressLineNumbers w:val="0"/>
              <w:wordWrap/>
              <w:bidi w:val="0"/>
              <w:spacing w:line="240" w:lineRule="auto"/>
              <w:ind w:left="0" w:leftChars="0" w:right="0" w:rightChars="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kern w:val="0"/>
                <w:sz w:val="21"/>
                <w:szCs w:val="21"/>
                <w:highlight w:val="none"/>
                <w:lang w:val="en-US" w:eastAsia="zh-CN" w:bidi="ar"/>
              </w:rPr>
              <w:t>地下水井</w:t>
            </w:r>
          </w:p>
          <w:p>
            <w:pPr>
              <w:keepNext w:val="0"/>
              <w:keepLines w:val="0"/>
              <w:pageBreakBefore w:val="0"/>
              <w:widowControl/>
              <w:suppressLineNumbers w:val="0"/>
              <w:wordWrap/>
              <w:bidi w:val="0"/>
              <w:spacing w:line="240" w:lineRule="auto"/>
              <w:ind w:left="0" w:leftChars="0" w:right="0" w:rightChars="0"/>
              <w:jc w:val="center"/>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kern w:val="0"/>
                <w:sz w:val="21"/>
                <w:szCs w:val="21"/>
                <w:highlight w:val="none"/>
                <w:lang w:val="en-US" w:eastAsia="zh-CN" w:bidi="ar"/>
              </w:rPr>
              <w:t>（E:109°26′12.56″；N:40°48′06.09″）</w:t>
            </w:r>
          </w:p>
        </w:tc>
        <w:tc>
          <w:tcPr>
            <w:tcW w:w="750" w:type="pct"/>
            <w:vAlign w:val="center"/>
          </w:tcPr>
          <w:p>
            <w:pPr>
              <w:keepNext w:val="0"/>
              <w:keepLines w:val="0"/>
              <w:pageBreakBefore w:val="0"/>
              <w:widowControl/>
              <w:suppressLineNumbers w:val="0"/>
              <w:wordWrap/>
              <w:bidi w:val="0"/>
              <w:spacing w:line="240" w:lineRule="auto"/>
              <w:ind w:left="0" w:leftChars="0" w:right="0" w:rightChars="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kern w:val="0"/>
                <w:sz w:val="21"/>
                <w:szCs w:val="21"/>
                <w:highlight w:val="none"/>
                <w:lang w:val="en-US" w:eastAsia="zh-CN" w:bidi="ar"/>
              </w:rPr>
              <w:t>地下水井</w:t>
            </w:r>
          </w:p>
          <w:p>
            <w:pPr>
              <w:keepNext w:val="0"/>
              <w:keepLines w:val="0"/>
              <w:pageBreakBefore w:val="0"/>
              <w:widowControl/>
              <w:suppressLineNumbers w:val="0"/>
              <w:wordWrap/>
              <w:bidi w:val="0"/>
              <w:spacing w:line="240" w:lineRule="auto"/>
              <w:ind w:left="0" w:leftChars="0" w:right="0" w:rightChars="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kern w:val="0"/>
                <w:sz w:val="21"/>
                <w:szCs w:val="21"/>
                <w:highlight w:val="none"/>
                <w:lang w:val="en-US" w:eastAsia="zh-CN" w:bidi="ar"/>
              </w:rPr>
              <w:t>（E:109°26′06.5″；</w:t>
            </w:r>
          </w:p>
          <w:p>
            <w:pPr>
              <w:keepNext w:val="0"/>
              <w:keepLines w:val="0"/>
              <w:pageBreakBefore w:val="0"/>
              <w:widowControl/>
              <w:suppressLineNumbers w:val="0"/>
              <w:wordWrap/>
              <w:bidi w:val="0"/>
              <w:spacing w:line="240" w:lineRule="auto"/>
              <w:ind w:left="0" w:leftChars="0" w:right="0" w:rightChars="0"/>
              <w:jc w:val="center"/>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kern w:val="0"/>
                <w:sz w:val="21"/>
                <w:szCs w:val="21"/>
                <w:highlight w:val="none"/>
                <w:lang w:val="en-US" w:eastAsia="zh-CN" w:bidi="ar"/>
              </w:rPr>
              <w:t>N:40°48′50.54″）</w:t>
            </w:r>
          </w:p>
        </w:tc>
        <w:tc>
          <w:tcPr>
            <w:tcW w:w="750" w:type="pct"/>
            <w:vAlign w:val="center"/>
          </w:tcPr>
          <w:p>
            <w:pPr>
              <w:keepNext w:val="0"/>
              <w:keepLines w:val="0"/>
              <w:pageBreakBefore w:val="0"/>
              <w:widowControl/>
              <w:suppressLineNumbers w:val="0"/>
              <w:wordWrap/>
              <w:bidi w:val="0"/>
              <w:spacing w:line="240" w:lineRule="auto"/>
              <w:ind w:left="0" w:leftChars="0" w:right="0" w:rightChars="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kern w:val="0"/>
                <w:sz w:val="21"/>
                <w:szCs w:val="21"/>
                <w:highlight w:val="none"/>
                <w:lang w:val="en-US" w:eastAsia="zh-CN" w:bidi="ar"/>
              </w:rPr>
              <w:t>地下水井</w:t>
            </w:r>
          </w:p>
          <w:p>
            <w:pPr>
              <w:keepNext w:val="0"/>
              <w:keepLines w:val="0"/>
              <w:pageBreakBefore w:val="0"/>
              <w:widowControl/>
              <w:suppressLineNumbers w:val="0"/>
              <w:wordWrap/>
              <w:bidi w:val="0"/>
              <w:spacing w:line="240" w:lineRule="auto"/>
              <w:ind w:left="0" w:leftChars="0" w:right="0" w:rightChars="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kern w:val="0"/>
                <w:sz w:val="21"/>
                <w:szCs w:val="21"/>
                <w:highlight w:val="none"/>
                <w:lang w:val="en-US" w:eastAsia="zh-CN" w:bidi="ar"/>
              </w:rPr>
              <w:t>（E:109°26′21.33″；</w:t>
            </w:r>
          </w:p>
          <w:p>
            <w:pPr>
              <w:keepNext w:val="0"/>
              <w:keepLines w:val="0"/>
              <w:pageBreakBefore w:val="0"/>
              <w:widowControl/>
              <w:suppressLineNumbers w:val="0"/>
              <w:wordWrap/>
              <w:bidi w:val="0"/>
              <w:spacing w:line="240" w:lineRule="auto"/>
              <w:ind w:left="0" w:leftChars="0" w:right="0" w:rightChars="0"/>
              <w:jc w:val="center"/>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kern w:val="0"/>
                <w:sz w:val="21"/>
                <w:szCs w:val="21"/>
                <w:highlight w:val="none"/>
                <w:lang w:val="en-US" w:eastAsia="zh-CN" w:bidi="ar"/>
              </w:rPr>
              <w:t>N:40°49′09.08″）</w:t>
            </w:r>
          </w:p>
        </w:tc>
        <w:tc>
          <w:tcPr>
            <w:tcW w:w="500" w:type="pct"/>
            <w:vMerge w:val="continue"/>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b w:val="0"/>
                <w:bCs/>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165" w:hRule="atLeast"/>
          <w:jc w:val="center"/>
        </w:trPr>
        <w:tc>
          <w:tcPr>
            <w:tcW w:w="260" w:type="pct"/>
            <w:vMerge w:val="continue"/>
            <w:vAlign w:val="center"/>
          </w:tcPr>
          <w:p>
            <w:pPr>
              <w:keepNext w:val="0"/>
              <w:keepLines w:val="0"/>
              <w:pageBreakBefore w:val="0"/>
              <w:widowControl/>
              <w:suppressLineNumbers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520" w:type="pct"/>
            <w:vMerge w:val="continue"/>
            <w:vAlign w:val="center"/>
          </w:tcPr>
          <w:p>
            <w:pPr>
              <w:keepNext w:val="0"/>
              <w:keepLines w:val="0"/>
              <w:pageBreakBefore w:val="0"/>
              <w:widowControl/>
              <w:suppressLineNumbers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520" w:type="pct"/>
            <w:vMerge w:val="continue"/>
            <w:vAlign w:val="center"/>
          </w:tcPr>
          <w:p>
            <w:pPr>
              <w:keepNext w:val="0"/>
              <w:keepLines w:val="0"/>
              <w:pageBreakBefore w:val="0"/>
              <w:widowControl/>
              <w:suppressLineNumbers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750" w:type="pct"/>
            <w:vAlign w:val="center"/>
          </w:tcPr>
          <w:p>
            <w:pPr>
              <w:keepNext w:val="0"/>
              <w:keepLines w:val="0"/>
              <w:pageBreakBefore w:val="0"/>
              <w:widowControl/>
              <w:suppressLineNumbers w:val="0"/>
              <w:wordWrap/>
              <w:bidi w:val="0"/>
              <w:spacing w:line="240" w:lineRule="auto"/>
              <w:ind w:left="0" w:leftChars="0" w:right="0" w:rightChars="0"/>
              <w:jc w:val="center"/>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kern w:val="0"/>
                <w:sz w:val="21"/>
                <w:szCs w:val="21"/>
                <w:highlight w:val="none"/>
                <w:lang w:val="en-US" w:eastAsia="zh-CN" w:bidi="ar"/>
              </w:rPr>
              <w:t>尾矿库东南侧/1450m</w:t>
            </w:r>
          </w:p>
        </w:tc>
        <w:tc>
          <w:tcPr>
            <w:tcW w:w="750" w:type="pct"/>
            <w:vAlign w:val="center"/>
          </w:tcPr>
          <w:p>
            <w:pPr>
              <w:keepNext w:val="0"/>
              <w:keepLines w:val="0"/>
              <w:pageBreakBefore w:val="0"/>
              <w:widowControl/>
              <w:suppressLineNumbers w:val="0"/>
              <w:wordWrap/>
              <w:bidi w:val="0"/>
              <w:spacing w:line="240" w:lineRule="auto"/>
              <w:ind w:left="0" w:leftChars="0" w:right="0" w:rightChars="0"/>
              <w:jc w:val="center"/>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kern w:val="0"/>
                <w:sz w:val="21"/>
                <w:szCs w:val="21"/>
                <w:highlight w:val="none"/>
                <w:lang w:val="en-US" w:eastAsia="zh-CN" w:bidi="ar"/>
              </w:rPr>
              <w:t>尾矿库东侧/460m</w:t>
            </w:r>
          </w:p>
        </w:tc>
        <w:tc>
          <w:tcPr>
            <w:tcW w:w="750" w:type="pct"/>
            <w:vAlign w:val="center"/>
          </w:tcPr>
          <w:p>
            <w:pPr>
              <w:keepNext w:val="0"/>
              <w:keepLines w:val="0"/>
              <w:pageBreakBefore w:val="0"/>
              <w:widowControl/>
              <w:suppressLineNumbers w:val="0"/>
              <w:wordWrap/>
              <w:bidi w:val="0"/>
              <w:spacing w:line="240" w:lineRule="auto"/>
              <w:ind w:left="0" w:leftChars="0" w:right="0" w:rightChars="0"/>
              <w:jc w:val="center"/>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kern w:val="0"/>
                <w:sz w:val="21"/>
                <w:szCs w:val="21"/>
                <w:highlight w:val="none"/>
                <w:lang w:val="en-US" w:eastAsia="zh-CN" w:bidi="ar"/>
              </w:rPr>
              <w:t>尾矿库北侧/1360m</w:t>
            </w:r>
          </w:p>
        </w:tc>
        <w:tc>
          <w:tcPr>
            <w:tcW w:w="750" w:type="pct"/>
            <w:vAlign w:val="center"/>
          </w:tcPr>
          <w:p>
            <w:pPr>
              <w:keepNext w:val="0"/>
              <w:keepLines w:val="0"/>
              <w:pageBreakBefore w:val="0"/>
              <w:widowControl/>
              <w:suppressLineNumbers w:val="0"/>
              <w:wordWrap/>
              <w:bidi w:val="0"/>
              <w:spacing w:line="240" w:lineRule="auto"/>
              <w:ind w:left="0" w:leftChars="0" w:right="0" w:rightChars="0"/>
              <w:jc w:val="center"/>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kern w:val="0"/>
                <w:sz w:val="21"/>
                <w:szCs w:val="21"/>
                <w:highlight w:val="none"/>
                <w:lang w:val="en-US" w:eastAsia="zh-CN" w:bidi="ar"/>
              </w:rPr>
              <w:t>尾矿库东北侧/1750m</w:t>
            </w:r>
          </w:p>
        </w:tc>
        <w:tc>
          <w:tcPr>
            <w:tcW w:w="500" w:type="pct"/>
            <w:vMerge w:val="continue"/>
            <w:vAlign w:val="center"/>
          </w:tcPr>
          <w:p>
            <w:pPr>
              <w:keepNext w:val="0"/>
              <w:keepLines w:val="0"/>
              <w:pageBreakBefore w:val="0"/>
              <w:widowControl/>
              <w:suppressLineNumbers w:val="0"/>
              <w:wordWrap/>
              <w:bidi w:val="0"/>
              <w:spacing w:line="240" w:lineRule="auto"/>
              <w:ind w:left="0" w:leftChars="0" w:right="0" w:rightChars="0"/>
              <w:jc w:val="center"/>
              <w:rPr>
                <w:rFonts w:hint="default" w:ascii="Times New Roman" w:hAnsi="Times New Roman" w:eastAsia="宋体" w:cs="Times New Roman"/>
                <w:b w:val="0"/>
                <w:bCs/>
                <w:color w:val="auto"/>
                <w:kern w:val="0"/>
                <w:sz w:val="21"/>
                <w:szCs w:val="21"/>
                <w:highlight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26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1</w:t>
            </w:r>
          </w:p>
        </w:tc>
        <w:tc>
          <w:tcPr>
            <w:tcW w:w="52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pH值</w:t>
            </w:r>
          </w:p>
        </w:tc>
        <w:tc>
          <w:tcPr>
            <w:tcW w:w="52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无量纲</w:t>
            </w:r>
          </w:p>
        </w:tc>
        <w:tc>
          <w:tcPr>
            <w:tcW w:w="75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7.7</w:t>
            </w:r>
          </w:p>
        </w:tc>
        <w:tc>
          <w:tcPr>
            <w:tcW w:w="75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7.8</w:t>
            </w:r>
          </w:p>
        </w:tc>
        <w:tc>
          <w:tcPr>
            <w:tcW w:w="75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7.6</w:t>
            </w:r>
          </w:p>
        </w:tc>
        <w:tc>
          <w:tcPr>
            <w:tcW w:w="75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7.7</w:t>
            </w:r>
          </w:p>
        </w:tc>
        <w:tc>
          <w:tcPr>
            <w:tcW w:w="50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6.5-8.5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26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2</w:t>
            </w:r>
          </w:p>
        </w:tc>
        <w:tc>
          <w:tcPr>
            <w:tcW w:w="52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总硬度</w:t>
            </w:r>
          </w:p>
        </w:tc>
        <w:tc>
          <w:tcPr>
            <w:tcW w:w="52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mg/L</w:t>
            </w:r>
          </w:p>
        </w:tc>
        <w:tc>
          <w:tcPr>
            <w:tcW w:w="75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159</w:t>
            </w:r>
          </w:p>
        </w:tc>
        <w:tc>
          <w:tcPr>
            <w:tcW w:w="75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219</w:t>
            </w:r>
          </w:p>
        </w:tc>
        <w:tc>
          <w:tcPr>
            <w:tcW w:w="75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151</w:t>
            </w:r>
          </w:p>
        </w:tc>
        <w:tc>
          <w:tcPr>
            <w:tcW w:w="75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212</w:t>
            </w:r>
          </w:p>
        </w:tc>
        <w:tc>
          <w:tcPr>
            <w:tcW w:w="50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26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3</w:t>
            </w:r>
          </w:p>
        </w:tc>
        <w:tc>
          <w:tcPr>
            <w:tcW w:w="52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氯化物</w:t>
            </w:r>
          </w:p>
        </w:tc>
        <w:tc>
          <w:tcPr>
            <w:tcW w:w="52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mg/L</w:t>
            </w:r>
          </w:p>
        </w:tc>
        <w:tc>
          <w:tcPr>
            <w:tcW w:w="75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94</w:t>
            </w:r>
          </w:p>
        </w:tc>
        <w:tc>
          <w:tcPr>
            <w:tcW w:w="75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90</w:t>
            </w:r>
          </w:p>
        </w:tc>
        <w:tc>
          <w:tcPr>
            <w:tcW w:w="75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88</w:t>
            </w:r>
          </w:p>
        </w:tc>
        <w:tc>
          <w:tcPr>
            <w:tcW w:w="75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84</w:t>
            </w:r>
          </w:p>
        </w:tc>
        <w:tc>
          <w:tcPr>
            <w:tcW w:w="50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26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4</w:t>
            </w:r>
          </w:p>
        </w:tc>
        <w:tc>
          <w:tcPr>
            <w:tcW w:w="52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硫酸盐</w:t>
            </w:r>
          </w:p>
        </w:tc>
        <w:tc>
          <w:tcPr>
            <w:tcW w:w="52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mg/L</w:t>
            </w:r>
          </w:p>
        </w:tc>
        <w:tc>
          <w:tcPr>
            <w:tcW w:w="75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86</w:t>
            </w:r>
          </w:p>
        </w:tc>
        <w:tc>
          <w:tcPr>
            <w:tcW w:w="75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83</w:t>
            </w:r>
          </w:p>
        </w:tc>
        <w:tc>
          <w:tcPr>
            <w:tcW w:w="75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79</w:t>
            </w:r>
          </w:p>
        </w:tc>
        <w:tc>
          <w:tcPr>
            <w:tcW w:w="75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77</w:t>
            </w:r>
          </w:p>
        </w:tc>
        <w:tc>
          <w:tcPr>
            <w:tcW w:w="50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26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5</w:t>
            </w:r>
          </w:p>
        </w:tc>
        <w:tc>
          <w:tcPr>
            <w:tcW w:w="52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溶解性总固体</w:t>
            </w:r>
          </w:p>
        </w:tc>
        <w:tc>
          <w:tcPr>
            <w:tcW w:w="52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mg/L</w:t>
            </w:r>
          </w:p>
        </w:tc>
        <w:tc>
          <w:tcPr>
            <w:tcW w:w="75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360</w:t>
            </w:r>
          </w:p>
        </w:tc>
        <w:tc>
          <w:tcPr>
            <w:tcW w:w="75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482</w:t>
            </w:r>
          </w:p>
        </w:tc>
        <w:tc>
          <w:tcPr>
            <w:tcW w:w="75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342</w:t>
            </w:r>
          </w:p>
        </w:tc>
        <w:tc>
          <w:tcPr>
            <w:tcW w:w="75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456</w:t>
            </w:r>
          </w:p>
        </w:tc>
        <w:tc>
          <w:tcPr>
            <w:tcW w:w="50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26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6</w:t>
            </w:r>
          </w:p>
        </w:tc>
        <w:tc>
          <w:tcPr>
            <w:tcW w:w="52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铁</w:t>
            </w:r>
          </w:p>
        </w:tc>
        <w:tc>
          <w:tcPr>
            <w:tcW w:w="52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mg/L</w:t>
            </w:r>
          </w:p>
        </w:tc>
        <w:tc>
          <w:tcPr>
            <w:tcW w:w="75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0.129</w:t>
            </w:r>
          </w:p>
        </w:tc>
        <w:tc>
          <w:tcPr>
            <w:tcW w:w="75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0.136</w:t>
            </w:r>
          </w:p>
        </w:tc>
        <w:tc>
          <w:tcPr>
            <w:tcW w:w="75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0.0904</w:t>
            </w:r>
          </w:p>
        </w:tc>
        <w:tc>
          <w:tcPr>
            <w:tcW w:w="75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0.0771</w:t>
            </w:r>
          </w:p>
        </w:tc>
        <w:tc>
          <w:tcPr>
            <w:tcW w:w="50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26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7</w:t>
            </w:r>
          </w:p>
        </w:tc>
        <w:tc>
          <w:tcPr>
            <w:tcW w:w="52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锰</w:t>
            </w:r>
          </w:p>
        </w:tc>
        <w:tc>
          <w:tcPr>
            <w:tcW w:w="52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mg/L</w:t>
            </w:r>
          </w:p>
        </w:tc>
        <w:tc>
          <w:tcPr>
            <w:tcW w:w="75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3.02×10</w:t>
            </w:r>
            <w:r>
              <w:rPr>
                <w:rFonts w:hint="default" w:ascii="Times New Roman" w:hAnsi="Times New Roman" w:eastAsia="宋体" w:cs="Times New Roman"/>
                <w:color w:val="auto"/>
                <w:sz w:val="21"/>
                <w:szCs w:val="21"/>
                <w:highlight w:val="none"/>
                <w:vertAlign w:val="superscript"/>
              </w:rPr>
              <w:t>-3</w:t>
            </w:r>
          </w:p>
        </w:tc>
        <w:tc>
          <w:tcPr>
            <w:tcW w:w="75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3.25×10</w:t>
            </w:r>
            <w:r>
              <w:rPr>
                <w:rFonts w:hint="default" w:ascii="Times New Roman" w:hAnsi="Times New Roman" w:eastAsia="宋体" w:cs="Times New Roman"/>
                <w:color w:val="auto"/>
                <w:sz w:val="21"/>
                <w:szCs w:val="21"/>
                <w:highlight w:val="none"/>
                <w:vertAlign w:val="superscript"/>
              </w:rPr>
              <w:t>-3</w:t>
            </w:r>
          </w:p>
        </w:tc>
        <w:tc>
          <w:tcPr>
            <w:tcW w:w="75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2.17×10</w:t>
            </w:r>
            <w:r>
              <w:rPr>
                <w:rFonts w:hint="default" w:ascii="Times New Roman" w:hAnsi="Times New Roman" w:eastAsia="宋体" w:cs="Times New Roman"/>
                <w:color w:val="auto"/>
                <w:sz w:val="21"/>
                <w:szCs w:val="21"/>
                <w:highlight w:val="none"/>
                <w:vertAlign w:val="superscript"/>
              </w:rPr>
              <w:t>-3</w:t>
            </w:r>
          </w:p>
        </w:tc>
        <w:tc>
          <w:tcPr>
            <w:tcW w:w="75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1.88×10</w:t>
            </w:r>
            <w:r>
              <w:rPr>
                <w:rFonts w:hint="default" w:ascii="Times New Roman" w:hAnsi="Times New Roman" w:eastAsia="宋体" w:cs="Times New Roman"/>
                <w:color w:val="auto"/>
                <w:sz w:val="21"/>
                <w:szCs w:val="21"/>
                <w:highlight w:val="none"/>
                <w:vertAlign w:val="superscript"/>
              </w:rPr>
              <w:t>-3</w:t>
            </w:r>
          </w:p>
        </w:tc>
        <w:tc>
          <w:tcPr>
            <w:tcW w:w="50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26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8</w:t>
            </w:r>
          </w:p>
        </w:tc>
        <w:tc>
          <w:tcPr>
            <w:tcW w:w="52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铜</w:t>
            </w:r>
          </w:p>
        </w:tc>
        <w:tc>
          <w:tcPr>
            <w:tcW w:w="52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mg/L</w:t>
            </w:r>
          </w:p>
        </w:tc>
        <w:tc>
          <w:tcPr>
            <w:tcW w:w="75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0.0192</w:t>
            </w:r>
          </w:p>
        </w:tc>
        <w:tc>
          <w:tcPr>
            <w:tcW w:w="75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0.0239</w:t>
            </w:r>
          </w:p>
        </w:tc>
        <w:tc>
          <w:tcPr>
            <w:tcW w:w="75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0.0182</w:t>
            </w:r>
          </w:p>
        </w:tc>
        <w:tc>
          <w:tcPr>
            <w:tcW w:w="75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0.0159</w:t>
            </w:r>
          </w:p>
        </w:tc>
        <w:tc>
          <w:tcPr>
            <w:tcW w:w="50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26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9</w:t>
            </w:r>
          </w:p>
        </w:tc>
        <w:tc>
          <w:tcPr>
            <w:tcW w:w="52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锌</w:t>
            </w:r>
          </w:p>
        </w:tc>
        <w:tc>
          <w:tcPr>
            <w:tcW w:w="52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mg/L</w:t>
            </w:r>
          </w:p>
        </w:tc>
        <w:tc>
          <w:tcPr>
            <w:tcW w:w="75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0.0146</w:t>
            </w:r>
          </w:p>
        </w:tc>
        <w:tc>
          <w:tcPr>
            <w:tcW w:w="75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0.0152</w:t>
            </w:r>
          </w:p>
        </w:tc>
        <w:tc>
          <w:tcPr>
            <w:tcW w:w="75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9.58×10</w:t>
            </w:r>
            <w:r>
              <w:rPr>
                <w:rFonts w:hint="default" w:ascii="Times New Roman" w:hAnsi="Times New Roman" w:eastAsia="宋体" w:cs="Times New Roman"/>
                <w:color w:val="auto"/>
                <w:sz w:val="21"/>
                <w:szCs w:val="21"/>
                <w:highlight w:val="none"/>
                <w:vertAlign w:val="superscript"/>
              </w:rPr>
              <w:t>-3</w:t>
            </w:r>
          </w:p>
        </w:tc>
        <w:tc>
          <w:tcPr>
            <w:tcW w:w="75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8.21×10</w:t>
            </w:r>
            <w:r>
              <w:rPr>
                <w:rFonts w:hint="default" w:ascii="Times New Roman" w:hAnsi="Times New Roman" w:eastAsia="宋体" w:cs="Times New Roman"/>
                <w:color w:val="auto"/>
                <w:sz w:val="21"/>
                <w:szCs w:val="21"/>
                <w:highlight w:val="none"/>
                <w:vertAlign w:val="superscript"/>
              </w:rPr>
              <w:t>-3</w:t>
            </w:r>
          </w:p>
        </w:tc>
        <w:tc>
          <w:tcPr>
            <w:tcW w:w="50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26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10</w:t>
            </w:r>
          </w:p>
        </w:tc>
        <w:tc>
          <w:tcPr>
            <w:tcW w:w="52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挥发酚</w:t>
            </w:r>
          </w:p>
        </w:tc>
        <w:tc>
          <w:tcPr>
            <w:tcW w:w="52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mg/L</w:t>
            </w:r>
          </w:p>
        </w:tc>
        <w:tc>
          <w:tcPr>
            <w:tcW w:w="75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0.0003L</w:t>
            </w:r>
          </w:p>
        </w:tc>
        <w:tc>
          <w:tcPr>
            <w:tcW w:w="75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0.0003L</w:t>
            </w:r>
          </w:p>
        </w:tc>
        <w:tc>
          <w:tcPr>
            <w:tcW w:w="75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0.0003L</w:t>
            </w:r>
          </w:p>
        </w:tc>
        <w:tc>
          <w:tcPr>
            <w:tcW w:w="75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0.0003L</w:t>
            </w:r>
          </w:p>
        </w:tc>
        <w:tc>
          <w:tcPr>
            <w:tcW w:w="50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26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11</w:t>
            </w:r>
          </w:p>
        </w:tc>
        <w:tc>
          <w:tcPr>
            <w:tcW w:w="52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氨氮</w:t>
            </w:r>
          </w:p>
        </w:tc>
        <w:tc>
          <w:tcPr>
            <w:tcW w:w="52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mg/L</w:t>
            </w:r>
          </w:p>
        </w:tc>
        <w:tc>
          <w:tcPr>
            <w:tcW w:w="75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0.142</w:t>
            </w:r>
          </w:p>
        </w:tc>
        <w:tc>
          <w:tcPr>
            <w:tcW w:w="75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0.174</w:t>
            </w:r>
          </w:p>
        </w:tc>
        <w:tc>
          <w:tcPr>
            <w:tcW w:w="75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0.119</w:t>
            </w:r>
          </w:p>
        </w:tc>
        <w:tc>
          <w:tcPr>
            <w:tcW w:w="75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0.192</w:t>
            </w:r>
          </w:p>
        </w:tc>
        <w:tc>
          <w:tcPr>
            <w:tcW w:w="50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26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12</w:t>
            </w:r>
          </w:p>
        </w:tc>
        <w:tc>
          <w:tcPr>
            <w:tcW w:w="52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钠</w:t>
            </w:r>
          </w:p>
        </w:tc>
        <w:tc>
          <w:tcPr>
            <w:tcW w:w="52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mg/L</w:t>
            </w:r>
          </w:p>
        </w:tc>
        <w:tc>
          <w:tcPr>
            <w:tcW w:w="75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64.0</w:t>
            </w:r>
          </w:p>
        </w:tc>
        <w:tc>
          <w:tcPr>
            <w:tcW w:w="75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89.0</w:t>
            </w:r>
          </w:p>
        </w:tc>
        <w:tc>
          <w:tcPr>
            <w:tcW w:w="75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62.0</w:t>
            </w:r>
          </w:p>
        </w:tc>
        <w:tc>
          <w:tcPr>
            <w:tcW w:w="75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86.0</w:t>
            </w:r>
          </w:p>
        </w:tc>
        <w:tc>
          <w:tcPr>
            <w:tcW w:w="50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26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13</w:t>
            </w:r>
          </w:p>
        </w:tc>
        <w:tc>
          <w:tcPr>
            <w:tcW w:w="52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耗氧量</w:t>
            </w:r>
          </w:p>
        </w:tc>
        <w:tc>
          <w:tcPr>
            <w:tcW w:w="52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mg/L</w:t>
            </w:r>
          </w:p>
        </w:tc>
        <w:tc>
          <w:tcPr>
            <w:tcW w:w="75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1.13</w:t>
            </w:r>
          </w:p>
        </w:tc>
        <w:tc>
          <w:tcPr>
            <w:tcW w:w="75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1.23</w:t>
            </w:r>
          </w:p>
        </w:tc>
        <w:tc>
          <w:tcPr>
            <w:tcW w:w="75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0.82</w:t>
            </w:r>
          </w:p>
        </w:tc>
        <w:tc>
          <w:tcPr>
            <w:tcW w:w="75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0.94</w:t>
            </w:r>
          </w:p>
        </w:tc>
        <w:tc>
          <w:tcPr>
            <w:tcW w:w="50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26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14</w:t>
            </w:r>
          </w:p>
        </w:tc>
        <w:tc>
          <w:tcPr>
            <w:tcW w:w="52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硝酸盐氮</w:t>
            </w:r>
          </w:p>
        </w:tc>
        <w:tc>
          <w:tcPr>
            <w:tcW w:w="52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mg/L</w:t>
            </w:r>
          </w:p>
        </w:tc>
        <w:tc>
          <w:tcPr>
            <w:tcW w:w="75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3.60</w:t>
            </w:r>
          </w:p>
        </w:tc>
        <w:tc>
          <w:tcPr>
            <w:tcW w:w="75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2.39</w:t>
            </w:r>
          </w:p>
        </w:tc>
        <w:tc>
          <w:tcPr>
            <w:tcW w:w="75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4.35</w:t>
            </w:r>
          </w:p>
        </w:tc>
        <w:tc>
          <w:tcPr>
            <w:tcW w:w="75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3.06</w:t>
            </w:r>
          </w:p>
        </w:tc>
        <w:tc>
          <w:tcPr>
            <w:tcW w:w="50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26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15</w:t>
            </w:r>
          </w:p>
        </w:tc>
        <w:tc>
          <w:tcPr>
            <w:tcW w:w="52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亚硝酸盐氮</w:t>
            </w:r>
          </w:p>
        </w:tc>
        <w:tc>
          <w:tcPr>
            <w:tcW w:w="52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mg/L</w:t>
            </w:r>
          </w:p>
        </w:tc>
        <w:tc>
          <w:tcPr>
            <w:tcW w:w="75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0.003L</w:t>
            </w:r>
          </w:p>
        </w:tc>
        <w:tc>
          <w:tcPr>
            <w:tcW w:w="75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0.003L</w:t>
            </w:r>
          </w:p>
        </w:tc>
        <w:tc>
          <w:tcPr>
            <w:tcW w:w="75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0.003L</w:t>
            </w:r>
          </w:p>
        </w:tc>
        <w:tc>
          <w:tcPr>
            <w:tcW w:w="75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0.003L</w:t>
            </w:r>
          </w:p>
        </w:tc>
        <w:tc>
          <w:tcPr>
            <w:tcW w:w="50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90" w:hRule="atLeast"/>
          <w:jc w:val="center"/>
        </w:trPr>
        <w:tc>
          <w:tcPr>
            <w:tcW w:w="26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16</w:t>
            </w:r>
          </w:p>
        </w:tc>
        <w:tc>
          <w:tcPr>
            <w:tcW w:w="52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总大肠菌群</w:t>
            </w:r>
          </w:p>
        </w:tc>
        <w:tc>
          <w:tcPr>
            <w:tcW w:w="52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MPN/100mL</w:t>
            </w:r>
            <w:r>
              <w:rPr>
                <w:rFonts w:hint="default" w:ascii="Times New Roman" w:hAnsi="Times New Roman" w:eastAsia="宋体" w:cs="Times New Roman"/>
                <w:color w:val="auto"/>
                <w:sz w:val="21"/>
                <w:szCs w:val="21"/>
                <w:highlight w:val="none"/>
                <w:lang w:eastAsia="zh-CN"/>
              </w:rPr>
              <w:t>）</w:t>
            </w:r>
          </w:p>
        </w:tc>
        <w:tc>
          <w:tcPr>
            <w:tcW w:w="75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tc>
        <w:tc>
          <w:tcPr>
            <w:tcW w:w="75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tc>
        <w:tc>
          <w:tcPr>
            <w:tcW w:w="75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tc>
        <w:tc>
          <w:tcPr>
            <w:tcW w:w="75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tc>
        <w:tc>
          <w:tcPr>
            <w:tcW w:w="50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26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17</w:t>
            </w:r>
          </w:p>
        </w:tc>
        <w:tc>
          <w:tcPr>
            <w:tcW w:w="52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菌落总数</w:t>
            </w:r>
          </w:p>
        </w:tc>
        <w:tc>
          <w:tcPr>
            <w:tcW w:w="52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CFU/mL</w:t>
            </w:r>
            <w:r>
              <w:rPr>
                <w:rFonts w:hint="default" w:ascii="Times New Roman" w:hAnsi="Times New Roman" w:eastAsia="宋体" w:cs="Times New Roman"/>
                <w:color w:val="auto"/>
                <w:sz w:val="21"/>
                <w:szCs w:val="21"/>
                <w:highlight w:val="none"/>
                <w:lang w:eastAsia="zh-CN"/>
              </w:rPr>
              <w:t>）</w:t>
            </w:r>
          </w:p>
        </w:tc>
        <w:tc>
          <w:tcPr>
            <w:tcW w:w="75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14</w:t>
            </w:r>
          </w:p>
        </w:tc>
        <w:tc>
          <w:tcPr>
            <w:tcW w:w="75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18</w:t>
            </w:r>
          </w:p>
        </w:tc>
        <w:tc>
          <w:tcPr>
            <w:tcW w:w="75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18</w:t>
            </w:r>
          </w:p>
        </w:tc>
        <w:tc>
          <w:tcPr>
            <w:tcW w:w="75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13</w:t>
            </w:r>
          </w:p>
        </w:tc>
        <w:tc>
          <w:tcPr>
            <w:tcW w:w="50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26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18</w:t>
            </w:r>
          </w:p>
        </w:tc>
        <w:tc>
          <w:tcPr>
            <w:tcW w:w="52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氟化物</w:t>
            </w:r>
          </w:p>
        </w:tc>
        <w:tc>
          <w:tcPr>
            <w:tcW w:w="52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mg/L</w:t>
            </w:r>
          </w:p>
        </w:tc>
        <w:tc>
          <w:tcPr>
            <w:tcW w:w="75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0.60</w:t>
            </w:r>
          </w:p>
        </w:tc>
        <w:tc>
          <w:tcPr>
            <w:tcW w:w="75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0.58</w:t>
            </w:r>
          </w:p>
        </w:tc>
        <w:tc>
          <w:tcPr>
            <w:tcW w:w="75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0.56</w:t>
            </w:r>
          </w:p>
        </w:tc>
        <w:tc>
          <w:tcPr>
            <w:tcW w:w="75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0.53</w:t>
            </w:r>
          </w:p>
        </w:tc>
        <w:tc>
          <w:tcPr>
            <w:tcW w:w="50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26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19</w:t>
            </w:r>
          </w:p>
        </w:tc>
        <w:tc>
          <w:tcPr>
            <w:tcW w:w="52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氰化物</w:t>
            </w:r>
          </w:p>
        </w:tc>
        <w:tc>
          <w:tcPr>
            <w:tcW w:w="52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mg/L</w:t>
            </w:r>
          </w:p>
        </w:tc>
        <w:tc>
          <w:tcPr>
            <w:tcW w:w="75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0.004L</w:t>
            </w:r>
          </w:p>
        </w:tc>
        <w:tc>
          <w:tcPr>
            <w:tcW w:w="75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0.004L</w:t>
            </w:r>
          </w:p>
        </w:tc>
        <w:tc>
          <w:tcPr>
            <w:tcW w:w="75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0.004L</w:t>
            </w:r>
          </w:p>
        </w:tc>
        <w:tc>
          <w:tcPr>
            <w:tcW w:w="75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0.004L</w:t>
            </w:r>
          </w:p>
        </w:tc>
        <w:tc>
          <w:tcPr>
            <w:tcW w:w="50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26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20</w:t>
            </w:r>
          </w:p>
        </w:tc>
        <w:tc>
          <w:tcPr>
            <w:tcW w:w="52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六价铬</w:t>
            </w:r>
          </w:p>
        </w:tc>
        <w:tc>
          <w:tcPr>
            <w:tcW w:w="52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mg/L</w:t>
            </w:r>
          </w:p>
        </w:tc>
        <w:tc>
          <w:tcPr>
            <w:tcW w:w="75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0.004L</w:t>
            </w:r>
          </w:p>
        </w:tc>
        <w:tc>
          <w:tcPr>
            <w:tcW w:w="75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0.004L</w:t>
            </w:r>
          </w:p>
        </w:tc>
        <w:tc>
          <w:tcPr>
            <w:tcW w:w="75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0.004L</w:t>
            </w:r>
          </w:p>
        </w:tc>
        <w:tc>
          <w:tcPr>
            <w:tcW w:w="75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0.004L</w:t>
            </w:r>
          </w:p>
        </w:tc>
        <w:tc>
          <w:tcPr>
            <w:tcW w:w="50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26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21</w:t>
            </w:r>
          </w:p>
        </w:tc>
        <w:tc>
          <w:tcPr>
            <w:tcW w:w="52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砷</w:t>
            </w:r>
          </w:p>
        </w:tc>
        <w:tc>
          <w:tcPr>
            <w:tcW w:w="52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mg/L</w:t>
            </w:r>
          </w:p>
        </w:tc>
        <w:tc>
          <w:tcPr>
            <w:tcW w:w="75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7.00×10</w:t>
            </w:r>
            <w:r>
              <w:rPr>
                <w:rFonts w:hint="default" w:ascii="Times New Roman" w:hAnsi="Times New Roman" w:eastAsia="宋体" w:cs="Times New Roman"/>
                <w:color w:val="auto"/>
                <w:sz w:val="21"/>
                <w:szCs w:val="21"/>
                <w:highlight w:val="none"/>
                <w:vertAlign w:val="superscript"/>
              </w:rPr>
              <w:t>-4</w:t>
            </w:r>
          </w:p>
        </w:tc>
        <w:tc>
          <w:tcPr>
            <w:tcW w:w="75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4.00×10</w:t>
            </w:r>
            <w:r>
              <w:rPr>
                <w:rFonts w:hint="default" w:ascii="Times New Roman" w:hAnsi="Times New Roman" w:eastAsia="宋体" w:cs="Times New Roman"/>
                <w:color w:val="auto"/>
                <w:sz w:val="21"/>
                <w:szCs w:val="21"/>
                <w:highlight w:val="none"/>
                <w:vertAlign w:val="superscript"/>
              </w:rPr>
              <w:t>-4</w:t>
            </w:r>
          </w:p>
        </w:tc>
        <w:tc>
          <w:tcPr>
            <w:tcW w:w="75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4.00×10</w:t>
            </w:r>
            <w:r>
              <w:rPr>
                <w:rFonts w:hint="default" w:ascii="Times New Roman" w:hAnsi="Times New Roman" w:eastAsia="宋体" w:cs="Times New Roman"/>
                <w:color w:val="auto"/>
                <w:sz w:val="21"/>
                <w:szCs w:val="21"/>
                <w:highlight w:val="none"/>
                <w:vertAlign w:val="superscript"/>
              </w:rPr>
              <w:t>-4</w:t>
            </w:r>
          </w:p>
        </w:tc>
        <w:tc>
          <w:tcPr>
            <w:tcW w:w="75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5.00×10</w:t>
            </w:r>
            <w:r>
              <w:rPr>
                <w:rFonts w:hint="default" w:ascii="Times New Roman" w:hAnsi="Times New Roman" w:eastAsia="宋体" w:cs="Times New Roman"/>
                <w:color w:val="auto"/>
                <w:sz w:val="21"/>
                <w:szCs w:val="21"/>
                <w:highlight w:val="none"/>
                <w:vertAlign w:val="superscript"/>
              </w:rPr>
              <w:t>-4</w:t>
            </w:r>
          </w:p>
        </w:tc>
        <w:tc>
          <w:tcPr>
            <w:tcW w:w="50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26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22</w:t>
            </w:r>
          </w:p>
        </w:tc>
        <w:tc>
          <w:tcPr>
            <w:tcW w:w="52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汞</w:t>
            </w:r>
          </w:p>
        </w:tc>
        <w:tc>
          <w:tcPr>
            <w:tcW w:w="52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mg/L</w:t>
            </w:r>
          </w:p>
        </w:tc>
        <w:tc>
          <w:tcPr>
            <w:tcW w:w="75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4.00×10</w:t>
            </w:r>
            <w:r>
              <w:rPr>
                <w:rFonts w:hint="default" w:ascii="Times New Roman" w:hAnsi="Times New Roman" w:eastAsia="宋体" w:cs="Times New Roman"/>
                <w:color w:val="auto"/>
                <w:sz w:val="21"/>
                <w:szCs w:val="21"/>
                <w:highlight w:val="none"/>
                <w:vertAlign w:val="superscript"/>
              </w:rPr>
              <w:t>-5</w:t>
            </w:r>
            <w:r>
              <w:rPr>
                <w:rFonts w:hint="default" w:ascii="Times New Roman" w:hAnsi="Times New Roman" w:eastAsia="宋体" w:cs="Times New Roman"/>
                <w:color w:val="auto"/>
                <w:sz w:val="21"/>
                <w:szCs w:val="21"/>
                <w:highlight w:val="none"/>
              </w:rPr>
              <w:t>L</w:t>
            </w:r>
          </w:p>
        </w:tc>
        <w:tc>
          <w:tcPr>
            <w:tcW w:w="75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4.00×10</w:t>
            </w:r>
            <w:r>
              <w:rPr>
                <w:rFonts w:hint="default" w:ascii="Times New Roman" w:hAnsi="Times New Roman" w:eastAsia="宋体" w:cs="Times New Roman"/>
                <w:color w:val="auto"/>
                <w:sz w:val="21"/>
                <w:szCs w:val="21"/>
                <w:highlight w:val="none"/>
                <w:vertAlign w:val="superscript"/>
              </w:rPr>
              <w:t>-5</w:t>
            </w:r>
            <w:r>
              <w:rPr>
                <w:rFonts w:hint="default" w:ascii="Times New Roman" w:hAnsi="Times New Roman" w:eastAsia="宋体" w:cs="Times New Roman"/>
                <w:color w:val="auto"/>
                <w:sz w:val="21"/>
                <w:szCs w:val="21"/>
                <w:highlight w:val="none"/>
              </w:rPr>
              <w:t>L</w:t>
            </w:r>
          </w:p>
        </w:tc>
        <w:tc>
          <w:tcPr>
            <w:tcW w:w="75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4.00×10</w:t>
            </w:r>
            <w:r>
              <w:rPr>
                <w:rFonts w:hint="default" w:ascii="Times New Roman" w:hAnsi="Times New Roman" w:eastAsia="宋体" w:cs="Times New Roman"/>
                <w:color w:val="auto"/>
                <w:sz w:val="21"/>
                <w:szCs w:val="21"/>
                <w:highlight w:val="none"/>
                <w:vertAlign w:val="superscript"/>
              </w:rPr>
              <w:t>-5</w:t>
            </w:r>
            <w:r>
              <w:rPr>
                <w:rFonts w:hint="default" w:ascii="Times New Roman" w:hAnsi="Times New Roman" w:eastAsia="宋体" w:cs="Times New Roman"/>
                <w:color w:val="auto"/>
                <w:sz w:val="21"/>
                <w:szCs w:val="21"/>
                <w:highlight w:val="none"/>
              </w:rPr>
              <w:t>L</w:t>
            </w:r>
          </w:p>
        </w:tc>
        <w:tc>
          <w:tcPr>
            <w:tcW w:w="75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4.00×10</w:t>
            </w:r>
            <w:r>
              <w:rPr>
                <w:rFonts w:hint="default" w:ascii="Times New Roman" w:hAnsi="Times New Roman" w:eastAsia="宋体" w:cs="Times New Roman"/>
                <w:color w:val="auto"/>
                <w:sz w:val="21"/>
                <w:szCs w:val="21"/>
                <w:highlight w:val="none"/>
                <w:vertAlign w:val="superscript"/>
              </w:rPr>
              <w:t>-5</w:t>
            </w:r>
            <w:r>
              <w:rPr>
                <w:rFonts w:hint="default" w:ascii="Times New Roman" w:hAnsi="Times New Roman" w:eastAsia="宋体" w:cs="Times New Roman"/>
                <w:color w:val="auto"/>
                <w:sz w:val="21"/>
                <w:szCs w:val="21"/>
                <w:highlight w:val="none"/>
              </w:rPr>
              <w:t>L</w:t>
            </w:r>
          </w:p>
        </w:tc>
        <w:tc>
          <w:tcPr>
            <w:tcW w:w="50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26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23</w:t>
            </w:r>
          </w:p>
        </w:tc>
        <w:tc>
          <w:tcPr>
            <w:tcW w:w="52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铅</w:t>
            </w:r>
          </w:p>
        </w:tc>
        <w:tc>
          <w:tcPr>
            <w:tcW w:w="52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mg/L</w:t>
            </w:r>
          </w:p>
        </w:tc>
        <w:tc>
          <w:tcPr>
            <w:tcW w:w="75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6.00×10</w:t>
            </w:r>
            <w:r>
              <w:rPr>
                <w:rFonts w:hint="default" w:ascii="Times New Roman" w:hAnsi="Times New Roman" w:eastAsia="宋体" w:cs="Times New Roman"/>
                <w:color w:val="auto"/>
                <w:sz w:val="21"/>
                <w:szCs w:val="21"/>
                <w:highlight w:val="none"/>
                <w:vertAlign w:val="superscript"/>
              </w:rPr>
              <w:t>-4</w:t>
            </w:r>
          </w:p>
        </w:tc>
        <w:tc>
          <w:tcPr>
            <w:tcW w:w="75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6.40×10</w:t>
            </w:r>
            <w:r>
              <w:rPr>
                <w:rFonts w:hint="default" w:ascii="Times New Roman" w:hAnsi="Times New Roman" w:eastAsia="宋体" w:cs="Times New Roman"/>
                <w:color w:val="auto"/>
                <w:sz w:val="21"/>
                <w:szCs w:val="21"/>
                <w:highlight w:val="none"/>
                <w:vertAlign w:val="superscript"/>
              </w:rPr>
              <w:t>-4</w:t>
            </w:r>
          </w:p>
        </w:tc>
        <w:tc>
          <w:tcPr>
            <w:tcW w:w="75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4.60×10</w:t>
            </w:r>
            <w:r>
              <w:rPr>
                <w:rFonts w:hint="default" w:ascii="Times New Roman" w:hAnsi="Times New Roman" w:eastAsia="宋体" w:cs="Times New Roman"/>
                <w:color w:val="auto"/>
                <w:sz w:val="21"/>
                <w:szCs w:val="21"/>
                <w:highlight w:val="none"/>
                <w:vertAlign w:val="superscript"/>
              </w:rPr>
              <w:t>-4</w:t>
            </w:r>
          </w:p>
        </w:tc>
        <w:tc>
          <w:tcPr>
            <w:tcW w:w="75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4.10×10</w:t>
            </w:r>
            <w:r>
              <w:rPr>
                <w:rFonts w:hint="default" w:ascii="Times New Roman" w:hAnsi="Times New Roman" w:eastAsia="宋体" w:cs="Times New Roman"/>
                <w:color w:val="auto"/>
                <w:sz w:val="21"/>
                <w:szCs w:val="21"/>
                <w:highlight w:val="none"/>
                <w:vertAlign w:val="superscript"/>
              </w:rPr>
              <w:t>-4</w:t>
            </w:r>
          </w:p>
        </w:tc>
        <w:tc>
          <w:tcPr>
            <w:tcW w:w="50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26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24</w:t>
            </w:r>
          </w:p>
        </w:tc>
        <w:tc>
          <w:tcPr>
            <w:tcW w:w="52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镉</w:t>
            </w:r>
          </w:p>
        </w:tc>
        <w:tc>
          <w:tcPr>
            <w:tcW w:w="52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mg/L</w:t>
            </w:r>
          </w:p>
        </w:tc>
        <w:tc>
          <w:tcPr>
            <w:tcW w:w="75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5.00×10</w:t>
            </w:r>
            <w:r>
              <w:rPr>
                <w:rFonts w:hint="default" w:ascii="Times New Roman" w:hAnsi="Times New Roman" w:eastAsia="宋体" w:cs="Times New Roman"/>
                <w:color w:val="auto"/>
                <w:sz w:val="21"/>
                <w:szCs w:val="21"/>
                <w:highlight w:val="none"/>
                <w:vertAlign w:val="superscript"/>
              </w:rPr>
              <w:t>-5</w:t>
            </w:r>
            <w:r>
              <w:rPr>
                <w:rFonts w:hint="default" w:ascii="Times New Roman" w:hAnsi="Times New Roman" w:eastAsia="宋体" w:cs="Times New Roman"/>
                <w:color w:val="auto"/>
                <w:sz w:val="21"/>
                <w:szCs w:val="21"/>
                <w:highlight w:val="none"/>
              </w:rPr>
              <w:t>L</w:t>
            </w:r>
          </w:p>
        </w:tc>
        <w:tc>
          <w:tcPr>
            <w:tcW w:w="75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8.00×10</w:t>
            </w:r>
            <w:r>
              <w:rPr>
                <w:rFonts w:hint="default" w:ascii="Times New Roman" w:hAnsi="Times New Roman" w:eastAsia="宋体" w:cs="Times New Roman"/>
                <w:color w:val="auto"/>
                <w:sz w:val="21"/>
                <w:szCs w:val="21"/>
                <w:highlight w:val="none"/>
                <w:vertAlign w:val="superscript"/>
              </w:rPr>
              <w:t>-5</w:t>
            </w:r>
          </w:p>
        </w:tc>
        <w:tc>
          <w:tcPr>
            <w:tcW w:w="75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5.00×10</w:t>
            </w:r>
            <w:r>
              <w:rPr>
                <w:rFonts w:hint="default" w:ascii="Times New Roman" w:hAnsi="Times New Roman" w:eastAsia="宋体" w:cs="Times New Roman"/>
                <w:color w:val="auto"/>
                <w:sz w:val="21"/>
                <w:szCs w:val="21"/>
                <w:highlight w:val="none"/>
                <w:vertAlign w:val="superscript"/>
              </w:rPr>
              <w:t>-5</w:t>
            </w:r>
            <w:r>
              <w:rPr>
                <w:rFonts w:hint="default" w:ascii="Times New Roman" w:hAnsi="Times New Roman" w:eastAsia="宋体" w:cs="Times New Roman"/>
                <w:color w:val="auto"/>
                <w:sz w:val="21"/>
                <w:szCs w:val="21"/>
                <w:highlight w:val="none"/>
              </w:rPr>
              <w:t>L</w:t>
            </w:r>
          </w:p>
        </w:tc>
        <w:tc>
          <w:tcPr>
            <w:tcW w:w="75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5.00×10</w:t>
            </w:r>
            <w:r>
              <w:rPr>
                <w:rFonts w:hint="default" w:ascii="Times New Roman" w:hAnsi="Times New Roman" w:eastAsia="宋体" w:cs="Times New Roman"/>
                <w:color w:val="auto"/>
                <w:sz w:val="21"/>
                <w:szCs w:val="21"/>
                <w:highlight w:val="none"/>
                <w:vertAlign w:val="superscript"/>
              </w:rPr>
              <w:t>-5</w:t>
            </w:r>
            <w:r>
              <w:rPr>
                <w:rFonts w:hint="default" w:ascii="Times New Roman" w:hAnsi="Times New Roman" w:eastAsia="宋体" w:cs="Times New Roman"/>
                <w:color w:val="auto"/>
                <w:sz w:val="21"/>
                <w:szCs w:val="21"/>
                <w:highlight w:val="none"/>
              </w:rPr>
              <w:t>L</w:t>
            </w:r>
          </w:p>
        </w:tc>
        <w:tc>
          <w:tcPr>
            <w:tcW w:w="50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26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25</w:t>
            </w:r>
          </w:p>
        </w:tc>
        <w:tc>
          <w:tcPr>
            <w:tcW w:w="52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石油类</w:t>
            </w:r>
          </w:p>
        </w:tc>
        <w:tc>
          <w:tcPr>
            <w:tcW w:w="52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mg/L</w:t>
            </w:r>
          </w:p>
        </w:tc>
        <w:tc>
          <w:tcPr>
            <w:tcW w:w="75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0.01L</w:t>
            </w:r>
          </w:p>
        </w:tc>
        <w:tc>
          <w:tcPr>
            <w:tcW w:w="75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0.01L</w:t>
            </w:r>
          </w:p>
        </w:tc>
        <w:tc>
          <w:tcPr>
            <w:tcW w:w="75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0.01L</w:t>
            </w:r>
          </w:p>
        </w:tc>
        <w:tc>
          <w:tcPr>
            <w:tcW w:w="75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0.01L</w:t>
            </w:r>
          </w:p>
        </w:tc>
        <w:tc>
          <w:tcPr>
            <w:tcW w:w="50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26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26</w:t>
            </w:r>
          </w:p>
        </w:tc>
        <w:tc>
          <w:tcPr>
            <w:tcW w:w="52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钙</w:t>
            </w:r>
          </w:p>
        </w:tc>
        <w:tc>
          <w:tcPr>
            <w:tcW w:w="52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mg/L</w:t>
            </w:r>
          </w:p>
        </w:tc>
        <w:tc>
          <w:tcPr>
            <w:tcW w:w="75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30.7</w:t>
            </w:r>
          </w:p>
        </w:tc>
        <w:tc>
          <w:tcPr>
            <w:tcW w:w="75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42.9</w:t>
            </w:r>
          </w:p>
        </w:tc>
        <w:tc>
          <w:tcPr>
            <w:tcW w:w="75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29.6</w:t>
            </w:r>
          </w:p>
        </w:tc>
        <w:tc>
          <w:tcPr>
            <w:tcW w:w="75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41.6</w:t>
            </w:r>
          </w:p>
        </w:tc>
        <w:tc>
          <w:tcPr>
            <w:tcW w:w="50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26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27</w:t>
            </w:r>
          </w:p>
        </w:tc>
        <w:tc>
          <w:tcPr>
            <w:tcW w:w="52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镁</w:t>
            </w:r>
          </w:p>
        </w:tc>
        <w:tc>
          <w:tcPr>
            <w:tcW w:w="52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mg/L</w:t>
            </w:r>
          </w:p>
        </w:tc>
        <w:tc>
          <w:tcPr>
            <w:tcW w:w="75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23.2</w:t>
            </w:r>
          </w:p>
        </w:tc>
        <w:tc>
          <w:tcPr>
            <w:tcW w:w="75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32.0</w:t>
            </w:r>
          </w:p>
        </w:tc>
        <w:tc>
          <w:tcPr>
            <w:tcW w:w="75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22.2</w:t>
            </w:r>
          </w:p>
        </w:tc>
        <w:tc>
          <w:tcPr>
            <w:tcW w:w="75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30.8</w:t>
            </w:r>
          </w:p>
        </w:tc>
        <w:tc>
          <w:tcPr>
            <w:tcW w:w="50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26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28</w:t>
            </w:r>
          </w:p>
        </w:tc>
        <w:tc>
          <w:tcPr>
            <w:tcW w:w="52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钾</w:t>
            </w:r>
          </w:p>
        </w:tc>
        <w:tc>
          <w:tcPr>
            <w:tcW w:w="52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mg/L</w:t>
            </w:r>
          </w:p>
        </w:tc>
        <w:tc>
          <w:tcPr>
            <w:tcW w:w="75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1.98</w:t>
            </w:r>
          </w:p>
        </w:tc>
        <w:tc>
          <w:tcPr>
            <w:tcW w:w="75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2.83</w:t>
            </w:r>
          </w:p>
        </w:tc>
        <w:tc>
          <w:tcPr>
            <w:tcW w:w="75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1.94</w:t>
            </w:r>
          </w:p>
        </w:tc>
        <w:tc>
          <w:tcPr>
            <w:tcW w:w="75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2.80</w:t>
            </w:r>
          </w:p>
        </w:tc>
        <w:tc>
          <w:tcPr>
            <w:tcW w:w="50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26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29</w:t>
            </w:r>
          </w:p>
        </w:tc>
        <w:tc>
          <w:tcPr>
            <w:tcW w:w="52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钼</w:t>
            </w:r>
          </w:p>
        </w:tc>
        <w:tc>
          <w:tcPr>
            <w:tcW w:w="52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mg/L</w:t>
            </w:r>
          </w:p>
        </w:tc>
        <w:tc>
          <w:tcPr>
            <w:tcW w:w="75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4.32×10</w:t>
            </w:r>
            <w:r>
              <w:rPr>
                <w:rFonts w:hint="default" w:ascii="Times New Roman" w:hAnsi="Times New Roman" w:eastAsia="宋体" w:cs="Times New Roman"/>
                <w:color w:val="auto"/>
                <w:sz w:val="21"/>
                <w:szCs w:val="21"/>
                <w:highlight w:val="none"/>
                <w:vertAlign w:val="superscript"/>
              </w:rPr>
              <w:t>-3</w:t>
            </w:r>
          </w:p>
        </w:tc>
        <w:tc>
          <w:tcPr>
            <w:tcW w:w="75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4.87×10</w:t>
            </w:r>
            <w:r>
              <w:rPr>
                <w:rFonts w:hint="default" w:ascii="Times New Roman" w:hAnsi="Times New Roman" w:eastAsia="宋体" w:cs="Times New Roman"/>
                <w:color w:val="auto"/>
                <w:sz w:val="21"/>
                <w:szCs w:val="21"/>
                <w:highlight w:val="none"/>
                <w:vertAlign w:val="superscript"/>
              </w:rPr>
              <w:t>-3</w:t>
            </w:r>
          </w:p>
        </w:tc>
        <w:tc>
          <w:tcPr>
            <w:tcW w:w="75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3.34×10</w:t>
            </w:r>
            <w:r>
              <w:rPr>
                <w:rFonts w:hint="default" w:ascii="Times New Roman" w:hAnsi="Times New Roman" w:eastAsia="宋体" w:cs="Times New Roman"/>
                <w:color w:val="auto"/>
                <w:sz w:val="21"/>
                <w:szCs w:val="21"/>
                <w:highlight w:val="none"/>
                <w:vertAlign w:val="superscript"/>
              </w:rPr>
              <w:t>-3</w:t>
            </w:r>
          </w:p>
        </w:tc>
        <w:tc>
          <w:tcPr>
            <w:tcW w:w="75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2.94×10</w:t>
            </w:r>
            <w:r>
              <w:rPr>
                <w:rFonts w:hint="default" w:ascii="Times New Roman" w:hAnsi="Times New Roman" w:eastAsia="宋体" w:cs="Times New Roman"/>
                <w:color w:val="auto"/>
                <w:sz w:val="21"/>
                <w:szCs w:val="21"/>
                <w:highlight w:val="none"/>
                <w:vertAlign w:val="superscript"/>
              </w:rPr>
              <w:t>-3</w:t>
            </w:r>
          </w:p>
        </w:tc>
        <w:tc>
          <w:tcPr>
            <w:tcW w:w="50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26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30</w:t>
            </w:r>
          </w:p>
        </w:tc>
        <w:tc>
          <w:tcPr>
            <w:tcW w:w="52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钒</w:t>
            </w:r>
          </w:p>
        </w:tc>
        <w:tc>
          <w:tcPr>
            <w:tcW w:w="52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mg/L</w:t>
            </w:r>
          </w:p>
        </w:tc>
        <w:tc>
          <w:tcPr>
            <w:tcW w:w="75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7.05×10</w:t>
            </w:r>
            <w:r>
              <w:rPr>
                <w:rFonts w:hint="default" w:ascii="Times New Roman" w:hAnsi="Times New Roman" w:eastAsia="宋体" w:cs="Times New Roman"/>
                <w:color w:val="auto"/>
                <w:sz w:val="21"/>
                <w:szCs w:val="21"/>
                <w:highlight w:val="none"/>
                <w:vertAlign w:val="superscript"/>
              </w:rPr>
              <w:t>-3</w:t>
            </w:r>
          </w:p>
        </w:tc>
        <w:tc>
          <w:tcPr>
            <w:tcW w:w="75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7.46×10</w:t>
            </w:r>
            <w:r>
              <w:rPr>
                <w:rFonts w:hint="default" w:ascii="Times New Roman" w:hAnsi="Times New Roman" w:eastAsia="宋体" w:cs="Times New Roman"/>
                <w:color w:val="auto"/>
                <w:sz w:val="21"/>
                <w:szCs w:val="21"/>
                <w:highlight w:val="none"/>
                <w:vertAlign w:val="superscript"/>
              </w:rPr>
              <w:t>-3</w:t>
            </w:r>
          </w:p>
        </w:tc>
        <w:tc>
          <w:tcPr>
            <w:tcW w:w="75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5.13×10</w:t>
            </w:r>
            <w:r>
              <w:rPr>
                <w:rFonts w:hint="default" w:ascii="Times New Roman" w:hAnsi="Times New Roman" w:eastAsia="宋体" w:cs="Times New Roman"/>
                <w:color w:val="auto"/>
                <w:sz w:val="21"/>
                <w:szCs w:val="21"/>
                <w:highlight w:val="none"/>
                <w:vertAlign w:val="superscript"/>
              </w:rPr>
              <w:t>-3</w:t>
            </w:r>
          </w:p>
        </w:tc>
        <w:tc>
          <w:tcPr>
            <w:tcW w:w="75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4.43×10</w:t>
            </w:r>
            <w:r>
              <w:rPr>
                <w:rFonts w:hint="default" w:ascii="Times New Roman" w:hAnsi="Times New Roman" w:eastAsia="宋体" w:cs="Times New Roman"/>
                <w:color w:val="auto"/>
                <w:sz w:val="21"/>
                <w:szCs w:val="21"/>
                <w:highlight w:val="none"/>
                <w:vertAlign w:val="superscript"/>
              </w:rPr>
              <w:t>-3</w:t>
            </w:r>
          </w:p>
        </w:tc>
        <w:tc>
          <w:tcPr>
            <w:tcW w:w="50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r>
    </w:tbl>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eastAsia="zh-CN"/>
        </w:rPr>
        <w:t>地下水</w:t>
      </w:r>
      <w:r>
        <w:rPr>
          <w:rFonts w:hint="default" w:ascii="Times New Roman" w:hAnsi="Times New Roman" w:eastAsia="宋体" w:cs="Times New Roman"/>
          <w:color w:val="auto"/>
          <w:sz w:val="24"/>
          <w:highlight w:val="none"/>
        </w:rPr>
        <w:t>各监测因子均满足《地下水质量标准》（GB</w:t>
      </w:r>
      <w:r>
        <w:rPr>
          <w:rFonts w:hint="default" w:ascii="Times New Roman" w:hAnsi="Times New Roman" w:eastAsia="宋体" w:cs="Times New Roman"/>
          <w:color w:val="auto"/>
          <w:sz w:val="24"/>
          <w:highlight w:val="none"/>
          <w:lang w:val="en-US" w:eastAsia="zh-CN"/>
        </w:rPr>
        <w:t>/T</w:t>
      </w:r>
      <w:r>
        <w:rPr>
          <w:rFonts w:hint="default" w:ascii="Times New Roman" w:hAnsi="Times New Roman" w:eastAsia="宋体" w:cs="Times New Roman"/>
          <w:color w:val="auto"/>
          <w:sz w:val="24"/>
          <w:highlight w:val="none"/>
        </w:rPr>
        <w:t>14848-2017</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中</w:t>
      </w:r>
      <w:r>
        <w:rPr>
          <w:rFonts w:hint="default" w:ascii="Times New Roman" w:hAnsi="Times New Roman" w:eastAsia="宋体" w:cs="Times New Roman"/>
          <w:color w:val="auto"/>
          <w:sz w:val="24"/>
          <w:highlight w:val="none"/>
          <w:lang w:eastAsia="zh-CN"/>
        </w:rPr>
        <w:t>Ⅲ</w:t>
      </w:r>
      <w:r>
        <w:rPr>
          <w:rFonts w:hint="default" w:ascii="Times New Roman" w:hAnsi="Times New Roman" w:eastAsia="宋体" w:cs="Times New Roman"/>
          <w:color w:val="auto"/>
          <w:sz w:val="24"/>
          <w:highlight w:val="none"/>
        </w:rPr>
        <w:t>类标准。</w:t>
      </w:r>
    </w:p>
    <w:p>
      <w:pPr>
        <w:pageBreakBefore w:val="0"/>
        <w:wordWrap/>
        <w:bidi w:val="0"/>
        <w:adjustRightInd w:val="0"/>
        <w:snapToGrid w:val="0"/>
        <w:spacing w:line="360" w:lineRule="auto"/>
        <w:ind w:left="0" w:leftChars="0" w:right="0" w:rightChars="0" w:firstLine="480" w:firstLineChars="200"/>
        <w:outlineLvl w:val="0"/>
        <w:rPr>
          <w:rFonts w:hint="default" w:ascii="Times New Roman" w:hAnsi="Times New Roman" w:eastAsia="宋体" w:cs="Times New Roman"/>
          <w:color w:val="auto"/>
          <w:sz w:val="24"/>
          <w:highlight w:val="none"/>
          <w:lang w:eastAsia="zh-CN"/>
        </w:rPr>
      </w:pPr>
      <w:bookmarkStart w:id="364" w:name="_Toc21088"/>
      <w:bookmarkStart w:id="365" w:name="_Toc27875"/>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5</w:t>
      </w:r>
      <w:r>
        <w:rPr>
          <w:rFonts w:hint="default" w:ascii="Times New Roman" w:hAnsi="Times New Roman" w:eastAsia="宋体" w:cs="Times New Roman"/>
          <w:color w:val="auto"/>
          <w:sz w:val="24"/>
          <w:highlight w:val="none"/>
          <w:lang w:eastAsia="zh-CN"/>
        </w:rPr>
        <w:t>）废水</w:t>
      </w:r>
      <w:bookmarkEnd w:id="364"/>
      <w:bookmarkEnd w:id="365"/>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bCs/>
          <w:color w:val="auto"/>
          <w:sz w:val="24"/>
          <w:highlight w:val="none"/>
          <w:lang w:val="en-US" w:eastAsia="zh-CN"/>
        </w:rPr>
        <w:t>尾矿库内的水通过消力池、回水池及输水管线输送到选矿厂作为生产用水，</w:t>
      </w:r>
      <w:r>
        <w:rPr>
          <w:rFonts w:hint="default" w:ascii="Times New Roman" w:hAnsi="Times New Roman" w:eastAsia="宋体" w:cs="Times New Roman"/>
          <w:bCs/>
          <w:color w:val="auto"/>
          <w:sz w:val="24"/>
          <w:highlight w:val="none"/>
          <w:lang w:eastAsia="zh-CN"/>
        </w:rPr>
        <w:t>无废水排放；无新增工作人员，</w:t>
      </w:r>
      <w:r>
        <w:rPr>
          <w:rFonts w:hint="default" w:ascii="Times New Roman" w:hAnsi="Times New Roman" w:eastAsia="宋体" w:cs="Times New Roman"/>
          <w:bCs/>
          <w:color w:val="auto"/>
          <w:sz w:val="24"/>
          <w:highlight w:val="none"/>
        </w:rPr>
        <w:t>无新增生活污水产生</w:t>
      </w:r>
      <w:r>
        <w:rPr>
          <w:rFonts w:hint="default" w:ascii="Times New Roman" w:hAnsi="Times New Roman" w:eastAsia="宋体" w:cs="Times New Roman"/>
          <w:bCs/>
          <w:color w:val="auto"/>
          <w:sz w:val="24"/>
          <w:highlight w:val="none"/>
          <w:lang w:eastAsia="zh-CN"/>
        </w:rPr>
        <w:t>。</w:t>
      </w:r>
    </w:p>
    <w:p>
      <w:pPr>
        <w:pageBreakBefore w:val="0"/>
        <w:wordWrap/>
        <w:bidi w:val="0"/>
        <w:adjustRightInd w:val="0"/>
        <w:snapToGrid w:val="0"/>
        <w:spacing w:line="360" w:lineRule="auto"/>
        <w:ind w:left="0" w:leftChars="0" w:right="0" w:rightChars="0" w:firstLine="480" w:firstLineChars="200"/>
        <w:outlineLvl w:val="0"/>
        <w:rPr>
          <w:rFonts w:hint="default" w:ascii="Times New Roman" w:hAnsi="Times New Roman" w:eastAsia="宋体" w:cs="Times New Roman"/>
          <w:color w:val="auto"/>
          <w:sz w:val="24"/>
          <w:highlight w:val="none"/>
        </w:rPr>
      </w:pPr>
      <w:bookmarkStart w:id="366" w:name="_Toc10000"/>
      <w:bookmarkStart w:id="367" w:name="_Toc5705"/>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6</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固体废物</w:t>
      </w:r>
      <w:bookmarkEnd w:id="366"/>
      <w:bookmarkEnd w:id="367"/>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现有工程固体废物主要有尾矿砂</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具体处置情况见表2-</w:t>
      </w:r>
      <w:r>
        <w:rPr>
          <w:rFonts w:hint="default" w:ascii="Times New Roman" w:hAnsi="Times New Roman" w:eastAsia="宋体" w:cs="Times New Roman"/>
          <w:color w:val="auto"/>
          <w:sz w:val="24"/>
          <w:highlight w:val="none"/>
          <w:lang w:val="en-US" w:eastAsia="zh-CN"/>
        </w:rPr>
        <w:t>7</w:t>
      </w:r>
      <w:r>
        <w:rPr>
          <w:rFonts w:hint="default" w:ascii="Times New Roman" w:hAnsi="Times New Roman" w:eastAsia="宋体" w:cs="Times New Roman"/>
          <w:color w:val="auto"/>
          <w:sz w:val="24"/>
          <w:highlight w:val="none"/>
        </w:rPr>
        <w:t>。</w:t>
      </w:r>
    </w:p>
    <w:p>
      <w:pPr>
        <w:pageBreakBefore w:val="0"/>
        <w:wordWrap/>
        <w:bidi w:val="0"/>
        <w:spacing w:line="360" w:lineRule="auto"/>
        <w:ind w:left="0" w:leftChars="0" w:right="0" w:rightChars="0"/>
        <w:jc w:val="center"/>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w:t>表2-</w:t>
      </w:r>
      <w:r>
        <w:rPr>
          <w:rFonts w:hint="default" w:ascii="Times New Roman" w:hAnsi="Times New Roman" w:eastAsia="宋体" w:cs="Times New Roman"/>
          <w:b/>
          <w:color w:val="auto"/>
          <w:sz w:val="24"/>
          <w:highlight w:val="none"/>
          <w:lang w:val="en-US" w:eastAsia="zh-CN"/>
        </w:rPr>
        <w:t>7</w:t>
      </w:r>
      <w:r>
        <w:rPr>
          <w:rFonts w:hint="default" w:ascii="Times New Roman" w:hAnsi="Times New Roman" w:eastAsia="宋体" w:cs="Times New Roman"/>
          <w:b/>
          <w:color w:val="auto"/>
          <w:sz w:val="24"/>
          <w:highlight w:val="none"/>
        </w:rPr>
        <w:t>现有工程固体废物产生量</w:t>
      </w:r>
    </w:p>
    <w:tbl>
      <w:tblPr>
        <w:tblStyle w:val="54"/>
        <w:tblW w:w="5000" w:type="pct"/>
        <w:tblInd w:w="0" w:type="dxa"/>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
      <w:tblGrid>
        <w:gridCol w:w="1420"/>
        <w:gridCol w:w="1420"/>
        <w:gridCol w:w="1420"/>
        <w:gridCol w:w="1420"/>
        <w:gridCol w:w="1421"/>
        <w:gridCol w:w="1421"/>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5669"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编号</w:t>
            </w:r>
          </w:p>
        </w:tc>
        <w:tc>
          <w:tcPr>
            <w:tcW w:w="5669"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污染源</w:t>
            </w:r>
          </w:p>
        </w:tc>
        <w:tc>
          <w:tcPr>
            <w:tcW w:w="5669"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污染物</w:t>
            </w:r>
          </w:p>
        </w:tc>
        <w:tc>
          <w:tcPr>
            <w:tcW w:w="5669"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种类</w:t>
            </w:r>
          </w:p>
        </w:tc>
        <w:tc>
          <w:tcPr>
            <w:tcW w:w="5669"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b/>
                <w:color w:val="auto"/>
                <w:szCs w:val="21"/>
                <w:highlight w:val="none"/>
                <w:lang w:eastAsia="zh-CN"/>
              </w:rPr>
            </w:pPr>
            <w:r>
              <w:rPr>
                <w:rFonts w:hint="default" w:ascii="Times New Roman" w:hAnsi="Times New Roman" w:eastAsia="宋体" w:cs="Times New Roman"/>
                <w:b/>
                <w:color w:val="auto"/>
                <w:szCs w:val="21"/>
                <w:highlight w:val="none"/>
              </w:rPr>
              <w:t>产生量（t/a</w:t>
            </w:r>
            <w:r>
              <w:rPr>
                <w:rFonts w:hint="default" w:ascii="Times New Roman" w:hAnsi="Times New Roman" w:eastAsia="宋体" w:cs="Times New Roman"/>
                <w:b/>
                <w:color w:val="auto"/>
                <w:szCs w:val="21"/>
                <w:highlight w:val="none"/>
                <w:lang w:eastAsia="zh-CN"/>
              </w:rPr>
              <w:t>）</w:t>
            </w:r>
          </w:p>
        </w:tc>
        <w:tc>
          <w:tcPr>
            <w:tcW w:w="5669"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排放去向</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5669"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S1</w:t>
            </w:r>
          </w:p>
        </w:tc>
        <w:tc>
          <w:tcPr>
            <w:tcW w:w="5669"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选矿厂</w:t>
            </w:r>
          </w:p>
        </w:tc>
        <w:tc>
          <w:tcPr>
            <w:tcW w:w="5669"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尾矿</w:t>
            </w:r>
          </w:p>
        </w:tc>
        <w:tc>
          <w:tcPr>
            <w:tcW w:w="5669"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一般固废</w:t>
            </w:r>
          </w:p>
        </w:tc>
        <w:tc>
          <w:tcPr>
            <w:tcW w:w="5669"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lang w:eastAsia="zh-CN"/>
              </w:rPr>
              <w:t>299.46</w:t>
            </w:r>
            <w:r>
              <w:rPr>
                <w:rFonts w:hint="default" w:ascii="Times New Roman" w:hAnsi="Times New Roman" w:eastAsia="宋体" w:cs="Times New Roman"/>
                <w:color w:val="auto"/>
                <w:szCs w:val="21"/>
                <w:highlight w:val="none"/>
              </w:rPr>
              <w:t>万</w:t>
            </w:r>
          </w:p>
        </w:tc>
        <w:tc>
          <w:tcPr>
            <w:tcW w:w="5669"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尾矿排入尾矿库</w:t>
            </w:r>
          </w:p>
        </w:tc>
      </w:tr>
    </w:tbl>
    <w:p>
      <w:pPr>
        <w:pStyle w:val="5"/>
        <w:pageBreakBefore w:val="0"/>
        <w:numPr>
          <w:ilvl w:val="2"/>
          <w:numId w:val="0"/>
        </w:numPr>
        <w:wordWrap/>
        <w:bidi w:val="0"/>
        <w:adjustRightInd w:val="0"/>
        <w:snapToGrid w:val="0"/>
        <w:spacing w:line="360" w:lineRule="auto"/>
        <w:ind w:left="0" w:leftChars="0" w:right="0" w:rightChars="0"/>
        <w:outlineLvl w:val="1"/>
        <w:rPr>
          <w:rFonts w:hint="default" w:ascii="Times New Roman" w:hAnsi="Times New Roman" w:eastAsia="宋体" w:cs="Times New Roman"/>
          <w:b/>
          <w:bCs/>
          <w:color w:val="auto"/>
          <w:sz w:val="24"/>
          <w:szCs w:val="24"/>
          <w:highlight w:val="none"/>
        </w:rPr>
      </w:pPr>
      <w:bookmarkStart w:id="368" w:name="_Toc29908"/>
      <w:bookmarkStart w:id="369" w:name="_Toc24550"/>
      <w:bookmarkStart w:id="370" w:name="_Toc26752"/>
      <w:r>
        <w:rPr>
          <w:rFonts w:hint="default" w:ascii="Times New Roman" w:hAnsi="Times New Roman" w:eastAsia="宋体" w:cs="Times New Roman"/>
          <w:b/>
          <w:bCs/>
          <w:i w:val="0"/>
          <w:iCs w:val="0"/>
          <w:caps w:val="0"/>
          <w:smallCaps w:val="0"/>
          <w:strike w:val="0"/>
          <w:dstrike w:val="0"/>
          <w:vanish w:val="0"/>
          <w:color w:val="auto"/>
          <w:spacing w:val="0"/>
          <w:kern w:val="2"/>
          <w:position w:val="0"/>
          <w:sz w:val="24"/>
          <w:szCs w:val="24"/>
          <w:highlight w:val="none"/>
          <w:u w:val="none"/>
          <w:vertAlign w:val="baseline"/>
          <w:lang w:val="en-US" w:eastAsia="zh-CN" w:bidi="ar-SA"/>
          <w14:shadow w14:blurRad="0" w14:dist="0" w14:dir="0" w14:sx="0" w14:sy="0" w14:kx="0" w14:ky="0" w14:algn="none">
            <w14:srgbClr w14:val="000000"/>
          </w14:shadow>
        </w:rPr>
        <w:t>2.2.5</w:t>
      </w:r>
      <w:r>
        <w:rPr>
          <w:rFonts w:hint="default" w:ascii="Times New Roman" w:hAnsi="Times New Roman" w:eastAsia="宋体" w:cs="Times New Roman"/>
          <w:b/>
          <w:bCs/>
          <w:color w:val="auto"/>
          <w:sz w:val="24"/>
          <w:szCs w:val="24"/>
          <w:highlight w:val="none"/>
        </w:rPr>
        <w:t>现有工程存在的环境问题及整改措施</w:t>
      </w:r>
      <w:bookmarkEnd w:id="368"/>
      <w:bookmarkEnd w:id="369"/>
      <w:bookmarkEnd w:id="370"/>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lang w:val="en-US" w:eastAsia="zh-CN"/>
        </w:rPr>
      </w:pPr>
      <w:bookmarkStart w:id="371" w:name="_Toc246850540"/>
      <w:bookmarkStart w:id="372" w:name="_Toc288306166"/>
      <w:r>
        <w:rPr>
          <w:rFonts w:hint="default" w:ascii="Times New Roman" w:hAnsi="Times New Roman" w:eastAsia="宋体" w:cs="Times New Roman"/>
          <w:color w:val="auto"/>
          <w:sz w:val="24"/>
          <w:szCs w:val="24"/>
          <w:highlight w:val="none"/>
          <w:lang w:val="en-US" w:eastAsia="zh-CN"/>
        </w:rPr>
        <w:t>根据现场调查结合环境保护主管部门管理要求，发现以下环境问题：</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（1）矿区、选厂、尾矿库均没有设置</w:t>
      </w:r>
      <w:r>
        <w:rPr>
          <w:rFonts w:hint="default" w:ascii="Times New Roman" w:hAnsi="Times New Roman" w:eastAsia="宋体" w:cs="Times New Roman"/>
          <w:color w:val="auto"/>
          <w:sz w:val="24"/>
          <w:szCs w:val="32"/>
          <w:highlight w:val="none"/>
        </w:rPr>
        <w:t>危险废物暂存间</w:t>
      </w:r>
      <w:r>
        <w:rPr>
          <w:rFonts w:hint="default" w:ascii="Times New Roman" w:hAnsi="Times New Roman" w:eastAsia="宋体" w:cs="Times New Roman"/>
          <w:color w:val="auto"/>
          <w:sz w:val="24"/>
          <w:szCs w:val="24"/>
          <w:highlight w:val="none"/>
          <w:lang w:val="en-US" w:eastAsia="zh-CN"/>
        </w:rPr>
        <w:t>，不符合《危险废物贮存污染控制标准》（GB18597-2023）环保要求。</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针对以上问题，提出的整改措施如下：</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（1）在选厂建设1个危险废物暂存间，用于暂存废机油等危险废物，暂存后统一交由有资质单位集中处置。</w:t>
      </w:r>
    </w:p>
    <w:p>
      <w:pPr>
        <w:pStyle w:val="4"/>
        <w:pageBreakBefore w:val="0"/>
        <w:numPr>
          <w:ilvl w:val="1"/>
          <w:numId w:val="0"/>
        </w:numPr>
        <w:wordWrap/>
        <w:bidi w:val="0"/>
        <w:spacing w:line="360" w:lineRule="auto"/>
        <w:ind w:left="0" w:leftChars="0" w:right="0" w:rightChars="0" w:firstLine="0" w:firstLineChars="0"/>
        <w:outlineLvl w:val="2"/>
        <w:rPr>
          <w:rFonts w:hint="default" w:ascii="Times New Roman" w:hAnsi="Times New Roman" w:eastAsia="宋体" w:cs="Times New Roman"/>
          <w:b/>
          <w:bCs/>
          <w:color w:val="auto"/>
          <w:highlight w:val="none"/>
          <w:lang w:eastAsia="zh-CN"/>
        </w:rPr>
      </w:pPr>
      <w:bookmarkStart w:id="373" w:name="_Toc13941"/>
      <w:bookmarkStart w:id="374" w:name="_Toc9234"/>
      <w:r>
        <w:rPr>
          <w:rFonts w:hint="default" w:ascii="Times New Roman" w:hAnsi="Times New Roman" w:eastAsia="宋体" w:cs="Times New Roman"/>
          <w:b/>
          <w:bCs/>
          <w:i w:val="0"/>
          <w:color w:val="auto"/>
          <w:kern w:val="2"/>
          <w:sz w:val="28"/>
          <w:szCs w:val="28"/>
          <w:highlight w:val="none"/>
          <w:lang w:val="en-US" w:eastAsia="zh-CN" w:bidi="ar-SA"/>
        </w:rPr>
        <w:t>2.3</w:t>
      </w:r>
      <w:r>
        <w:rPr>
          <w:rFonts w:hint="default" w:ascii="Times New Roman" w:hAnsi="Times New Roman" w:eastAsia="宋体" w:cs="Times New Roman"/>
          <w:b/>
          <w:bCs/>
          <w:color w:val="auto"/>
          <w:highlight w:val="none"/>
        </w:rPr>
        <w:t>扩建工程</w:t>
      </w:r>
      <w:r>
        <w:rPr>
          <w:rFonts w:hint="default" w:ascii="Times New Roman" w:hAnsi="Times New Roman" w:eastAsia="宋体" w:cs="Times New Roman"/>
          <w:b/>
          <w:bCs/>
          <w:color w:val="auto"/>
          <w:highlight w:val="none"/>
          <w:lang w:eastAsia="zh-CN"/>
        </w:rPr>
        <w:t>概况</w:t>
      </w:r>
      <w:bookmarkEnd w:id="373"/>
      <w:bookmarkEnd w:id="374"/>
    </w:p>
    <w:p>
      <w:pPr>
        <w:pStyle w:val="5"/>
        <w:pageBreakBefore w:val="0"/>
        <w:numPr>
          <w:ilvl w:val="2"/>
          <w:numId w:val="0"/>
        </w:numPr>
        <w:wordWrap/>
        <w:bidi w:val="0"/>
        <w:ind w:left="0" w:leftChars="0" w:right="0" w:rightChars="0"/>
        <w:outlineLvl w:val="1"/>
        <w:rPr>
          <w:rFonts w:hint="default" w:ascii="Times New Roman" w:hAnsi="Times New Roman" w:eastAsia="宋体" w:cs="Times New Roman"/>
          <w:b/>
          <w:bCs/>
          <w:color w:val="auto"/>
          <w:highlight w:val="none"/>
        </w:rPr>
      </w:pPr>
      <w:bookmarkStart w:id="375" w:name="_Toc28386"/>
      <w:bookmarkStart w:id="376" w:name="_Toc30548"/>
      <w:bookmarkStart w:id="377" w:name="_Toc17003"/>
      <w:r>
        <w:rPr>
          <w:rFonts w:hint="default" w:ascii="Times New Roman" w:hAnsi="Times New Roman" w:eastAsia="宋体" w:cs="Times New Roman"/>
          <w:b/>
          <w:bCs/>
          <w:i w:val="0"/>
          <w:iCs w:val="0"/>
          <w:caps w:val="0"/>
          <w:smallCaps w:val="0"/>
          <w:strike w:val="0"/>
          <w:dstrike w:val="0"/>
          <w:vanish w:val="0"/>
          <w:color w:val="auto"/>
          <w:spacing w:val="0"/>
          <w:kern w:val="2"/>
          <w:position w:val="0"/>
          <w:sz w:val="24"/>
          <w:szCs w:val="24"/>
          <w:highlight w:val="none"/>
          <w:u w:val="none"/>
          <w:vertAlign w:val="baseline"/>
          <w:lang w:val="en-US" w:eastAsia="zh-CN" w:bidi="ar-SA"/>
          <w14:shadow w14:blurRad="0" w14:dist="0" w14:dir="0" w14:sx="0" w14:sy="0" w14:kx="0" w14:ky="0" w14:algn="none">
            <w14:srgbClr w14:val="000000"/>
          </w14:shadow>
        </w:rPr>
        <w:t>2.3.1</w:t>
      </w:r>
      <w:r>
        <w:rPr>
          <w:rFonts w:hint="default" w:ascii="Times New Roman" w:hAnsi="Times New Roman" w:eastAsia="宋体" w:cs="Times New Roman"/>
          <w:b/>
          <w:bCs/>
          <w:color w:val="auto"/>
          <w:highlight w:val="none"/>
        </w:rPr>
        <w:t>工程名称、地点</w:t>
      </w:r>
      <w:bookmarkEnd w:id="371"/>
      <w:bookmarkEnd w:id="372"/>
      <w:r>
        <w:rPr>
          <w:rFonts w:hint="default" w:ascii="Times New Roman" w:hAnsi="Times New Roman" w:eastAsia="宋体" w:cs="Times New Roman"/>
          <w:b/>
          <w:bCs/>
          <w:color w:val="auto"/>
          <w:highlight w:val="none"/>
        </w:rPr>
        <w:t>、环境现状</w:t>
      </w:r>
      <w:bookmarkEnd w:id="375"/>
      <w:bookmarkEnd w:id="376"/>
      <w:bookmarkEnd w:id="377"/>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kern w:val="0"/>
          <w:sz w:val="24"/>
          <w:highlight w:val="none"/>
        </w:rPr>
        <w:t>建设项目名称</w:t>
      </w:r>
      <w:r>
        <w:rPr>
          <w:rFonts w:hint="default" w:ascii="Times New Roman" w:hAnsi="Times New Roman" w:eastAsia="宋体" w:cs="Times New Roman"/>
          <w:color w:val="auto"/>
          <w:kern w:val="0"/>
          <w:sz w:val="24"/>
          <w:highlight w:val="none"/>
          <w:lang w:eastAsia="zh-CN"/>
        </w:rPr>
        <w:t>：</w:t>
      </w:r>
      <w:r>
        <w:rPr>
          <w:rFonts w:hint="default" w:ascii="Times New Roman" w:hAnsi="Times New Roman" w:eastAsia="宋体" w:cs="Times New Roman"/>
          <w:color w:val="auto"/>
          <w:kern w:val="0"/>
          <w:sz w:val="24"/>
          <w:highlight w:val="none"/>
        </w:rPr>
        <w:t>乌拉特前旗西沙德盖钼业有限责任公司年处理300万吨钼矿选矿节能技改扩产项目尾矿库加高扩容工程项目</w:t>
      </w:r>
      <w:r>
        <w:rPr>
          <w:rFonts w:hint="default" w:ascii="Times New Roman" w:hAnsi="Times New Roman" w:eastAsia="宋体" w:cs="Times New Roman"/>
          <w:color w:val="auto"/>
          <w:sz w:val="24"/>
          <w:highlight w:val="none"/>
        </w:rPr>
        <w:t>。</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建设性质</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扩建。</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建设单位</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kern w:val="0"/>
          <w:sz w:val="24"/>
          <w:highlight w:val="none"/>
        </w:rPr>
        <w:t>乌拉特前旗西沙德盖钼业有限责任公司</w:t>
      </w:r>
      <w:r>
        <w:rPr>
          <w:rFonts w:hint="default" w:ascii="Times New Roman" w:hAnsi="Times New Roman" w:eastAsia="宋体" w:cs="Times New Roman"/>
          <w:color w:val="auto"/>
          <w:sz w:val="24"/>
          <w:highlight w:val="none"/>
        </w:rPr>
        <w:t>。</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kern w:val="0"/>
          <w:sz w:val="24"/>
          <w:highlight w:val="none"/>
        </w:rPr>
        <w:t>建设地点</w:t>
      </w:r>
      <w:r>
        <w:rPr>
          <w:rFonts w:hint="default" w:ascii="Times New Roman" w:hAnsi="Times New Roman" w:eastAsia="宋体" w:cs="Times New Roman"/>
          <w:color w:val="auto"/>
          <w:kern w:val="0"/>
          <w:sz w:val="24"/>
          <w:highlight w:val="none"/>
          <w:lang w:eastAsia="zh-CN"/>
        </w:rPr>
        <w:t>：</w:t>
      </w:r>
      <w:r>
        <w:rPr>
          <w:rFonts w:hint="default" w:ascii="Times New Roman" w:hAnsi="Times New Roman" w:eastAsia="宋体" w:cs="Times New Roman"/>
          <w:color w:val="auto"/>
          <w:kern w:val="0"/>
          <w:sz w:val="24"/>
          <w:highlight w:val="none"/>
        </w:rPr>
        <w:t>内蒙古乌拉特前旗沙德格苏木西沙德盖钼业公司现有尾矿库所在位置。中心坐标为东经10</w:t>
      </w:r>
      <w:r>
        <w:rPr>
          <w:rFonts w:hint="default" w:ascii="Times New Roman" w:hAnsi="Times New Roman" w:eastAsia="宋体" w:cs="Times New Roman"/>
          <w:color w:val="auto"/>
          <w:kern w:val="0"/>
          <w:sz w:val="24"/>
          <w:highlight w:val="none"/>
          <w:lang w:val="en-US" w:eastAsia="zh-CN"/>
        </w:rPr>
        <w:t>9</w:t>
      </w:r>
      <w:r>
        <w:rPr>
          <w:rFonts w:hint="default" w:ascii="Times New Roman" w:hAnsi="Times New Roman" w:eastAsia="宋体" w:cs="Times New Roman"/>
          <w:color w:val="auto"/>
          <w:kern w:val="0"/>
          <w:sz w:val="24"/>
          <w:highlight w:val="none"/>
        </w:rPr>
        <w:t>°</w:t>
      </w:r>
      <w:r>
        <w:rPr>
          <w:rFonts w:hint="default" w:ascii="Times New Roman" w:hAnsi="Times New Roman" w:eastAsia="宋体" w:cs="Times New Roman"/>
          <w:color w:val="auto"/>
          <w:kern w:val="0"/>
          <w:sz w:val="24"/>
          <w:highlight w:val="none"/>
          <w:lang w:val="en-US" w:eastAsia="zh-CN"/>
        </w:rPr>
        <w:t>25</w:t>
      </w:r>
      <w:r>
        <w:rPr>
          <w:rFonts w:hint="default" w:ascii="Times New Roman" w:hAnsi="Times New Roman" w:eastAsia="宋体" w:cs="Times New Roman"/>
          <w:color w:val="auto"/>
          <w:kern w:val="0"/>
          <w:sz w:val="24"/>
          <w:highlight w:val="none"/>
        </w:rPr>
        <w:t>'</w:t>
      </w:r>
      <w:r>
        <w:rPr>
          <w:rFonts w:hint="default" w:ascii="Times New Roman" w:hAnsi="Times New Roman" w:eastAsia="宋体" w:cs="Times New Roman"/>
          <w:color w:val="auto"/>
          <w:kern w:val="0"/>
          <w:sz w:val="24"/>
          <w:highlight w:val="none"/>
          <w:lang w:val="en-US" w:eastAsia="zh-CN"/>
        </w:rPr>
        <w:t>35.85</w:t>
      </w:r>
      <w:r>
        <w:rPr>
          <w:rFonts w:hint="default" w:ascii="Times New Roman" w:hAnsi="Times New Roman" w:eastAsia="宋体" w:cs="Times New Roman"/>
          <w:color w:val="auto"/>
          <w:kern w:val="0"/>
          <w:sz w:val="24"/>
          <w:highlight w:val="none"/>
        </w:rPr>
        <w:t>"</w:t>
      </w:r>
      <w:r>
        <w:rPr>
          <w:rFonts w:hint="default" w:ascii="Times New Roman" w:hAnsi="Times New Roman" w:eastAsia="宋体" w:cs="Times New Roman"/>
          <w:color w:val="auto"/>
          <w:kern w:val="0"/>
          <w:sz w:val="24"/>
          <w:highlight w:val="none"/>
          <w:lang w:eastAsia="zh-CN"/>
        </w:rPr>
        <w:t>，</w:t>
      </w:r>
      <w:r>
        <w:rPr>
          <w:rFonts w:hint="default" w:ascii="Times New Roman" w:hAnsi="Times New Roman" w:eastAsia="宋体" w:cs="Times New Roman"/>
          <w:color w:val="auto"/>
          <w:kern w:val="0"/>
          <w:sz w:val="24"/>
          <w:highlight w:val="none"/>
        </w:rPr>
        <w:t>北纬4</w:t>
      </w:r>
      <w:r>
        <w:rPr>
          <w:rFonts w:hint="default" w:ascii="Times New Roman" w:hAnsi="Times New Roman" w:eastAsia="宋体" w:cs="Times New Roman"/>
          <w:color w:val="auto"/>
          <w:kern w:val="0"/>
          <w:sz w:val="24"/>
          <w:highlight w:val="none"/>
          <w:lang w:val="en-US" w:eastAsia="zh-CN"/>
        </w:rPr>
        <w:t>0</w:t>
      </w:r>
      <w:r>
        <w:rPr>
          <w:rFonts w:hint="default" w:ascii="Times New Roman" w:hAnsi="Times New Roman" w:eastAsia="宋体" w:cs="Times New Roman"/>
          <w:color w:val="auto"/>
          <w:kern w:val="0"/>
          <w:sz w:val="24"/>
          <w:highlight w:val="none"/>
        </w:rPr>
        <w:t>°</w:t>
      </w:r>
      <w:r>
        <w:rPr>
          <w:rFonts w:hint="default" w:ascii="Times New Roman" w:hAnsi="Times New Roman" w:eastAsia="宋体" w:cs="Times New Roman"/>
          <w:color w:val="auto"/>
          <w:kern w:val="0"/>
          <w:sz w:val="24"/>
          <w:highlight w:val="none"/>
          <w:lang w:val="en-US" w:eastAsia="zh-CN"/>
        </w:rPr>
        <w:t>47</w:t>
      </w:r>
      <w:r>
        <w:rPr>
          <w:rFonts w:hint="default" w:ascii="Times New Roman" w:hAnsi="Times New Roman" w:eastAsia="宋体" w:cs="Times New Roman"/>
          <w:color w:val="auto"/>
          <w:kern w:val="0"/>
          <w:sz w:val="24"/>
          <w:highlight w:val="none"/>
        </w:rPr>
        <w:t>'</w:t>
      </w:r>
      <w:r>
        <w:rPr>
          <w:rFonts w:hint="default" w:ascii="Times New Roman" w:hAnsi="Times New Roman" w:eastAsia="宋体" w:cs="Times New Roman"/>
          <w:color w:val="auto"/>
          <w:kern w:val="0"/>
          <w:sz w:val="24"/>
          <w:highlight w:val="none"/>
          <w:lang w:val="en-US" w:eastAsia="zh-CN"/>
        </w:rPr>
        <w:t>58.26</w:t>
      </w:r>
      <w:r>
        <w:rPr>
          <w:rFonts w:hint="default" w:ascii="Times New Roman" w:hAnsi="Times New Roman" w:eastAsia="宋体" w:cs="Times New Roman"/>
          <w:color w:val="auto"/>
          <w:kern w:val="0"/>
          <w:sz w:val="24"/>
          <w:highlight w:val="none"/>
        </w:rPr>
        <w:t>"。地理位置见图</w:t>
      </w:r>
      <w:r>
        <w:rPr>
          <w:rFonts w:hint="default" w:ascii="Times New Roman" w:hAnsi="Times New Roman" w:eastAsia="宋体" w:cs="Times New Roman"/>
          <w:color w:val="auto"/>
          <w:kern w:val="0"/>
          <w:sz w:val="24"/>
          <w:highlight w:val="none"/>
          <w:lang w:val="en-US" w:eastAsia="zh-CN"/>
        </w:rPr>
        <w:t>2-</w:t>
      </w:r>
      <w:r>
        <w:rPr>
          <w:rFonts w:hint="default" w:ascii="Times New Roman" w:hAnsi="Times New Roman" w:eastAsia="宋体" w:cs="Times New Roman"/>
          <w:color w:val="auto"/>
          <w:kern w:val="0"/>
          <w:sz w:val="24"/>
          <w:highlight w:val="none"/>
        </w:rPr>
        <w:t>1</w:t>
      </w:r>
      <w:r>
        <w:rPr>
          <w:rFonts w:hint="default" w:ascii="Times New Roman" w:hAnsi="Times New Roman" w:eastAsia="宋体" w:cs="Times New Roman"/>
          <w:color w:val="auto"/>
          <w:sz w:val="24"/>
          <w:highlight w:val="none"/>
        </w:rPr>
        <w:t>。</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kern w:val="0"/>
          <w:sz w:val="24"/>
          <w:highlight w:val="none"/>
          <w:lang w:eastAsia="zh-CN"/>
        </w:rPr>
        <w:t>占地情况：</w:t>
      </w:r>
      <w:r>
        <w:rPr>
          <w:rFonts w:hint="default" w:ascii="Times New Roman" w:hAnsi="Times New Roman" w:eastAsia="宋体" w:cs="Times New Roman"/>
          <w:color w:val="auto"/>
          <w:sz w:val="24"/>
          <w:highlight w:val="none"/>
        </w:rPr>
        <w:t>本项目在西沙德盖钼业公司现有尾矿库基础上进行加高扩容，尾矿库属于山谷型尾矿库，扩建后，尾矿库总占地面积591800m</w:t>
      </w:r>
      <w:r>
        <w:rPr>
          <w:rFonts w:hint="default" w:ascii="Times New Roman" w:hAnsi="Times New Roman" w:eastAsia="宋体" w:cs="Times New Roman"/>
          <w:color w:val="auto"/>
          <w:sz w:val="24"/>
          <w:highlight w:val="none"/>
          <w:vertAlign w:val="superscript"/>
        </w:rPr>
        <w:t>2</w:t>
      </w:r>
      <w:r>
        <w:rPr>
          <w:rFonts w:hint="default" w:ascii="Times New Roman" w:hAnsi="Times New Roman" w:eastAsia="宋体" w:cs="Times New Roman"/>
          <w:color w:val="auto"/>
          <w:sz w:val="24"/>
          <w:highlight w:val="none"/>
        </w:rPr>
        <w:t>（新增占地面积213144.71m</w:t>
      </w:r>
      <w:r>
        <w:rPr>
          <w:rFonts w:hint="default" w:ascii="Times New Roman" w:hAnsi="Times New Roman" w:eastAsia="宋体" w:cs="Times New Roman"/>
          <w:color w:val="auto"/>
          <w:sz w:val="24"/>
          <w:highlight w:val="none"/>
          <w:vertAlign w:val="superscript"/>
        </w:rPr>
        <w:t>2</w:t>
      </w:r>
      <w:r>
        <w:rPr>
          <w:rFonts w:hint="default" w:ascii="Times New Roman" w:hAnsi="Times New Roman" w:eastAsia="宋体" w:cs="Times New Roman"/>
          <w:color w:val="auto"/>
          <w:sz w:val="24"/>
          <w:highlight w:val="none"/>
        </w:rPr>
        <w:t>），新增用地的土地类型主要为</w:t>
      </w:r>
      <w:r>
        <w:rPr>
          <w:rFonts w:hint="default" w:ascii="Times New Roman" w:hAnsi="Times New Roman" w:eastAsia="宋体" w:cs="Times New Roman"/>
          <w:color w:val="auto"/>
          <w:sz w:val="24"/>
          <w:szCs w:val="24"/>
          <w:highlight w:val="none"/>
          <w:lang w:val="en-US" w:eastAsia="zh-CN"/>
        </w:rPr>
        <w:t>其他草原</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不涉及基本草地，目前正在办理征占草地手续；项目用地不在风景名胜区、自然保护区、国防设施等保护区范围内。</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劳动定员及工作制度</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不新增劳动定员</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330天</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年</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3班</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天</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8小时</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班</w:t>
      </w:r>
      <w:r>
        <w:rPr>
          <w:rFonts w:hint="default" w:ascii="Times New Roman" w:hAnsi="Times New Roman" w:eastAsia="宋体" w:cs="Times New Roman"/>
          <w:color w:val="auto"/>
          <w:sz w:val="24"/>
          <w:highlight w:val="none"/>
          <w:lang w:eastAsia="zh-CN"/>
        </w:rPr>
        <w:t>。</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p>
    <w:p>
      <w:pPr>
        <w:pageBreakBefore w:val="0"/>
        <w:wordWrap/>
        <w:bidi w:val="0"/>
        <w:spacing w:line="360" w:lineRule="auto"/>
        <w:ind w:left="0" w:leftChars="0" w:right="0" w:rightChars="0"/>
        <w:rPr>
          <w:rFonts w:hint="default" w:ascii="Times New Roman" w:hAnsi="Times New Roman" w:eastAsia="宋体" w:cs="Times New Roman"/>
          <w:color w:val="auto"/>
          <w:sz w:val="24"/>
          <w:highlight w:val="none"/>
          <w:lang w:eastAsia="zh-CN"/>
        </w:rPr>
      </w:pP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lang w:eastAsia="zh-CN"/>
        </w:rPr>
      </w:pP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lang w:eastAsia="zh-CN"/>
        </w:rPr>
        <w:sectPr>
          <w:pgSz w:w="11906" w:h="16838"/>
          <w:pgMar w:top="1440" w:right="1800" w:bottom="1440" w:left="1800" w:header="851" w:footer="1134" w:gutter="0"/>
          <w:pgNumType w:fmt="decimal"/>
          <w:cols w:space="720" w:num="1"/>
          <w:docGrid w:linePitch="312" w:charSpace="0"/>
        </w:sectPr>
      </w:pPr>
    </w:p>
    <w:p>
      <w:pPr>
        <w:pageBreakBefore w:val="0"/>
        <w:wordWrap/>
        <w:bidi w:val="0"/>
        <w:spacing w:line="360" w:lineRule="auto"/>
        <w:ind w:left="0" w:leftChars="0" w:right="0" w:rightChars="0"/>
        <w:jc w:val="center"/>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681792" behindDoc="0" locked="0" layoutInCell="1" allowOverlap="1">
                <wp:simplePos x="0" y="0"/>
                <wp:positionH relativeFrom="column">
                  <wp:posOffset>6248400</wp:posOffset>
                </wp:positionH>
                <wp:positionV relativeFrom="paragraph">
                  <wp:posOffset>2811145</wp:posOffset>
                </wp:positionV>
                <wp:extent cx="75565" cy="75565"/>
                <wp:effectExtent l="9525" t="9525" r="10160" b="10160"/>
                <wp:wrapNone/>
                <wp:docPr id="93" name="矩形 354"/>
                <wp:cNvGraphicFramePr/>
                <a:graphic xmlns:a="http://schemas.openxmlformats.org/drawingml/2006/main">
                  <a:graphicData uri="http://schemas.microsoft.com/office/word/2010/wordprocessingShape">
                    <wps:wsp>
                      <wps:cNvSpPr/>
                      <wps:spPr>
                        <a:xfrm>
                          <a:off x="0" y="0"/>
                          <a:ext cx="75565" cy="75565"/>
                        </a:xfrm>
                        <a:prstGeom prst="rect">
                          <a:avLst/>
                        </a:prstGeom>
                        <a:solidFill>
                          <a:srgbClr val="000000"/>
                        </a:solidFill>
                        <a:ln w="19050" cap="flat" cmpd="sng">
                          <a:solidFill>
                            <a:srgbClr val="FF0000"/>
                          </a:solidFill>
                          <a:prstDash val="solid"/>
                          <a:miter/>
                          <a:headEnd type="none" w="med" len="med"/>
                          <a:tailEnd type="none" w="med" len="med"/>
                        </a:ln>
                      </wps:spPr>
                      <wps:txbx>
                        <w:txbxContent>
                          <w:p/>
                        </w:txbxContent>
                      </wps:txbx>
                      <wps:bodyPr upright="1"/>
                    </wps:wsp>
                  </a:graphicData>
                </a:graphic>
              </wp:anchor>
            </w:drawing>
          </mc:Choice>
          <mc:Fallback>
            <w:pict>
              <v:rect id="矩形 354" o:spid="_x0000_s1026" o:spt="1" style="position:absolute;left:0pt;margin-left:492pt;margin-top:221.35pt;height:5.95pt;width:5.95pt;z-index:251681792;mso-width-relative:page;mso-height-relative:page;" fillcolor="#000000" filled="t" stroked="t" coordsize="21600,21600" o:gfxdata="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&#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HlQsovbAAAACwEAAA8AAAAAAAAAAQAgAAAAIgAAAGRy&#10;cy9kb3ducmV2LnhtbFBLAQIUABQAAAAIAIdO4kAhtxtLAgIAACoEAAAOAAAAAAAAAAEAIAAAACoB&#10;AABkcnMvZTJvRG9jLnhtbFBLBQYAAAAABgAGAFkBAACeBQAAAAA=&#10;">
                <v:fill on="t" focussize="0,0"/>
                <v:stroke weight="1.5pt" color="#FF0000" joinstyle="miter"/>
                <v:imagedata o:title=""/>
                <o:lock v:ext="edit" aspectratio="f"/>
                <v:textbox>
                  <w:txbxContent>
                    <w:p/>
                  </w:txbxContent>
                </v:textbox>
              </v:rect>
            </w:pict>
          </mc:Fallback>
        </mc:AlternateContent>
      </w:r>
      <w:r>
        <w:rPr>
          <w:rFonts w:hint="default" w:ascii="Times New Roman" w:hAnsi="Times New Roman" w:eastAsia="宋体" w:cs="Times New Roman"/>
          <w:color w:val="auto"/>
          <w:highlight w:val="none"/>
        </w:rPr>
        <mc:AlternateContent>
          <mc:Choice Requires="wps">
            <w:drawing>
              <wp:anchor distT="0" distB="0" distL="114300" distR="114300" simplePos="0" relativeHeight="251680768" behindDoc="0" locked="0" layoutInCell="1" allowOverlap="1">
                <wp:simplePos x="0" y="0"/>
                <wp:positionH relativeFrom="column">
                  <wp:posOffset>5754370</wp:posOffset>
                </wp:positionH>
                <wp:positionV relativeFrom="paragraph">
                  <wp:posOffset>2329815</wp:posOffset>
                </wp:positionV>
                <wp:extent cx="842645" cy="301625"/>
                <wp:effectExtent l="4445" t="5080" r="10160" b="207645"/>
                <wp:wrapNone/>
                <wp:docPr id="92" name="自选图形 353"/>
                <wp:cNvGraphicFramePr/>
                <a:graphic xmlns:a="http://schemas.openxmlformats.org/drawingml/2006/main">
                  <a:graphicData uri="http://schemas.microsoft.com/office/word/2010/wordprocessingShape">
                    <wps:wsp>
                      <wps:cNvSpPr/>
                      <wps:spPr>
                        <a:xfrm>
                          <a:off x="0" y="0"/>
                          <a:ext cx="842645" cy="301625"/>
                        </a:xfrm>
                        <a:prstGeom prst="wedgeRectCallout">
                          <a:avLst>
                            <a:gd name="adj1" fmla="val 14129"/>
                            <a:gd name="adj2" fmla="val 114000"/>
                          </a:avLst>
                        </a:prstGeom>
                        <a:noFill/>
                        <a:ln w="9525" cap="flat" cmpd="sng">
                          <a:solidFill>
                            <a:srgbClr val="000000"/>
                          </a:solidFill>
                          <a:prstDash val="solid"/>
                          <a:miter/>
                          <a:headEnd type="none" w="med" len="med"/>
                          <a:tailEnd type="none" w="med" len="med"/>
                        </a:ln>
                      </wps:spPr>
                      <wps:txbx>
                        <w:txbxContent>
                          <w:p>
                            <w:pPr>
                              <w:spacing w:line="240" w:lineRule="auto"/>
                              <w:ind w:firstLine="0" w:firstLineChars="0"/>
                              <w:jc w:val="center"/>
                            </w:pPr>
                            <w:r>
                              <w:rPr>
                                <w:rFonts w:hint="eastAsia"/>
                              </w:rPr>
                              <w:t>本项目</w:t>
                            </w:r>
                          </w:p>
                        </w:txbxContent>
                      </wps:txbx>
                      <wps:bodyPr upright="1"/>
                    </wps:wsp>
                  </a:graphicData>
                </a:graphic>
              </wp:anchor>
            </w:drawing>
          </mc:Choice>
          <mc:Fallback>
            <w:pict>
              <v:shape id="自选图形 353" o:spid="_x0000_s1026" o:spt="61" type="#_x0000_t61" style="position:absolute;left:0pt;margin-left:453.1pt;margin-top:183.45pt;height:23.75pt;width:66.35pt;z-index:251680768;mso-width-relative:page;mso-height-relative:page;" filled="f" stroked="t" coordsize="21600,21600" o:gfxdata="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NdEnPjaAAAADAEAAA8AAAAAAAAAAQAgAAAAIgAAAGRycy9kb3du&#10;cmV2LnhtbFBLAQIUABQAAAAIAIdO4kC9EjgYNgIAAGYEAAAOAAAAAAAAAAEAIAAAACkBAABkcnMv&#10;ZTJvRG9jLnhtbFBLBQYAAAAABgAGAFkBAADRBQAAAAA=&#10;" adj="13852,35424">
                <v:fill on="f" focussize="0,0"/>
                <v:stroke color="#000000" joinstyle="miter"/>
                <v:imagedata o:title=""/>
                <o:lock v:ext="edit" aspectratio="f"/>
                <v:textbox>
                  <w:txbxContent>
                    <w:p>
                      <w:pPr>
                        <w:spacing w:line="240" w:lineRule="auto"/>
                        <w:ind w:firstLine="0" w:firstLineChars="0"/>
                        <w:jc w:val="center"/>
                      </w:pPr>
                      <w:r>
                        <w:rPr>
                          <w:rFonts w:hint="eastAsia"/>
                        </w:rPr>
                        <w:t>本项目</w:t>
                      </w:r>
                    </w:p>
                  </w:txbxContent>
                </v:textbox>
              </v:shape>
            </w:pict>
          </mc:Fallback>
        </mc:AlternateContent>
      </w:r>
      <w:r>
        <w:rPr>
          <w:rFonts w:hint="default" w:ascii="Times New Roman" w:hAnsi="Times New Roman" w:eastAsia="宋体" w:cs="Times New Roman"/>
          <w:b/>
          <w:bCs/>
          <w:color w:val="auto"/>
          <w:highlight w:val="none"/>
          <w:lang w:eastAsia="zh-CN"/>
        </w:rPr>
        <w:drawing>
          <wp:inline distT="0" distB="0" distL="114300" distR="114300">
            <wp:extent cx="7856855" cy="5003800"/>
            <wp:effectExtent l="0" t="0" r="10795" b="6350"/>
            <wp:docPr id="80" name="图片 80" descr="300-301乌拉特前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300-301乌拉特前旗"/>
                    <pic:cNvPicPr>
                      <a:picLocks noChangeAspect="1"/>
                    </pic:cNvPicPr>
                  </pic:nvPicPr>
                  <pic:blipFill>
                    <a:blip r:embed="rId29"/>
                    <a:srcRect l="3353" t="14313" r="18172" b="15054"/>
                    <a:stretch>
                      <a:fillRect/>
                    </a:stretch>
                  </pic:blipFill>
                  <pic:spPr>
                    <a:xfrm>
                      <a:off x="0" y="0"/>
                      <a:ext cx="7856855" cy="5003800"/>
                    </a:xfrm>
                    <a:prstGeom prst="rect">
                      <a:avLst/>
                    </a:prstGeom>
                  </pic:spPr>
                </pic:pic>
              </a:graphicData>
            </a:graphic>
          </wp:inline>
        </w:drawing>
      </w:r>
    </w:p>
    <w:p>
      <w:pPr>
        <w:pageBreakBefore w:val="0"/>
        <w:wordWrap/>
        <w:bidi w:val="0"/>
        <w:spacing w:line="360" w:lineRule="auto"/>
        <w:ind w:left="0" w:leftChars="0" w:right="0" w:rightChars="0"/>
        <w:jc w:val="center"/>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b/>
          <w:bCs/>
          <w:color w:val="auto"/>
          <w:highlight w:val="none"/>
        </w:rPr>
        <w:t>图</w:t>
      </w:r>
      <w:r>
        <w:rPr>
          <w:rFonts w:hint="default" w:ascii="Times New Roman" w:hAnsi="Times New Roman" w:eastAsia="宋体" w:cs="Times New Roman"/>
          <w:b/>
          <w:bCs/>
          <w:color w:val="auto"/>
          <w:highlight w:val="none"/>
          <w:lang w:val="en-US" w:eastAsia="zh-CN"/>
        </w:rPr>
        <w:t>2-</w:t>
      </w:r>
      <w:r>
        <w:rPr>
          <w:rFonts w:hint="default" w:ascii="Times New Roman" w:hAnsi="Times New Roman" w:eastAsia="宋体" w:cs="Times New Roman"/>
          <w:b/>
          <w:bCs/>
          <w:color w:val="auto"/>
          <w:highlight w:val="none"/>
        </w:rPr>
        <w:t>1项目地理位置图</w:t>
      </w:r>
    </w:p>
    <w:p>
      <w:pPr>
        <w:pageBreakBefore w:val="0"/>
        <w:wordWrap/>
        <w:bidi w:val="0"/>
        <w:spacing w:line="360" w:lineRule="auto"/>
        <w:ind w:left="0" w:leftChars="0" w:right="0" w:rightChars="0"/>
        <w:jc w:val="center"/>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32"/>
          <w:highlight w:val="none"/>
        </w:rPr>
        <mc:AlternateContent>
          <mc:Choice Requires="wps">
            <w:drawing>
              <wp:anchor distT="0" distB="0" distL="114300" distR="114300" simplePos="0" relativeHeight="251691008" behindDoc="0" locked="0" layoutInCell="1" allowOverlap="1">
                <wp:simplePos x="0" y="0"/>
                <wp:positionH relativeFrom="column">
                  <wp:posOffset>4097020</wp:posOffset>
                </wp:positionH>
                <wp:positionV relativeFrom="paragraph">
                  <wp:posOffset>2586990</wp:posOffset>
                </wp:positionV>
                <wp:extent cx="1060450" cy="325755"/>
                <wp:effectExtent l="0" t="0" r="0" b="0"/>
                <wp:wrapNone/>
                <wp:docPr id="40" name="矩形 40"/>
                <wp:cNvGraphicFramePr/>
                <a:graphic xmlns:a="http://schemas.openxmlformats.org/drawingml/2006/main">
                  <a:graphicData uri="http://schemas.microsoft.com/office/word/2010/wordprocessingShape">
                    <wps:wsp>
                      <wps:cNvSpPr/>
                      <wps:spPr>
                        <a:xfrm>
                          <a:off x="0" y="0"/>
                          <a:ext cx="1060450" cy="32575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keepNext w:val="0"/>
                              <w:keepLines w:val="0"/>
                              <w:pageBreakBefore w:val="0"/>
                              <w:widowControl w:val="0"/>
                              <w:kinsoku/>
                              <w:wordWrap/>
                              <w:overflowPunct/>
                              <w:topLinePunct/>
                              <w:autoSpaceDE w:val="0"/>
                              <w:autoSpaceDN/>
                              <w:bidi w:val="0"/>
                              <w:adjustRightInd/>
                              <w:snapToGrid/>
                              <w:spacing w:line="240" w:lineRule="auto"/>
                              <w:ind w:firstLine="0" w:firstLineChars="0"/>
                              <w:jc w:val="center"/>
                              <w:textAlignment w:val="auto"/>
                              <w:rPr>
                                <w:b/>
                                <w:bCs/>
                                <w:color w:val="FFFF00"/>
                                <w:sz w:val="24"/>
                                <w:szCs w:val="24"/>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cs="Times New Roman"/>
                                <w:b/>
                                <w:bCs/>
                                <w:color w:val="FFFF00"/>
                                <w:sz w:val="24"/>
                                <w:szCs w:val="24"/>
                                <w:highlight w:val="none"/>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排土场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22.6pt;margin-top:203.7pt;height:25.65pt;width:83.5pt;z-index:251691008;v-text-anchor:middle;mso-width-relative:page;mso-height-relative:page;" filled="f" stroked="f" coordsize="21600,21600" o:gfxdata="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BSbfai2QAAAAsBAAAPAAAAAAAAAAEAIAAAACIAAABkcnMvZG93bnJldi54bWxQSwECFAAUAAAA&#10;CACHTuJApKsDpF8CAACvBAAADgAAAAAAAAABACAAAAAoAQAAZHJzL2Uyb0RvYy54bWxQSwUGAAAA&#10;AAYABgBZAQAA+QUAAAAA&#10;">
                <v:fill on="f" focussize="0,0"/>
                <v:stroke on="f" weight="1pt" miterlimit="8" joinstyle="miter"/>
                <v:imagedata o:title=""/>
                <o:lock v:ext="edit" aspectratio="f"/>
                <v:textbox>
                  <w:txbxContent>
                    <w:p>
                      <w:pPr>
                        <w:keepNext w:val="0"/>
                        <w:keepLines w:val="0"/>
                        <w:pageBreakBefore w:val="0"/>
                        <w:widowControl w:val="0"/>
                        <w:kinsoku/>
                        <w:wordWrap/>
                        <w:overflowPunct/>
                        <w:topLinePunct/>
                        <w:autoSpaceDE w:val="0"/>
                        <w:autoSpaceDN/>
                        <w:bidi w:val="0"/>
                        <w:adjustRightInd/>
                        <w:snapToGrid/>
                        <w:spacing w:line="240" w:lineRule="auto"/>
                        <w:ind w:firstLine="0" w:firstLineChars="0"/>
                        <w:jc w:val="center"/>
                        <w:textAlignment w:val="auto"/>
                        <w:rPr>
                          <w:b/>
                          <w:bCs/>
                          <w:color w:val="FFFF00"/>
                          <w:sz w:val="24"/>
                          <w:szCs w:val="24"/>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cs="Times New Roman"/>
                          <w:b/>
                          <w:bCs/>
                          <w:color w:val="FFFF00"/>
                          <w:sz w:val="24"/>
                          <w:szCs w:val="24"/>
                          <w:highlight w:val="none"/>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排土场</w:t>
                      </w:r>
                    </w:p>
                  </w:txbxContent>
                </v:textbox>
              </v:rect>
            </w:pict>
          </mc:Fallback>
        </mc:AlternateContent>
      </w:r>
      <w:r>
        <w:rPr>
          <w:rFonts w:hint="default" w:ascii="Times New Roman" w:hAnsi="Times New Roman" w:eastAsia="宋体" w:cs="Times New Roman"/>
          <w:color w:val="auto"/>
          <w:sz w:val="32"/>
          <w:highlight w:val="none"/>
        </w:rPr>
        <mc:AlternateContent>
          <mc:Choice Requires="wps">
            <w:drawing>
              <wp:anchor distT="0" distB="0" distL="114300" distR="114300" simplePos="0" relativeHeight="251732992" behindDoc="0" locked="0" layoutInCell="1" allowOverlap="1">
                <wp:simplePos x="0" y="0"/>
                <wp:positionH relativeFrom="column">
                  <wp:posOffset>2735580</wp:posOffset>
                </wp:positionH>
                <wp:positionV relativeFrom="paragraph">
                  <wp:posOffset>2440305</wp:posOffset>
                </wp:positionV>
                <wp:extent cx="1625600" cy="325755"/>
                <wp:effectExtent l="0" t="0" r="0" b="0"/>
                <wp:wrapNone/>
                <wp:docPr id="114" name="矩形 114"/>
                <wp:cNvGraphicFramePr/>
                <a:graphic xmlns:a="http://schemas.openxmlformats.org/drawingml/2006/main">
                  <a:graphicData uri="http://schemas.microsoft.com/office/word/2010/wordprocessingShape">
                    <wps:wsp>
                      <wps:cNvSpPr/>
                      <wps:spPr>
                        <a:xfrm>
                          <a:off x="0" y="0"/>
                          <a:ext cx="1625600" cy="32575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keepNext w:val="0"/>
                              <w:keepLines w:val="0"/>
                              <w:pageBreakBefore w:val="0"/>
                              <w:widowControl w:val="0"/>
                              <w:kinsoku/>
                              <w:wordWrap/>
                              <w:overflowPunct/>
                              <w:topLinePunct/>
                              <w:autoSpaceDE w:val="0"/>
                              <w:autoSpaceDN/>
                              <w:bidi w:val="0"/>
                              <w:adjustRightInd/>
                              <w:snapToGrid/>
                              <w:spacing w:line="240" w:lineRule="auto"/>
                              <w:ind w:firstLine="0" w:firstLineChars="0"/>
                              <w:jc w:val="center"/>
                              <w:textAlignment w:val="auto"/>
                              <w:rPr>
                                <w:rFonts w:hint="default"/>
                                <w:b/>
                                <w:bCs/>
                                <w:color w:val="FFFF00"/>
                                <w:sz w:val="24"/>
                                <w:szCs w:val="24"/>
                                <w:lang w:val="en-US"/>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cs="Times New Roman"/>
                                <w:b/>
                                <w:bCs/>
                                <w:color w:val="FFFF00"/>
                                <w:sz w:val="24"/>
                                <w:szCs w:val="24"/>
                                <w:highlight w:val="none"/>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尾矿库新增占地区域</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5.4pt;margin-top:192.15pt;height:25.65pt;width:128pt;z-index:251732992;v-text-anchor:middle;mso-width-relative:page;mso-height-relative:page;" filled="f" stroked="f" coordsize="21600,21600" o:gfxdata="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noOSdtgAAAALAQAADwAAAAAAAAABACAAAAAiAAAAZHJzL2Rvd25yZXYueG1sUEsBAhQAFAAA&#10;AAgAh07iQHMaNXthAgAAsQQAAA4AAAAAAAAAAQAgAAAAJwEAAGRycy9lMm9Eb2MueG1sUEsFBgAA&#10;AAAGAAYAWQEAAPoFAAAAAA==&#10;">
                <v:fill on="f" focussize="0,0"/>
                <v:stroke on="f" weight="1pt" miterlimit="8" joinstyle="miter"/>
                <v:imagedata o:title=""/>
                <o:lock v:ext="edit" aspectratio="f"/>
                <v:textbox>
                  <w:txbxContent>
                    <w:p>
                      <w:pPr>
                        <w:keepNext w:val="0"/>
                        <w:keepLines w:val="0"/>
                        <w:pageBreakBefore w:val="0"/>
                        <w:widowControl w:val="0"/>
                        <w:kinsoku/>
                        <w:wordWrap/>
                        <w:overflowPunct/>
                        <w:topLinePunct/>
                        <w:autoSpaceDE w:val="0"/>
                        <w:autoSpaceDN/>
                        <w:bidi w:val="0"/>
                        <w:adjustRightInd/>
                        <w:snapToGrid/>
                        <w:spacing w:line="240" w:lineRule="auto"/>
                        <w:ind w:firstLine="0" w:firstLineChars="0"/>
                        <w:jc w:val="center"/>
                        <w:textAlignment w:val="auto"/>
                        <w:rPr>
                          <w:rFonts w:hint="default"/>
                          <w:b/>
                          <w:bCs/>
                          <w:color w:val="FFFF00"/>
                          <w:sz w:val="24"/>
                          <w:szCs w:val="24"/>
                          <w:lang w:val="en-US"/>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cs="Times New Roman"/>
                          <w:b/>
                          <w:bCs/>
                          <w:color w:val="FFFF00"/>
                          <w:sz w:val="24"/>
                          <w:szCs w:val="24"/>
                          <w:highlight w:val="none"/>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尾矿库新增占地区域</w:t>
                      </w:r>
                    </w:p>
                  </w:txbxContent>
                </v:textbox>
              </v:rect>
            </w:pict>
          </mc:Fallback>
        </mc:AlternateContent>
      </w:r>
      <w:r>
        <w:rPr>
          <w:rFonts w:hint="default" w:ascii="Times New Roman" w:hAnsi="Times New Roman" w:eastAsia="宋体" w:cs="Times New Roman"/>
          <w:color w:val="auto"/>
          <w:sz w:val="32"/>
          <w:highlight w:val="none"/>
        </w:rPr>
        <mc:AlternateContent>
          <mc:Choice Requires="wps">
            <w:drawing>
              <wp:anchor distT="0" distB="0" distL="114300" distR="114300" simplePos="0" relativeHeight="251682816" behindDoc="0" locked="0" layoutInCell="1" allowOverlap="1">
                <wp:simplePos x="0" y="0"/>
                <wp:positionH relativeFrom="column">
                  <wp:posOffset>4111625</wp:posOffset>
                </wp:positionH>
                <wp:positionV relativeFrom="paragraph">
                  <wp:posOffset>1523365</wp:posOffset>
                </wp:positionV>
                <wp:extent cx="1060450" cy="325755"/>
                <wp:effectExtent l="0" t="0" r="0" b="0"/>
                <wp:wrapNone/>
                <wp:docPr id="96" name="矩形 96"/>
                <wp:cNvGraphicFramePr/>
                <a:graphic xmlns:a="http://schemas.openxmlformats.org/drawingml/2006/main">
                  <a:graphicData uri="http://schemas.microsoft.com/office/word/2010/wordprocessingShape">
                    <wps:wsp>
                      <wps:cNvSpPr/>
                      <wps:spPr>
                        <a:xfrm>
                          <a:off x="0" y="0"/>
                          <a:ext cx="1060450" cy="32575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keepNext w:val="0"/>
                              <w:keepLines w:val="0"/>
                              <w:pageBreakBefore w:val="0"/>
                              <w:widowControl w:val="0"/>
                              <w:kinsoku/>
                              <w:wordWrap/>
                              <w:overflowPunct/>
                              <w:topLinePunct/>
                              <w:autoSpaceDE w:val="0"/>
                              <w:autoSpaceDN/>
                              <w:bidi w:val="0"/>
                              <w:adjustRightInd/>
                              <w:snapToGrid/>
                              <w:spacing w:line="240" w:lineRule="auto"/>
                              <w:ind w:firstLine="0" w:firstLineChars="0"/>
                              <w:jc w:val="center"/>
                              <w:textAlignment w:val="auto"/>
                              <w:rPr>
                                <w:b/>
                                <w:bCs/>
                                <w:color w:val="FFFF00"/>
                                <w:sz w:val="24"/>
                                <w:szCs w:val="24"/>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cs="Times New Roman"/>
                                <w:b/>
                                <w:bCs/>
                                <w:color w:val="FFFF00"/>
                                <w:sz w:val="24"/>
                                <w:szCs w:val="24"/>
                                <w:highlight w:val="none"/>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现有尾矿库</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23.75pt;margin-top:119.95pt;height:25.65pt;width:83.5pt;z-index:251682816;v-text-anchor:middle;mso-width-relative:page;mso-height-relative:page;" filled="f" stroked="f" coordsize="21600,21600" o:gfxdata="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hMD7WtkAAAALAQAADwAAAAAAAAABACAAAAAiAAAAZHJzL2Rvd25yZXYueG1sUEsBAhQAFAAA&#10;AAgAh07iQOw/5tdgAgAArwQAAA4AAAAAAAAAAQAgAAAAKAEAAGRycy9lMm9Eb2MueG1sUEsFBgAA&#10;AAAGAAYAWQEAAPoFAAAAAA==&#10;">
                <v:fill on="f" focussize="0,0"/>
                <v:stroke on="f" weight="1pt" miterlimit="8" joinstyle="miter"/>
                <v:imagedata o:title=""/>
                <o:lock v:ext="edit" aspectratio="f"/>
                <v:textbox>
                  <w:txbxContent>
                    <w:p>
                      <w:pPr>
                        <w:keepNext w:val="0"/>
                        <w:keepLines w:val="0"/>
                        <w:pageBreakBefore w:val="0"/>
                        <w:widowControl w:val="0"/>
                        <w:kinsoku/>
                        <w:wordWrap/>
                        <w:overflowPunct/>
                        <w:topLinePunct/>
                        <w:autoSpaceDE w:val="0"/>
                        <w:autoSpaceDN/>
                        <w:bidi w:val="0"/>
                        <w:adjustRightInd/>
                        <w:snapToGrid/>
                        <w:spacing w:line="240" w:lineRule="auto"/>
                        <w:ind w:firstLine="0" w:firstLineChars="0"/>
                        <w:jc w:val="center"/>
                        <w:textAlignment w:val="auto"/>
                        <w:rPr>
                          <w:b/>
                          <w:bCs/>
                          <w:color w:val="FFFF00"/>
                          <w:sz w:val="24"/>
                          <w:szCs w:val="24"/>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cs="Times New Roman"/>
                          <w:b/>
                          <w:bCs/>
                          <w:color w:val="FFFF00"/>
                          <w:sz w:val="24"/>
                          <w:szCs w:val="24"/>
                          <w:highlight w:val="none"/>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现有尾矿库</w:t>
                      </w:r>
                    </w:p>
                  </w:txbxContent>
                </v:textbox>
              </v:rect>
            </w:pict>
          </mc:Fallback>
        </mc:AlternateContent>
      </w:r>
      <w:r>
        <w:rPr>
          <w:rFonts w:hint="default" w:ascii="Times New Roman" w:hAnsi="Times New Roman" w:eastAsia="宋体" w:cs="Times New Roman"/>
          <w:color w:val="auto"/>
          <w:sz w:val="32"/>
          <w:highlight w:val="none"/>
        </w:rPr>
        <mc:AlternateContent>
          <mc:Choice Requires="wps">
            <w:drawing>
              <wp:anchor distT="0" distB="0" distL="114300" distR="114300" simplePos="0" relativeHeight="251683840" behindDoc="0" locked="0" layoutInCell="1" allowOverlap="1">
                <wp:simplePos x="0" y="0"/>
                <wp:positionH relativeFrom="column">
                  <wp:posOffset>4885690</wp:posOffset>
                </wp:positionH>
                <wp:positionV relativeFrom="paragraph">
                  <wp:posOffset>3543300</wp:posOffset>
                </wp:positionV>
                <wp:extent cx="1060450" cy="325755"/>
                <wp:effectExtent l="0" t="0" r="0" b="0"/>
                <wp:wrapNone/>
                <wp:docPr id="48" name="矩形 48"/>
                <wp:cNvGraphicFramePr/>
                <a:graphic xmlns:a="http://schemas.openxmlformats.org/drawingml/2006/main">
                  <a:graphicData uri="http://schemas.microsoft.com/office/word/2010/wordprocessingShape">
                    <wps:wsp>
                      <wps:cNvSpPr/>
                      <wps:spPr>
                        <a:xfrm>
                          <a:off x="0" y="0"/>
                          <a:ext cx="1060450" cy="32575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keepNext w:val="0"/>
                              <w:keepLines w:val="0"/>
                              <w:pageBreakBefore w:val="0"/>
                              <w:widowControl w:val="0"/>
                              <w:kinsoku/>
                              <w:wordWrap/>
                              <w:overflowPunct/>
                              <w:topLinePunct/>
                              <w:autoSpaceDE w:val="0"/>
                              <w:autoSpaceDN/>
                              <w:bidi w:val="0"/>
                              <w:adjustRightInd/>
                              <w:snapToGrid/>
                              <w:spacing w:line="240" w:lineRule="auto"/>
                              <w:ind w:firstLine="0" w:firstLineChars="0"/>
                              <w:jc w:val="center"/>
                              <w:textAlignment w:val="auto"/>
                              <w:rPr>
                                <w:b/>
                                <w:bCs/>
                                <w:color w:val="FFFF00"/>
                                <w:sz w:val="24"/>
                                <w:szCs w:val="24"/>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cs="Times New Roman"/>
                                <w:b/>
                                <w:bCs/>
                                <w:color w:val="FFFF00"/>
                                <w:sz w:val="24"/>
                                <w:szCs w:val="24"/>
                                <w:highlight w:val="none"/>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钼矿</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84.7pt;margin-top:279pt;height:25.65pt;width:83.5pt;z-index:251683840;v-text-anchor:middle;mso-width-relative:page;mso-height-relative:page;" filled="f" stroked="f" coordsize="21600,21600" o:gfxdata="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GLMytkAAAALAQAADwAAAAAAAAABACAAAAAiAAAAZHJzL2Rvd25yZXYueG1sUEsBAhQAFAAA&#10;AAgAh07iQLRvYiFgAgAArwQAAA4AAAAAAAAAAQAgAAAAKAEAAGRycy9lMm9Eb2MueG1sUEsFBgAA&#10;AAAGAAYAWQEAAPoFAAAAAA==&#10;">
                <v:fill on="f" focussize="0,0"/>
                <v:stroke on="f" weight="1pt" miterlimit="8" joinstyle="miter"/>
                <v:imagedata o:title=""/>
                <o:lock v:ext="edit" aspectratio="f"/>
                <v:textbox>
                  <w:txbxContent>
                    <w:p>
                      <w:pPr>
                        <w:keepNext w:val="0"/>
                        <w:keepLines w:val="0"/>
                        <w:pageBreakBefore w:val="0"/>
                        <w:widowControl w:val="0"/>
                        <w:kinsoku/>
                        <w:wordWrap/>
                        <w:overflowPunct/>
                        <w:topLinePunct/>
                        <w:autoSpaceDE w:val="0"/>
                        <w:autoSpaceDN/>
                        <w:bidi w:val="0"/>
                        <w:adjustRightInd/>
                        <w:snapToGrid/>
                        <w:spacing w:line="240" w:lineRule="auto"/>
                        <w:ind w:firstLine="0" w:firstLineChars="0"/>
                        <w:jc w:val="center"/>
                        <w:textAlignment w:val="auto"/>
                        <w:rPr>
                          <w:b/>
                          <w:bCs/>
                          <w:color w:val="FFFF00"/>
                          <w:sz w:val="24"/>
                          <w:szCs w:val="24"/>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cs="Times New Roman"/>
                          <w:b/>
                          <w:bCs/>
                          <w:color w:val="FFFF00"/>
                          <w:sz w:val="24"/>
                          <w:szCs w:val="24"/>
                          <w:highlight w:val="none"/>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钼矿</w:t>
                      </w:r>
                    </w:p>
                  </w:txbxContent>
                </v:textbox>
              </v:rect>
            </w:pict>
          </mc:Fallback>
        </mc:AlternateContent>
      </w:r>
      <w:r>
        <w:rPr>
          <w:rFonts w:hint="default" w:ascii="Times New Roman" w:hAnsi="Times New Roman" w:eastAsia="宋体" w:cs="Times New Roman"/>
          <w:color w:val="auto"/>
          <w:sz w:val="32"/>
          <w:highlight w:val="none"/>
        </w:rPr>
        <mc:AlternateContent>
          <mc:Choice Requires="wps">
            <w:drawing>
              <wp:anchor distT="0" distB="0" distL="114300" distR="114300" simplePos="0" relativeHeight="251684864" behindDoc="0" locked="0" layoutInCell="1" allowOverlap="1">
                <wp:simplePos x="0" y="0"/>
                <wp:positionH relativeFrom="column">
                  <wp:posOffset>5911215</wp:posOffset>
                </wp:positionH>
                <wp:positionV relativeFrom="paragraph">
                  <wp:posOffset>2640965</wp:posOffset>
                </wp:positionV>
                <wp:extent cx="1060450" cy="325755"/>
                <wp:effectExtent l="0" t="0" r="0" b="0"/>
                <wp:wrapNone/>
                <wp:docPr id="49" name="矩形 49"/>
                <wp:cNvGraphicFramePr/>
                <a:graphic xmlns:a="http://schemas.openxmlformats.org/drawingml/2006/main">
                  <a:graphicData uri="http://schemas.microsoft.com/office/word/2010/wordprocessingShape">
                    <wps:wsp>
                      <wps:cNvSpPr/>
                      <wps:spPr>
                        <a:xfrm>
                          <a:off x="0" y="0"/>
                          <a:ext cx="1060450" cy="32575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keepNext w:val="0"/>
                              <w:keepLines w:val="0"/>
                              <w:pageBreakBefore w:val="0"/>
                              <w:widowControl w:val="0"/>
                              <w:kinsoku/>
                              <w:wordWrap/>
                              <w:overflowPunct/>
                              <w:topLinePunct/>
                              <w:autoSpaceDE w:val="0"/>
                              <w:autoSpaceDN/>
                              <w:bidi w:val="0"/>
                              <w:adjustRightInd/>
                              <w:snapToGrid/>
                              <w:spacing w:line="240" w:lineRule="auto"/>
                              <w:ind w:firstLine="0" w:firstLineChars="0"/>
                              <w:jc w:val="center"/>
                              <w:textAlignment w:val="auto"/>
                              <w:rPr>
                                <w:b/>
                                <w:bCs/>
                                <w:color w:val="FFFF00"/>
                                <w:sz w:val="24"/>
                                <w:szCs w:val="24"/>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cs="Times New Roman"/>
                                <w:b/>
                                <w:bCs/>
                                <w:color w:val="FFFF00"/>
                                <w:sz w:val="24"/>
                                <w:szCs w:val="24"/>
                                <w:highlight w:val="none"/>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选厂</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65.45pt;margin-top:207.95pt;height:25.65pt;width:83.5pt;z-index:251684864;v-text-anchor:middle;mso-width-relative:page;mso-height-relative:page;" filled="f" stroked="f" coordsize="21600,21600" o:gfxdata="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zUQ0BNkAAAAMAQAADwAAAAAAAAABACAAAAAiAAAAZHJzL2Rvd25yZXYueG1sUEsBAhQAFAAA&#10;AAgAh07iQDZXzjFgAgAArwQAAA4AAAAAAAAAAQAgAAAAKAEAAGRycy9lMm9Eb2MueG1sUEsFBgAA&#10;AAAGAAYAWQEAAPoFAAAAAA==&#10;">
                <v:fill on="f" focussize="0,0"/>
                <v:stroke on="f" weight="1pt" miterlimit="8" joinstyle="miter"/>
                <v:imagedata o:title=""/>
                <o:lock v:ext="edit" aspectratio="f"/>
                <v:textbox>
                  <w:txbxContent>
                    <w:p>
                      <w:pPr>
                        <w:keepNext w:val="0"/>
                        <w:keepLines w:val="0"/>
                        <w:pageBreakBefore w:val="0"/>
                        <w:widowControl w:val="0"/>
                        <w:kinsoku/>
                        <w:wordWrap/>
                        <w:overflowPunct/>
                        <w:topLinePunct/>
                        <w:autoSpaceDE w:val="0"/>
                        <w:autoSpaceDN/>
                        <w:bidi w:val="0"/>
                        <w:adjustRightInd/>
                        <w:snapToGrid/>
                        <w:spacing w:line="240" w:lineRule="auto"/>
                        <w:ind w:firstLine="0" w:firstLineChars="0"/>
                        <w:jc w:val="center"/>
                        <w:textAlignment w:val="auto"/>
                        <w:rPr>
                          <w:b/>
                          <w:bCs/>
                          <w:color w:val="FFFF00"/>
                          <w:sz w:val="24"/>
                          <w:szCs w:val="24"/>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cs="Times New Roman"/>
                          <w:b/>
                          <w:bCs/>
                          <w:color w:val="FFFF00"/>
                          <w:sz w:val="24"/>
                          <w:szCs w:val="24"/>
                          <w:highlight w:val="none"/>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选厂</w:t>
                      </w:r>
                    </w:p>
                  </w:txbxContent>
                </v:textbox>
              </v:rect>
            </w:pict>
          </mc:Fallback>
        </mc:AlternateContent>
      </w:r>
      <w:r>
        <w:rPr>
          <w:rFonts w:hint="default" w:ascii="Times New Roman" w:hAnsi="Times New Roman" w:eastAsia="宋体" w:cs="Times New Roman"/>
          <w:color w:val="auto"/>
          <w:sz w:val="24"/>
          <w:highlight w:val="none"/>
          <w:lang w:eastAsia="zh-CN"/>
        </w:rPr>
        <w:drawing>
          <wp:inline distT="0" distB="0" distL="114300" distR="114300">
            <wp:extent cx="6226175" cy="4751705"/>
            <wp:effectExtent l="0" t="0" r="3175" b="10795"/>
            <wp:docPr id="117" name="图片 117" descr="屏幕截图22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屏幕截图22123"/>
                    <pic:cNvPicPr>
                      <a:picLocks noChangeAspect="1"/>
                    </pic:cNvPicPr>
                  </pic:nvPicPr>
                  <pic:blipFill>
                    <a:blip r:embed="rId30"/>
                    <a:stretch>
                      <a:fillRect/>
                    </a:stretch>
                  </pic:blipFill>
                  <pic:spPr>
                    <a:xfrm>
                      <a:off x="0" y="0"/>
                      <a:ext cx="6226175" cy="475170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jc w:val="center"/>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图</w:t>
      </w:r>
      <w:r>
        <w:rPr>
          <w:rFonts w:hint="default" w:ascii="Times New Roman" w:hAnsi="Times New Roman" w:eastAsia="宋体" w:cs="Times New Roman"/>
          <w:b/>
          <w:bCs/>
          <w:color w:val="auto"/>
          <w:sz w:val="24"/>
          <w:szCs w:val="24"/>
          <w:highlight w:val="none"/>
          <w:lang w:val="en-US" w:eastAsia="zh-CN"/>
        </w:rPr>
        <w:t>2</w:t>
      </w:r>
      <w:r>
        <w:rPr>
          <w:rFonts w:hint="default" w:ascii="Times New Roman" w:hAnsi="Times New Roman" w:eastAsia="宋体" w:cs="Times New Roman"/>
          <w:b/>
          <w:bCs/>
          <w:color w:val="auto"/>
          <w:sz w:val="24"/>
          <w:szCs w:val="24"/>
          <w:highlight w:val="none"/>
        </w:rPr>
        <w:t>-</w:t>
      </w:r>
      <w:r>
        <w:rPr>
          <w:rFonts w:hint="default" w:ascii="Times New Roman" w:hAnsi="Times New Roman" w:eastAsia="宋体" w:cs="Times New Roman"/>
          <w:b/>
          <w:bCs/>
          <w:color w:val="auto"/>
          <w:sz w:val="24"/>
          <w:szCs w:val="24"/>
          <w:highlight w:val="none"/>
          <w:lang w:val="en-US" w:eastAsia="zh-CN"/>
        </w:rPr>
        <w:t>2</w:t>
      </w:r>
      <w:r>
        <w:rPr>
          <w:rFonts w:hint="default" w:ascii="Times New Roman" w:hAnsi="Times New Roman" w:eastAsia="宋体" w:cs="Times New Roman"/>
          <w:b/>
          <w:bCs/>
          <w:color w:val="auto"/>
          <w:sz w:val="24"/>
          <w:szCs w:val="24"/>
          <w:highlight w:val="none"/>
        </w:rPr>
        <w:t>项目四邻关系图</w:t>
      </w: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jc w:val="center"/>
        <w:textAlignment w:val="auto"/>
        <w:rPr>
          <w:rFonts w:hint="default" w:ascii="Times New Roman" w:hAnsi="Times New Roman" w:eastAsia="宋体" w:cs="Times New Roman"/>
          <w:b/>
          <w:bCs/>
          <w:color w:val="auto"/>
          <w:sz w:val="24"/>
          <w:szCs w:val="24"/>
          <w:highlight w:val="none"/>
        </w:rPr>
      </w:pPr>
    </w:p>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jc w:val="center"/>
        <w:textAlignment w:val="auto"/>
        <w:rPr>
          <w:rFonts w:hint="default" w:ascii="Times New Roman" w:hAnsi="Times New Roman" w:eastAsia="宋体" w:cs="Times New Roman"/>
          <w:color w:val="auto"/>
          <w:sz w:val="24"/>
          <w:highlight w:val="none"/>
          <w:lang w:eastAsia="zh-CN"/>
        </w:rPr>
        <w:sectPr>
          <w:pgSz w:w="16838" w:h="11906" w:orient="landscape"/>
          <w:pgMar w:top="1440" w:right="1800" w:bottom="1440" w:left="1800" w:header="851" w:footer="1134" w:gutter="0"/>
          <w:pgNumType w:fmt="decimal"/>
          <w:cols w:space="720" w:num="1"/>
          <w:docGrid w:linePitch="312" w:charSpace="0"/>
        </w:sectPr>
      </w:pPr>
    </w:p>
    <w:p>
      <w:pPr>
        <w:pStyle w:val="5"/>
        <w:pageBreakBefore w:val="0"/>
        <w:numPr>
          <w:ilvl w:val="2"/>
          <w:numId w:val="0"/>
        </w:numPr>
        <w:wordWrap/>
        <w:bidi w:val="0"/>
        <w:ind w:left="0" w:leftChars="0" w:right="0" w:rightChars="0"/>
        <w:outlineLvl w:val="1"/>
        <w:rPr>
          <w:rFonts w:hint="default" w:ascii="Times New Roman" w:hAnsi="Times New Roman" w:eastAsia="宋体" w:cs="Times New Roman"/>
          <w:b/>
          <w:bCs w:val="0"/>
          <w:color w:val="auto"/>
          <w:kern w:val="0"/>
          <w:highlight w:val="none"/>
        </w:rPr>
      </w:pPr>
      <w:bookmarkStart w:id="378" w:name="_Toc32040"/>
      <w:bookmarkStart w:id="379" w:name="_Toc9120"/>
      <w:bookmarkStart w:id="380" w:name="_Toc28847"/>
      <w:r>
        <w:rPr>
          <w:rFonts w:hint="default" w:ascii="Times New Roman" w:hAnsi="Times New Roman" w:eastAsia="宋体" w:cs="Times New Roman"/>
          <w:b/>
          <w:bCs/>
          <w:i w:val="0"/>
          <w:iCs w:val="0"/>
          <w:caps w:val="0"/>
          <w:smallCaps w:val="0"/>
          <w:strike w:val="0"/>
          <w:dstrike w:val="0"/>
          <w:vanish w:val="0"/>
          <w:color w:val="auto"/>
          <w:spacing w:val="0"/>
          <w:kern w:val="0"/>
          <w:position w:val="0"/>
          <w:sz w:val="24"/>
          <w:szCs w:val="24"/>
          <w:highlight w:val="none"/>
          <w:u w:val="none"/>
          <w:vertAlign w:val="baseline"/>
          <w:lang w:val="en-US" w:eastAsia="zh-CN" w:bidi="ar-SA"/>
          <w14:shadow w14:blurRad="0" w14:dist="0" w14:dir="0" w14:sx="0" w14:sy="0" w14:kx="0" w14:ky="0" w14:algn="none">
            <w14:srgbClr w14:val="000000"/>
          </w14:shadow>
        </w:rPr>
        <w:t>2.3.2</w:t>
      </w:r>
      <w:r>
        <w:rPr>
          <w:rFonts w:hint="default" w:ascii="Times New Roman" w:hAnsi="Times New Roman" w:eastAsia="宋体" w:cs="Times New Roman"/>
          <w:b/>
          <w:bCs/>
          <w:color w:val="auto"/>
          <w:kern w:val="0"/>
          <w:highlight w:val="none"/>
        </w:rPr>
        <w:t>项目建</w:t>
      </w:r>
      <w:r>
        <w:rPr>
          <w:rFonts w:hint="default" w:ascii="Times New Roman" w:hAnsi="Times New Roman" w:eastAsia="宋体" w:cs="Times New Roman"/>
          <w:b/>
          <w:bCs w:val="0"/>
          <w:color w:val="auto"/>
          <w:kern w:val="0"/>
          <w:highlight w:val="none"/>
        </w:rPr>
        <w:t>设内容</w:t>
      </w:r>
      <w:bookmarkEnd w:id="378"/>
      <w:bookmarkEnd w:id="379"/>
      <w:bookmarkEnd w:id="380"/>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lang w:val="en-GB" w:eastAsia="zh-CN"/>
        </w:rPr>
      </w:pPr>
      <w:r>
        <w:rPr>
          <w:rFonts w:hint="default" w:ascii="Times New Roman" w:hAnsi="Times New Roman" w:eastAsia="宋体" w:cs="Times New Roman"/>
          <w:color w:val="auto"/>
          <w:sz w:val="24"/>
          <w:highlight w:val="none"/>
        </w:rPr>
        <w:t>本项目对西沙德盖钼业公司有限责任公司现有尾矿库进行加高扩容</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项目加高扩容完成后现有尾矿库库容由现有的1219.53万m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扩大至2145万m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库容增加926万m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新增有效库容695万m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lang w:eastAsia="zh-CN"/>
        </w:rPr>
        <w:t>，尾矿库等别</w:t>
      </w:r>
      <w:r>
        <w:rPr>
          <w:rFonts w:hint="default" w:ascii="Times New Roman" w:hAnsi="Times New Roman" w:eastAsia="宋体" w:cs="Times New Roman"/>
          <w:color w:val="auto"/>
          <w:sz w:val="24"/>
          <w:highlight w:val="none"/>
        </w:rPr>
        <w:t>由现有的三等库提高为二等库</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GB"/>
        </w:rPr>
        <w:t>按照年排尾矿量</w:t>
      </w:r>
      <w:r>
        <w:rPr>
          <w:rFonts w:hint="default" w:ascii="Times New Roman" w:hAnsi="Times New Roman" w:eastAsia="宋体" w:cs="Times New Roman"/>
          <w:color w:val="auto"/>
          <w:sz w:val="24"/>
          <w:highlight w:val="none"/>
          <w:lang w:val="en-GB" w:eastAsia="zh-CN"/>
        </w:rPr>
        <w:t>299.46</w:t>
      </w:r>
      <w:r>
        <w:rPr>
          <w:rFonts w:hint="default" w:ascii="Times New Roman" w:hAnsi="Times New Roman" w:eastAsia="宋体" w:cs="Times New Roman"/>
          <w:color w:val="auto"/>
          <w:sz w:val="24"/>
          <w:szCs w:val="24"/>
          <w:highlight w:val="none"/>
          <w:lang w:val="en-GB"/>
        </w:rPr>
        <w:t>万</w:t>
      </w:r>
      <w:r>
        <w:rPr>
          <w:rFonts w:hint="default" w:ascii="Times New Roman" w:hAnsi="Times New Roman" w:eastAsia="宋体" w:cs="Times New Roman"/>
          <w:color w:val="auto"/>
          <w:sz w:val="24"/>
          <w:szCs w:val="24"/>
          <w:highlight w:val="none"/>
        </w:rPr>
        <w:t>t</w:t>
      </w:r>
      <w:r>
        <w:rPr>
          <w:rFonts w:hint="default" w:ascii="Times New Roman" w:hAnsi="Times New Roman" w:eastAsia="宋体" w:cs="Times New Roman"/>
          <w:color w:val="auto"/>
          <w:sz w:val="24"/>
          <w:szCs w:val="24"/>
          <w:highlight w:val="none"/>
          <w:lang w:val="en-GB"/>
        </w:rPr>
        <w:t>/a</w:t>
      </w:r>
      <w:r>
        <w:rPr>
          <w:rFonts w:hint="default" w:ascii="Times New Roman" w:hAnsi="Times New Roman" w:eastAsia="宋体" w:cs="Times New Roman"/>
          <w:color w:val="auto"/>
          <w:sz w:val="24"/>
          <w:highlight w:val="none"/>
          <w:lang w:val="en-GB"/>
        </w:rPr>
        <w:t>计算</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szCs w:val="24"/>
          <w:highlight w:val="none"/>
          <w:lang w:val="en-GB" w:eastAsia="zh-CN"/>
        </w:rPr>
        <w:t>现有尾矿库剩余服务年限约0.9年，</w:t>
      </w:r>
      <w:r>
        <w:rPr>
          <w:rFonts w:hint="default" w:ascii="Times New Roman" w:hAnsi="Times New Roman" w:eastAsia="宋体" w:cs="Times New Roman"/>
          <w:color w:val="auto"/>
          <w:sz w:val="24"/>
          <w:szCs w:val="24"/>
          <w:highlight w:val="none"/>
        </w:rPr>
        <w:t>扩建尾矿库服务年限约</w:t>
      </w:r>
      <w:r>
        <w:rPr>
          <w:rFonts w:hint="default" w:ascii="Times New Roman" w:hAnsi="Times New Roman" w:eastAsia="宋体" w:cs="Times New Roman"/>
          <w:color w:val="auto"/>
          <w:sz w:val="24"/>
          <w:szCs w:val="24"/>
          <w:highlight w:val="none"/>
          <w:lang w:eastAsia="zh-CN"/>
        </w:rPr>
        <w:t>3.7</w:t>
      </w:r>
      <w:r>
        <w:rPr>
          <w:rFonts w:hint="default" w:ascii="Times New Roman" w:hAnsi="Times New Roman" w:eastAsia="宋体" w:cs="Times New Roman"/>
          <w:color w:val="auto"/>
          <w:sz w:val="24"/>
          <w:szCs w:val="24"/>
          <w:highlight w:val="none"/>
        </w:rPr>
        <w:t>年</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扩建后尾矿库</w:t>
      </w:r>
      <w:r>
        <w:rPr>
          <w:rFonts w:hint="default" w:ascii="Times New Roman" w:hAnsi="Times New Roman" w:eastAsia="宋体" w:cs="Times New Roman"/>
          <w:color w:val="auto"/>
          <w:sz w:val="24"/>
          <w:szCs w:val="24"/>
          <w:highlight w:val="none"/>
        </w:rPr>
        <w:t>服务年限约</w:t>
      </w:r>
      <w:r>
        <w:rPr>
          <w:rFonts w:hint="default" w:ascii="Times New Roman" w:hAnsi="Times New Roman" w:eastAsia="宋体" w:cs="Times New Roman"/>
          <w:color w:val="auto"/>
          <w:sz w:val="24"/>
          <w:szCs w:val="24"/>
          <w:highlight w:val="none"/>
          <w:lang w:val="en-US" w:eastAsia="zh-CN"/>
        </w:rPr>
        <w:t>4.6</w:t>
      </w:r>
      <w:r>
        <w:rPr>
          <w:rFonts w:hint="default" w:ascii="Times New Roman" w:hAnsi="Times New Roman" w:eastAsia="宋体" w:cs="Times New Roman"/>
          <w:color w:val="auto"/>
          <w:sz w:val="24"/>
          <w:szCs w:val="24"/>
          <w:highlight w:val="none"/>
        </w:rPr>
        <w:t>年</w:t>
      </w:r>
      <w:r>
        <w:rPr>
          <w:rFonts w:hint="default" w:ascii="Times New Roman" w:hAnsi="Times New Roman" w:eastAsia="宋体" w:cs="Times New Roman"/>
          <w:color w:val="auto"/>
          <w:sz w:val="24"/>
          <w:szCs w:val="24"/>
          <w:highlight w:val="none"/>
          <w:lang w:val="en-US" w:eastAsia="zh-CN"/>
        </w:rPr>
        <w:t>。</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加高扩容工程分为利旧设施及新建设施</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利旧设施包括初期坝、1号副坝、2号副坝、1454m以下堆积坝</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排渗设施、监测设施、排水沟及绿化等；新建设施主要包括</w:t>
      </w:r>
      <w:r>
        <w:rPr>
          <w:rFonts w:hint="default" w:ascii="Times New Roman" w:hAnsi="Times New Roman" w:eastAsia="宋体" w:cs="Times New Roman"/>
          <w:color w:val="auto"/>
          <w:sz w:val="24"/>
          <w:highlight w:val="none"/>
          <w:lang w:eastAsia="zh-CN"/>
        </w:rPr>
        <w:t>：堆积</w:t>
      </w:r>
      <w:r>
        <w:rPr>
          <w:rFonts w:hint="default" w:ascii="Times New Roman" w:hAnsi="Times New Roman" w:eastAsia="宋体" w:cs="Times New Roman"/>
          <w:color w:val="auto"/>
          <w:sz w:val="24"/>
          <w:highlight w:val="none"/>
        </w:rPr>
        <w:t>坝体加高、堆积坝及筑坝工艺、3号副坝及排土场防护、新建排水系统、现状排水系统封堵、新增排渗设施、新增防渗设施、新增安全监测设施、排水沟、坝面绿化及辅助设施等。</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辅助设施有</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库区管理设施、通信、照明和上坝道路。</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rPr>
        <w:t>主要建设内容见表详见表2-</w:t>
      </w:r>
      <w:r>
        <w:rPr>
          <w:rFonts w:hint="default" w:ascii="Times New Roman" w:hAnsi="Times New Roman" w:eastAsia="宋体" w:cs="Times New Roman"/>
          <w:color w:val="auto"/>
          <w:sz w:val="24"/>
          <w:highlight w:val="none"/>
          <w:lang w:val="en-US" w:eastAsia="zh-CN"/>
        </w:rPr>
        <w:t>8。</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lang w:val="en-US" w:eastAsia="zh-CN"/>
        </w:rPr>
      </w:pP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lang w:val="en-US" w:eastAsia="zh-CN"/>
        </w:rPr>
      </w:pP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lang w:val="en-US" w:eastAsia="zh-CN"/>
        </w:rPr>
      </w:pP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sectPr>
          <w:pgSz w:w="11906" w:h="16838"/>
          <w:pgMar w:top="1440" w:right="1800" w:bottom="1440" w:left="1800" w:header="851" w:footer="1134" w:gutter="0"/>
          <w:pgNumType w:fmt="decimal"/>
          <w:cols w:space="720" w:num="1"/>
          <w:docGrid w:linePitch="312" w:charSpace="0"/>
        </w:sectPr>
      </w:pPr>
    </w:p>
    <w:p>
      <w:pPr>
        <w:pageBreakBefore w:val="0"/>
        <w:tabs>
          <w:tab w:val="left" w:pos="3062"/>
        </w:tabs>
        <w:wordWrap/>
        <w:bidi w:val="0"/>
        <w:spacing w:line="360" w:lineRule="auto"/>
        <w:ind w:left="0" w:leftChars="0" w:right="0" w:rightChars="0"/>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表2-</w:t>
      </w:r>
      <w:r>
        <w:rPr>
          <w:rFonts w:hint="default" w:ascii="Times New Roman" w:hAnsi="Times New Roman" w:eastAsia="宋体" w:cs="Times New Roman"/>
          <w:b/>
          <w:bCs/>
          <w:color w:val="auto"/>
          <w:sz w:val="24"/>
          <w:highlight w:val="none"/>
          <w:lang w:val="en-US" w:eastAsia="zh-CN"/>
        </w:rPr>
        <w:t>8</w:t>
      </w:r>
      <w:r>
        <w:rPr>
          <w:rFonts w:hint="default" w:ascii="Times New Roman" w:hAnsi="Times New Roman" w:eastAsia="宋体" w:cs="Times New Roman"/>
          <w:b/>
          <w:bCs/>
          <w:color w:val="auto"/>
          <w:sz w:val="24"/>
          <w:highlight w:val="none"/>
        </w:rPr>
        <w:t>项目组成表</w:t>
      </w:r>
    </w:p>
    <w:tbl>
      <w:tblPr>
        <w:tblStyle w:val="54"/>
        <w:tblW w:w="504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64"/>
        <w:gridCol w:w="482"/>
        <w:gridCol w:w="539"/>
        <w:gridCol w:w="3640"/>
        <w:gridCol w:w="3231"/>
        <w:gridCol w:w="3907"/>
        <w:gridCol w:w="79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0" w:type="pct"/>
            <w:gridSpan w:val="3"/>
            <w:tcBorders>
              <w:top w:val="single" w:color="auto" w:sz="4" w:space="0"/>
              <w:left w:val="single" w:color="auto" w:sz="4" w:space="0"/>
            </w:tcBorders>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color w:val="auto"/>
                <w:sz w:val="21"/>
                <w:szCs w:val="21"/>
                <w:highlight w:val="none"/>
                <w:lang w:eastAsia="zh-CN"/>
              </w:rPr>
            </w:pPr>
            <w:r>
              <w:rPr>
                <w:rFonts w:hint="default" w:ascii="Times New Roman" w:hAnsi="Times New Roman" w:eastAsia="宋体" w:cs="Times New Roman"/>
                <w:b/>
                <w:color w:val="auto"/>
                <w:sz w:val="21"/>
                <w:szCs w:val="21"/>
                <w:highlight w:val="none"/>
              </w:rPr>
              <w:t>工程组成</w:t>
            </w:r>
          </w:p>
        </w:tc>
        <w:tc>
          <w:tcPr>
            <w:tcW w:w="1352" w:type="pct"/>
            <w:tcBorders>
              <w:top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color w:val="auto"/>
                <w:sz w:val="21"/>
                <w:szCs w:val="21"/>
                <w:highlight w:val="none"/>
                <w:lang w:eastAsia="zh-CN"/>
              </w:rPr>
            </w:pPr>
            <w:r>
              <w:rPr>
                <w:rFonts w:hint="default" w:ascii="Times New Roman" w:hAnsi="Times New Roman" w:eastAsia="宋体" w:cs="Times New Roman"/>
                <w:b/>
                <w:color w:val="auto"/>
                <w:sz w:val="21"/>
                <w:szCs w:val="21"/>
                <w:highlight w:val="none"/>
              </w:rPr>
              <w:t>现有</w:t>
            </w:r>
            <w:r>
              <w:rPr>
                <w:rFonts w:hint="default" w:ascii="Times New Roman" w:hAnsi="Times New Roman" w:eastAsia="宋体" w:cs="Times New Roman"/>
                <w:b/>
                <w:color w:val="auto"/>
                <w:sz w:val="21"/>
                <w:szCs w:val="21"/>
                <w:highlight w:val="none"/>
                <w:lang w:eastAsia="zh-CN"/>
              </w:rPr>
              <w:t>尾矿库建设情况</w:t>
            </w:r>
          </w:p>
        </w:tc>
        <w:tc>
          <w:tcPr>
            <w:tcW w:w="1200" w:type="pct"/>
            <w:tcBorders>
              <w:top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扩建工程</w:t>
            </w:r>
            <w:r>
              <w:rPr>
                <w:rFonts w:hint="default" w:ascii="Times New Roman" w:hAnsi="Times New Roman" w:eastAsia="宋体" w:cs="Times New Roman"/>
                <w:b/>
                <w:color w:val="auto"/>
                <w:sz w:val="21"/>
                <w:szCs w:val="21"/>
                <w:highlight w:val="none"/>
                <w:lang w:eastAsia="zh-CN"/>
              </w:rPr>
              <w:t>设计情况</w:t>
            </w:r>
          </w:p>
        </w:tc>
        <w:tc>
          <w:tcPr>
            <w:tcW w:w="1451" w:type="pct"/>
            <w:tcBorders>
              <w:top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color w:val="auto"/>
                <w:sz w:val="21"/>
                <w:szCs w:val="21"/>
                <w:highlight w:val="none"/>
                <w:lang w:eastAsia="zh-CN"/>
              </w:rPr>
            </w:pPr>
            <w:r>
              <w:rPr>
                <w:rFonts w:hint="default" w:ascii="Times New Roman" w:hAnsi="Times New Roman" w:eastAsia="宋体" w:cs="Times New Roman"/>
                <w:b/>
                <w:color w:val="auto"/>
                <w:sz w:val="21"/>
                <w:szCs w:val="21"/>
                <w:highlight w:val="none"/>
              </w:rPr>
              <w:t>扩建完成后</w:t>
            </w:r>
            <w:r>
              <w:rPr>
                <w:rFonts w:hint="default" w:ascii="Times New Roman" w:hAnsi="Times New Roman" w:eastAsia="宋体" w:cs="Times New Roman"/>
                <w:b/>
                <w:color w:val="auto"/>
                <w:sz w:val="21"/>
                <w:szCs w:val="21"/>
                <w:highlight w:val="none"/>
                <w:lang w:eastAsia="zh-CN"/>
              </w:rPr>
              <w:t>尾矿库情况</w:t>
            </w:r>
          </w:p>
        </w:tc>
        <w:tc>
          <w:tcPr>
            <w:tcW w:w="295" w:type="pct"/>
            <w:tcBorders>
              <w:top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color w:val="auto"/>
                <w:sz w:val="21"/>
                <w:szCs w:val="21"/>
                <w:highlight w:val="none"/>
                <w:lang w:eastAsia="zh-CN"/>
              </w:rPr>
            </w:pPr>
            <w:r>
              <w:rPr>
                <w:rFonts w:hint="default" w:ascii="Times New Roman" w:hAnsi="Times New Roman" w:eastAsia="宋体" w:cs="Times New Roman"/>
                <w:b/>
                <w:color w:val="auto"/>
                <w:sz w:val="21"/>
                <w:szCs w:val="21"/>
                <w:highlight w:val="none"/>
                <w:lang w:eastAsia="zh-CN"/>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1" w:type="pct"/>
            <w:vMerge w:val="restart"/>
            <w:tcBorders>
              <w:left w:val="single" w:color="auto" w:sz="4" w:space="0"/>
            </w:tcBorders>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主体</w:t>
            </w:r>
          </w:p>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工程</w:t>
            </w:r>
          </w:p>
        </w:tc>
        <w:tc>
          <w:tcPr>
            <w:tcW w:w="179" w:type="pct"/>
            <w:vMerge w:val="restart"/>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尾矿库</w:t>
            </w:r>
          </w:p>
        </w:tc>
        <w:tc>
          <w:tcPr>
            <w:tcW w:w="199" w:type="pct"/>
            <w:tcBorders>
              <w:bottom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rPr>
              <w:t>初期坝</w:t>
            </w:r>
          </w:p>
        </w:tc>
        <w:tc>
          <w:tcPr>
            <w:tcW w:w="1352" w:type="pct"/>
            <w:tcMar>
              <w:left w:w="0" w:type="dxa"/>
              <w:right w:w="0"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420" w:firstLineChars="200"/>
              <w:jc w:val="left"/>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初期坝为堆石坝</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内坡设有土工膜防渗</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坝底标高1366m</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坝顶标高1405m</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坝高39m</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坝顶宽5m。内、外坡比1:2.0。</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420" w:firstLineChars="200"/>
              <w:jc w:val="left"/>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根据加高扩容工程岩土工程勘察报告</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库区原地面地层为强风化花岗岩</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施工已按原设计要求清理至基岩</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初期坝坐落于强风化花岗岩。</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420" w:firstLineChars="200"/>
              <w:jc w:val="left"/>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rPr>
              <w:t>根据现场踏勘</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初期坝尺寸与设计要求一致</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外观质量良好。</w:t>
            </w:r>
          </w:p>
        </w:tc>
        <w:tc>
          <w:tcPr>
            <w:tcW w:w="1200" w:type="pct"/>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依托现有</w:t>
            </w:r>
          </w:p>
        </w:tc>
        <w:tc>
          <w:tcPr>
            <w:tcW w:w="1451" w:type="pct"/>
            <w:tcBorders>
              <w:right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420" w:firstLineChars="200"/>
              <w:jc w:val="left"/>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初期坝为堆石坝</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内坡设有土工膜防渗</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坝底标高1366m</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坝顶标高1405m</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坝高39m</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坝顶宽5m。内、外坡比1:2.0。</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420" w:firstLineChars="200"/>
              <w:jc w:val="left"/>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根据加高扩容工程岩土工程勘察报告</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库区原地面地层为强风化花岗岩</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施工已按原设计要求清理至基岩</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初期坝坐落于强风化花岗岩。</w:t>
            </w:r>
          </w:p>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bCs w:val="0"/>
                <w:color w:val="auto"/>
                <w:sz w:val="21"/>
                <w:szCs w:val="21"/>
                <w:highlight w:val="none"/>
              </w:rPr>
              <w:t>根据现场踏勘</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初期坝尺寸与设计要求一致</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外观质量良好。</w:t>
            </w:r>
          </w:p>
        </w:tc>
        <w:tc>
          <w:tcPr>
            <w:tcW w:w="295" w:type="pct"/>
            <w:tcBorders>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color w:val="auto"/>
                <w:sz w:val="21"/>
                <w:szCs w:val="21"/>
                <w:highlight w:val="none"/>
                <w:lang w:eastAsia="zh-CN"/>
              </w:rPr>
              <w:t>依托现有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1" w:type="pct"/>
            <w:vMerge w:val="continue"/>
            <w:tcBorders>
              <w:left w:val="single" w:color="auto" w:sz="4" w:space="0"/>
            </w:tcBorders>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179" w:type="pct"/>
            <w:vMerge w:val="continue"/>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199" w:type="pct"/>
            <w:tcBorders>
              <w:bottom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rPr>
              <w:t>堆积坝</w:t>
            </w:r>
          </w:p>
        </w:tc>
        <w:tc>
          <w:tcPr>
            <w:tcW w:w="1352" w:type="pct"/>
            <w:tcMar>
              <w:left w:w="0" w:type="dxa"/>
              <w:right w:w="0"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420" w:firstLineChars="200"/>
              <w:jc w:val="left"/>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总坝高为</w:t>
            </w:r>
            <w:r>
              <w:rPr>
                <w:rFonts w:hint="default" w:ascii="Times New Roman" w:hAnsi="Times New Roman" w:eastAsia="宋体" w:cs="Times New Roman"/>
                <w:b w:val="0"/>
                <w:bCs w:val="0"/>
                <w:color w:val="auto"/>
                <w:sz w:val="21"/>
                <w:szCs w:val="21"/>
                <w:highlight w:val="none"/>
                <w:lang w:val="en-US" w:eastAsia="zh-CN"/>
              </w:rPr>
              <w:t>88</w:t>
            </w:r>
            <w:r>
              <w:rPr>
                <w:rFonts w:hint="default" w:ascii="Times New Roman" w:hAnsi="Times New Roman" w:eastAsia="宋体" w:cs="Times New Roman"/>
                <w:b w:val="0"/>
                <w:bCs w:val="0"/>
                <w:color w:val="auto"/>
                <w:sz w:val="21"/>
                <w:szCs w:val="21"/>
                <w:highlight w:val="none"/>
              </w:rPr>
              <w:t>m</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尾矿库等别为三等。尾矿库坝顶标高为</w:t>
            </w:r>
            <w:r>
              <w:rPr>
                <w:rFonts w:hint="default" w:ascii="Times New Roman" w:hAnsi="Times New Roman" w:eastAsia="宋体" w:cs="Times New Roman"/>
                <w:b w:val="0"/>
                <w:bCs w:val="0"/>
                <w:color w:val="auto"/>
                <w:sz w:val="21"/>
                <w:szCs w:val="21"/>
                <w:highlight w:val="none"/>
                <w:lang w:val="en-US" w:eastAsia="zh-CN"/>
              </w:rPr>
              <w:t>1454</w:t>
            </w:r>
            <w:r>
              <w:rPr>
                <w:rFonts w:hint="default" w:ascii="Times New Roman" w:hAnsi="Times New Roman" w:eastAsia="宋体" w:cs="Times New Roman"/>
                <w:b w:val="0"/>
                <w:bCs w:val="0"/>
                <w:color w:val="auto"/>
                <w:sz w:val="21"/>
                <w:szCs w:val="21"/>
                <w:highlight w:val="none"/>
              </w:rPr>
              <w:t>m</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主坝平均坡比为1:5.5</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主坝平均坡比缓于设计要求的1:4.0</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北侧及南侧副坝平均平坡比为1:4.0</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与设计要求一致。</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420" w:firstLineChars="200"/>
              <w:jc w:val="left"/>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根据业主提供的浸润线观测记录</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人工浸润线监测孔及在线浸润线监测孔均未见水</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浸润线埋深大于孔深12m。</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420" w:firstLineChars="200"/>
              <w:jc w:val="left"/>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rPr>
              <w:t>现状尾矿坝质量较好</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坝面无渗流、沼泽化</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无浸润线出逸迹象。</w:t>
            </w:r>
          </w:p>
        </w:tc>
        <w:tc>
          <w:tcPr>
            <w:tcW w:w="1200" w:type="pct"/>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bCs w:val="0"/>
                <w:color w:val="auto"/>
                <w:sz w:val="21"/>
                <w:szCs w:val="21"/>
                <w:highlight w:val="none"/>
                <w:lang w:eastAsia="zh-CN"/>
              </w:rPr>
              <w:t>加高堆积坝，</w:t>
            </w:r>
            <w:r>
              <w:rPr>
                <w:rFonts w:hint="default" w:ascii="Times New Roman" w:hAnsi="Times New Roman" w:eastAsia="宋体" w:cs="Times New Roman"/>
                <w:color w:val="auto"/>
                <w:sz w:val="21"/>
                <w:szCs w:val="21"/>
                <w:highlight w:val="none"/>
                <w:lang w:eastAsia="zh-CN"/>
              </w:rPr>
              <w:t>放矿工艺采用上游式分散放矿法，主坝堆积坝平均外坡比为1:5.5，每期子坝堆筑高度为5m，顶宽12.5m，子坝外边坡为1:3.0，内边坡为1:1.5。副坝堆积坝平均外坡比为1:4.0，每期子坝堆筑高度为5m，顶宽10m，子坝外边坡为1:2.0，内边坡为1:1.5。</w:t>
            </w:r>
          </w:p>
        </w:tc>
        <w:tc>
          <w:tcPr>
            <w:tcW w:w="1451" w:type="pct"/>
            <w:tcBorders>
              <w:right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bCs w:val="0"/>
                <w:color w:val="auto"/>
                <w:sz w:val="21"/>
                <w:szCs w:val="21"/>
                <w:highlight w:val="none"/>
              </w:rPr>
              <w:t>总坝高为</w:t>
            </w:r>
            <w:r>
              <w:rPr>
                <w:rFonts w:hint="default" w:ascii="Times New Roman" w:hAnsi="Times New Roman" w:eastAsia="宋体" w:cs="Times New Roman"/>
                <w:b w:val="0"/>
                <w:bCs w:val="0"/>
                <w:color w:val="auto"/>
                <w:sz w:val="21"/>
                <w:szCs w:val="21"/>
                <w:highlight w:val="none"/>
                <w:lang w:val="en-US" w:eastAsia="zh-CN"/>
              </w:rPr>
              <w:t>129</w:t>
            </w:r>
            <w:r>
              <w:rPr>
                <w:rFonts w:hint="default" w:ascii="Times New Roman" w:hAnsi="Times New Roman" w:eastAsia="宋体" w:cs="Times New Roman"/>
                <w:b w:val="0"/>
                <w:bCs w:val="0"/>
                <w:color w:val="auto"/>
                <w:sz w:val="21"/>
                <w:szCs w:val="21"/>
                <w:highlight w:val="none"/>
              </w:rPr>
              <w:t>m</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尾矿库等别为</w:t>
            </w:r>
            <w:r>
              <w:rPr>
                <w:rFonts w:hint="default" w:ascii="Times New Roman" w:hAnsi="Times New Roman" w:eastAsia="宋体" w:cs="Times New Roman"/>
                <w:b w:val="0"/>
                <w:bCs w:val="0"/>
                <w:color w:val="auto"/>
                <w:sz w:val="21"/>
                <w:szCs w:val="21"/>
                <w:highlight w:val="none"/>
                <w:lang w:eastAsia="zh-CN"/>
              </w:rPr>
              <w:t>二</w:t>
            </w:r>
            <w:r>
              <w:rPr>
                <w:rFonts w:hint="default" w:ascii="Times New Roman" w:hAnsi="Times New Roman" w:eastAsia="宋体" w:cs="Times New Roman"/>
                <w:b w:val="0"/>
                <w:bCs w:val="0"/>
                <w:color w:val="auto"/>
                <w:sz w:val="21"/>
                <w:szCs w:val="21"/>
                <w:highlight w:val="none"/>
              </w:rPr>
              <w:t>等。尾矿库坝顶标高为</w:t>
            </w:r>
            <w:r>
              <w:rPr>
                <w:rFonts w:hint="default" w:ascii="Times New Roman" w:hAnsi="Times New Roman" w:eastAsia="宋体" w:cs="Times New Roman"/>
                <w:b w:val="0"/>
                <w:bCs w:val="0"/>
                <w:color w:val="auto"/>
                <w:sz w:val="21"/>
                <w:szCs w:val="21"/>
                <w:highlight w:val="none"/>
                <w:lang w:val="en-US" w:eastAsia="zh-CN"/>
              </w:rPr>
              <w:t>1495</w:t>
            </w:r>
            <w:r>
              <w:rPr>
                <w:rFonts w:hint="default" w:ascii="Times New Roman" w:hAnsi="Times New Roman" w:eastAsia="宋体" w:cs="Times New Roman"/>
                <w:b w:val="0"/>
                <w:bCs w:val="0"/>
                <w:color w:val="auto"/>
                <w:sz w:val="21"/>
                <w:szCs w:val="21"/>
                <w:highlight w:val="none"/>
              </w:rPr>
              <w:t>m</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color w:val="auto"/>
                <w:sz w:val="21"/>
                <w:szCs w:val="21"/>
                <w:highlight w:val="none"/>
                <w:lang w:eastAsia="zh-CN"/>
              </w:rPr>
              <w:t>加高工程放矿工艺采用上游式分散放矿法，主坝堆积坝平均外坡比为1:5.5，每期子坝堆筑高度为5m，顶宽12.5m，子坝外边坡为1:3.0，内边坡为1:1.5。副坝堆积坝平均外坡比为1:4.0，每期子坝堆筑高度为5m，顶宽10m，子坝外边坡为1:2.0，内边坡为1:1.5。</w:t>
            </w:r>
          </w:p>
        </w:tc>
        <w:tc>
          <w:tcPr>
            <w:tcW w:w="295" w:type="pct"/>
            <w:tcBorders>
              <w:right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扩建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1" w:type="pct"/>
            <w:vMerge w:val="continue"/>
            <w:tcBorders>
              <w:left w:val="single" w:color="auto" w:sz="4" w:space="0"/>
            </w:tcBorders>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179" w:type="pct"/>
            <w:vMerge w:val="continue"/>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199" w:type="pct"/>
            <w:tcBorders>
              <w:bottom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rPr>
              <w:t>1号副坝</w:t>
            </w:r>
            <w:r>
              <w:rPr>
                <w:rFonts w:hint="default" w:ascii="Times New Roman" w:hAnsi="Times New Roman" w:eastAsia="宋体" w:cs="Times New Roman"/>
                <w:b w:val="0"/>
                <w:bCs w:val="0"/>
                <w:color w:val="auto"/>
                <w:sz w:val="21"/>
                <w:szCs w:val="21"/>
                <w:highlight w:val="none"/>
                <w:lang w:eastAsia="zh-CN"/>
              </w:rPr>
              <w:t>和</w:t>
            </w:r>
            <w:r>
              <w:rPr>
                <w:rFonts w:hint="default" w:ascii="Times New Roman" w:hAnsi="Times New Roman" w:eastAsia="宋体" w:cs="Times New Roman"/>
                <w:b w:val="0"/>
                <w:bCs w:val="0"/>
                <w:color w:val="auto"/>
                <w:sz w:val="21"/>
                <w:szCs w:val="21"/>
                <w:highlight w:val="none"/>
                <w:lang w:val="en-US" w:eastAsia="zh-CN"/>
              </w:rPr>
              <w:t>2号</w:t>
            </w:r>
            <w:r>
              <w:rPr>
                <w:rFonts w:hint="default" w:ascii="Times New Roman" w:hAnsi="Times New Roman" w:eastAsia="宋体" w:cs="Times New Roman"/>
                <w:b w:val="0"/>
                <w:bCs w:val="0"/>
                <w:color w:val="auto"/>
                <w:sz w:val="21"/>
                <w:szCs w:val="21"/>
                <w:highlight w:val="none"/>
              </w:rPr>
              <w:t>副坝</w:t>
            </w:r>
          </w:p>
        </w:tc>
        <w:tc>
          <w:tcPr>
            <w:tcW w:w="1352" w:type="pct"/>
            <w:tcMar>
              <w:left w:w="0" w:type="dxa"/>
              <w:right w:w="0"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420" w:firstLineChars="200"/>
              <w:jc w:val="left"/>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rPr>
              <w:t>在临近初期坝的东南侧山脊处有1号副坝</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库区西侧山脊处有2号副坝</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副坝均为堆石坝</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内坡设有土工膜防渗。1号副坝顶标高1410.0m</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顶宽3.0m</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坝轴线长92.0m</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坝高5.0m</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2号副坝顶标高1454.0m</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顶宽3.0m</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坝轴线长</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企业已对1号及2号副坝采用废石压坡</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28.0m</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坝高3.0m。尾矿库运行过程中外坡比均为1:2.0</w:t>
            </w:r>
            <w:r>
              <w:rPr>
                <w:rFonts w:hint="default" w:ascii="Times New Roman" w:hAnsi="Times New Roman" w:eastAsia="宋体" w:cs="Times New Roman"/>
                <w:b w:val="0"/>
                <w:bCs w:val="0"/>
                <w:color w:val="auto"/>
                <w:sz w:val="21"/>
                <w:szCs w:val="21"/>
                <w:highlight w:val="none"/>
                <w:lang w:eastAsia="zh-CN"/>
              </w:rPr>
              <w:t>。</w:t>
            </w:r>
          </w:p>
        </w:tc>
        <w:tc>
          <w:tcPr>
            <w:tcW w:w="1200" w:type="pct"/>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依托现有</w:t>
            </w:r>
          </w:p>
        </w:tc>
        <w:tc>
          <w:tcPr>
            <w:tcW w:w="1451" w:type="pct"/>
            <w:tcBorders>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bCs w:val="0"/>
                <w:color w:val="auto"/>
                <w:sz w:val="21"/>
                <w:szCs w:val="21"/>
                <w:highlight w:val="none"/>
              </w:rPr>
              <w:t>在临近初期坝的东南侧山脊处有1号副坝</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库区西侧山脊处有2号副坝</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副坝均为堆石坝</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内坡设有土工膜防渗。1号副坝顶标高1410.0m</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顶宽3.0m</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坝轴线长92.0m</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坝高5.0m</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2号副坝顶标高1454.0m</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顶宽3.0m</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坝轴线长28.0m</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坝高3.0m。尾矿库运行过程中</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企业已对1号及2号副坝采用废石压坡</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外坡比均为1:2.0</w:t>
            </w:r>
            <w:r>
              <w:rPr>
                <w:rFonts w:hint="default" w:ascii="Times New Roman" w:hAnsi="Times New Roman" w:eastAsia="宋体" w:cs="Times New Roman"/>
                <w:b w:val="0"/>
                <w:bCs w:val="0"/>
                <w:color w:val="auto"/>
                <w:sz w:val="21"/>
                <w:szCs w:val="21"/>
                <w:highlight w:val="none"/>
                <w:lang w:eastAsia="zh-CN"/>
              </w:rPr>
              <w:t>。</w:t>
            </w:r>
          </w:p>
        </w:tc>
        <w:tc>
          <w:tcPr>
            <w:tcW w:w="295" w:type="pct"/>
            <w:tcBorders>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color w:val="auto"/>
                <w:sz w:val="21"/>
                <w:szCs w:val="21"/>
                <w:highlight w:val="none"/>
                <w:lang w:eastAsia="zh-CN"/>
              </w:rPr>
              <w:t>依托现有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1" w:type="pct"/>
            <w:vMerge w:val="continue"/>
            <w:tcBorders>
              <w:left w:val="single" w:color="auto" w:sz="4" w:space="0"/>
            </w:tcBorders>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179" w:type="pct"/>
            <w:vMerge w:val="continue"/>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199" w:type="pct"/>
            <w:tcBorders>
              <w:bottom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3号副坝</w:t>
            </w:r>
          </w:p>
        </w:tc>
        <w:tc>
          <w:tcPr>
            <w:tcW w:w="1352" w:type="pct"/>
            <w:tcMar>
              <w:left w:w="0" w:type="dxa"/>
              <w:right w:w="0" w:type="dxa"/>
            </w:tcMar>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1200" w:type="pct"/>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位于尾矿库西南侧，3号副坝滩顶距溢流井较近，最小距离仅230m，为保证尾矿库回水和防洪满足要求，设计自标高1475m起，滩前130m位置修建导流堤。</w:t>
            </w:r>
          </w:p>
        </w:tc>
        <w:tc>
          <w:tcPr>
            <w:tcW w:w="1451" w:type="pct"/>
            <w:tcBorders>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位于尾矿库西南侧，3号副坝滩顶距溢流井较近，最小距离仅230m，为保证尾矿库回水和防洪满足要求，设计自标高1475m起，滩前130m位置修建导流堤。</w:t>
            </w:r>
          </w:p>
        </w:tc>
        <w:tc>
          <w:tcPr>
            <w:tcW w:w="295" w:type="pct"/>
            <w:tcBorders>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1" w:type="pct"/>
            <w:vMerge w:val="continue"/>
            <w:tcBorders>
              <w:left w:val="single" w:color="auto" w:sz="4" w:space="0"/>
            </w:tcBorders>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179" w:type="pct"/>
            <w:vMerge w:val="continue"/>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199"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排渗设施</w:t>
            </w:r>
          </w:p>
        </w:tc>
        <w:tc>
          <w:tcPr>
            <w:tcW w:w="1352" w:type="pct"/>
            <w:tcMar>
              <w:left w:w="0" w:type="dxa"/>
              <w:right w:w="0" w:type="dxa"/>
            </w:tcMar>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在标高在1412m、1422m、1432m及1442m标高平行坝轴线设置有排渗设施。根据尾矿库勘察报告及浸润线记录，浸润线埋深约13.5，排渗设施运行正常，降低浸润线效果良好。</w:t>
            </w:r>
          </w:p>
        </w:tc>
        <w:tc>
          <w:tcPr>
            <w:tcW w:w="1200" w:type="pct"/>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堆积坝平行坝轴线方向每隔10m高差设一道水平排渗盲沟。排渗盲沟呈梯形断面</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底宽2.5m</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顶宽1m</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高度1.5m。排渗盲沟采用D=30</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50mm级配卵石填充</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外包一层300g/m</w:t>
            </w:r>
            <w:r>
              <w:rPr>
                <w:rFonts w:hint="default" w:ascii="Times New Roman" w:hAnsi="Times New Roman" w:eastAsia="宋体" w:cs="Times New Roman"/>
                <w:color w:val="auto"/>
                <w:sz w:val="21"/>
                <w:szCs w:val="21"/>
                <w:highlight w:val="none"/>
                <w:vertAlign w:val="superscript"/>
              </w:rPr>
              <w:t>2</w:t>
            </w:r>
            <w:r>
              <w:rPr>
                <w:rFonts w:hint="default" w:ascii="Times New Roman" w:hAnsi="Times New Roman" w:eastAsia="宋体" w:cs="Times New Roman"/>
                <w:color w:val="auto"/>
                <w:sz w:val="21"/>
                <w:szCs w:val="21"/>
                <w:highlight w:val="none"/>
              </w:rPr>
              <w:t>土工布作为反滤层</w:t>
            </w:r>
          </w:p>
        </w:tc>
        <w:tc>
          <w:tcPr>
            <w:tcW w:w="1451" w:type="pct"/>
            <w:tcBorders>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堆积坝平行坝轴线方向每隔10m高差设一道水平排渗盲沟。排渗盲沟呈梯形断面</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底宽2.5m</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顶宽1m</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高度1.5m。排渗盲沟采用D=30</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50mm级配卵石填充</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外包一层300g/m</w:t>
            </w:r>
            <w:r>
              <w:rPr>
                <w:rFonts w:hint="default" w:ascii="Times New Roman" w:hAnsi="Times New Roman" w:eastAsia="宋体" w:cs="Times New Roman"/>
                <w:color w:val="auto"/>
                <w:sz w:val="21"/>
                <w:szCs w:val="21"/>
                <w:highlight w:val="none"/>
                <w:vertAlign w:val="superscript"/>
              </w:rPr>
              <w:t>2</w:t>
            </w:r>
            <w:r>
              <w:rPr>
                <w:rFonts w:hint="default" w:ascii="Times New Roman" w:hAnsi="Times New Roman" w:eastAsia="宋体" w:cs="Times New Roman"/>
                <w:color w:val="auto"/>
                <w:sz w:val="21"/>
                <w:szCs w:val="21"/>
                <w:highlight w:val="none"/>
              </w:rPr>
              <w:t>土工布作为反滤层</w:t>
            </w:r>
          </w:p>
        </w:tc>
        <w:tc>
          <w:tcPr>
            <w:tcW w:w="295" w:type="pct"/>
            <w:tcBorders>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1" w:type="pct"/>
            <w:vMerge w:val="continue"/>
            <w:tcBorders>
              <w:left w:val="single" w:color="auto" w:sz="4" w:space="0"/>
            </w:tcBorders>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179" w:type="pct"/>
            <w:vMerge w:val="continue"/>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199"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排渗井</w:t>
            </w:r>
          </w:p>
        </w:tc>
        <w:tc>
          <w:tcPr>
            <w:tcW w:w="1352" w:type="pct"/>
            <w:tcMar>
              <w:left w:w="0" w:type="dxa"/>
              <w:right w:w="0" w:type="dxa"/>
            </w:tcMar>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w:t>
            </w:r>
          </w:p>
        </w:tc>
        <w:tc>
          <w:tcPr>
            <w:tcW w:w="1200" w:type="pct"/>
            <w:vAlign w:val="center"/>
          </w:tcPr>
          <w:p>
            <w:pPr>
              <w:pageBreakBefore w:val="0"/>
              <w:wordWrap/>
              <w:bidi w:val="0"/>
              <w:spacing w:line="240" w:lineRule="auto"/>
              <w:ind w:left="0" w:leftChars="0" w:right="0" w:rightChars="0" w:firstLine="420" w:firstLineChars="20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在堆积坝第五级子坝标高1417m设5眼排渗井</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平行于坝轴线方向排列布置</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排渗井间距45m</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外径600mm</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内径400mm；排渗井应向下延伸至基岩</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井深约52m；排渗井内渗水由水泵抽出</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导入下游</w:t>
            </w:r>
            <w:r>
              <w:rPr>
                <w:rFonts w:hint="default" w:ascii="Times New Roman" w:hAnsi="Times New Roman" w:eastAsia="宋体" w:cs="Times New Roman"/>
                <w:color w:val="auto"/>
                <w:sz w:val="21"/>
                <w:szCs w:val="21"/>
                <w:highlight w:val="none"/>
                <w:lang w:eastAsia="zh-CN"/>
              </w:rPr>
              <w:t>回水池</w:t>
            </w:r>
            <w:r>
              <w:rPr>
                <w:rFonts w:hint="default" w:ascii="Times New Roman" w:hAnsi="Times New Roman" w:eastAsia="宋体" w:cs="Times New Roman"/>
                <w:color w:val="auto"/>
                <w:sz w:val="21"/>
                <w:szCs w:val="21"/>
                <w:highlight w:val="none"/>
              </w:rPr>
              <w:t>。基建期布设1号、3号和5号排渗井</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尾矿库运行期若浸润线埋深接近预警值</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及时布设2号及4号排渗井。</w:t>
            </w:r>
          </w:p>
        </w:tc>
        <w:tc>
          <w:tcPr>
            <w:tcW w:w="1451" w:type="pct"/>
            <w:tcBorders>
              <w:right w:val="single" w:color="auto" w:sz="4" w:space="0"/>
            </w:tcBorders>
            <w:vAlign w:val="center"/>
          </w:tcPr>
          <w:p>
            <w:pPr>
              <w:pageBreakBefore w:val="0"/>
              <w:wordWrap/>
              <w:bidi w:val="0"/>
              <w:spacing w:line="240" w:lineRule="auto"/>
              <w:ind w:left="0" w:leftChars="0" w:right="0" w:rightChars="0" w:firstLine="420" w:firstLineChars="20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在堆积坝第五级子坝标高1417m设5眼排渗井</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平行于坝轴线方向排列布置</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排渗井间距45m</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外径600mm</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内径400mm；排渗井应向下延伸至基岩</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井深约52m；排渗井内渗水由水泵抽出</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导入下游</w:t>
            </w:r>
            <w:r>
              <w:rPr>
                <w:rFonts w:hint="default" w:ascii="Times New Roman" w:hAnsi="Times New Roman" w:eastAsia="宋体" w:cs="Times New Roman"/>
                <w:color w:val="auto"/>
                <w:sz w:val="21"/>
                <w:szCs w:val="21"/>
                <w:highlight w:val="none"/>
                <w:lang w:eastAsia="zh-CN"/>
              </w:rPr>
              <w:t>回水池</w:t>
            </w:r>
            <w:r>
              <w:rPr>
                <w:rFonts w:hint="default" w:ascii="Times New Roman" w:hAnsi="Times New Roman" w:eastAsia="宋体" w:cs="Times New Roman"/>
                <w:color w:val="auto"/>
                <w:sz w:val="21"/>
                <w:szCs w:val="21"/>
                <w:highlight w:val="none"/>
              </w:rPr>
              <w:t>。基建期布设1号、3号和5号排渗井</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尾矿库运行期若浸润线埋深接近预警值</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及时布设2号及4号排渗井。</w:t>
            </w:r>
          </w:p>
        </w:tc>
        <w:tc>
          <w:tcPr>
            <w:tcW w:w="295" w:type="pct"/>
            <w:tcBorders>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1" w:type="pct"/>
            <w:vMerge w:val="continue"/>
            <w:tcBorders>
              <w:left w:val="single" w:color="auto" w:sz="4" w:space="0"/>
            </w:tcBorders>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179" w:type="pct"/>
            <w:vMerge w:val="continue"/>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199"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排水系统</w:t>
            </w:r>
          </w:p>
        </w:tc>
        <w:tc>
          <w:tcPr>
            <w:tcW w:w="1352" w:type="pct"/>
            <w:tcMar>
              <w:left w:w="0" w:type="dxa"/>
              <w:right w:w="0" w:type="dxa"/>
            </w:tcMar>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排水系统为溢流井～回水管型式，共有5座溢流井，其中0、1、2、3号溢流井已封堵，目前使用的是4号溢流井，井高18m，圈梁内径2.5m，井座顶标高1438m，井顶标高1456。根据包头冶金建筑研究院2022年6月编制的《尾矿库排水构筑物4号井架及回水管检测报告》该工程4号井架及回水管结构布置及截面尺寸、混凝土现有钢筋强度、钢筋配置情况、钢筋保护层均符合设计要求，井架立柱变形满足规范要求。</w:t>
            </w:r>
          </w:p>
        </w:tc>
        <w:tc>
          <w:tcPr>
            <w:tcW w:w="1200" w:type="pct"/>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新建排水系统采用井</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管式。库区新建3座</w:t>
            </w:r>
            <w:r>
              <w:rPr>
                <w:rFonts w:hint="default" w:ascii="Times New Roman" w:hAnsi="Times New Roman" w:eastAsia="宋体" w:cs="Times New Roman"/>
                <w:color w:val="auto"/>
                <w:sz w:val="21"/>
                <w:szCs w:val="21"/>
                <w:highlight w:val="none"/>
                <w:lang w:eastAsia="zh-CN"/>
              </w:rPr>
              <w:t>溢流井，溢流井</w:t>
            </w:r>
            <w:r>
              <w:rPr>
                <w:rFonts w:hint="default" w:ascii="Times New Roman" w:hAnsi="Times New Roman" w:eastAsia="宋体" w:cs="Times New Roman"/>
                <w:color w:val="auto"/>
                <w:sz w:val="21"/>
                <w:szCs w:val="21"/>
                <w:highlight w:val="none"/>
              </w:rPr>
              <w:t>均采用窗口式、C30现浇钢筋混凝土结构</w:t>
            </w:r>
            <w:r>
              <w:rPr>
                <w:rFonts w:hint="default" w:ascii="Times New Roman" w:hAnsi="Times New Roman" w:eastAsia="宋体" w:cs="Times New Roman"/>
                <w:color w:val="auto"/>
                <w:sz w:val="21"/>
                <w:szCs w:val="21"/>
                <w:highlight w:val="none"/>
                <w:lang w:eastAsia="zh-CN"/>
              </w:rPr>
              <w:t>，溢流井</w:t>
            </w:r>
            <w:r>
              <w:rPr>
                <w:rFonts w:hint="default" w:ascii="Times New Roman" w:hAnsi="Times New Roman" w:eastAsia="宋体" w:cs="Times New Roman"/>
                <w:color w:val="auto"/>
                <w:sz w:val="21"/>
                <w:szCs w:val="21"/>
                <w:highlight w:val="none"/>
              </w:rPr>
              <w:t>内径2.0m</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1号</w:t>
            </w:r>
            <w:r>
              <w:rPr>
                <w:rFonts w:hint="default" w:ascii="Times New Roman" w:hAnsi="Times New Roman" w:eastAsia="宋体" w:cs="Times New Roman"/>
                <w:color w:val="auto"/>
                <w:sz w:val="21"/>
                <w:szCs w:val="21"/>
                <w:highlight w:val="none"/>
                <w:lang w:eastAsia="zh-CN"/>
              </w:rPr>
              <w:t>溢流井</w:t>
            </w:r>
            <w:r>
              <w:rPr>
                <w:rFonts w:hint="default" w:ascii="Times New Roman" w:hAnsi="Times New Roman" w:eastAsia="宋体" w:cs="Times New Roman"/>
                <w:color w:val="auto"/>
                <w:sz w:val="21"/>
                <w:szCs w:val="21"/>
                <w:highlight w:val="none"/>
              </w:rPr>
              <w:t>高12m</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2号及3号井高17m。</w:t>
            </w:r>
            <w:r>
              <w:rPr>
                <w:rFonts w:hint="default" w:ascii="Times New Roman" w:hAnsi="Times New Roman" w:eastAsia="宋体" w:cs="Times New Roman"/>
                <w:color w:val="auto"/>
                <w:sz w:val="21"/>
                <w:szCs w:val="21"/>
                <w:highlight w:val="none"/>
                <w:lang w:eastAsia="zh-CN"/>
              </w:rPr>
              <w:t>回水管</w:t>
            </w:r>
            <w:r>
              <w:rPr>
                <w:rFonts w:hint="default" w:ascii="Times New Roman" w:hAnsi="Times New Roman" w:eastAsia="宋体" w:cs="Times New Roman"/>
                <w:color w:val="auto"/>
                <w:sz w:val="21"/>
                <w:szCs w:val="21"/>
                <w:highlight w:val="none"/>
              </w:rPr>
              <w:t>采用C30现浇钢筋混凝土结构</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过水断面为圆形</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内径1.2m。设2座转流井</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转流井侧壁、顶板和底板厚度均为0.6m</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净高3.7m</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内径2.5m。转流井为现浇C30水工钢筋混凝土结构</w:t>
            </w:r>
            <w:r>
              <w:rPr>
                <w:rFonts w:hint="default" w:ascii="Times New Roman" w:hAnsi="Times New Roman" w:eastAsia="宋体" w:cs="Times New Roman"/>
                <w:color w:val="auto"/>
                <w:sz w:val="21"/>
                <w:szCs w:val="21"/>
                <w:highlight w:val="none"/>
                <w:lang w:eastAsia="zh-CN"/>
              </w:rPr>
              <w:t>。</w:t>
            </w:r>
          </w:p>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原回水管线与初期坝内坝脚交接位置上下游各50m长度区段全部采用C25混凝土全断面封堵。</w:t>
            </w:r>
          </w:p>
        </w:tc>
        <w:tc>
          <w:tcPr>
            <w:tcW w:w="1451" w:type="pct"/>
            <w:tcBorders>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新建排水系统采用井</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管式。库区新建3座</w:t>
            </w:r>
            <w:r>
              <w:rPr>
                <w:rFonts w:hint="default" w:ascii="Times New Roman" w:hAnsi="Times New Roman" w:eastAsia="宋体" w:cs="Times New Roman"/>
                <w:color w:val="auto"/>
                <w:sz w:val="21"/>
                <w:szCs w:val="21"/>
                <w:highlight w:val="none"/>
                <w:lang w:eastAsia="zh-CN"/>
              </w:rPr>
              <w:t>溢流井，溢流井</w:t>
            </w:r>
            <w:r>
              <w:rPr>
                <w:rFonts w:hint="default" w:ascii="Times New Roman" w:hAnsi="Times New Roman" w:eastAsia="宋体" w:cs="Times New Roman"/>
                <w:color w:val="auto"/>
                <w:sz w:val="21"/>
                <w:szCs w:val="21"/>
                <w:highlight w:val="none"/>
              </w:rPr>
              <w:t>均采用窗口式、C30现浇钢筋混凝土结构</w:t>
            </w:r>
            <w:r>
              <w:rPr>
                <w:rFonts w:hint="default" w:ascii="Times New Roman" w:hAnsi="Times New Roman" w:eastAsia="宋体" w:cs="Times New Roman"/>
                <w:color w:val="auto"/>
                <w:sz w:val="21"/>
                <w:szCs w:val="21"/>
                <w:highlight w:val="none"/>
                <w:lang w:eastAsia="zh-CN"/>
              </w:rPr>
              <w:t>，溢流井</w:t>
            </w:r>
            <w:r>
              <w:rPr>
                <w:rFonts w:hint="default" w:ascii="Times New Roman" w:hAnsi="Times New Roman" w:eastAsia="宋体" w:cs="Times New Roman"/>
                <w:color w:val="auto"/>
                <w:sz w:val="21"/>
                <w:szCs w:val="21"/>
                <w:highlight w:val="none"/>
              </w:rPr>
              <w:t>内径2.0m</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1号</w:t>
            </w:r>
            <w:r>
              <w:rPr>
                <w:rFonts w:hint="default" w:ascii="Times New Roman" w:hAnsi="Times New Roman" w:eastAsia="宋体" w:cs="Times New Roman"/>
                <w:color w:val="auto"/>
                <w:sz w:val="21"/>
                <w:szCs w:val="21"/>
                <w:highlight w:val="none"/>
                <w:lang w:eastAsia="zh-CN"/>
              </w:rPr>
              <w:t>溢流井</w:t>
            </w:r>
            <w:r>
              <w:rPr>
                <w:rFonts w:hint="default" w:ascii="Times New Roman" w:hAnsi="Times New Roman" w:eastAsia="宋体" w:cs="Times New Roman"/>
                <w:color w:val="auto"/>
                <w:sz w:val="21"/>
                <w:szCs w:val="21"/>
                <w:highlight w:val="none"/>
              </w:rPr>
              <w:t>高12m</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2号及3号井高17m。</w:t>
            </w:r>
            <w:r>
              <w:rPr>
                <w:rFonts w:hint="default" w:ascii="Times New Roman" w:hAnsi="Times New Roman" w:eastAsia="宋体" w:cs="Times New Roman"/>
                <w:color w:val="auto"/>
                <w:sz w:val="21"/>
                <w:szCs w:val="21"/>
                <w:highlight w:val="none"/>
                <w:lang w:eastAsia="zh-CN"/>
              </w:rPr>
              <w:t>回水管</w:t>
            </w:r>
            <w:r>
              <w:rPr>
                <w:rFonts w:hint="default" w:ascii="Times New Roman" w:hAnsi="Times New Roman" w:eastAsia="宋体" w:cs="Times New Roman"/>
                <w:color w:val="auto"/>
                <w:sz w:val="21"/>
                <w:szCs w:val="21"/>
                <w:highlight w:val="none"/>
              </w:rPr>
              <w:t>采用C30现浇钢筋混凝土结构</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过水断面为圆形</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内径1.2m。设2座转流井</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转流井侧壁、顶板和底板厚度均为0.6m</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净高3.7m</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内径2.5m。转流井为现浇C30水工钢筋混凝土结构</w:t>
            </w:r>
            <w:r>
              <w:rPr>
                <w:rFonts w:hint="default" w:ascii="Times New Roman" w:hAnsi="Times New Roman" w:eastAsia="宋体" w:cs="Times New Roman"/>
                <w:color w:val="auto"/>
                <w:sz w:val="21"/>
                <w:szCs w:val="21"/>
                <w:highlight w:val="none"/>
                <w:lang w:eastAsia="zh-CN"/>
              </w:rPr>
              <w:t>。</w:t>
            </w:r>
          </w:p>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原回水管线与初期坝内坝脚交接位置上下游各50m长度区段全部采用C25混凝土全断面封堵。</w:t>
            </w:r>
          </w:p>
        </w:tc>
        <w:tc>
          <w:tcPr>
            <w:tcW w:w="295" w:type="pct"/>
            <w:tcBorders>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1" w:type="pct"/>
            <w:vMerge w:val="continue"/>
            <w:tcBorders>
              <w:left w:val="single" w:color="auto" w:sz="4" w:space="0"/>
            </w:tcBorders>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179" w:type="pct"/>
            <w:vMerge w:val="continue"/>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199"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监测设施</w:t>
            </w:r>
          </w:p>
        </w:tc>
        <w:tc>
          <w:tcPr>
            <w:tcW w:w="1352" w:type="pct"/>
            <w:tcMar>
              <w:left w:w="0" w:type="dxa"/>
              <w:right w:w="0" w:type="dxa"/>
            </w:tcMar>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尾矿库堆积坝的位移监测设施布置在堆积坝1412m、1422m、1432m标高上</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测点间距50</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120m。</w:t>
            </w:r>
          </w:p>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堆积坝浸润线监测设于堆积坝1412m、1422m、1432m标高上。</w:t>
            </w:r>
          </w:p>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库区水位标尺设于库区</w:t>
            </w:r>
            <w:r>
              <w:rPr>
                <w:rFonts w:hint="default" w:ascii="Times New Roman" w:hAnsi="Times New Roman" w:eastAsia="宋体" w:cs="Times New Roman"/>
                <w:color w:val="auto"/>
                <w:sz w:val="21"/>
                <w:szCs w:val="21"/>
                <w:highlight w:val="none"/>
                <w:lang w:eastAsia="zh-CN"/>
              </w:rPr>
              <w:t>溢流井</w:t>
            </w:r>
            <w:r>
              <w:rPr>
                <w:rFonts w:hint="default" w:ascii="Times New Roman" w:hAnsi="Times New Roman" w:eastAsia="宋体" w:cs="Times New Roman"/>
                <w:color w:val="auto"/>
                <w:sz w:val="21"/>
                <w:szCs w:val="21"/>
                <w:highlight w:val="none"/>
              </w:rPr>
              <w:t>身</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值班室外设置降雨量监测计1个。</w:t>
            </w:r>
          </w:p>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在线监测包括坝体位移、浸润线、库水位、干滩长度、防洪高度、降雨量及视频监控</w:t>
            </w:r>
            <w:r>
              <w:rPr>
                <w:rFonts w:hint="default" w:ascii="Times New Roman" w:hAnsi="Times New Roman" w:eastAsia="宋体" w:cs="Times New Roman"/>
                <w:color w:val="auto"/>
                <w:sz w:val="21"/>
                <w:szCs w:val="21"/>
                <w:highlight w:val="none"/>
                <w:lang w:eastAsia="zh-CN"/>
              </w:rPr>
              <w:t>。</w:t>
            </w:r>
          </w:p>
        </w:tc>
        <w:tc>
          <w:tcPr>
            <w:tcW w:w="1200" w:type="pct"/>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尾矿库人工监测设施包含位移观测、浸润线观测、库水位观测。</w:t>
            </w:r>
          </w:p>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堆积坝南侧</w:t>
            </w:r>
            <w:r>
              <w:rPr>
                <w:rFonts w:hint="default" w:ascii="Times New Roman" w:hAnsi="Times New Roman" w:eastAsia="宋体" w:cs="Times New Roman"/>
                <w:color w:val="auto"/>
                <w:sz w:val="21"/>
                <w:szCs w:val="21"/>
                <w:highlight w:val="none"/>
              </w:rPr>
              <w:t>新增人工位移13个位移监测点</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在山体无变形处结合实际地形布置3个观测基点。新增人工浸润线观测点12个。</w:t>
            </w:r>
          </w:p>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在线监测系统设计监测内容包括坝体表面位移、坝体内部位移、浸润线、干滩长度及坡度、库水位、降雨量及视频监控等</w:t>
            </w:r>
            <w:r>
              <w:rPr>
                <w:rFonts w:hint="default" w:ascii="Times New Roman" w:hAnsi="Times New Roman" w:eastAsia="宋体" w:cs="Times New Roman"/>
                <w:color w:val="auto"/>
                <w:sz w:val="21"/>
                <w:szCs w:val="21"/>
                <w:highlight w:val="none"/>
                <w:lang w:eastAsia="zh-CN"/>
              </w:rPr>
              <w:t>。</w:t>
            </w:r>
          </w:p>
        </w:tc>
        <w:tc>
          <w:tcPr>
            <w:tcW w:w="1451" w:type="pct"/>
            <w:tcBorders>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尾矿库人工监测设施包含位移观测、浸润线观测、库水位观测。</w:t>
            </w:r>
          </w:p>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堆积坝南侧</w:t>
            </w:r>
            <w:r>
              <w:rPr>
                <w:rFonts w:hint="default" w:ascii="Times New Roman" w:hAnsi="Times New Roman" w:eastAsia="宋体" w:cs="Times New Roman"/>
                <w:color w:val="auto"/>
                <w:sz w:val="21"/>
                <w:szCs w:val="21"/>
                <w:highlight w:val="none"/>
              </w:rPr>
              <w:t>新增人工位移13个位移监测点</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在山体无变形处结合实际地形布置3个观测基点。新增人工浸润线观测点12个。</w:t>
            </w:r>
          </w:p>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在线监测系统设计监测内容包括坝体表面位移、坝体内部位移、浸润线、干滩长度及坡度、库水位、降雨量及视频监控等</w:t>
            </w:r>
            <w:r>
              <w:rPr>
                <w:rFonts w:hint="default" w:ascii="Times New Roman" w:hAnsi="Times New Roman" w:eastAsia="宋体" w:cs="Times New Roman"/>
                <w:color w:val="auto"/>
                <w:sz w:val="21"/>
                <w:szCs w:val="21"/>
                <w:highlight w:val="none"/>
                <w:lang w:eastAsia="zh-CN"/>
              </w:rPr>
              <w:t>。</w:t>
            </w:r>
          </w:p>
        </w:tc>
        <w:tc>
          <w:tcPr>
            <w:tcW w:w="295" w:type="pct"/>
            <w:tcBorders>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1" w:type="pct"/>
            <w:vMerge w:val="restart"/>
            <w:tcBorders>
              <w:left w:val="single" w:color="auto" w:sz="4" w:space="0"/>
            </w:tcBorders>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辅助</w:t>
            </w:r>
          </w:p>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工程</w:t>
            </w:r>
          </w:p>
        </w:tc>
        <w:tc>
          <w:tcPr>
            <w:tcW w:w="378" w:type="pct"/>
            <w:gridSpan w:val="2"/>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尾矿输送及放矿系统</w:t>
            </w:r>
          </w:p>
        </w:tc>
        <w:tc>
          <w:tcPr>
            <w:tcW w:w="1352" w:type="pct"/>
            <w:tcMar>
              <w:left w:w="0" w:type="dxa"/>
              <w:right w:w="0" w:type="dxa"/>
            </w:tcMar>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尾矿产量约为</w:t>
            </w:r>
            <w:r>
              <w:rPr>
                <w:rFonts w:hint="default" w:ascii="Times New Roman" w:hAnsi="Times New Roman" w:eastAsia="宋体" w:cs="Times New Roman"/>
                <w:color w:val="auto"/>
                <w:sz w:val="21"/>
                <w:szCs w:val="21"/>
                <w:highlight w:val="none"/>
                <w:lang w:eastAsia="zh-CN"/>
              </w:rPr>
              <w:t>299.46</w:t>
            </w:r>
            <w:r>
              <w:rPr>
                <w:rFonts w:hint="default" w:ascii="Times New Roman" w:hAnsi="Times New Roman" w:eastAsia="宋体" w:cs="Times New Roman"/>
                <w:color w:val="auto"/>
                <w:sz w:val="21"/>
                <w:szCs w:val="21"/>
                <w:highlight w:val="none"/>
              </w:rPr>
              <w:t>万t/a</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尾矿浓度</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40%</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采用水隔膜泵加压输送</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通过尾矿管道输送到现有尾矿库进行排放。输送主管采用2条DN450钢管</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1用1备。尾矿放矿主管采用1条dn450（壁厚26.7mm）PE管道</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放矿支管采用dn160PE管道。</w:t>
            </w:r>
          </w:p>
        </w:tc>
        <w:tc>
          <w:tcPr>
            <w:tcW w:w="1200" w:type="pct"/>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新建尾矿加压泵站位置调整尾矿输送管线的路由</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利旧现有尾矿输送管线的部分管段（从选厂起始约700m）</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调整约500m尾矿输送管线至新建尾矿加压泵站</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rPr>
              <w:t>尾矿加压泵站出矿管道即为尾矿放矿主管</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管道采用dn450PE管</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沿尾矿库坝顶明设并保温</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管线总长度约1km</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坝上放矿支管沿坝体间隔12m设置</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每18条支管为1组</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暂设2组</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放矿支管采用dn160钢丝网骨架塑料复合管</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管道压力等级1.0MPa。每条放矿支管起端设1个DN150矿浆阀进行控制</w:t>
            </w:r>
            <w:r>
              <w:rPr>
                <w:rFonts w:hint="default" w:ascii="Times New Roman" w:hAnsi="Times New Roman" w:eastAsia="宋体" w:cs="Times New Roman"/>
                <w:color w:val="auto"/>
                <w:sz w:val="21"/>
                <w:szCs w:val="21"/>
                <w:highlight w:val="none"/>
                <w:lang w:eastAsia="zh-CN"/>
              </w:rPr>
              <w:t>。</w:t>
            </w:r>
          </w:p>
        </w:tc>
        <w:tc>
          <w:tcPr>
            <w:tcW w:w="1451" w:type="pct"/>
            <w:tcBorders>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新建尾矿加压泵站位置调整尾矿输送管线的路由</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利旧现有尾矿输送管线的部分管段（从选厂起始约700m）</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调整约500m尾矿输送管线至新建尾矿加压泵站</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rPr>
              <w:t>尾矿加压泵站出矿管道即为尾矿放矿主管</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管道采用dn450PE管</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沿尾矿库坝顶明设并保温</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管线总长度约1km</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rPr>
              <w:t>坝上放矿支管沿坝体间隔12m设置</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每18条支管为1组</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暂设2组</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放矿支管采用dn160钢丝网骨架塑料复合管</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管道压力等级1.0MPa。每条放矿支管起端设1个DN150矿浆阀进行控制</w:t>
            </w:r>
          </w:p>
        </w:tc>
        <w:tc>
          <w:tcPr>
            <w:tcW w:w="295" w:type="pct"/>
            <w:tcBorders>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依托+</w:t>
            </w:r>
            <w:r>
              <w:rPr>
                <w:rFonts w:hint="default" w:ascii="Times New Roman" w:hAnsi="Times New Roman" w:eastAsia="宋体" w:cs="Times New Roman"/>
                <w:color w:val="auto"/>
                <w:sz w:val="21"/>
                <w:szCs w:val="21"/>
                <w:highlight w:val="none"/>
                <w:lang w:eastAsia="zh-CN"/>
              </w:rPr>
              <w:t>改造</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1" w:type="pct"/>
            <w:vMerge w:val="continue"/>
            <w:tcBorders>
              <w:left w:val="single" w:color="auto" w:sz="4" w:space="0"/>
            </w:tcBorders>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378" w:type="pct"/>
            <w:gridSpan w:val="2"/>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消力池</w:t>
            </w:r>
          </w:p>
        </w:tc>
        <w:tc>
          <w:tcPr>
            <w:tcW w:w="1352" w:type="pct"/>
            <w:tcMar>
              <w:left w:w="0" w:type="dxa"/>
              <w:right w:w="0" w:type="dxa"/>
            </w:tcMar>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消力池采用C30钢筋混凝土结构</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断面尺寸为10m×5m×3m</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侧壁和底板厚度均为300mm</w:t>
            </w:r>
            <w:r>
              <w:rPr>
                <w:rFonts w:hint="default" w:ascii="Times New Roman" w:hAnsi="Times New Roman" w:eastAsia="宋体" w:cs="Times New Roman"/>
                <w:color w:val="auto"/>
                <w:sz w:val="21"/>
                <w:szCs w:val="21"/>
                <w:highlight w:val="none"/>
                <w:lang w:eastAsia="zh-CN"/>
              </w:rPr>
              <w:t>。</w:t>
            </w:r>
          </w:p>
        </w:tc>
        <w:tc>
          <w:tcPr>
            <w:tcW w:w="1200" w:type="pct"/>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lang w:val="en-US" w:eastAsia="zh-CN"/>
              </w:rPr>
              <w:t>依托原有</w:t>
            </w:r>
          </w:p>
        </w:tc>
        <w:tc>
          <w:tcPr>
            <w:tcW w:w="1451" w:type="pct"/>
            <w:tcBorders>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消力池采用C30钢筋混凝土结构</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断面尺寸为10m×5m×3m</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侧壁和底板厚度均为300mm</w:t>
            </w:r>
            <w:r>
              <w:rPr>
                <w:rFonts w:hint="default" w:ascii="Times New Roman" w:hAnsi="Times New Roman" w:eastAsia="宋体" w:cs="Times New Roman"/>
                <w:color w:val="auto"/>
                <w:sz w:val="21"/>
                <w:szCs w:val="21"/>
                <w:highlight w:val="none"/>
                <w:lang w:eastAsia="zh-CN"/>
              </w:rPr>
              <w:t>。</w:t>
            </w:r>
          </w:p>
        </w:tc>
        <w:tc>
          <w:tcPr>
            <w:tcW w:w="295" w:type="pct"/>
            <w:tcBorders>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依托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1" w:type="pct"/>
            <w:vMerge w:val="continue"/>
            <w:tcBorders>
              <w:left w:val="single" w:color="auto" w:sz="4" w:space="0"/>
            </w:tcBorders>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378" w:type="pct"/>
            <w:gridSpan w:val="2"/>
            <w:tcMar>
              <w:left w:w="0" w:type="dxa"/>
              <w:right w:w="0" w:type="dxa"/>
            </w:tcMar>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GB"/>
              </w:rPr>
              <w:t>回水池</w:t>
            </w:r>
          </w:p>
        </w:tc>
        <w:tc>
          <w:tcPr>
            <w:tcW w:w="1352" w:type="pct"/>
            <w:tcMar>
              <w:left w:w="0" w:type="dxa"/>
              <w:right w:w="0" w:type="dxa"/>
            </w:tcMar>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1座1000m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尾矿回水池</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储存2h尾矿回水量。</w:t>
            </w:r>
          </w:p>
        </w:tc>
        <w:tc>
          <w:tcPr>
            <w:tcW w:w="1200" w:type="pct"/>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拆除现有</w:t>
            </w:r>
            <w:r>
              <w:rPr>
                <w:rFonts w:hint="default" w:ascii="Times New Roman" w:hAnsi="Times New Roman" w:eastAsia="宋体" w:cs="Times New Roman"/>
                <w:color w:val="auto"/>
                <w:sz w:val="21"/>
                <w:szCs w:val="21"/>
                <w:highlight w:val="none"/>
              </w:rPr>
              <w:t>尾矿回水池</w:t>
            </w:r>
            <w:r>
              <w:rPr>
                <w:rFonts w:hint="default" w:ascii="Times New Roman" w:hAnsi="Times New Roman" w:eastAsia="宋体" w:cs="Times New Roman"/>
                <w:color w:val="auto"/>
                <w:sz w:val="21"/>
                <w:szCs w:val="21"/>
                <w:highlight w:val="none"/>
                <w:lang w:eastAsia="zh-CN"/>
              </w:rPr>
              <w:t>；</w:t>
            </w:r>
          </w:p>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新建</w:t>
            </w:r>
            <w:r>
              <w:rPr>
                <w:rFonts w:hint="default" w:ascii="Times New Roman" w:hAnsi="Times New Roman" w:eastAsia="宋体" w:cs="Times New Roman"/>
                <w:color w:val="auto"/>
                <w:sz w:val="21"/>
                <w:szCs w:val="21"/>
                <w:highlight w:val="none"/>
              </w:rPr>
              <w:t>1座1000m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尾矿回水池</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储存2h尾矿回水量。</w:t>
            </w:r>
          </w:p>
        </w:tc>
        <w:tc>
          <w:tcPr>
            <w:tcW w:w="1451" w:type="pct"/>
            <w:tcBorders>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1座1000m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尾矿回水池</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储存2h尾矿回水量。</w:t>
            </w:r>
          </w:p>
        </w:tc>
        <w:tc>
          <w:tcPr>
            <w:tcW w:w="295" w:type="pct"/>
            <w:tcBorders>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1" w:type="pct"/>
            <w:vMerge w:val="continue"/>
            <w:tcBorders>
              <w:left w:val="single" w:color="auto" w:sz="4" w:space="0"/>
            </w:tcBorders>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378" w:type="pct"/>
            <w:gridSpan w:val="2"/>
            <w:tcMar>
              <w:left w:w="0" w:type="dxa"/>
              <w:right w:w="0" w:type="dxa"/>
            </w:tcMar>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GB"/>
              </w:rPr>
              <w:t>回水泵站</w:t>
            </w:r>
          </w:p>
        </w:tc>
        <w:tc>
          <w:tcPr>
            <w:tcW w:w="1352" w:type="pct"/>
            <w:tcMar>
              <w:left w:w="0" w:type="dxa"/>
              <w:right w:w="0" w:type="dxa"/>
            </w:tcMar>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回水方式采用浮船式回水泵站</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回水泵站设在库上游沟顶端</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回水管采用DN133mm钢管</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管道长600m。</w:t>
            </w:r>
          </w:p>
        </w:tc>
        <w:tc>
          <w:tcPr>
            <w:tcW w:w="1200" w:type="pct"/>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拆除现有回水泵站；</w:t>
            </w:r>
          </w:p>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新建1座半地下式尾矿库回水泵站</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平面尺寸</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15m×13.5m</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地上部分高5m；地下部分深4m。配套泵站内设1组尾矿回水泵</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将尾矿回水输送至选厂高位水池。</w:t>
            </w:r>
          </w:p>
        </w:tc>
        <w:tc>
          <w:tcPr>
            <w:tcW w:w="1451" w:type="pct"/>
            <w:tcBorders>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新建1座半地下式尾矿库回水泵站</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平面尺寸</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15m×13.5m</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地上部分高5m；地下部分深4m。泵站内设1组尾矿回水泵</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将尾矿回水输送至选厂高位水池。</w:t>
            </w:r>
          </w:p>
        </w:tc>
        <w:tc>
          <w:tcPr>
            <w:tcW w:w="295" w:type="pct"/>
            <w:tcBorders>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1" w:type="pct"/>
            <w:vMerge w:val="continue"/>
            <w:tcBorders>
              <w:left w:val="single" w:color="auto" w:sz="4" w:space="0"/>
            </w:tcBorders>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378" w:type="pct"/>
            <w:gridSpan w:val="2"/>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上坝道路</w:t>
            </w:r>
          </w:p>
        </w:tc>
        <w:tc>
          <w:tcPr>
            <w:tcW w:w="1352" w:type="pct"/>
            <w:tcMar>
              <w:left w:w="0" w:type="dxa"/>
              <w:right w:w="0" w:type="dxa"/>
            </w:tcMar>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土石路面</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路宽为5m</w:t>
            </w:r>
          </w:p>
        </w:tc>
        <w:tc>
          <w:tcPr>
            <w:tcW w:w="1200" w:type="pct"/>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道路设计车速20km/h</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路面宽度为5.0m</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最小圆曲线半径15.0m</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最大限制纵坡为8%</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纵坡限制坡长350.0m</w:t>
            </w:r>
            <w:r>
              <w:rPr>
                <w:rFonts w:hint="default" w:ascii="Times New Roman" w:hAnsi="Times New Roman" w:eastAsia="宋体" w:cs="Times New Roman"/>
                <w:color w:val="auto"/>
                <w:sz w:val="21"/>
                <w:szCs w:val="21"/>
                <w:highlight w:val="none"/>
                <w:lang w:eastAsia="zh-CN"/>
              </w:rPr>
              <w:t>。</w:t>
            </w:r>
          </w:p>
        </w:tc>
        <w:tc>
          <w:tcPr>
            <w:tcW w:w="1451" w:type="pct"/>
            <w:tcBorders>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道路设计车速20km/h</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路面宽度为5.0m</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最小圆曲线半径15.0m</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最大限制纵坡为8%</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纵坡限制坡长350.0m</w:t>
            </w:r>
            <w:r>
              <w:rPr>
                <w:rFonts w:hint="default" w:ascii="Times New Roman" w:hAnsi="Times New Roman" w:eastAsia="宋体" w:cs="Times New Roman"/>
                <w:color w:val="auto"/>
                <w:sz w:val="21"/>
                <w:szCs w:val="21"/>
                <w:highlight w:val="none"/>
                <w:lang w:eastAsia="zh-CN"/>
              </w:rPr>
              <w:t>。</w:t>
            </w:r>
          </w:p>
        </w:tc>
        <w:tc>
          <w:tcPr>
            <w:tcW w:w="295" w:type="pct"/>
            <w:tcBorders>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1" w:type="pct"/>
            <w:vMerge w:val="continue"/>
            <w:tcBorders>
              <w:left w:val="single" w:color="auto" w:sz="4" w:space="0"/>
            </w:tcBorders>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378" w:type="pct"/>
            <w:gridSpan w:val="2"/>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库区值班室</w:t>
            </w:r>
          </w:p>
        </w:tc>
        <w:tc>
          <w:tcPr>
            <w:tcW w:w="1352" w:type="pct"/>
            <w:tcMar>
              <w:left w:w="0" w:type="dxa"/>
              <w:right w:w="0" w:type="dxa"/>
            </w:tcMar>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设在库区西侧的山坡平缓地带</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距尾矿坝约150m</w:t>
            </w:r>
          </w:p>
        </w:tc>
        <w:tc>
          <w:tcPr>
            <w:tcW w:w="1200" w:type="pct"/>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依托原有</w:t>
            </w:r>
          </w:p>
        </w:tc>
        <w:tc>
          <w:tcPr>
            <w:tcW w:w="1451" w:type="pct"/>
            <w:tcBorders>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库区东侧山坡处</w:t>
            </w:r>
            <w:r>
              <w:rPr>
                <w:rFonts w:hint="default" w:ascii="Times New Roman" w:hAnsi="Times New Roman" w:eastAsia="宋体" w:cs="Times New Roman"/>
                <w:color w:val="auto"/>
                <w:sz w:val="21"/>
                <w:szCs w:val="21"/>
                <w:highlight w:val="none"/>
                <w:lang w:val="en-US" w:eastAsia="zh-CN"/>
              </w:rPr>
              <w:t>现有一座</w:t>
            </w:r>
            <w:r>
              <w:rPr>
                <w:rFonts w:hint="default" w:ascii="Times New Roman" w:hAnsi="Times New Roman" w:eastAsia="宋体" w:cs="Times New Roman"/>
                <w:color w:val="auto"/>
                <w:sz w:val="21"/>
                <w:szCs w:val="21"/>
                <w:highlight w:val="none"/>
              </w:rPr>
              <w:t>值班房</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设置应急物资库</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以便尾矿库管理人员值班、通讯、放置工具</w:t>
            </w:r>
            <w:r>
              <w:rPr>
                <w:rFonts w:hint="default" w:ascii="Times New Roman" w:hAnsi="Times New Roman" w:eastAsia="宋体" w:cs="Times New Roman"/>
                <w:color w:val="auto"/>
                <w:sz w:val="21"/>
                <w:szCs w:val="21"/>
                <w:highlight w:val="none"/>
                <w:lang w:eastAsia="zh-CN"/>
              </w:rPr>
              <w:t>及</w:t>
            </w:r>
            <w:r>
              <w:rPr>
                <w:rFonts w:hint="default" w:ascii="Times New Roman" w:hAnsi="Times New Roman" w:eastAsia="宋体" w:cs="Times New Roman"/>
                <w:color w:val="auto"/>
                <w:sz w:val="21"/>
                <w:szCs w:val="21"/>
                <w:highlight w:val="none"/>
              </w:rPr>
              <w:t>物资储备。</w:t>
            </w:r>
          </w:p>
        </w:tc>
        <w:tc>
          <w:tcPr>
            <w:tcW w:w="295" w:type="pct"/>
            <w:tcBorders>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依托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1" w:type="pct"/>
            <w:vMerge w:val="continue"/>
            <w:tcBorders>
              <w:left w:val="single" w:color="auto" w:sz="4" w:space="0"/>
            </w:tcBorders>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378" w:type="pct"/>
            <w:gridSpan w:val="2"/>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危废暂存间</w:t>
            </w:r>
          </w:p>
        </w:tc>
        <w:tc>
          <w:tcPr>
            <w:tcW w:w="1352" w:type="pct"/>
            <w:tcMar>
              <w:left w:w="0" w:type="dxa"/>
              <w:right w:w="0" w:type="dxa"/>
            </w:tcMar>
            <w:vAlign w:val="center"/>
          </w:tcPr>
          <w:p>
            <w:pPr>
              <w:keepNext w:val="0"/>
              <w:keepLines w:val="0"/>
              <w:pageBreakBefore w:val="0"/>
              <w:widowControl w:val="0"/>
              <w:kinsoku/>
              <w:wordWrap/>
              <w:overflowPunct/>
              <w:topLinePunct w:val="0"/>
              <w:autoSpaceDE/>
              <w:autoSpaceDN/>
              <w:bidi w:val="0"/>
              <w:snapToGrid/>
              <w:spacing w:line="240" w:lineRule="auto"/>
              <w:ind w:left="0" w:leftChars="0" w:right="0" w:rightChars="0" w:firstLine="420" w:firstLineChars="200"/>
              <w:jc w:val="left"/>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w:t>
            </w:r>
          </w:p>
        </w:tc>
        <w:tc>
          <w:tcPr>
            <w:tcW w:w="1200" w:type="pct"/>
            <w:vAlign w:val="center"/>
          </w:tcPr>
          <w:p>
            <w:pPr>
              <w:keepNext w:val="0"/>
              <w:keepLines w:val="0"/>
              <w:pageBreakBefore w:val="0"/>
              <w:widowControl w:val="0"/>
              <w:kinsoku/>
              <w:wordWrap/>
              <w:overflowPunct/>
              <w:topLinePunct w:val="0"/>
              <w:autoSpaceDE/>
              <w:autoSpaceDN/>
              <w:bidi w:val="0"/>
              <w:snapToGrid/>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位于</w:t>
            </w:r>
            <w:r>
              <w:rPr>
                <w:rFonts w:hint="default" w:ascii="Times New Roman" w:hAnsi="Times New Roman" w:eastAsia="宋体" w:cs="Times New Roman"/>
                <w:color w:val="auto"/>
                <w:sz w:val="21"/>
                <w:szCs w:val="21"/>
                <w:highlight w:val="none"/>
                <w:lang w:eastAsia="zh-CN"/>
              </w:rPr>
              <w:t>选厂沙泵站东侧</w:t>
            </w:r>
            <w:r>
              <w:rPr>
                <w:rFonts w:hint="default" w:ascii="Times New Roman" w:hAnsi="Times New Roman" w:eastAsia="宋体" w:cs="Times New Roman"/>
                <w:color w:val="auto"/>
                <w:sz w:val="21"/>
                <w:szCs w:val="21"/>
                <w:highlight w:val="none"/>
                <w:lang w:val="en-US" w:eastAsia="zh-CN"/>
              </w:rPr>
              <w:t>新建1座危废暂存间</w:t>
            </w:r>
            <w:r>
              <w:rPr>
                <w:rFonts w:hint="default" w:ascii="Times New Roman" w:hAnsi="Times New Roman" w:eastAsia="宋体" w:cs="Times New Roman"/>
                <w:color w:val="auto"/>
                <w:sz w:val="21"/>
                <w:szCs w:val="21"/>
                <w:highlight w:val="none"/>
                <w:lang w:eastAsia="zh-CN"/>
              </w:rPr>
              <w:t>，全封闭钢结构，建筑面积为</w:t>
            </w:r>
            <w:r>
              <w:rPr>
                <w:rFonts w:hint="default" w:ascii="Times New Roman" w:hAnsi="Times New Roman" w:eastAsia="宋体" w:cs="Times New Roman"/>
                <w:color w:val="auto"/>
                <w:sz w:val="21"/>
                <w:szCs w:val="21"/>
                <w:highlight w:val="none"/>
                <w:lang w:val="en-US" w:eastAsia="zh-CN"/>
              </w:rPr>
              <w:t>120m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eastAsia="zh-CN"/>
              </w:rPr>
              <w:t>用于储存西沙德盖钼业公司采场、选厂产生的危废。</w:t>
            </w:r>
          </w:p>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属于重点防渗区，地面</w:t>
            </w:r>
            <w:r>
              <w:rPr>
                <w:rFonts w:hint="default" w:ascii="Times New Roman" w:hAnsi="Times New Roman" w:eastAsia="宋体" w:cs="Times New Roman"/>
                <w:color w:val="auto"/>
                <w:sz w:val="21"/>
                <w:szCs w:val="21"/>
                <w:highlight w:val="none"/>
                <w:lang w:eastAsia="zh-CN"/>
              </w:rPr>
              <w:t>采用混凝土+2mm厚HDPE膜铺设，渗透系数≤10</w:t>
            </w:r>
            <w:r>
              <w:rPr>
                <w:rFonts w:hint="default" w:ascii="Times New Roman" w:hAnsi="Times New Roman" w:eastAsia="宋体" w:cs="Times New Roman"/>
                <w:color w:val="auto"/>
                <w:sz w:val="21"/>
                <w:szCs w:val="21"/>
                <w:highlight w:val="none"/>
                <w:vertAlign w:val="superscript"/>
                <w:lang w:eastAsia="zh-CN"/>
              </w:rPr>
              <w:t>-</w:t>
            </w:r>
            <w:r>
              <w:rPr>
                <w:rFonts w:hint="default" w:ascii="Times New Roman" w:hAnsi="Times New Roman" w:eastAsia="宋体" w:cs="Times New Roman"/>
                <w:color w:val="auto"/>
                <w:sz w:val="21"/>
                <w:szCs w:val="21"/>
                <w:highlight w:val="none"/>
                <w:vertAlign w:val="superscript"/>
                <w:lang w:val="en-US" w:eastAsia="zh-CN"/>
              </w:rPr>
              <w:t>10</w:t>
            </w:r>
            <w:r>
              <w:rPr>
                <w:rFonts w:hint="default" w:ascii="Times New Roman" w:hAnsi="Times New Roman" w:eastAsia="宋体" w:cs="Times New Roman"/>
                <w:color w:val="auto"/>
                <w:sz w:val="21"/>
                <w:szCs w:val="21"/>
                <w:highlight w:val="none"/>
                <w:lang w:eastAsia="zh-CN"/>
              </w:rPr>
              <w:t>cm/s。</w:t>
            </w:r>
          </w:p>
        </w:tc>
        <w:tc>
          <w:tcPr>
            <w:tcW w:w="1451" w:type="pct"/>
            <w:tcBorders>
              <w:right w:val="single" w:color="auto" w:sz="4" w:space="0"/>
            </w:tcBorders>
            <w:vAlign w:val="center"/>
          </w:tcPr>
          <w:p>
            <w:pPr>
              <w:keepNext w:val="0"/>
              <w:keepLines w:val="0"/>
              <w:pageBreakBefore w:val="0"/>
              <w:widowControl w:val="0"/>
              <w:kinsoku/>
              <w:wordWrap/>
              <w:overflowPunct/>
              <w:topLinePunct w:val="0"/>
              <w:autoSpaceDE/>
              <w:autoSpaceDN/>
              <w:bidi w:val="0"/>
              <w:snapToGrid/>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位于</w:t>
            </w:r>
            <w:r>
              <w:rPr>
                <w:rFonts w:hint="default" w:ascii="Times New Roman" w:hAnsi="Times New Roman" w:eastAsia="宋体" w:cs="Times New Roman"/>
                <w:color w:val="auto"/>
                <w:sz w:val="21"/>
                <w:szCs w:val="21"/>
                <w:highlight w:val="none"/>
                <w:lang w:eastAsia="zh-CN"/>
              </w:rPr>
              <w:t>选厂沙泵站东侧</w:t>
            </w:r>
            <w:r>
              <w:rPr>
                <w:rFonts w:hint="default" w:ascii="Times New Roman" w:hAnsi="Times New Roman" w:eastAsia="宋体" w:cs="Times New Roman"/>
                <w:color w:val="auto"/>
                <w:sz w:val="21"/>
                <w:szCs w:val="21"/>
                <w:highlight w:val="none"/>
                <w:lang w:val="en-US" w:eastAsia="zh-CN"/>
              </w:rPr>
              <w:t>新建1座危废暂存间</w:t>
            </w:r>
            <w:r>
              <w:rPr>
                <w:rFonts w:hint="default" w:ascii="Times New Roman" w:hAnsi="Times New Roman" w:eastAsia="宋体" w:cs="Times New Roman"/>
                <w:color w:val="auto"/>
                <w:sz w:val="21"/>
                <w:szCs w:val="21"/>
                <w:highlight w:val="none"/>
                <w:lang w:eastAsia="zh-CN"/>
              </w:rPr>
              <w:t>，全封闭钢结构，建筑面积为</w:t>
            </w:r>
            <w:r>
              <w:rPr>
                <w:rFonts w:hint="default" w:ascii="Times New Roman" w:hAnsi="Times New Roman" w:eastAsia="宋体" w:cs="Times New Roman"/>
                <w:color w:val="auto"/>
                <w:sz w:val="21"/>
                <w:szCs w:val="21"/>
                <w:highlight w:val="none"/>
                <w:lang w:val="en-US" w:eastAsia="zh-CN"/>
              </w:rPr>
              <w:t>120m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eastAsia="zh-CN"/>
              </w:rPr>
              <w:t>用于储存西沙德盖钼业公司采场、选厂产生的危废。</w:t>
            </w:r>
          </w:p>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属于重点防渗区，地面</w:t>
            </w:r>
            <w:r>
              <w:rPr>
                <w:rFonts w:hint="default" w:ascii="Times New Roman" w:hAnsi="Times New Roman" w:eastAsia="宋体" w:cs="Times New Roman"/>
                <w:color w:val="auto"/>
                <w:sz w:val="21"/>
                <w:szCs w:val="21"/>
                <w:highlight w:val="none"/>
                <w:lang w:eastAsia="zh-CN"/>
              </w:rPr>
              <w:t>采用混凝土+2mm厚HDPE膜铺设，渗透系数≤10</w:t>
            </w:r>
            <w:r>
              <w:rPr>
                <w:rFonts w:hint="default" w:ascii="Times New Roman" w:hAnsi="Times New Roman" w:eastAsia="宋体" w:cs="Times New Roman"/>
                <w:color w:val="auto"/>
                <w:sz w:val="21"/>
                <w:szCs w:val="21"/>
                <w:highlight w:val="none"/>
                <w:vertAlign w:val="superscript"/>
                <w:lang w:eastAsia="zh-CN"/>
              </w:rPr>
              <w:t>-</w:t>
            </w:r>
            <w:r>
              <w:rPr>
                <w:rFonts w:hint="default" w:ascii="Times New Roman" w:hAnsi="Times New Roman" w:eastAsia="宋体" w:cs="Times New Roman"/>
                <w:color w:val="auto"/>
                <w:sz w:val="21"/>
                <w:szCs w:val="21"/>
                <w:highlight w:val="none"/>
                <w:vertAlign w:val="superscript"/>
                <w:lang w:val="en-US" w:eastAsia="zh-CN"/>
              </w:rPr>
              <w:t>10</w:t>
            </w:r>
            <w:r>
              <w:rPr>
                <w:rFonts w:hint="default" w:ascii="Times New Roman" w:hAnsi="Times New Roman" w:eastAsia="宋体" w:cs="Times New Roman"/>
                <w:color w:val="auto"/>
                <w:sz w:val="21"/>
                <w:szCs w:val="21"/>
                <w:highlight w:val="none"/>
                <w:lang w:eastAsia="zh-CN"/>
              </w:rPr>
              <w:t>cm/s。</w:t>
            </w:r>
          </w:p>
        </w:tc>
        <w:tc>
          <w:tcPr>
            <w:tcW w:w="295" w:type="pct"/>
            <w:tcBorders>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1" w:type="pct"/>
            <w:vMerge w:val="restart"/>
            <w:tcBorders>
              <w:left w:val="single" w:color="auto" w:sz="4" w:space="0"/>
            </w:tcBorders>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公用</w:t>
            </w:r>
          </w:p>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工程</w:t>
            </w:r>
          </w:p>
        </w:tc>
        <w:tc>
          <w:tcPr>
            <w:tcW w:w="378" w:type="pct"/>
            <w:gridSpan w:val="2"/>
            <w:tcMar>
              <w:left w:w="0" w:type="dxa"/>
              <w:right w:w="0" w:type="dxa"/>
            </w:tcMar>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给水工程</w:t>
            </w:r>
          </w:p>
        </w:tc>
        <w:tc>
          <w:tcPr>
            <w:tcW w:w="1352" w:type="pct"/>
            <w:tcMar>
              <w:left w:w="0" w:type="dxa"/>
              <w:right w:w="0"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lang w:eastAsia="zh-CN"/>
              </w:rPr>
              <w:t>洒水抑尘用水采用洒水车运输。</w:t>
            </w:r>
          </w:p>
        </w:tc>
        <w:tc>
          <w:tcPr>
            <w:tcW w:w="1200"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lang w:eastAsia="zh-CN"/>
              </w:rPr>
              <w:t>洒水抑尘用水采用洒水车运输。</w:t>
            </w:r>
          </w:p>
        </w:tc>
        <w:tc>
          <w:tcPr>
            <w:tcW w:w="1451" w:type="pct"/>
            <w:tcBorders>
              <w:right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lang w:eastAsia="zh-CN"/>
              </w:rPr>
              <w:t>洒水抑尘用水采用洒水车运输。</w:t>
            </w:r>
          </w:p>
        </w:tc>
        <w:tc>
          <w:tcPr>
            <w:tcW w:w="295" w:type="pct"/>
            <w:tcBorders>
              <w:right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Cs/>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依托现有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1" w:type="pct"/>
            <w:vMerge w:val="continue"/>
            <w:tcBorders>
              <w:left w:val="single" w:color="auto" w:sz="4" w:space="0"/>
            </w:tcBorders>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378" w:type="pct"/>
            <w:gridSpan w:val="2"/>
            <w:tcMar>
              <w:left w:w="0" w:type="dxa"/>
              <w:right w:w="0" w:type="dxa"/>
            </w:tcMar>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排水工程</w:t>
            </w:r>
          </w:p>
        </w:tc>
        <w:tc>
          <w:tcPr>
            <w:tcW w:w="1352" w:type="pct"/>
            <w:tcMar>
              <w:left w:w="0" w:type="dxa"/>
              <w:right w:w="0"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尾矿库内的</w:t>
            </w:r>
            <w:r>
              <w:rPr>
                <w:rFonts w:hint="default" w:ascii="Times New Roman" w:hAnsi="Times New Roman" w:eastAsia="宋体" w:cs="Times New Roman"/>
                <w:color w:val="auto"/>
                <w:sz w:val="21"/>
                <w:szCs w:val="21"/>
                <w:highlight w:val="none"/>
                <w:lang w:val="en-US" w:eastAsia="zh-CN"/>
              </w:rPr>
              <w:t>回</w:t>
            </w:r>
            <w:r>
              <w:rPr>
                <w:rFonts w:hint="default" w:ascii="Times New Roman" w:hAnsi="Times New Roman" w:eastAsia="宋体" w:cs="Times New Roman"/>
                <w:color w:val="auto"/>
                <w:sz w:val="21"/>
                <w:szCs w:val="21"/>
                <w:highlight w:val="none"/>
              </w:rPr>
              <w:t>水通过溢流井</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回水管</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消力池、回水池及输水管线输送到选矿厂作为生产用水。</w:t>
            </w:r>
          </w:p>
        </w:tc>
        <w:tc>
          <w:tcPr>
            <w:tcW w:w="1200"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尾矿库内的</w:t>
            </w:r>
            <w:r>
              <w:rPr>
                <w:rFonts w:hint="default" w:ascii="Times New Roman" w:hAnsi="Times New Roman" w:eastAsia="宋体" w:cs="Times New Roman"/>
                <w:color w:val="auto"/>
                <w:sz w:val="21"/>
                <w:szCs w:val="21"/>
                <w:highlight w:val="none"/>
                <w:lang w:val="en-US" w:eastAsia="zh-CN"/>
              </w:rPr>
              <w:t>回</w:t>
            </w:r>
            <w:r>
              <w:rPr>
                <w:rFonts w:hint="default" w:ascii="Times New Roman" w:hAnsi="Times New Roman" w:eastAsia="宋体" w:cs="Times New Roman"/>
                <w:color w:val="auto"/>
                <w:sz w:val="21"/>
                <w:szCs w:val="21"/>
                <w:highlight w:val="none"/>
              </w:rPr>
              <w:t>水通过溢流井</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回水管</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消力池</w:t>
            </w:r>
            <w:r>
              <w:rPr>
                <w:rFonts w:hint="default" w:ascii="Times New Roman" w:hAnsi="Times New Roman" w:eastAsia="宋体" w:cs="Times New Roman"/>
                <w:color w:val="auto"/>
                <w:sz w:val="21"/>
                <w:szCs w:val="21"/>
                <w:highlight w:val="none"/>
                <w:lang w:val="en-US" w:eastAsia="zh-CN"/>
              </w:rPr>
              <w:t>进入</w:t>
            </w:r>
            <w:r>
              <w:rPr>
                <w:rFonts w:hint="default" w:ascii="Times New Roman" w:hAnsi="Times New Roman" w:eastAsia="宋体" w:cs="Times New Roman"/>
                <w:color w:val="auto"/>
                <w:sz w:val="21"/>
                <w:szCs w:val="21"/>
                <w:highlight w:val="none"/>
              </w:rPr>
              <w:t>回水池</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通过</w:t>
            </w:r>
            <w:r>
              <w:rPr>
                <w:rFonts w:hint="default" w:ascii="Times New Roman" w:hAnsi="Times New Roman" w:eastAsia="宋体" w:cs="Times New Roman"/>
                <w:color w:val="auto"/>
                <w:sz w:val="21"/>
                <w:szCs w:val="21"/>
                <w:highlight w:val="none"/>
              </w:rPr>
              <w:t>输水管线输送到选矿厂现有高位水池</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作为选矿厂生产用水。</w:t>
            </w:r>
          </w:p>
        </w:tc>
        <w:tc>
          <w:tcPr>
            <w:tcW w:w="1451" w:type="pct"/>
            <w:tcBorders>
              <w:right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尾矿库内的</w:t>
            </w:r>
            <w:r>
              <w:rPr>
                <w:rFonts w:hint="default" w:ascii="Times New Roman" w:hAnsi="Times New Roman" w:eastAsia="宋体" w:cs="Times New Roman"/>
                <w:color w:val="auto"/>
                <w:sz w:val="21"/>
                <w:szCs w:val="21"/>
                <w:highlight w:val="none"/>
                <w:lang w:val="en-US" w:eastAsia="zh-CN"/>
              </w:rPr>
              <w:t>回</w:t>
            </w:r>
            <w:r>
              <w:rPr>
                <w:rFonts w:hint="default" w:ascii="Times New Roman" w:hAnsi="Times New Roman" w:eastAsia="宋体" w:cs="Times New Roman"/>
                <w:color w:val="auto"/>
                <w:sz w:val="21"/>
                <w:szCs w:val="21"/>
                <w:highlight w:val="none"/>
              </w:rPr>
              <w:t>水通过溢流井</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回水管</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消力池</w:t>
            </w:r>
            <w:r>
              <w:rPr>
                <w:rFonts w:hint="default" w:ascii="Times New Roman" w:hAnsi="Times New Roman" w:eastAsia="宋体" w:cs="Times New Roman"/>
                <w:color w:val="auto"/>
                <w:sz w:val="21"/>
                <w:szCs w:val="21"/>
                <w:highlight w:val="none"/>
                <w:lang w:val="en-US" w:eastAsia="zh-CN"/>
              </w:rPr>
              <w:t>进入</w:t>
            </w:r>
            <w:r>
              <w:rPr>
                <w:rFonts w:hint="default" w:ascii="Times New Roman" w:hAnsi="Times New Roman" w:eastAsia="宋体" w:cs="Times New Roman"/>
                <w:color w:val="auto"/>
                <w:sz w:val="21"/>
                <w:szCs w:val="21"/>
                <w:highlight w:val="none"/>
              </w:rPr>
              <w:t>回水池</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通过</w:t>
            </w:r>
            <w:r>
              <w:rPr>
                <w:rFonts w:hint="default" w:ascii="Times New Roman" w:hAnsi="Times New Roman" w:eastAsia="宋体" w:cs="Times New Roman"/>
                <w:color w:val="auto"/>
                <w:sz w:val="21"/>
                <w:szCs w:val="21"/>
                <w:highlight w:val="none"/>
              </w:rPr>
              <w:t>输水管线输送到选矿厂现有高位水池</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作为选矿厂生产用水。</w:t>
            </w:r>
          </w:p>
        </w:tc>
        <w:tc>
          <w:tcPr>
            <w:tcW w:w="295" w:type="pct"/>
            <w:tcBorders>
              <w:right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1" w:type="pct"/>
            <w:vMerge w:val="continue"/>
            <w:tcBorders>
              <w:left w:val="single" w:color="auto" w:sz="4" w:space="0"/>
            </w:tcBorders>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378" w:type="pct"/>
            <w:gridSpan w:val="2"/>
            <w:tcMar>
              <w:left w:w="0" w:type="dxa"/>
              <w:right w:w="0" w:type="dxa"/>
            </w:tcMar>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采暖工程</w:t>
            </w:r>
          </w:p>
        </w:tc>
        <w:tc>
          <w:tcPr>
            <w:tcW w:w="1352" w:type="pct"/>
            <w:tcMar>
              <w:left w:w="0" w:type="dxa"/>
              <w:right w:w="0"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泵站、值班室</w:t>
            </w:r>
            <w:r>
              <w:rPr>
                <w:rFonts w:hint="default" w:ascii="Times New Roman" w:hAnsi="Times New Roman" w:eastAsia="宋体" w:cs="Times New Roman"/>
                <w:color w:val="auto"/>
                <w:sz w:val="21"/>
                <w:szCs w:val="21"/>
                <w:highlight w:val="none"/>
              </w:rPr>
              <w:t>采用电热供暖方式。</w:t>
            </w:r>
          </w:p>
        </w:tc>
        <w:tc>
          <w:tcPr>
            <w:tcW w:w="1200"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泵站、值班室</w:t>
            </w:r>
            <w:r>
              <w:rPr>
                <w:rFonts w:hint="default" w:ascii="Times New Roman" w:hAnsi="Times New Roman" w:eastAsia="宋体" w:cs="Times New Roman"/>
                <w:color w:val="auto"/>
                <w:sz w:val="21"/>
                <w:szCs w:val="21"/>
                <w:highlight w:val="none"/>
              </w:rPr>
              <w:t>采用电热供暖方式。</w:t>
            </w:r>
          </w:p>
        </w:tc>
        <w:tc>
          <w:tcPr>
            <w:tcW w:w="1451" w:type="pct"/>
            <w:tcBorders>
              <w:right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泵站、值班室</w:t>
            </w:r>
            <w:r>
              <w:rPr>
                <w:rFonts w:hint="default" w:ascii="Times New Roman" w:hAnsi="Times New Roman" w:eastAsia="宋体" w:cs="Times New Roman"/>
                <w:color w:val="auto"/>
                <w:sz w:val="21"/>
                <w:szCs w:val="21"/>
                <w:highlight w:val="none"/>
              </w:rPr>
              <w:t>采用电热供暖方式。</w:t>
            </w:r>
          </w:p>
        </w:tc>
        <w:tc>
          <w:tcPr>
            <w:tcW w:w="295" w:type="pct"/>
            <w:tcBorders>
              <w:right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1" w:type="pct"/>
            <w:vMerge w:val="continue"/>
            <w:tcBorders>
              <w:left w:val="single" w:color="auto" w:sz="4" w:space="0"/>
            </w:tcBorders>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378" w:type="pct"/>
            <w:gridSpan w:val="2"/>
            <w:tcMar>
              <w:left w:w="0" w:type="dxa"/>
              <w:right w:w="0" w:type="dxa"/>
            </w:tcMar>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供电工程</w:t>
            </w:r>
          </w:p>
        </w:tc>
        <w:tc>
          <w:tcPr>
            <w:tcW w:w="1352" w:type="pct"/>
            <w:tcMar>
              <w:left w:w="0" w:type="dxa"/>
              <w:right w:w="0"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由西沙德格苏本供电所供给。</w:t>
            </w:r>
          </w:p>
        </w:tc>
        <w:tc>
          <w:tcPr>
            <w:tcW w:w="1200"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由西沙德格苏本供电所供给。</w:t>
            </w:r>
          </w:p>
        </w:tc>
        <w:tc>
          <w:tcPr>
            <w:tcW w:w="1451" w:type="pct"/>
            <w:tcBorders>
              <w:right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由西沙德格苏本供电所供给。</w:t>
            </w:r>
          </w:p>
        </w:tc>
        <w:tc>
          <w:tcPr>
            <w:tcW w:w="295" w:type="pct"/>
            <w:tcBorders>
              <w:right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依托现有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1" w:type="pct"/>
            <w:vMerge w:val="restart"/>
            <w:tcBorders>
              <w:left w:val="single" w:color="auto" w:sz="4" w:space="0"/>
            </w:tcBorders>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环保</w:t>
            </w:r>
          </w:p>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工程</w:t>
            </w:r>
          </w:p>
        </w:tc>
        <w:tc>
          <w:tcPr>
            <w:tcW w:w="378" w:type="pct"/>
            <w:gridSpan w:val="2"/>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废气</w:t>
            </w:r>
          </w:p>
        </w:tc>
        <w:tc>
          <w:tcPr>
            <w:tcW w:w="1352" w:type="pct"/>
            <w:tcMar>
              <w:left w:w="0" w:type="dxa"/>
              <w:right w:w="0" w:type="dxa"/>
            </w:tcMar>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bCs/>
                <w:color w:val="auto"/>
                <w:sz w:val="21"/>
                <w:szCs w:val="21"/>
                <w:highlight w:val="none"/>
              </w:rPr>
              <w:t>尾矿库产生的粉尘</w:t>
            </w:r>
            <w:r>
              <w:rPr>
                <w:rFonts w:hint="default" w:ascii="Times New Roman" w:hAnsi="Times New Roman" w:eastAsia="宋体" w:cs="Times New Roman"/>
                <w:bCs/>
                <w:color w:val="auto"/>
                <w:sz w:val="21"/>
                <w:szCs w:val="21"/>
                <w:highlight w:val="none"/>
                <w:lang w:eastAsia="zh-CN"/>
              </w:rPr>
              <w:t>采用洒水车、水管进行</w:t>
            </w:r>
            <w:r>
              <w:rPr>
                <w:rFonts w:hint="default" w:ascii="Times New Roman" w:hAnsi="Times New Roman" w:eastAsia="宋体" w:cs="Times New Roman"/>
                <w:bCs/>
                <w:color w:val="auto"/>
                <w:sz w:val="21"/>
                <w:szCs w:val="21"/>
                <w:highlight w:val="none"/>
              </w:rPr>
              <w:t>洒水降尘</w:t>
            </w:r>
            <w:r>
              <w:rPr>
                <w:rFonts w:hint="default" w:ascii="Times New Roman" w:hAnsi="Times New Roman" w:eastAsia="宋体" w:cs="Times New Roman"/>
                <w:bCs/>
                <w:color w:val="auto"/>
                <w:sz w:val="21"/>
                <w:szCs w:val="21"/>
                <w:highlight w:val="none"/>
                <w:lang w:eastAsia="zh-CN"/>
              </w:rPr>
              <w:t>。</w:t>
            </w:r>
          </w:p>
        </w:tc>
        <w:tc>
          <w:tcPr>
            <w:tcW w:w="1200" w:type="pct"/>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rPr>
              <w:t>对表面干滩面采用</w:t>
            </w:r>
            <w:r>
              <w:rPr>
                <w:rFonts w:hint="default" w:ascii="Times New Roman" w:hAnsi="Times New Roman" w:eastAsia="宋体" w:cs="Times New Roman"/>
                <w:color w:val="auto"/>
                <w:sz w:val="21"/>
                <w:szCs w:val="21"/>
                <w:highlight w:val="none"/>
                <w:lang w:eastAsia="zh-CN"/>
              </w:rPr>
              <w:t>分散放矿，</w:t>
            </w:r>
            <w:r>
              <w:rPr>
                <w:rFonts w:hint="default" w:ascii="Times New Roman" w:hAnsi="Times New Roman" w:eastAsia="宋体" w:cs="Times New Roman"/>
                <w:color w:val="auto"/>
                <w:sz w:val="21"/>
                <w:szCs w:val="21"/>
                <w:highlight w:val="none"/>
              </w:rPr>
              <w:t>并配合</w:t>
            </w:r>
            <w:r>
              <w:rPr>
                <w:rFonts w:hint="default" w:ascii="Times New Roman" w:hAnsi="Times New Roman" w:eastAsia="宋体" w:cs="Times New Roman"/>
                <w:bCs/>
                <w:color w:val="auto"/>
                <w:sz w:val="21"/>
                <w:szCs w:val="21"/>
                <w:highlight w:val="none"/>
                <w:lang w:eastAsia="zh-CN"/>
              </w:rPr>
              <w:t>洒水车、水管进行</w:t>
            </w:r>
            <w:r>
              <w:rPr>
                <w:rFonts w:hint="default" w:ascii="Times New Roman" w:hAnsi="Times New Roman" w:eastAsia="宋体" w:cs="Times New Roman"/>
                <w:bCs/>
                <w:color w:val="auto"/>
                <w:sz w:val="21"/>
                <w:szCs w:val="21"/>
                <w:highlight w:val="none"/>
              </w:rPr>
              <w:t>洒水降尘。</w:t>
            </w:r>
          </w:p>
        </w:tc>
        <w:tc>
          <w:tcPr>
            <w:tcW w:w="1451" w:type="pct"/>
            <w:tcBorders>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rPr>
              <w:t>对表面干滩面采用</w:t>
            </w:r>
            <w:r>
              <w:rPr>
                <w:rFonts w:hint="default" w:ascii="Times New Roman" w:hAnsi="Times New Roman" w:eastAsia="宋体" w:cs="Times New Roman"/>
                <w:color w:val="auto"/>
                <w:sz w:val="21"/>
                <w:szCs w:val="21"/>
                <w:highlight w:val="none"/>
                <w:lang w:eastAsia="zh-CN"/>
              </w:rPr>
              <w:t>分散放矿，</w:t>
            </w:r>
            <w:r>
              <w:rPr>
                <w:rFonts w:hint="default" w:ascii="Times New Roman" w:hAnsi="Times New Roman" w:eastAsia="宋体" w:cs="Times New Roman"/>
                <w:color w:val="auto"/>
                <w:sz w:val="21"/>
                <w:szCs w:val="21"/>
                <w:highlight w:val="none"/>
              </w:rPr>
              <w:t>并配合</w:t>
            </w:r>
            <w:r>
              <w:rPr>
                <w:rFonts w:hint="default" w:ascii="Times New Roman" w:hAnsi="Times New Roman" w:eastAsia="宋体" w:cs="Times New Roman"/>
                <w:bCs/>
                <w:color w:val="auto"/>
                <w:sz w:val="21"/>
                <w:szCs w:val="21"/>
                <w:highlight w:val="none"/>
                <w:lang w:eastAsia="zh-CN"/>
              </w:rPr>
              <w:t>洒水车、水管进行</w:t>
            </w:r>
            <w:r>
              <w:rPr>
                <w:rFonts w:hint="default" w:ascii="Times New Roman" w:hAnsi="Times New Roman" w:eastAsia="宋体" w:cs="Times New Roman"/>
                <w:bCs/>
                <w:color w:val="auto"/>
                <w:sz w:val="21"/>
                <w:szCs w:val="21"/>
                <w:highlight w:val="none"/>
              </w:rPr>
              <w:t>洒水降尘。</w:t>
            </w:r>
          </w:p>
        </w:tc>
        <w:tc>
          <w:tcPr>
            <w:tcW w:w="295" w:type="pct"/>
            <w:tcBorders>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color w:val="auto"/>
                <w:sz w:val="21"/>
                <w:szCs w:val="21"/>
                <w:highlight w:val="none"/>
                <w:lang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1" w:type="pct"/>
            <w:vMerge w:val="continue"/>
            <w:tcBorders>
              <w:left w:val="single" w:color="auto" w:sz="4" w:space="0"/>
            </w:tcBorders>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378" w:type="pct"/>
            <w:gridSpan w:val="2"/>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废水</w:t>
            </w:r>
          </w:p>
        </w:tc>
        <w:tc>
          <w:tcPr>
            <w:tcW w:w="1352" w:type="pct"/>
            <w:tcMar>
              <w:left w:w="0" w:type="dxa"/>
              <w:right w:w="0" w:type="dxa"/>
            </w:tcMar>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eastAsia="zh-CN"/>
              </w:rPr>
              <w:t>尾矿库内的水通过消力池、回水池及输水管线输送到选矿厂作为生产用水。无新增工作人员，无新增生活污水产生。</w:t>
            </w:r>
          </w:p>
        </w:tc>
        <w:tc>
          <w:tcPr>
            <w:tcW w:w="1200" w:type="pct"/>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eastAsia="zh-CN"/>
              </w:rPr>
              <w:t>项目尾矿</w:t>
            </w:r>
            <w:r>
              <w:rPr>
                <w:rFonts w:hint="default" w:ascii="Times New Roman" w:hAnsi="Times New Roman" w:eastAsia="宋体" w:cs="Times New Roman"/>
                <w:bCs/>
                <w:color w:val="auto"/>
                <w:sz w:val="21"/>
                <w:szCs w:val="21"/>
                <w:highlight w:val="none"/>
                <w:lang w:val="en-US" w:eastAsia="zh-CN"/>
              </w:rPr>
              <w:t>库内回水</w:t>
            </w:r>
            <w:r>
              <w:rPr>
                <w:rFonts w:hint="default" w:ascii="Times New Roman" w:hAnsi="Times New Roman" w:eastAsia="宋体" w:cs="Times New Roman"/>
                <w:color w:val="auto"/>
                <w:sz w:val="21"/>
                <w:szCs w:val="21"/>
                <w:highlight w:val="none"/>
              </w:rPr>
              <w:t>通过溢流井</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回水管</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消力池</w:t>
            </w:r>
            <w:r>
              <w:rPr>
                <w:rFonts w:hint="default" w:ascii="Times New Roman" w:hAnsi="Times New Roman" w:eastAsia="宋体" w:cs="Times New Roman"/>
                <w:color w:val="auto"/>
                <w:sz w:val="21"/>
                <w:szCs w:val="21"/>
                <w:highlight w:val="none"/>
                <w:lang w:val="en-US" w:eastAsia="zh-CN"/>
              </w:rPr>
              <w:t>进入新建</w:t>
            </w:r>
            <w:r>
              <w:rPr>
                <w:rFonts w:hint="default" w:ascii="Times New Roman" w:hAnsi="Times New Roman" w:eastAsia="宋体" w:cs="Times New Roman"/>
                <w:color w:val="auto"/>
                <w:sz w:val="21"/>
                <w:szCs w:val="21"/>
                <w:highlight w:val="none"/>
              </w:rPr>
              <w:t>回水池</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bCs/>
                <w:color w:val="auto"/>
                <w:sz w:val="21"/>
                <w:szCs w:val="21"/>
                <w:highlight w:val="none"/>
                <w:lang w:eastAsia="zh-CN"/>
              </w:rPr>
              <w:t>再通过新建回水泵站泵送至选矿厂现有高位水池，</w:t>
            </w:r>
            <w:r>
              <w:rPr>
                <w:rFonts w:hint="default" w:ascii="Times New Roman" w:hAnsi="Times New Roman" w:eastAsia="宋体" w:cs="Times New Roman"/>
                <w:bCs/>
                <w:color w:val="auto"/>
                <w:sz w:val="21"/>
                <w:szCs w:val="21"/>
                <w:highlight w:val="none"/>
                <w:lang w:val="en-US" w:eastAsia="zh-CN"/>
              </w:rPr>
              <w:t>作为生产用水循环使用，</w:t>
            </w:r>
            <w:r>
              <w:rPr>
                <w:rFonts w:hint="default" w:ascii="Times New Roman" w:hAnsi="Times New Roman" w:eastAsia="宋体" w:cs="Times New Roman"/>
                <w:bCs/>
                <w:color w:val="auto"/>
                <w:sz w:val="21"/>
                <w:szCs w:val="21"/>
                <w:highlight w:val="none"/>
                <w:lang w:eastAsia="zh-CN"/>
              </w:rPr>
              <w:t>无废水排放；无新增工作人员，无新增生活污水产生。</w:t>
            </w:r>
          </w:p>
        </w:tc>
        <w:tc>
          <w:tcPr>
            <w:tcW w:w="1451" w:type="pct"/>
            <w:tcBorders>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eastAsia="zh-CN"/>
              </w:rPr>
              <w:t>项目尾矿</w:t>
            </w:r>
            <w:r>
              <w:rPr>
                <w:rFonts w:hint="default" w:ascii="Times New Roman" w:hAnsi="Times New Roman" w:eastAsia="宋体" w:cs="Times New Roman"/>
                <w:bCs/>
                <w:color w:val="auto"/>
                <w:sz w:val="21"/>
                <w:szCs w:val="21"/>
                <w:highlight w:val="none"/>
                <w:lang w:val="en-US" w:eastAsia="zh-CN"/>
              </w:rPr>
              <w:t>库内回水</w:t>
            </w:r>
            <w:r>
              <w:rPr>
                <w:rFonts w:hint="default" w:ascii="Times New Roman" w:hAnsi="Times New Roman" w:eastAsia="宋体" w:cs="Times New Roman"/>
                <w:color w:val="auto"/>
                <w:sz w:val="21"/>
                <w:szCs w:val="21"/>
                <w:highlight w:val="none"/>
              </w:rPr>
              <w:t>通过溢流井</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回水管</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消力池</w:t>
            </w:r>
            <w:r>
              <w:rPr>
                <w:rFonts w:hint="default" w:ascii="Times New Roman" w:hAnsi="Times New Roman" w:eastAsia="宋体" w:cs="Times New Roman"/>
                <w:color w:val="auto"/>
                <w:sz w:val="21"/>
                <w:szCs w:val="21"/>
                <w:highlight w:val="none"/>
                <w:lang w:val="en-US" w:eastAsia="zh-CN"/>
              </w:rPr>
              <w:t>进入新建</w:t>
            </w:r>
            <w:r>
              <w:rPr>
                <w:rFonts w:hint="default" w:ascii="Times New Roman" w:hAnsi="Times New Roman" w:eastAsia="宋体" w:cs="Times New Roman"/>
                <w:color w:val="auto"/>
                <w:sz w:val="21"/>
                <w:szCs w:val="21"/>
                <w:highlight w:val="none"/>
              </w:rPr>
              <w:t>回水池</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bCs/>
                <w:color w:val="auto"/>
                <w:sz w:val="21"/>
                <w:szCs w:val="21"/>
                <w:highlight w:val="none"/>
                <w:lang w:eastAsia="zh-CN"/>
              </w:rPr>
              <w:t>再通过新建回水泵站泵送至选矿厂现有高位水池，</w:t>
            </w:r>
            <w:r>
              <w:rPr>
                <w:rFonts w:hint="default" w:ascii="Times New Roman" w:hAnsi="Times New Roman" w:eastAsia="宋体" w:cs="Times New Roman"/>
                <w:bCs/>
                <w:color w:val="auto"/>
                <w:sz w:val="21"/>
                <w:szCs w:val="21"/>
                <w:highlight w:val="none"/>
                <w:lang w:val="en-US" w:eastAsia="zh-CN"/>
              </w:rPr>
              <w:t>作为生产用水循环使用，</w:t>
            </w:r>
            <w:r>
              <w:rPr>
                <w:rFonts w:hint="default" w:ascii="Times New Roman" w:hAnsi="Times New Roman" w:eastAsia="宋体" w:cs="Times New Roman"/>
                <w:bCs/>
                <w:color w:val="auto"/>
                <w:sz w:val="21"/>
                <w:szCs w:val="21"/>
                <w:highlight w:val="none"/>
                <w:lang w:eastAsia="zh-CN"/>
              </w:rPr>
              <w:t>无废水排放；无新增工作人员，无新增生活污水产生。</w:t>
            </w:r>
          </w:p>
        </w:tc>
        <w:tc>
          <w:tcPr>
            <w:tcW w:w="295" w:type="pct"/>
            <w:tcBorders>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Cs/>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1" w:type="pct"/>
            <w:vMerge w:val="continue"/>
            <w:tcBorders>
              <w:left w:val="single" w:color="auto" w:sz="4" w:space="0"/>
            </w:tcBorders>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378" w:type="pct"/>
            <w:gridSpan w:val="2"/>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噪声</w:t>
            </w:r>
          </w:p>
        </w:tc>
        <w:tc>
          <w:tcPr>
            <w:tcW w:w="1352" w:type="pct"/>
            <w:tcMar>
              <w:left w:w="0" w:type="dxa"/>
              <w:right w:w="0" w:type="dxa"/>
            </w:tcMar>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采用低噪声设备、泵房隔声等措施。</w:t>
            </w:r>
          </w:p>
        </w:tc>
        <w:tc>
          <w:tcPr>
            <w:tcW w:w="1200" w:type="pct"/>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采用低噪声设备、泵房隔声等措施。</w:t>
            </w:r>
          </w:p>
        </w:tc>
        <w:tc>
          <w:tcPr>
            <w:tcW w:w="1451" w:type="pct"/>
            <w:tcBorders>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采用低噪声设备、泵房隔声等措施。</w:t>
            </w:r>
          </w:p>
        </w:tc>
        <w:tc>
          <w:tcPr>
            <w:tcW w:w="295" w:type="pct"/>
            <w:tcBorders>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1" w:type="pct"/>
            <w:vMerge w:val="continue"/>
            <w:tcBorders>
              <w:left w:val="single" w:color="auto" w:sz="4" w:space="0"/>
            </w:tcBorders>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378" w:type="pct"/>
            <w:gridSpan w:val="2"/>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固废</w:t>
            </w:r>
          </w:p>
        </w:tc>
        <w:tc>
          <w:tcPr>
            <w:tcW w:w="1352" w:type="pct"/>
            <w:tcMar>
              <w:left w:w="0" w:type="dxa"/>
              <w:right w:w="0" w:type="dxa"/>
            </w:tcMar>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选矿</w:t>
            </w:r>
            <w:r>
              <w:rPr>
                <w:rFonts w:hint="default" w:ascii="Times New Roman" w:hAnsi="Times New Roman" w:eastAsia="宋体" w:cs="Times New Roman"/>
                <w:color w:val="auto"/>
                <w:sz w:val="21"/>
                <w:szCs w:val="21"/>
                <w:highlight w:val="none"/>
                <w:lang w:eastAsia="zh-CN"/>
              </w:rPr>
              <w:t>尾矿砂</w:t>
            </w:r>
            <w:r>
              <w:rPr>
                <w:rFonts w:hint="default" w:ascii="Times New Roman" w:hAnsi="Times New Roman" w:eastAsia="宋体" w:cs="Times New Roman"/>
                <w:color w:val="auto"/>
                <w:sz w:val="21"/>
                <w:szCs w:val="21"/>
                <w:highlight w:val="none"/>
              </w:rPr>
              <w:t>为I类一般工业固废</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排至尾矿库堆存。</w:t>
            </w:r>
          </w:p>
        </w:tc>
        <w:tc>
          <w:tcPr>
            <w:tcW w:w="1200" w:type="pct"/>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本公司产生的</w:t>
            </w:r>
            <w:r>
              <w:rPr>
                <w:rFonts w:hint="default" w:ascii="Times New Roman" w:hAnsi="Times New Roman" w:eastAsia="宋体" w:cs="Times New Roman"/>
                <w:color w:val="auto"/>
                <w:sz w:val="21"/>
                <w:szCs w:val="21"/>
                <w:highlight w:val="none"/>
                <w:lang w:eastAsia="zh-CN"/>
              </w:rPr>
              <w:t>尾矿砂</w:t>
            </w:r>
            <w:r>
              <w:rPr>
                <w:rFonts w:hint="default" w:ascii="Times New Roman" w:hAnsi="Times New Roman" w:eastAsia="宋体" w:cs="Times New Roman"/>
                <w:color w:val="auto"/>
                <w:sz w:val="21"/>
                <w:szCs w:val="21"/>
                <w:highlight w:val="none"/>
              </w:rPr>
              <w:t>为I类一般工业固废</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排至尾矿库堆存</w:t>
            </w:r>
            <w:r>
              <w:rPr>
                <w:rFonts w:hint="default" w:ascii="Times New Roman" w:hAnsi="Times New Roman" w:eastAsia="宋体" w:cs="Times New Roman"/>
                <w:color w:val="auto"/>
                <w:sz w:val="21"/>
                <w:szCs w:val="21"/>
                <w:highlight w:val="none"/>
                <w:lang w:eastAsia="zh-CN"/>
              </w:rPr>
              <w:t>。</w:t>
            </w:r>
          </w:p>
        </w:tc>
        <w:tc>
          <w:tcPr>
            <w:tcW w:w="1451" w:type="pct"/>
            <w:tcBorders>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本公司产生的</w:t>
            </w:r>
            <w:r>
              <w:rPr>
                <w:rFonts w:hint="default" w:ascii="Times New Roman" w:hAnsi="Times New Roman" w:eastAsia="宋体" w:cs="Times New Roman"/>
                <w:color w:val="auto"/>
                <w:sz w:val="21"/>
                <w:szCs w:val="21"/>
                <w:highlight w:val="none"/>
                <w:lang w:eastAsia="zh-CN"/>
              </w:rPr>
              <w:t>尾矿砂</w:t>
            </w:r>
            <w:r>
              <w:rPr>
                <w:rFonts w:hint="default" w:ascii="Times New Roman" w:hAnsi="Times New Roman" w:eastAsia="宋体" w:cs="Times New Roman"/>
                <w:color w:val="auto"/>
                <w:sz w:val="21"/>
                <w:szCs w:val="21"/>
                <w:highlight w:val="none"/>
              </w:rPr>
              <w:t>为I类一般工业固废</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排至尾矿库堆存</w:t>
            </w:r>
            <w:r>
              <w:rPr>
                <w:rFonts w:hint="default" w:ascii="Times New Roman" w:hAnsi="Times New Roman" w:eastAsia="宋体" w:cs="Times New Roman"/>
                <w:color w:val="auto"/>
                <w:sz w:val="21"/>
                <w:szCs w:val="21"/>
                <w:highlight w:val="none"/>
                <w:lang w:eastAsia="zh-CN"/>
              </w:rPr>
              <w:t>。</w:t>
            </w:r>
          </w:p>
        </w:tc>
        <w:tc>
          <w:tcPr>
            <w:tcW w:w="295" w:type="pct"/>
            <w:tcBorders>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1" w:type="pct"/>
            <w:vMerge w:val="continue"/>
            <w:tcBorders>
              <w:left w:val="single" w:color="auto" w:sz="4" w:space="0"/>
            </w:tcBorders>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378" w:type="pct"/>
            <w:gridSpan w:val="2"/>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生态</w:t>
            </w:r>
          </w:p>
        </w:tc>
        <w:tc>
          <w:tcPr>
            <w:tcW w:w="1352" w:type="pct"/>
            <w:tcMar>
              <w:left w:w="0" w:type="dxa"/>
              <w:right w:w="0" w:type="dxa"/>
            </w:tcMar>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服务期满后</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按照《一般工业固体废物贮存和填埋污染控制标准》（GB18599-2020</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的</w:t>
            </w:r>
            <w:r>
              <w:rPr>
                <w:rFonts w:hint="default" w:ascii="Times New Roman" w:hAnsi="Times New Roman" w:eastAsia="宋体" w:cs="Times New Roman"/>
                <w:color w:val="auto"/>
                <w:sz w:val="21"/>
                <w:szCs w:val="21"/>
                <w:highlight w:val="none"/>
              </w:rPr>
              <w:fldChar w:fldCharType="begin"/>
            </w:r>
            <w:r>
              <w:rPr>
                <w:rFonts w:hint="default" w:ascii="Times New Roman" w:hAnsi="Times New Roman" w:eastAsia="宋体" w:cs="Times New Roman"/>
                <w:color w:val="auto"/>
                <w:sz w:val="21"/>
                <w:szCs w:val="21"/>
                <w:highlight w:val="none"/>
              </w:rPr>
              <w:instrText xml:space="preserve"> = 2 \* ROMAN \* MERGEFORMAT </w:instrText>
            </w:r>
            <w:r>
              <w:rPr>
                <w:rFonts w:hint="default" w:ascii="Times New Roman" w:hAnsi="Times New Roman" w:eastAsia="宋体" w:cs="Times New Roman"/>
                <w:color w:val="auto"/>
                <w:sz w:val="21"/>
                <w:szCs w:val="21"/>
                <w:highlight w:val="none"/>
              </w:rPr>
              <w:fldChar w:fldCharType="separate"/>
            </w:r>
            <w:r>
              <w:rPr>
                <w:rFonts w:hint="default" w:ascii="Times New Roman" w:hAnsi="Times New Roman" w:eastAsia="宋体" w:cs="Times New Roman"/>
                <w:color w:val="auto"/>
                <w:sz w:val="21"/>
                <w:szCs w:val="21"/>
                <w:highlight w:val="none"/>
                <w:lang w:eastAsia="zh-CN"/>
              </w:rPr>
              <w:t>Ⅱ</w:t>
            </w:r>
            <w:r>
              <w:rPr>
                <w:rFonts w:hint="default" w:ascii="Times New Roman" w:hAnsi="Times New Roman" w:eastAsia="宋体" w:cs="Times New Roman"/>
                <w:color w:val="auto"/>
                <w:sz w:val="21"/>
                <w:szCs w:val="21"/>
                <w:highlight w:val="none"/>
              </w:rPr>
              <w:fldChar w:fldCharType="end"/>
            </w:r>
            <w:r>
              <w:rPr>
                <w:rFonts w:hint="default" w:ascii="Times New Roman" w:hAnsi="Times New Roman" w:eastAsia="宋体" w:cs="Times New Roman"/>
                <w:color w:val="auto"/>
                <w:sz w:val="21"/>
                <w:szCs w:val="21"/>
                <w:highlight w:val="none"/>
              </w:rPr>
              <w:t>类场要求</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进行封场闭库</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表层采取固土和覆土措施</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撒播草种及时进行复垦恢复植被。</w:t>
            </w:r>
          </w:p>
        </w:tc>
        <w:tc>
          <w:tcPr>
            <w:tcW w:w="1200" w:type="pct"/>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服务期满后</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尾矿坝外坡面需采用沙棘、草苜蓿等耐旱灌木或草种进行植被绿化。</w:t>
            </w:r>
          </w:p>
        </w:tc>
        <w:tc>
          <w:tcPr>
            <w:tcW w:w="1451" w:type="pct"/>
            <w:tcBorders>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服务期满后</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一般工业固废应执行《一般工业固体废物贮存和填埋污染控制标准》（GB18599-2020</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中的有关规定</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进行封场闭库</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表层采取固土和覆土措施</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撒播草种及时进行复垦恢复植被。</w:t>
            </w:r>
          </w:p>
        </w:tc>
        <w:tc>
          <w:tcPr>
            <w:tcW w:w="295" w:type="pct"/>
            <w:tcBorders>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1" w:type="pct"/>
            <w:vMerge w:val="continue"/>
            <w:tcBorders>
              <w:left w:val="single" w:color="auto" w:sz="4" w:space="0"/>
            </w:tcBorders>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378" w:type="pct"/>
            <w:gridSpan w:val="2"/>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风险</w:t>
            </w:r>
          </w:p>
        </w:tc>
        <w:tc>
          <w:tcPr>
            <w:tcW w:w="1352" w:type="pct"/>
            <w:tcMar>
              <w:left w:w="0" w:type="dxa"/>
              <w:right w:w="0" w:type="dxa"/>
            </w:tcMar>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设有排水涵管、排渗系统、安全观测设施等</w:t>
            </w:r>
          </w:p>
        </w:tc>
        <w:tc>
          <w:tcPr>
            <w:tcW w:w="1200" w:type="pct"/>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设置溢洪道、排渗系统、安全观测设施等</w:t>
            </w:r>
          </w:p>
        </w:tc>
        <w:tc>
          <w:tcPr>
            <w:tcW w:w="1451" w:type="pct"/>
            <w:tcBorders>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设置溢洪道、排渗系统、安全观测设施等</w:t>
            </w:r>
          </w:p>
        </w:tc>
        <w:tc>
          <w:tcPr>
            <w:tcW w:w="295" w:type="pct"/>
            <w:tcBorders>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1" w:type="pct"/>
            <w:vMerge w:val="continue"/>
            <w:tcBorders>
              <w:left w:val="single" w:color="auto" w:sz="4" w:space="0"/>
            </w:tcBorders>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378" w:type="pct"/>
            <w:gridSpan w:val="2"/>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地下水监控井</w:t>
            </w:r>
          </w:p>
        </w:tc>
        <w:tc>
          <w:tcPr>
            <w:tcW w:w="1352" w:type="pct"/>
            <w:tcMar>
              <w:left w:w="0" w:type="dxa"/>
              <w:right w:w="0" w:type="dxa"/>
            </w:tcMar>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尾矿库设3座跟踪监控井</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1#E</w:t>
            </w:r>
            <w:r>
              <w:rPr>
                <w:rFonts w:hint="default" w:ascii="Times New Roman" w:hAnsi="Times New Roman" w:eastAsia="宋体" w:cs="Times New Roman"/>
                <w:color w:val="auto"/>
                <w:kern w:val="0"/>
                <w:sz w:val="21"/>
                <w:szCs w:val="21"/>
                <w:highlight w:val="none"/>
                <w:lang w:bidi="ar"/>
              </w:rPr>
              <w:t>109°25'32.33"</w:t>
            </w:r>
            <w:r>
              <w:rPr>
                <w:rFonts w:hint="default" w:ascii="Times New Roman" w:hAnsi="Times New Roman" w:eastAsia="宋体" w:cs="Times New Roman"/>
                <w:color w:val="auto"/>
                <w:kern w:val="0"/>
                <w:sz w:val="21"/>
                <w:szCs w:val="21"/>
                <w:highlight w:val="none"/>
                <w:lang w:val="en-US" w:eastAsia="zh-CN" w:bidi="ar"/>
              </w:rPr>
              <w:t>，N</w:t>
            </w:r>
            <w:r>
              <w:rPr>
                <w:rFonts w:hint="default" w:ascii="Times New Roman" w:hAnsi="Times New Roman" w:eastAsia="宋体" w:cs="Times New Roman"/>
                <w:color w:val="auto"/>
                <w:kern w:val="0"/>
                <w:sz w:val="21"/>
                <w:szCs w:val="21"/>
                <w:highlight w:val="none"/>
                <w:lang w:bidi="ar"/>
              </w:rPr>
              <w:t>40°48'56.79"</w:t>
            </w:r>
            <w:r>
              <w:rPr>
                <w:rFonts w:hint="default" w:ascii="Times New Roman" w:hAnsi="Times New Roman" w:eastAsia="宋体" w:cs="Times New Roman"/>
                <w:color w:val="auto"/>
                <w:kern w:val="0"/>
                <w:sz w:val="21"/>
                <w:szCs w:val="21"/>
                <w:highlight w:val="none"/>
                <w:lang w:eastAsia="zh-CN" w:bidi="ar"/>
              </w:rPr>
              <w:t>；</w:t>
            </w:r>
            <w:r>
              <w:rPr>
                <w:rFonts w:hint="default" w:ascii="Times New Roman" w:hAnsi="Times New Roman" w:eastAsia="宋体" w:cs="Times New Roman"/>
                <w:color w:val="auto"/>
                <w:kern w:val="0"/>
                <w:sz w:val="21"/>
                <w:szCs w:val="21"/>
                <w:highlight w:val="none"/>
                <w:lang w:val="en-US" w:eastAsia="zh-CN" w:bidi="ar"/>
              </w:rPr>
              <w:t>2#E</w:t>
            </w:r>
            <w:r>
              <w:rPr>
                <w:rFonts w:hint="default" w:ascii="Times New Roman" w:hAnsi="Times New Roman" w:eastAsia="宋体" w:cs="Times New Roman"/>
                <w:color w:val="auto"/>
                <w:kern w:val="0"/>
                <w:sz w:val="21"/>
                <w:szCs w:val="21"/>
                <w:highlight w:val="none"/>
                <w:lang w:bidi="ar"/>
              </w:rPr>
              <w:t>109°26'06.67"</w:t>
            </w:r>
            <w:r>
              <w:rPr>
                <w:rFonts w:hint="default" w:ascii="Times New Roman" w:hAnsi="Times New Roman" w:eastAsia="宋体" w:cs="Times New Roman"/>
                <w:color w:val="auto"/>
                <w:kern w:val="0"/>
                <w:sz w:val="21"/>
                <w:szCs w:val="21"/>
                <w:highlight w:val="none"/>
                <w:lang w:eastAsia="zh-CN" w:bidi="ar"/>
              </w:rPr>
              <w:t>，</w:t>
            </w:r>
            <w:r>
              <w:rPr>
                <w:rFonts w:hint="default" w:ascii="Times New Roman" w:hAnsi="Times New Roman" w:eastAsia="宋体" w:cs="Times New Roman"/>
                <w:color w:val="auto"/>
                <w:kern w:val="0"/>
                <w:sz w:val="21"/>
                <w:szCs w:val="21"/>
                <w:highlight w:val="none"/>
                <w:lang w:val="en-US" w:eastAsia="zh-CN" w:bidi="ar"/>
              </w:rPr>
              <w:t>N</w:t>
            </w:r>
            <w:r>
              <w:rPr>
                <w:rFonts w:hint="default" w:ascii="Times New Roman" w:hAnsi="Times New Roman" w:eastAsia="宋体" w:cs="Times New Roman"/>
                <w:color w:val="auto"/>
                <w:kern w:val="0"/>
                <w:sz w:val="21"/>
                <w:szCs w:val="21"/>
                <w:highlight w:val="none"/>
                <w:lang w:bidi="ar"/>
              </w:rPr>
              <w:t>40°48'16.35"</w:t>
            </w:r>
            <w:r>
              <w:rPr>
                <w:rFonts w:hint="default" w:ascii="Times New Roman" w:hAnsi="Times New Roman" w:eastAsia="宋体" w:cs="Times New Roman"/>
                <w:color w:val="auto"/>
                <w:kern w:val="0"/>
                <w:sz w:val="21"/>
                <w:szCs w:val="21"/>
                <w:highlight w:val="none"/>
                <w:lang w:val="en-US" w:eastAsia="zh-CN" w:bidi="ar"/>
              </w:rPr>
              <w:t>；3#E</w:t>
            </w:r>
            <w:r>
              <w:rPr>
                <w:rFonts w:hint="default" w:ascii="Times New Roman" w:hAnsi="Times New Roman" w:eastAsia="宋体" w:cs="Times New Roman"/>
                <w:color w:val="auto"/>
                <w:kern w:val="0"/>
                <w:sz w:val="21"/>
                <w:szCs w:val="21"/>
                <w:highlight w:val="none"/>
                <w:lang w:bidi="ar"/>
              </w:rPr>
              <w:t>109°25'16.02"</w:t>
            </w:r>
            <w:r>
              <w:rPr>
                <w:rFonts w:hint="default" w:ascii="Times New Roman" w:hAnsi="Times New Roman" w:eastAsia="宋体" w:cs="Times New Roman"/>
                <w:color w:val="auto"/>
                <w:kern w:val="0"/>
                <w:sz w:val="21"/>
                <w:szCs w:val="21"/>
                <w:highlight w:val="none"/>
                <w:lang w:val="en-US" w:eastAsia="zh-CN" w:bidi="ar"/>
              </w:rPr>
              <w:t>，N</w:t>
            </w:r>
            <w:r>
              <w:rPr>
                <w:rFonts w:hint="default" w:ascii="Times New Roman" w:hAnsi="Times New Roman" w:eastAsia="宋体" w:cs="Times New Roman"/>
                <w:color w:val="auto"/>
                <w:kern w:val="0"/>
                <w:sz w:val="21"/>
                <w:szCs w:val="21"/>
                <w:highlight w:val="none"/>
                <w:lang w:bidi="ar"/>
              </w:rPr>
              <w:t>40°47'18.73"</w:t>
            </w:r>
            <w:r>
              <w:rPr>
                <w:rFonts w:hint="default" w:ascii="Times New Roman" w:hAnsi="Times New Roman" w:eastAsia="宋体" w:cs="Times New Roman"/>
                <w:color w:val="auto"/>
                <w:kern w:val="0"/>
                <w:sz w:val="21"/>
                <w:szCs w:val="21"/>
                <w:highlight w:val="none"/>
                <w:lang w:val="en-US" w:eastAsia="zh-CN" w:bidi="ar"/>
              </w:rPr>
              <w:t>；</w:t>
            </w:r>
          </w:p>
        </w:tc>
        <w:tc>
          <w:tcPr>
            <w:tcW w:w="1200" w:type="pct"/>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依托现有</w:t>
            </w:r>
          </w:p>
        </w:tc>
        <w:tc>
          <w:tcPr>
            <w:tcW w:w="1451" w:type="pct"/>
            <w:tcBorders>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尾矿库设3座跟踪监控井</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1#E</w:t>
            </w:r>
            <w:r>
              <w:rPr>
                <w:rFonts w:hint="default" w:ascii="Times New Roman" w:hAnsi="Times New Roman" w:eastAsia="宋体" w:cs="Times New Roman"/>
                <w:color w:val="auto"/>
                <w:kern w:val="0"/>
                <w:sz w:val="21"/>
                <w:szCs w:val="21"/>
                <w:highlight w:val="none"/>
                <w:lang w:bidi="ar"/>
              </w:rPr>
              <w:t>109°25'32.33"</w:t>
            </w:r>
            <w:r>
              <w:rPr>
                <w:rFonts w:hint="default" w:ascii="Times New Roman" w:hAnsi="Times New Roman" w:eastAsia="宋体" w:cs="Times New Roman"/>
                <w:color w:val="auto"/>
                <w:kern w:val="0"/>
                <w:sz w:val="21"/>
                <w:szCs w:val="21"/>
                <w:highlight w:val="none"/>
                <w:lang w:val="en-US" w:eastAsia="zh-CN" w:bidi="ar"/>
              </w:rPr>
              <w:t>，N</w:t>
            </w:r>
            <w:r>
              <w:rPr>
                <w:rFonts w:hint="default" w:ascii="Times New Roman" w:hAnsi="Times New Roman" w:eastAsia="宋体" w:cs="Times New Roman"/>
                <w:color w:val="auto"/>
                <w:kern w:val="0"/>
                <w:sz w:val="21"/>
                <w:szCs w:val="21"/>
                <w:highlight w:val="none"/>
                <w:lang w:bidi="ar"/>
              </w:rPr>
              <w:t>40°48'56.79"</w:t>
            </w:r>
            <w:r>
              <w:rPr>
                <w:rFonts w:hint="default" w:ascii="Times New Roman" w:hAnsi="Times New Roman" w:eastAsia="宋体" w:cs="Times New Roman"/>
                <w:color w:val="auto"/>
                <w:kern w:val="0"/>
                <w:sz w:val="21"/>
                <w:szCs w:val="21"/>
                <w:highlight w:val="none"/>
                <w:lang w:eastAsia="zh-CN" w:bidi="ar"/>
              </w:rPr>
              <w:t>；</w:t>
            </w:r>
            <w:r>
              <w:rPr>
                <w:rFonts w:hint="default" w:ascii="Times New Roman" w:hAnsi="Times New Roman" w:eastAsia="宋体" w:cs="Times New Roman"/>
                <w:color w:val="auto"/>
                <w:kern w:val="0"/>
                <w:sz w:val="21"/>
                <w:szCs w:val="21"/>
                <w:highlight w:val="none"/>
                <w:lang w:val="en-US" w:eastAsia="zh-CN" w:bidi="ar"/>
              </w:rPr>
              <w:t>2#E</w:t>
            </w:r>
            <w:r>
              <w:rPr>
                <w:rFonts w:hint="default" w:ascii="Times New Roman" w:hAnsi="Times New Roman" w:eastAsia="宋体" w:cs="Times New Roman"/>
                <w:color w:val="auto"/>
                <w:kern w:val="0"/>
                <w:sz w:val="21"/>
                <w:szCs w:val="21"/>
                <w:highlight w:val="none"/>
                <w:lang w:bidi="ar"/>
              </w:rPr>
              <w:t>109°26'06.67"</w:t>
            </w:r>
            <w:r>
              <w:rPr>
                <w:rFonts w:hint="default" w:ascii="Times New Roman" w:hAnsi="Times New Roman" w:eastAsia="宋体" w:cs="Times New Roman"/>
                <w:color w:val="auto"/>
                <w:kern w:val="0"/>
                <w:sz w:val="21"/>
                <w:szCs w:val="21"/>
                <w:highlight w:val="none"/>
                <w:lang w:eastAsia="zh-CN" w:bidi="ar"/>
              </w:rPr>
              <w:t>，</w:t>
            </w:r>
            <w:r>
              <w:rPr>
                <w:rFonts w:hint="default" w:ascii="Times New Roman" w:hAnsi="Times New Roman" w:eastAsia="宋体" w:cs="Times New Roman"/>
                <w:color w:val="auto"/>
                <w:kern w:val="0"/>
                <w:sz w:val="21"/>
                <w:szCs w:val="21"/>
                <w:highlight w:val="none"/>
                <w:lang w:val="en-US" w:eastAsia="zh-CN" w:bidi="ar"/>
              </w:rPr>
              <w:t>N</w:t>
            </w:r>
            <w:r>
              <w:rPr>
                <w:rFonts w:hint="default" w:ascii="Times New Roman" w:hAnsi="Times New Roman" w:eastAsia="宋体" w:cs="Times New Roman"/>
                <w:color w:val="auto"/>
                <w:kern w:val="0"/>
                <w:sz w:val="21"/>
                <w:szCs w:val="21"/>
                <w:highlight w:val="none"/>
                <w:lang w:bidi="ar"/>
              </w:rPr>
              <w:t>40°48'16.35"</w:t>
            </w:r>
            <w:r>
              <w:rPr>
                <w:rFonts w:hint="default" w:ascii="Times New Roman" w:hAnsi="Times New Roman" w:eastAsia="宋体" w:cs="Times New Roman"/>
                <w:color w:val="auto"/>
                <w:kern w:val="0"/>
                <w:sz w:val="21"/>
                <w:szCs w:val="21"/>
                <w:highlight w:val="none"/>
                <w:lang w:val="en-US" w:eastAsia="zh-CN" w:bidi="ar"/>
              </w:rPr>
              <w:t>；3#E</w:t>
            </w:r>
            <w:r>
              <w:rPr>
                <w:rFonts w:hint="default" w:ascii="Times New Roman" w:hAnsi="Times New Roman" w:eastAsia="宋体" w:cs="Times New Roman"/>
                <w:color w:val="auto"/>
                <w:kern w:val="0"/>
                <w:sz w:val="21"/>
                <w:szCs w:val="21"/>
                <w:highlight w:val="none"/>
                <w:lang w:bidi="ar"/>
              </w:rPr>
              <w:t>109°25'16.02"</w:t>
            </w:r>
            <w:r>
              <w:rPr>
                <w:rFonts w:hint="default" w:ascii="Times New Roman" w:hAnsi="Times New Roman" w:eastAsia="宋体" w:cs="Times New Roman"/>
                <w:color w:val="auto"/>
                <w:kern w:val="0"/>
                <w:sz w:val="21"/>
                <w:szCs w:val="21"/>
                <w:highlight w:val="none"/>
                <w:lang w:val="en-US" w:eastAsia="zh-CN" w:bidi="ar"/>
              </w:rPr>
              <w:t>，N</w:t>
            </w:r>
            <w:r>
              <w:rPr>
                <w:rFonts w:hint="default" w:ascii="Times New Roman" w:hAnsi="Times New Roman" w:eastAsia="宋体" w:cs="Times New Roman"/>
                <w:color w:val="auto"/>
                <w:kern w:val="0"/>
                <w:sz w:val="21"/>
                <w:szCs w:val="21"/>
                <w:highlight w:val="none"/>
                <w:lang w:bidi="ar"/>
              </w:rPr>
              <w:t>40°47'18.73"</w:t>
            </w:r>
            <w:r>
              <w:rPr>
                <w:rFonts w:hint="default" w:ascii="Times New Roman" w:hAnsi="Times New Roman" w:eastAsia="宋体" w:cs="Times New Roman"/>
                <w:color w:val="auto"/>
                <w:kern w:val="0"/>
                <w:sz w:val="21"/>
                <w:szCs w:val="21"/>
                <w:highlight w:val="none"/>
                <w:lang w:val="en-US" w:eastAsia="zh-CN" w:bidi="ar"/>
              </w:rPr>
              <w:t>；</w:t>
            </w:r>
          </w:p>
        </w:tc>
        <w:tc>
          <w:tcPr>
            <w:tcW w:w="295" w:type="pct"/>
            <w:tcBorders>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依托现有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1" w:type="pct"/>
            <w:vMerge w:val="continue"/>
            <w:tcBorders>
              <w:left w:val="single" w:color="auto" w:sz="4" w:space="0"/>
              <w:bottom w:val="single" w:color="auto" w:sz="4" w:space="0"/>
            </w:tcBorders>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378" w:type="pct"/>
            <w:gridSpan w:val="2"/>
            <w:tcBorders>
              <w:bottom w:val="single" w:color="auto" w:sz="4" w:space="0"/>
            </w:tcBorders>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防渗</w:t>
            </w:r>
          </w:p>
        </w:tc>
        <w:tc>
          <w:tcPr>
            <w:tcW w:w="1352" w:type="pct"/>
            <w:tcBorders>
              <w:bottom w:val="single" w:color="auto" w:sz="4" w:space="0"/>
            </w:tcBorders>
            <w:tcMar>
              <w:left w:w="0" w:type="dxa"/>
              <w:right w:w="0" w:type="dxa"/>
            </w:tcMar>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现有</w:t>
            </w:r>
            <w:r>
              <w:rPr>
                <w:rFonts w:hint="default" w:ascii="Times New Roman" w:hAnsi="Times New Roman" w:eastAsia="宋体" w:cs="Times New Roman"/>
                <w:color w:val="auto"/>
                <w:sz w:val="21"/>
                <w:szCs w:val="21"/>
                <w:highlight w:val="none"/>
                <w:lang w:eastAsia="zh-CN"/>
              </w:rPr>
              <w:t>尾矿库库底和边坡同样做防渗层，铺设300mm厚级配沙砾石过渡层，300mm厚粘土层（渗透系数不大于10</w:t>
            </w:r>
            <w:r>
              <w:rPr>
                <w:rFonts w:hint="default" w:ascii="Times New Roman" w:hAnsi="Times New Roman" w:eastAsia="宋体" w:cs="Times New Roman"/>
                <w:color w:val="auto"/>
                <w:sz w:val="21"/>
                <w:szCs w:val="21"/>
                <w:highlight w:val="none"/>
                <w:vertAlign w:val="superscript"/>
                <w:lang w:eastAsia="zh-CN"/>
              </w:rPr>
              <w:t>-7</w:t>
            </w:r>
            <w:r>
              <w:rPr>
                <w:rFonts w:hint="default" w:ascii="Times New Roman" w:hAnsi="Times New Roman" w:eastAsia="宋体" w:cs="Times New Roman"/>
                <w:color w:val="auto"/>
                <w:sz w:val="21"/>
                <w:szCs w:val="21"/>
                <w:highlight w:val="none"/>
                <w:lang w:eastAsia="zh-CN"/>
              </w:rPr>
              <w:t>cm/s），1.5mmHDPE土工膜，300mm厚细砂保护层，300mm砂砾石保护层（粒径4-6cm）；初期坝坝体上游坡</w:t>
            </w:r>
            <w:r>
              <w:rPr>
                <w:rFonts w:hint="default" w:ascii="Times New Roman" w:hAnsi="Times New Roman" w:eastAsia="宋体" w:cs="Times New Roman"/>
                <w:color w:val="auto"/>
                <w:sz w:val="21"/>
                <w:szCs w:val="21"/>
                <w:highlight w:val="none"/>
                <w:lang w:val="en-US" w:eastAsia="zh-CN"/>
              </w:rPr>
              <w:t>铺设400mm厚粗砂垫层，然后铺设</w:t>
            </w:r>
            <w:r>
              <w:rPr>
                <w:rFonts w:hint="default" w:ascii="Times New Roman" w:hAnsi="Times New Roman" w:eastAsia="宋体" w:cs="Times New Roman"/>
                <w:color w:val="auto"/>
                <w:sz w:val="21"/>
                <w:szCs w:val="21"/>
                <w:highlight w:val="none"/>
                <w:lang w:eastAsia="zh-CN"/>
              </w:rPr>
              <w:t>500g/m</w:t>
            </w:r>
            <w:r>
              <w:rPr>
                <w:rFonts w:hint="default" w:ascii="Times New Roman" w:hAnsi="Times New Roman" w:eastAsia="宋体" w:cs="Times New Roman"/>
                <w:color w:val="auto"/>
                <w:sz w:val="21"/>
                <w:szCs w:val="21"/>
                <w:highlight w:val="none"/>
                <w:vertAlign w:val="superscript"/>
                <w:lang w:eastAsia="zh-CN"/>
              </w:rPr>
              <w:t>2</w:t>
            </w:r>
            <w:r>
              <w:rPr>
                <w:rFonts w:hint="default" w:ascii="Times New Roman" w:hAnsi="Times New Roman" w:eastAsia="宋体" w:cs="Times New Roman"/>
                <w:color w:val="auto"/>
                <w:sz w:val="21"/>
                <w:szCs w:val="21"/>
                <w:highlight w:val="none"/>
                <w:lang w:val="en-US" w:eastAsia="zh-CN"/>
              </w:rPr>
              <w:t>加筋土工布，最上面铺500mm厚天然砂砾石保护层。</w:t>
            </w:r>
          </w:p>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eastAsia="zh-CN"/>
              </w:rPr>
              <w:t>回水池坝体内侧及整个水池底部全部采用</w:t>
            </w:r>
            <w:r>
              <w:rPr>
                <w:rFonts w:hint="default" w:ascii="Times New Roman" w:hAnsi="Times New Roman" w:eastAsia="宋体" w:cs="Times New Roman"/>
                <w:color w:val="auto"/>
                <w:sz w:val="21"/>
                <w:szCs w:val="21"/>
                <w:highlight w:val="none"/>
                <w:lang w:val="en-US" w:eastAsia="zh-CN"/>
              </w:rPr>
              <w:t>C30抗渗等级P6混凝土。</w:t>
            </w:r>
          </w:p>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消力</w:t>
            </w:r>
            <w:r>
              <w:rPr>
                <w:rFonts w:hint="default" w:ascii="Times New Roman" w:hAnsi="Times New Roman" w:eastAsia="宋体" w:cs="Times New Roman"/>
                <w:color w:val="auto"/>
                <w:sz w:val="21"/>
                <w:szCs w:val="21"/>
                <w:highlight w:val="none"/>
                <w:lang w:eastAsia="zh-CN"/>
              </w:rPr>
              <w:t>池坝体内侧及整个水池底部全部采用</w:t>
            </w:r>
            <w:r>
              <w:rPr>
                <w:rFonts w:hint="default" w:ascii="Times New Roman" w:hAnsi="Times New Roman" w:eastAsia="宋体" w:cs="Times New Roman"/>
                <w:color w:val="auto"/>
                <w:sz w:val="21"/>
                <w:szCs w:val="21"/>
                <w:highlight w:val="none"/>
                <w:lang w:val="en-US" w:eastAsia="zh-CN"/>
              </w:rPr>
              <w:t>C30抗渗等级P6混凝土。</w:t>
            </w:r>
          </w:p>
        </w:tc>
        <w:tc>
          <w:tcPr>
            <w:tcW w:w="1200" w:type="pct"/>
            <w:tcBorders>
              <w:bottom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本次尾矿库加高扩容项目防渗工程包括两部分内容：（1）尾矿库现有库区防渗依托现有防渗措施；（2）紧邻现有尾矿库南侧新增占地上新建尾矿库区防渗措施。</w:t>
            </w:r>
          </w:p>
          <w:p>
            <w:pPr>
              <w:pageBreakBefore w:val="0"/>
              <w:widowControl w:val="0"/>
              <w:kinsoku/>
              <w:wordWrap/>
              <w:overflowPunct/>
              <w:topLinePunct w:val="0"/>
              <w:autoSpaceDE/>
              <w:autoSpaceDN/>
              <w:bidi w:val="0"/>
              <w:snapToGrid w:val="0"/>
              <w:spacing w:line="240" w:lineRule="auto"/>
              <w:ind w:left="0" w:leftChars="0" w:right="0" w:rightChars="0" w:firstLine="422" w:firstLineChars="200"/>
              <w:jc w:val="both"/>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1、现有尾矿库区防渗如下：</w:t>
            </w:r>
          </w:p>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根据《监理报告》可知：现有</w:t>
            </w:r>
            <w:r>
              <w:rPr>
                <w:rFonts w:hint="default" w:ascii="Times New Roman" w:hAnsi="Times New Roman" w:eastAsia="宋体" w:cs="Times New Roman"/>
                <w:color w:val="auto"/>
                <w:sz w:val="21"/>
                <w:szCs w:val="21"/>
                <w:highlight w:val="none"/>
                <w:lang w:eastAsia="zh-CN"/>
              </w:rPr>
              <w:t>尾矿库库底和边坡同样做防渗层，铺设300mm厚级配沙砾石过渡层，300mm厚粘土层（渗透系数不大于10</w:t>
            </w:r>
            <w:r>
              <w:rPr>
                <w:rFonts w:hint="default" w:ascii="Times New Roman" w:hAnsi="Times New Roman" w:eastAsia="宋体" w:cs="Times New Roman"/>
                <w:color w:val="auto"/>
                <w:sz w:val="21"/>
                <w:szCs w:val="21"/>
                <w:highlight w:val="none"/>
                <w:vertAlign w:val="superscript"/>
                <w:lang w:eastAsia="zh-CN"/>
              </w:rPr>
              <w:t>-7</w:t>
            </w:r>
            <w:r>
              <w:rPr>
                <w:rFonts w:hint="default" w:ascii="Times New Roman" w:hAnsi="Times New Roman" w:eastAsia="宋体" w:cs="Times New Roman"/>
                <w:color w:val="auto"/>
                <w:sz w:val="21"/>
                <w:szCs w:val="21"/>
                <w:highlight w:val="none"/>
                <w:lang w:eastAsia="zh-CN"/>
              </w:rPr>
              <w:t>cm/s），1.5mmHDPE土工膜，300mm厚细砂保护层，300mm砂砾石保护层（粒径4-6cm）；初期坝坝体上游坡</w:t>
            </w:r>
            <w:r>
              <w:rPr>
                <w:rFonts w:hint="default" w:ascii="Times New Roman" w:hAnsi="Times New Roman" w:eastAsia="宋体" w:cs="Times New Roman"/>
                <w:color w:val="auto"/>
                <w:sz w:val="21"/>
                <w:szCs w:val="21"/>
                <w:highlight w:val="none"/>
                <w:lang w:val="en-US" w:eastAsia="zh-CN"/>
              </w:rPr>
              <w:t>铺设400mm厚粗砂垫层，然后铺设</w:t>
            </w:r>
            <w:r>
              <w:rPr>
                <w:rFonts w:hint="default" w:ascii="Times New Roman" w:hAnsi="Times New Roman" w:eastAsia="宋体" w:cs="Times New Roman"/>
                <w:color w:val="auto"/>
                <w:sz w:val="21"/>
                <w:szCs w:val="21"/>
                <w:highlight w:val="none"/>
                <w:lang w:eastAsia="zh-CN"/>
              </w:rPr>
              <w:t>500g/m</w:t>
            </w:r>
            <w:r>
              <w:rPr>
                <w:rFonts w:hint="default" w:ascii="Times New Roman" w:hAnsi="Times New Roman" w:eastAsia="宋体" w:cs="Times New Roman"/>
                <w:color w:val="auto"/>
                <w:sz w:val="21"/>
                <w:szCs w:val="21"/>
                <w:highlight w:val="none"/>
                <w:vertAlign w:val="superscript"/>
                <w:lang w:eastAsia="zh-CN"/>
              </w:rPr>
              <w:t>2</w:t>
            </w:r>
            <w:r>
              <w:rPr>
                <w:rFonts w:hint="default" w:ascii="Times New Roman" w:hAnsi="Times New Roman" w:eastAsia="宋体" w:cs="Times New Roman"/>
                <w:color w:val="auto"/>
                <w:sz w:val="21"/>
                <w:szCs w:val="21"/>
                <w:highlight w:val="none"/>
                <w:lang w:val="en-US" w:eastAsia="zh-CN"/>
              </w:rPr>
              <w:t>加筋土工布，最上面铺500mm厚天然砂砾石保护层。</w:t>
            </w:r>
          </w:p>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2017年8月23日原巴彦淖尔市环境保护局以《内蒙古自治区乌拉特前旗西沙德盖钼业有限责任公司10000t/d钼矿采选扩建尾矿库工程竣工环境保护验收意见》（巴环验〔2017〕28号）</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尾矿库做防渗处理，满足Ⅱ类场要求运行和管理</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同意现有尾矿库通过竣工环境保护验收</w:t>
            </w:r>
            <w:r>
              <w:rPr>
                <w:rFonts w:hint="default" w:ascii="Times New Roman" w:hAnsi="Times New Roman" w:eastAsia="宋体" w:cs="Times New Roman"/>
                <w:color w:val="auto"/>
                <w:sz w:val="21"/>
                <w:szCs w:val="21"/>
                <w:highlight w:val="none"/>
                <w:lang w:val="en-US" w:eastAsia="zh-CN"/>
              </w:rPr>
              <w:t>。</w:t>
            </w:r>
          </w:p>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2、紧邻现有尾矿库南侧新增占地部分：尾矿库库底和边坡同样做防渗层，铺设750mm厚粘土层（渗透系数不大于10</w:t>
            </w:r>
            <w:r>
              <w:rPr>
                <w:rFonts w:hint="default" w:ascii="Times New Roman" w:hAnsi="Times New Roman" w:eastAsia="宋体" w:cs="Times New Roman"/>
                <w:color w:val="auto"/>
                <w:sz w:val="21"/>
                <w:szCs w:val="21"/>
                <w:highlight w:val="none"/>
                <w:vertAlign w:val="superscript"/>
                <w:lang w:val="en-US" w:eastAsia="zh-CN"/>
              </w:rPr>
              <w:t>-7</w:t>
            </w:r>
            <w:r>
              <w:rPr>
                <w:rFonts w:hint="default" w:ascii="Times New Roman" w:hAnsi="Times New Roman" w:eastAsia="宋体" w:cs="Times New Roman"/>
                <w:color w:val="auto"/>
                <w:sz w:val="21"/>
                <w:szCs w:val="21"/>
                <w:highlight w:val="none"/>
                <w:lang w:val="en-US" w:eastAsia="zh-CN"/>
              </w:rPr>
              <w:t>cm/s），1.5mmHDPE土工膜，300mm厚细砂保护层，300mm砂砾石保护层（粒径4-6cm）。</w:t>
            </w:r>
          </w:p>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lang w:eastAsia="zh-CN"/>
              </w:rPr>
              <w:t>回水池：坝体内侧及整个水池底部全部采用</w:t>
            </w:r>
            <w:r>
              <w:rPr>
                <w:rFonts w:hint="default" w:ascii="Times New Roman" w:hAnsi="Times New Roman" w:eastAsia="宋体" w:cs="Times New Roman"/>
                <w:color w:val="auto"/>
                <w:sz w:val="21"/>
                <w:szCs w:val="21"/>
                <w:highlight w:val="none"/>
                <w:lang w:val="en-US" w:eastAsia="zh-CN"/>
              </w:rPr>
              <w:t>C30抗渗等级P6混凝土。</w:t>
            </w:r>
          </w:p>
        </w:tc>
        <w:tc>
          <w:tcPr>
            <w:tcW w:w="1451" w:type="pct"/>
            <w:tcBorders>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本次尾矿库加高扩容项目防渗工程包括两部分内容：（1）尾矿库现有库区防渗依托现有防渗措施；（2）紧邻现有尾矿库南侧新增占地上新建尾矿库区防渗措施。</w:t>
            </w:r>
          </w:p>
          <w:p>
            <w:pPr>
              <w:pageBreakBefore w:val="0"/>
              <w:widowControl w:val="0"/>
              <w:kinsoku/>
              <w:wordWrap/>
              <w:overflowPunct/>
              <w:topLinePunct w:val="0"/>
              <w:autoSpaceDE/>
              <w:autoSpaceDN/>
              <w:bidi w:val="0"/>
              <w:snapToGrid w:val="0"/>
              <w:spacing w:line="240" w:lineRule="auto"/>
              <w:ind w:left="0" w:leftChars="0" w:right="0" w:rightChars="0" w:firstLine="422" w:firstLineChars="200"/>
              <w:jc w:val="both"/>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1、现有尾矿库区防渗如下：</w:t>
            </w:r>
          </w:p>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根据《监理报告》可知：现有</w:t>
            </w:r>
            <w:r>
              <w:rPr>
                <w:rFonts w:hint="default" w:ascii="Times New Roman" w:hAnsi="Times New Roman" w:eastAsia="宋体" w:cs="Times New Roman"/>
                <w:color w:val="auto"/>
                <w:sz w:val="21"/>
                <w:szCs w:val="21"/>
                <w:highlight w:val="none"/>
                <w:lang w:eastAsia="zh-CN"/>
              </w:rPr>
              <w:t>尾矿库库底和边坡同样做防渗层，铺设300mm厚级配沙砾石过渡层，300mm厚粘土层（渗透系数不大于10</w:t>
            </w:r>
            <w:r>
              <w:rPr>
                <w:rFonts w:hint="default" w:ascii="Times New Roman" w:hAnsi="Times New Roman" w:eastAsia="宋体" w:cs="Times New Roman"/>
                <w:color w:val="auto"/>
                <w:sz w:val="21"/>
                <w:szCs w:val="21"/>
                <w:highlight w:val="none"/>
                <w:vertAlign w:val="superscript"/>
                <w:lang w:eastAsia="zh-CN"/>
              </w:rPr>
              <w:t>-7</w:t>
            </w:r>
            <w:r>
              <w:rPr>
                <w:rFonts w:hint="default" w:ascii="Times New Roman" w:hAnsi="Times New Roman" w:eastAsia="宋体" w:cs="Times New Roman"/>
                <w:color w:val="auto"/>
                <w:sz w:val="21"/>
                <w:szCs w:val="21"/>
                <w:highlight w:val="none"/>
                <w:lang w:eastAsia="zh-CN"/>
              </w:rPr>
              <w:t>cm/s），1.5mmHDPE土工膜，300mm厚细砂保护层，300mm砂砾石保护层（粒径4-6cm）；初期坝坝体上游坡</w:t>
            </w:r>
            <w:r>
              <w:rPr>
                <w:rFonts w:hint="default" w:ascii="Times New Roman" w:hAnsi="Times New Roman" w:eastAsia="宋体" w:cs="Times New Roman"/>
                <w:color w:val="auto"/>
                <w:sz w:val="21"/>
                <w:szCs w:val="21"/>
                <w:highlight w:val="none"/>
                <w:lang w:val="en-US" w:eastAsia="zh-CN"/>
              </w:rPr>
              <w:t>铺设400mm厚粗砂垫层，然后铺设</w:t>
            </w:r>
            <w:r>
              <w:rPr>
                <w:rFonts w:hint="default" w:ascii="Times New Roman" w:hAnsi="Times New Roman" w:eastAsia="宋体" w:cs="Times New Roman"/>
                <w:color w:val="auto"/>
                <w:sz w:val="21"/>
                <w:szCs w:val="21"/>
                <w:highlight w:val="none"/>
                <w:lang w:eastAsia="zh-CN"/>
              </w:rPr>
              <w:t>500g/m</w:t>
            </w:r>
            <w:r>
              <w:rPr>
                <w:rFonts w:hint="default" w:ascii="Times New Roman" w:hAnsi="Times New Roman" w:eastAsia="宋体" w:cs="Times New Roman"/>
                <w:color w:val="auto"/>
                <w:sz w:val="21"/>
                <w:szCs w:val="21"/>
                <w:highlight w:val="none"/>
                <w:vertAlign w:val="superscript"/>
                <w:lang w:eastAsia="zh-CN"/>
              </w:rPr>
              <w:t>2</w:t>
            </w:r>
            <w:r>
              <w:rPr>
                <w:rFonts w:hint="default" w:ascii="Times New Roman" w:hAnsi="Times New Roman" w:eastAsia="宋体" w:cs="Times New Roman"/>
                <w:color w:val="auto"/>
                <w:sz w:val="21"/>
                <w:szCs w:val="21"/>
                <w:highlight w:val="none"/>
                <w:lang w:val="en-US" w:eastAsia="zh-CN"/>
              </w:rPr>
              <w:t>加筋土工布，最上面铺500mm厚天然砂砾石保护层。</w:t>
            </w:r>
          </w:p>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2017年8月23日原巴彦淖尔市环境保护局以《内蒙古自治区乌拉特前旗西沙德盖钼业有限责任公司10000t/d钼矿采选扩建尾矿库工程竣工环境保护验收意见》（巴环验〔2017〕28号）</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尾矿库做防渗处理，满足Ⅱ类场要求运行和管理</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同意现有尾矿库通过竣工环境保护验收</w:t>
            </w:r>
            <w:r>
              <w:rPr>
                <w:rFonts w:hint="default" w:ascii="Times New Roman" w:hAnsi="Times New Roman" w:eastAsia="宋体" w:cs="Times New Roman"/>
                <w:color w:val="auto"/>
                <w:sz w:val="21"/>
                <w:szCs w:val="21"/>
                <w:highlight w:val="none"/>
                <w:lang w:val="en-US" w:eastAsia="zh-CN"/>
              </w:rPr>
              <w:t>。</w:t>
            </w:r>
          </w:p>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2、紧邻现有尾矿库南侧新增占地部分：尾矿库库底和边坡同样做防渗层，铺设750mm厚粘土层（渗透系数不大于10</w:t>
            </w:r>
            <w:r>
              <w:rPr>
                <w:rFonts w:hint="default" w:ascii="Times New Roman" w:hAnsi="Times New Roman" w:eastAsia="宋体" w:cs="Times New Roman"/>
                <w:color w:val="auto"/>
                <w:sz w:val="21"/>
                <w:szCs w:val="21"/>
                <w:highlight w:val="none"/>
                <w:vertAlign w:val="superscript"/>
                <w:lang w:val="en-US" w:eastAsia="zh-CN"/>
              </w:rPr>
              <w:t>-7</w:t>
            </w:r>
            <w:r>
              <w:rPr>
                <w:rFonts w:hint="default" w:ascii="Times New Roman" w:hAnsi="Times New Roman" w:eastAsia="宋体" w:cs="Times New Roman"/>
                <w:color w:val="auto"/>
                <w:sz w:val="21"/>
                <w:szCs w:val="21"/>
                <w:highlight w:val="none"/>
                <w:lang w:val="en-US" w:eastAsia="zh-CN"/>
              </w:rPr>
              <w:t>cm/s），1.5mmHDPE土工膜，300mm厚细砂保护层，300mm砂砾石保护层（粒径4-6cm）。</w:t>
            </w:r>
          </w:p>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lang w:eastAsia="zh-CN"/>
              </w:rPr>
              <w:t>回水池：坝体内侧及整个水池底部全部采用</w:t>
            </w:r>
            <w:r>
              <w:rPr>
                <w:rFonts w:hint="default" w:ascii="Times New Roman" w:hAnsi="Times New Roman" w:eastAsia="宋体" w:cs="Times New Roman"/>
                <w:color w:val="auto"/>
                <w:sz w:val="21"/>
                <w:szCs w:val="21"/>
                <w:highlight w:val="none"/>
                <w:lang w:val="en-US" w:eastAsia="zh-CN"/>
              </w:rPr>
              <w:t>C30抗渗等级P6混凝土。</w:t>
            </w:r>
          </w:p>
        </w:tc>
        <w:tc>
          <w:tcPr>
            <w:tcW w:w="295" w:type="pct"/>
            <w:tcBorders>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eastAsia="zh-CN"/>
              </w:rPr>
              <w:t>依托现有</w:t>
            </w:r>
            <w:r>
              <w:rPr>
                <w:rFonts w:hint="default" w:ascii="Times New Roman" w:hAnsi="Times New Roman" w:eastAsia="宋体" w:cs="Times New Roman"/>
                <w:color w:val="auto"/>
                <w:sz w:val="21"/>
                <w:szCs w:val="21"/>
                <w:highlight w:val="none"/>
                <w:lang w:val="en-US" w:eastAsia="zh-CN"/>
              </w:rPr>
              <w:t>+新建</w:t>
            </w:r>
          </w:p>
        </w:tc>
      </w:tr>
    </w:tbl>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sectPr>
          <w:pgSz w:w="16838" w:h="11906" w:orient="landscape"/>
          <w:pgMar w:top="1440" w:right="1800" w:bottom="1440" w:left="1800" w:header="851" w:footer="851" w:gutter="0"/>
          <w:pgNumType w:fmt="decimal"/>
          <w:cols w:space="720" w:num="1"/>
          <w:docGrid w:linePitch="312" w:charSpace="0"/>
        </w:sectPr>
      </w:pPr>
    </w:p>
    <w:p>
      <w:pPr>
        <w:pStyle w:val="5"/>
        <w:keepNext/>
        <w:keepLines/>
        <w:pageBreakBefore w:val="0"/>
        <w:widowControl w:val="0"/>
        <w:numPr>
          <w:ilvl w:val="2"/>
          <w:numId w:val="0"/>
        </w:numPr>
        <w:kinsoku/>
        <w:wordWrap/>
        <w:overflowPunct/>
        <w:topLinePunct w:val="0"/>
        <w:autoSpaceDE/>
        <w:autoSpaceDN/>
        <w:bidi w:val="0"/>
        <w:adjustRightInd/>
        <w:snapToGrid/>
        <w:ind w:left="0" w:leftChars="0" w:right="0" w:rightChars="0" w:firstLine="0" w:firstLineChars="0"/>
        <w:jc w:val="left"/>
        <w:textAlignment w:val="auto"/>
        <w:outlineLvl w:val="1"/>
        <w:rPr>
          <w:rFonts w:hint="default" w:ascii="Times New Roman" w:hAnsi="Times New Roman" w:eastAsia="宋体" w:cs="Times New Roman"/>
          <w:b/>
          <w:bCs/>
          <w:color w:val="auto"/>
          <w:kern w:val="0"/>
          <w:highlight w:val="none"/>
        </w:rPr>
      </w:pPr>
      <w:bookmarkStart w:id="381" w:name="_Toc3035"/>
      <w:bookmarkStart w:id="382" w:name="_Toc4465"/>
      <w:bookmarkStart w:id="383" w:name="_Toc15047"/>
      <w:r>
        <w:rPr>
          <w:rFonts w:hint="default" w:ascii="Times New Roman" w:hAnsi="Times New Roman" w:eastAsia="宋体" w:cs="Times New Roman"/>
          <w:b/>
          <w:bCs/>
          <w:i w:val="0"/>
          <w:iCs w:val="0"/>
          <w:caps w:val="0"/>
          <w:smallCaps w:val="0"/>
          <w:strike w:val="0"/>
          <w:dstrike w:val="0"/>
          <w:vanish w:val="0"/>
          <w:color w:val="auto"/>
          <w:spacing w:val="0"/>
          <w:kern w:val="0"/>
          <w:position w:val="0"/>
          <w:sz w:val="24"/>
          <w:szCs w:val="24"/>
          <w:highlight w:val="none"/>
          <w:u w:val="none"/>
          <w:vertAlign w:val="baseline"/>
          <w:lang w:val="en-US" w:eastAsia="zh-CN" w:bidi="ar-SA"/>
          <w14:shadow w14:blurRad="0" w14:dist="0" w14:dir="0" w14:sx="0" w14:sy="0" w14:kx="0" w14:ky="0" w14:algn="none">
            <w14:srgbClr w14:val="000000"/>
          </w14:shadow>
        </w:rPr>
        <w:t>2.3.3</w:t>
      </w:r>
      <w:r>
        <w:rPr>
          <w:rFonts w:hint="default" w:ascii="Times New Roman" w:hAnsi="Times New Roman" w:eastAsia="宋体" w:cs="Times New Roman"/>
          <w:b/>
          <w:bCs/>
          <w:color w:val="auto"/>
          <w:kern w:val="0"/>
          <w:highlight w:val="none"/>
        </w:rPr>
        <w:t>本项目设计方案</w:t>
      </w:r>
      <w:bookmarkEnd w:id="381"/>
      <w:bookmarkEnd w:id="382"/>
      <w:bookmarkEnd w:id="383"/>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根据《乌拉特前旗西沙德盖钼业有限责任公司年处理300万吨钼矿选矿节能技改扩产项目尾矿库加高扩容工程初步设计》和《乌拉特前旗西沙德盖钼业有限责任公司年处理300万吨钼矿选矿节能技改扩产项目尾矿库加高扩容工程安全设施设计》可知：</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textAlignment w:val="auto"/>
        <w:outlineLvl w:val="2"/>
        <w:rPr>
          <w:rFonts w:hint="default" w:ascii="Times New Roman" w:hAnsi="Times New Roman" w:eastAsia="宋体" w:cs="Times New Roman"/>
          <w:b/>
          <w:bCs/>
          <w:color w:val="auto"/>
          <w:sz w:val="24"/>
          <w:highlight w:val="none"/>
        </w:rPr>
      </w:pPr>
      <w:bookmarkStart w:id="384" w:name="_Toc26444"/>
      <w:bookmarkStart w:id="385" w:name="_Toc31955"/>
      <w:r>
        <w:rPr>
          <w:rFonts w:hint="default" w:ascii="Times New Roman" w:hAnsi="Times New Roman" w:eastAsia="宋体" w:cs="Times New Roman"/>
          <w:b/>
          <w:bCs/>
          <w:color w:val="auto"/>
          <w:sz w:val="24"/>
          <w:highlight w:val="none"/>
          <w:lang w:val="en-US" w:eastAsia="zh-CN"/>
        </w:rPr>
        <w:t>2.3.3.1</w:t>
      </w:r>
      <w:r>
        <w:rPr>
          <w:rFonts w:hint="default" w:ascii="Times New Roman" w:hAnsi="Times New Roman" w:eastAsia="宋体" w:cs="Times New Roman"/>
          <w:b/>
          <w:bCs/>
          <w:color w:val="auto"/>
          <w:sz w:val="24"/>
          <w:highlight w:val="none"/>
          <w:lang w:eastAsia="zh-CN"/>
        </w:rPr>
        <w:t>尾矿库加高扩容</w:t>
      </w:r>
      <w:r>
        <w:rPr>
          <w:rFonts w:hint="default" w:ascii="Times New Roman" w:hAnsi="Times New Roman" w:eastAsia="宋体" w:cs="Times New Roman"/>
          <w:b/>
          <w:bCs/>
          <w:color w:val="auto"/>
          <w:sz w:val="24"/>
          <w:highlight w:val="none"/>
        </w:rPr>
        <w:t>方案</w:t>
      </w:r>
      <w:bookmarkEnd w:id="384"/>
      <w:bookmarkEnd w:id="385"/>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设计尾矿坝最终堆积标高为1495m</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总坝高129m</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GB"/>
        </w:rPr>
        <w:t>可新增库容约</w:t>
      </w:r>
      <w:r>
        <w:rPr>
          <w:rFonts w:hint="default" w:ascii="Times New Roman" w:hAnsi="Times New Roman" w:eastAsia="宋体" w:cs="Times New Roman"/>
          <w:color w:val="auto"/>
          <w:sz w:val="24"/>
          <w:highlight w:val="none"/>
        </w:rPr>
        <w:t>926万</w:t>
      </w:r>
      <w:r>
        <w:rPr>
          <w:rFonts w:hint="default" w:ascii="Times New Roman" w:hAnsi="Times New Roman" w:eastAsia="宋体" w:cs="Times New Roman"/>
          <w:color w:val="auto"/>
          <w:sz w:val="24"/>
          <w:highlight w:val="none"/>
          <w:lang w:val="en-GB"/>
        </w:rPr>
        <w:t>m³</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总库容约为</w:t>
      </w:r>
      <w:r>
        <w:rPr>
          <w:rFonts w:hint="default" w:ascii="Times New Roman" w:hAnsi="Times New Roman" w:eastAsia="宋体" w:cs="Times New Roman"/>
          <w:color w:val="auto"/>
          <w:sz w:val="24"/>
          <w:highlight w:val="none"/>
        </w:rPr>
        <w:t>2145</w:t>
      </w:r>
      <w:r>
        <w:rPr>
          <w:rFonts w:hint="default" w:ascii="Times New Roman" w:hAnsi="Times New Roman" w:eastAsia="宋体" w:cs="Times New Roman"/>
          <w:color w:val="auto"/>
          <w:sz w:val="24"/>
          <w:highlight w:val="none"/>
          <w:lang w:val="en-GB"/>
        </w:rPr>
        <w:t>万m³</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szCs w:val="24"/>
          <w:highlight w:val="none"/>
          <w:lang w:val="en-GB" w:eastAsia="zh-CN"/>
        </w:rPr>
        <w:t>现有尾矿库剩余服务年限约0.9年，</w:t>
      </w:r>
      <w:r>
        <w:rPr>
          <w:rFonts w:hint="default" w:ascii="Times New Roman" w:hAnsi="Times New Roman" w:eastAsia="宋体" w:cs="Times New Roman"/>
          <w:color w:val="auto"/>
          <w:sz w:val="24"/>
          <w:szCs w:val="24"/>
          <w:highlight w:val="none"/>
        </w:rPr>
        <w:t>扩建尾矿库服务年限约</w:t>
      </w:r>
      <w:r>
        <w:rPr>
          <w:rFonts w:hint="default" w:ascii="Times New Roman" w:hAnsi="Times New Roman" w:eastAsia="宋体" w:cs="Times New Roman"/>
          <w:color w:val="auto"/>
          <w:sz w:val="24"/>
          <w:szCs w:val="24"/>
          <w:highlight w:val="none"/>
          <w:lang w:eastAsia="zh-CN"/>
        </w:rPr>
        <w:t>3.7</w:t>
      </w:r>
      <w:r>
        <w:rPr>
          <w:rFonts w:hint="default" w:ascii="Times New Roman" w:hAnsi="Times New Roman" w:eastAsia="宋体" w:cs="Times New Roman"/>
          <w:color w:val="auto"/>
          <w:sz w:val="24"/>
          <w:szCs w:val="24"/>
          <w:highlight w:val="none"/>
        </w:rPr>
        <w:t>年</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扩建后尾矿库</w:t>
      </w:r>
      <w:r>
        <w:rPr>
          <w:rFonts w:hint="default" w:ascii="Times New Roman" w:hAnsi="Times New Roman" w:eastAsia="宋体" w:cs="Times New Roman"/>
          <w:color w:val="auto"/>
          <w:sz w:val="24"/>
          <w:szCs w:val="24"/>
          <w:highlight w:val="none"/>
        </w:rPr>
        <w:t>服务年限约</w:t>
      </w:r>
      <w:r>
        <w:rPr>
          <w:rFonts w:hint="default" w:ascii="Times New Roman" w:hAnsi="Times New Roman" w:eastAsia="宋体" w:cs="Times New Roman"/>
          <w:color w:val="auto"/>
          <w:sz w:val="24"/>
          <w:szCs w:val="24"/>
          <w:highlight w:val="none"/>
          <w:lang w:val="en-US" w:eastAsia="zh-CN"/>
        </w:rPr>
        <w:t>4.6</w:t>
      </w:r>
      <w:r>
        <w:rPr>
          <w:rFonts w:hint="default" w:ascii="Times New Roman" w:hAnsi="Times New Roman" w:eastAsia="宋体" w:cs="Times New Roman"/>
          <w:color w:val="auto"/>
          <w:sz w:val="24"/>
          <w:szCs w:val="24"/>
          <w:highlight w:val="none"/>
        </w:rPr>
        <w:t>年</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highlight w:val="none"/>
        </w:rPr>
        <w:t>加高扩容后尾矿库等别为二等。</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textAlignment w:val="auto"/>
        <w:outlineLvl w:val="2"/>
        <w:rPr>
          <w:rFonts w:hint="default" w:ascii="Times New Roman" w:hAnsi="Times New Roman" w:eastAsia="宋体" w:cs="Times New Roman"/>
          <w:b/>
          <w:bCs/>
          <w:color w:val="auto"/>
          <w:sz w:val="24"/>
          <w:highlight w:val="none"/>
          <w:lang w:val="en-US" w:eastAsia="zh-CN"/>
        </w:rPr>
      </w:pPr>
      <w:bookmarkStart w:id="386" w:name="_Toc25101"/>
      <w:bookmarkStart w:id="387" w:name="_Toc27282"/>
      <w:bookmarkStart w:id="388" w:name="_Toc126592185"/>
      <w:r>
        <w:rPr>
          <w:rFonts w:hint="default" w:ascii="Times New Roman" w:hAnsi="Times New Roman" w:eastAsia="宋体" w:cs="Times New Roman"/>
          <w:b/>
          <w:bCs/>
          <w:color w:val="auto"/>
          <w:sz w:val="24"/>
          <w:highlight w:val="none"/>
          <w:lang w:val="en-US" w:eastAsia="zh-CN"/>
        </w:rPr>
        <w:t>2.3.3.2尾矿排放</w:t>
      </w:r>
      <w:bookmarkEnd w:id="386"/>
      <w:bookmarkEnd w:id="387"/>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outlineLvl w:val="0"/>
        <w:rPr>
          <w:rFonts w:hint="default" w:ascii="Times New Roman" w:hAnsi="Times New Roman" w:eastAsia="宋体" w:cs="Times New Roman"/>
          <w:b w:val="0"/>
          <w:bCs w:val="0"/>
          <w:color w:val="auto"/>
          <w:sz w:val="24"/>
          <w:highlight w:val="none"/>
          <w:lang w:val="en-US" w:eastAsia="zh-CN"/>
        </w:rPr>
      </w:pPr>
      <w:bookmarkStart w:id="389" w:name="_Toc20160"/>
      <w:bookmarkStart w:id="390" w:name="_Toc18908"/>
      <w:r>
        <w:rPr>
          <w:rFonts w:hint="default" w:ascii="Times New Roman" w:hAnsi="Times New Roman" w:eastAsia="宋体" w:cs="Times New Roman"/>
          <w:b w:val="0"/>
          <w:bCs w:val="0"/>
          <w:color w:val="auto"/>
          <w:sz w:val="24"/>
          <w:highlight w:val="none"/>
          <w:lang w:val="en-US" w:eastAsia="zh-CN"/>
        </w:rPr>
        <w:t>（1）选厂尾矿输送系统现状</w:t>
      </w:r>
      <w:bookmarkEnd w:id="389"/>
      <w:bookmarkEnd w:id="390"/>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b w:val="0"/>
          <w:bCs w:val="0"/>
          <w:color w:val="auto"/>
          <w:sz w:val="24"/>
          <w:highlight w:val="none"/>
          <w:lang w:val="en-US" w:eastAsia="zh-CN"/>
        </w:rPr>
      </w:pPr>
      <w:r>
        <w:rPr>
          <w:rFonts w:hint="default" w:ascii="Times New Roman" w:hAnsi="Times New Roman" w:eastAsia="宋体" w:cs="Times New Roman"/>
          <w:b w:val="0"/>
          <w:bCs w:val="0"/>
          <w:color w:val="auto"/>
          <w:sz w:val="24"/>
          <w:highlight w:val="none"/>
          <w:lang w:val="en-US" w:eastAsia="zh-CN"/>
        </w:rPr>
        <w:t>乌拉特前旗西沙德盖钼业有限责任公司年处理300万t钼矿，尾矿产量约为299.46万t/a，尾矿浓度～40%，采用水隔膜泵加压输送，通过尾矿管道输送到现有尾矿库进行排放。输送主管采用2条DN450钢管，1用1备。尾矿放矿主管采用1条dn450（壁厚26.7mm）PE管道，放矿支管采用dn160PE管道。尾矿回水经现有尾矿回水泵站加压输送至选厂使用。现有尾矿库设计最终堆积标高为1454m。</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outlineLvl w:val="0"/>
        <w:rPr>
          <w:rFonts w:hint="default" w:ascii="Times New Roman" w:hAnsi="Times New Roman" w:eastAsia="宋体" w:cs="Times New Roman"/>
          <w:b w:val="0"/>
          <w:bCs w:val="0"/>
          <w:color w:val="auto"/>
          <w:sz w:val="24"/>
          <w:highlight w:val="none"/>
          <w:lang w:val="en-US" w:eastAsia="zh-CN"/>
        </w:rPr>
      </w:pPr>
      <w:bookmarkStart w:id="391" w:name="_Toc9693"/>
      <w:bookmarkStart w:id="392" w:name="_Toc9526"/>
      <w:r>
        <w:rPr>
          <w:rFonts w:hint="default" w:ascii="Times New Roman" w:hAnsi="Times New Roman" w:eastAsia="宋体" w:cs="Times New Roman"/>
          <w:b w:val="0"/>
          <w:bCs w:val="0"/>
          <w:color w:val="auto"/>
          <w:sz w:val="24"/>
          <w:highlight w:val="none"/>
          <w:lang w:val="en-US" w:eastAsia="zh-CN"/>
        </w:rPr>
        <w:t>（2）设计内容</w:t>
      </w:r>
      <w:bookmarkEnd w:id="391"/>
      <w:bookmarkEnd w:id="392"/>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b w:val="0"/>
          <w:bCs w:val="0"/>
          <w:color w:val="auto"/>
          <w:sz w:val="24"/>
          <w:highlight w:val="none"/>
          <w:lang w:val="en-US" w:eastAsia="zh-CN"/>
        </w:rPr>
      </w:pPr>
      <w:r>
        <w:rPr>
          <w:rFonts w:hint="default" w:ascii="Times New Roman" w:hAnsi="Times New Roman" w:eastAsia="宋体" w:cs="Times New Roman"/>
          <w:b w:val="0"/>
          <w:bCs w:val="0"/>
          <w:color w:val="auto"/>
          <w:sz w:val="24"/>
          <w:highlight w:val="none"/>
          <w:lang w:val="en-US" w:eastAsia="zh-CN"/>
        </w:rPr>
        <w:t>为满足选厂排尾需求，设计利用库区现有地形进行加高扩容，在周边山体垭口布设副坝及堆积坝，尾矿库可加高至1495m标高。本次设计考虑利旧选厂现有尾矿输送系统设施，新增尾矿加压泵站、尾矿输送管线及放矿管道，保证尾矿库扩容后尾矿正常排放。新建尾矿回水泵站及尾矿回水管线，将尾矿回水加压输送回选厂高位水池。</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outlineLvl w:val="0"/>
        <w:rPr>
          <w:rFonts w:hint="default" w:ascii="Times New Roman" w:hAnsi="Times New Roman" w:eastAsia="宋体" w:cs="Times New Roman"/>
          <w:b w:val="0"/>
          <w:bCs w:val="0"/>
          <w:color w:val="auto"/>
          <w:sz w:val="24"/>
          <w:highlight w:val="none"/>
          <w:lang w:val="en-US" w:eastAsia="zh-CN"/>
        </w:rPr>
      </w:pPr>
      <w:bookmarkStart w:id="393" w:name="_Toc29147"/>
      <w:bookmarkStart w:id="394" w:name="_Toc2545"/>
      <w:r>
        <w:rPr>
          <w:rFonts w:hint="default" w:ascii="Times New Roman" w:hAnsi="Times New Roman" w:eastAsia="宋体" w:cs="Times New Roman"/>
          <w:b w:val="0"/>
          <w:bCs w:val="0"/>
          <w:color w:val="auto"/>
          <w:sz w:val="24"/>
          <w:highlight w:val="none"/>
          <w:lang w:val="en-US" w:eastAsia="zh-CN"/>
        </w:rPr>
        <w:t>（3）尾矿输送系统</w:t>
      </w:r>
      <w:bookmarkEnd w:id="393"/>
      <w:bookmarkEnd w:id="394"/>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b w:val="0"/>
          <w:bCs w:val="0"/>
          <w:color w:val="auto"/>
          <w:sz w:val="24"/>
          <w:highlight w:val="none"/>
          <w:lang w:val="en-US" w:eastAsia="zh-CN"/>
        </w:rPr>
      </w:pPr>
      <w:r>
        <w:rPr>
          <w:rFonts w:hint="default" w:ascii="Times New Roman" w:hAnsi="Times New Roman" w:eastAsia="宋体" w:cs="Times New Roman"/>
          <w:b w:val="0"/>
          <w:bCs w:val="0"/>
          <w:color w:val="auto"/>
          <w:sz w:val="24"/>
          <w:highlight w:val="none"/>
          <w:lang w:val="en-US" w:eastAsia="zh-CN"/>
        </w:rPr>
        <w:t>干尾矿量：415.9t/h（299.46万t/a）。</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b w:val="0"/>
          <w:bCs w:val="0"/>
          <w:color w:val="auto"/>
          <w:sz w:val="24"/>
          <w:highlight w:val="none"/>
          <w:lang w:val="en-US" w:eastAsia="zh-CN"/>
        </w:rPr>
      </w:pPr>
      <w:r>
        <w:rPr>
          <w:rFonts w:hint="default" w:ascii="Times New Roman" w:hAnsi="Times New Roman" w:eastAsia="宋体" w:cs="Times New Roman"/>
          <w:b w:val="0"/>
          <w:bCs w:val="0"/>
          <w:color w:val="auto"/>
          <w:sz w:val="24"/>
          <w:highlight w:val="none"/>
          <w:lang w:val="en-US" w:eastAsia="zh-CN"/>
        </w:rPr>
        <w:t>尾矿比重：2.9t/m</w:t>
      </w:r>
      <w:r>
        <w:rPr>
          <w:rFonts w:hint="default" w:ascii="Times New Roman" w:hAnsi="Times New Roman" w:eastAsia="宋体" w:cs="Times New Roman"/>
          <w:b w:val="0"/>
          <w:bCs w:val="0"/>
          <w:color w:val="auto"/>
          <w:sz w:val="24"/>
          <w:highlight w:val="none"/>
          <w:vertAlign w:val="superscript"/>
          <w:lang w:val="en-US" w:eastAsia="zh-CN"/>
        </w:rPr>
        <w:t>3</w:t>
      </w:r>
      <w:r>
        <w:rPr>
          <w:rFonts w:hint="default" w:ascii="Times New Roman" w:hAnsi="Times New Roman" w:eastAsia="宋体" w:cs="Times New Roman"/>
          <w:b w:val="0"/>
          <w:bCs w:val="0"/>
          <w:color w:val="auto"/>
          <w:sz w:val="24"/>
          <w:highlight w:val="none"/>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b w:val="0"/>
          <w:bCs w:val="0"/>
          <w:color w:val="auto"/>
          <w:sz w:val="24"/>
          <w:highlight w:val="none"/>
          <w:lang w:val="en-US" w:eastAsia="zh-CN"/>
        </w:rPr>
      </w:pPr>
      <w:r>
        <w:rPr>
          <w:rFonts w:hint="default" w:ascii="Times New Roman" w:hAnsi="Times New Roman" w:eastAsia="宋体" w:cs="Times New Roman"/>
          <w:b w:val="0"/>
          <w:bCs w:val="0"/>
          <w:color w:val="auto"/>
          <w:sz w:val="24"/>
          <w:highlight w:val="none"/>
          <w:lang w:val="en-US" w:eastAsia="zh-CN"/>
        </w:rPr>
        <w:t>底流浓度～40%</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b w:val="0"/>
          <w:bCs w:val="0"/>
          <w:color w:val="auto"/>
          <w:sz w:val="24"/>
          <w:highlight w:val="none"/>
          <w:lang w:val="en-US" w:eastAsia="zh-CN"/>
        </w:rPr>
      </w:pPr>
      <w:r>
        <w:rPr>
          <w:rFonts w:hint="default" w:ascii="Times New Roman" w:hAnsi="Times New Roman" w:eastAsia="宋体" w:cs="Times New Roman"/>
          <w:b w:val="0"/>
          <w:bCs w:val="0"/>
          <w:color w:val="auto"/>
          <w:sz w:val="24"/>
          <w:highlight w:val="none"/>
          <w:lang w:val="en-US" w:eastAsia="zh-CN"/>
        </w:rPr>
        <w:t>原尾矿坝终期坝标高1454m；</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b w:val="0"/>
          <w:bCs w:val="0"/>
          <w:color w:val="auto"/>
          <w:sz w:val="24"/>
          <w:highlight w:val="none"/>
          <w:lang w:val="en-US" w:eastAsia="zh-CN"/>
        </w:rPr>
      </w:pPr>
      <w:r>
        <w:rPr>
          <w:rFonts w:hint="default" w:ascii="Times New Roman" w:hAnsi="Times New Roman" w:eastAsia="宋体" w:cs="Times New Roman"/>
          <w:b w:val="0"/>
          <w:bCs w:val="0"/>
          <w:color w:val="auto"/>
          <w:sz w:val="24"/>
          <w:highlight w:val="none"/>
          <w:lang w:val="en-US" w:eastAsia="zh-CN"/>
        </w:rPr>
        <w:t>扩容改造后尾矿坝终期坝标高1495m；</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b w:val="0"/>
          <w:bCs w:val="0"/>
          <w:color w:val="auto"/>
          <w:sz w:val="24"/>
          <w:highlight w:val="none"/>
          <w:lang w:val="en-US" w:eastAsia="zh-CN"/>
        </w:rPr>
      </w:pPr>
      <w:r>
        <w:rPr>
          <w:rFonts w:hint="default" w:ascii="Times New Roman" w:hAnsi="Times New Roman" w:eastAsia="宋体" w:cs="Times New Roman"/>
          <w:b w:val="0"/>
          <w:bCs w:val="0"/>
          <w:color w:val="auto"/>
          <w:sz w:val="24"/>
          <w:highlight w:val="none"/>
          <w:lang w:val="en-US" w:eastAsia="zh-CN"/>
        </w:rPr>
        <w:t>尾矿加压后最远输送距离：1000m</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b w:val="0"/>
          <w:bCs w:val="0"/>
          <w:color w:val="auto"/>
          <w:sz w:val="24"/>
          <w:highlight w:val="none"/>
          <w:lang w:val="en-US" w:eastAsia="zh-CN"/>
        </w:rPr>
      </w:pPr>
      <w:r>
        <w:rPr>
          <w:rFonts w:hint="default" w:ascii="Times New Roman" w:hAnsi="Times New Roman" w:eastAsia="宋体" w:cs="Times New Roman"/>
          <w:b w:val="0"/>
          <w:bCs w:val="0"/>
          <w:color w:val="auto"/>
          <w:sz w:val="24"/>
          <w:highlight w:val="none"/>
          <w:lang w:val="en-US" w:eastAsia="zh-CN"/>
        </w:rPr>
        <w:t>尾矿粒度：详见表2-9。</w:t>
      </w:r>
    </w:p>
    <w:p>
      <w:pPr>
        <w:pageBreakBefore w:val="0"/>
        <w:wordWrap/>
        <w:bidi w:val="0"/>
        <w:spacing w:line="360" w:lineRule="auto"/>
        <w:ind w:left="0" w:leftChars="0" w:right="0" w:rightChars="0"/>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b/>
          <w:color w:val="auto"/>
          <w:sz w:val="24"/>
          <w:szCs w:val="24"/>
          <w:highlight w:val="none"/>
          <w:lang w:val="en-GB"/>
        </w:rPr>
        <w:t>表</w:t>
      </w:r>
      <w:r>
        <w:rPr>
          <w:rFonts w:hint="default" w:ascii="Times New Roman" w:hAnsi="Times New Roman" w:eastAsia="宋体" w:cs="Times New Roman"/>
          <w:b/>
          <w:color w:val="auto"/>
          <w:sz w:val="24"/>
          <w:szCs w:val="24"/>
          <w:highlight w:val="none"/>
          <w:lang w:val="en-US" w:eastAsia="zh-CN"/>
        </w:rPr>
        <w:t>2-9</w:t>
      </w:r>
      <w:r>
        <w:rPr>
          <w:rFonts w:hint="default" w:ascii="Times New Roman" w:hAnsi="Times New Roman" w:eastAsia="宋体" w:cs="Times New Roman"/>
          <w:b/>
          <w:color w:val="auto"/>
          <w:sz w:val="24"/>
          <w:szCs w:val="24"/>
          <w:highlight w:val="none"/>
          <w:lang w:val="en-GB"/>
        </w:rPr>
        <w:t>尾矿粒级筛析表</w:t>
      </w:r>
    </w:p>
    <w:tbl>
      <w:tblPr>
        <w:tblStyle w:val="54"/>
        <w:tblW w:w="4998" w:type="pct"/>
        <w:tblInd w:w="0" w:type="dxa"/>
        <w:tblLayout w:type="autofit"/>
        <w:tblCellMar>
          <w:top w:w="0" w:type="dxa"/>
          <w:left w:w="108" w:type="dxa"/>
          <w:bottom w:w="0" w:type="dxa"/>
          <w:right w:w="108" w:type="dxa"/>
        </w:tblCellMar>
      </w:tblPr>
      <w:tblGrid>
        <w:gridCol w:w="3470"/>
        <w:gridCol w:w="1820"/>
        <w:gridCol w:w="3229"/>
      </w:tblGrid>
      <w:tr>
        <w:tblPrEx>
          <w:tblCellMar>
            <w:top w:w="0" w:type="dxa"/>
            <w:left w:w="108" w:type="dxa"/>
            <w:bottom w:w="0" w:type="dxa"/>
            <w:right w:w="108" w:type="dxa"/>
          </w:tblCellMar>
        </w:tblPrEx>
        <w:trPr>
          <w:trHeight w:val="340" w:hRule="atLeast"/>
        </w:trPr>
        <w:tc>
          <w:tcPr>
            <w:tcW w:w="2036" w:type="pct"/>
            <w:tcBorders>
              <w:top w:val="single" w:color="auto" w:sz="4" w:space="0"/>
              <w:left w:val="single" w:color="auto" w:sz="4" w:space="0"/>
              <w:bottom w:val="single" w:color="auto" w:sz="4" w:space="0"/>
              <w:right w:val="single" w:color="auto" w:sz="4" w:space="0"/>
            </w:tcBorders>
            <w:shd w:val="clear" w:color="auto" w:fill="auto"/>
            <w:noWrap/>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粒度</w:t>
            </w:r>
          </w:p>
        </w:tc>
        <w:tc>
          <w:tcPr>
            <w:tcW w:w="1068" w:type="pct"/>
            <w:vMerge w:val="restart"/>
            <w:tcBorders>
              <w:top w:val="single" w:color="auto" w:sz="4" w:space="0"/>
              <w:left w:val="single" w:color="auto" w:sz="4" w:space="0"/>
              <w:bottom w:val="single" w:color="000000" w:sz="4" w:space="0"/>
              <w:right w:val="single" w:color="auto" w:sz="4" w:space="0"/>
            </w:tcBorders>
            <w:shd w:val="clear" w:color="auto" w:fill="auto"/>
            <w:noWrap/>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产率%</w:t>
            </w:r>
          </w:p>
        </w:tc>
        <w:tc>
          <w:tcPr>
            <w:tcW w:w="1895" w:type="pct"/>
            <w:vMerge w:val="restart"/>
            <w:tcBorders>
              <w:top w:val="single" w:color="auto" w:sz="4" w:space="0"/>
              <w:left w:val="single" w:color="auto" w:sz="4" w:space="0"/>
              <w:bottom w:val="single" w:color="000000" w:sz="4" w:space="0"/>
              <w:right w:val="single" w:color="auto" w:sz="4" w:space="0"/>
            </w:tcBorders>
            <w:shd w:val="clear" w:color="auto" w:fill="auto"/>
            <w:noWrap/>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负累计产率%</w:t>
            </w:r>
          </w:p>
        </w:tc>
      </w:tr>
      <w:tr>
        <w:tblPrEx>
          <w:tblCellMar>
            <w:top w:w="0" w:type="dxa"/>
            <w:left w:w="108" w:type="dxa"/>
            <w:bottom w:w="0" w:type="dxa"/>
            <w:right w:w="108" w:type="dxa"/>
          </w:tblCellMar>
        </w:tblPrEx>
        <w:trPr>
          <w:trHeight w:val="340" w:hRule="atLeast"/>
        </w:trPr>
        <w:tc>
          <w:tcPr>
            <w:tcW w:w="2036" w:type="pct"/>
            <w:tcBorders>
              <w:top w:val="single" w:color="auto" w:sz="4" w:space="0"/>
              <w:left w:val="single" w:color="auto" w:sz="4" w:space="0"/>
              <w:bottom w:val="single" w:color="auto" w:sz="4" w:space="0"/>
              <w:right w:val="single" w:color="auto" w:sz="4" w:space="0"/>
            </w:tcBorders>
            <w:shd w:val="clear" w:color="auto" w:fill="auto"/>
            <w:noWrap/>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mm</w:t>
            </w:r>
          </w:p>
        </w:tc>
        <w:tc>
          <w:tcPr>
            <w:tcW w:w="1068" w:type="pct"/>
            <w:vMerge w:val="continue"/>
            <w:tcBorders>
              <w:top w:val="single" w:color="auto" w:sz="4" w:space="0"/>
              <w:left w:val="single" w:color="auto" w:sz="4" w:space="0"/>
              <w:bottom w:val="single" w:color="000000" w:sz="4" w:space="0"/>
              <w:right w:val="single" w:color="auto" w:sz="4" w:space="0"/>
            </w:tcBorders>
            <w:noWrap w:val="0"/>
            <w:vAlign w:val="center"/>
          </w:tcPr>
          <w:p>
            <w:pPr>
              <w:pageBreakBefore w:val="0"/>
              <w:widowControl/>
              <w:wordWrap/>
              <w:bidi w:val="0"/>
              <w:spacing w:line="240" w:lineRule="auto"/>
              <w:ind w:left="0" w:leftChars="0" w:right="0" w:rightChars="0"/>
              <w:jc w:val="left"/>
              <w:rPr>
                <w:rFonts w:hint="default" w:ascii="Times New Roman" w:hAnsi="Times New Roman" w:eastAsia="宋体" w:cs="Times New Roman"/>
                <w:color w:val="auto"/>
                <w:kern w:val="0"/>
                <w:szCs w:val="21"/>
                <w:highlight w:val="none"/>
              </w:rPr>
            </w:pPr>
          </w:p>
        </w:tc>
        <w:tc>
          <w:tcPr>
            <w:tcW w:w="1895" w:type="pct"/>
            <w:vMerge w:val="continue"/>
            <w:tcBorders>
              <w:top w:val="single" w:color="auto" w:sz="4" w:space="0"/>
              <w:left w:val="single" w:color="auto" w:sz="4" w:space="0"/>
              <w:bottom w:val="single" w:color="000000" w:sz="4" w:space="0"/>
              <w:right w:val="single" w:color="auto" w:sz="4" w:space="0"/>
            </w:tcBorders>
            <w:noWrap w:val="0"/>
            <w:vAlign w:val="center"/>
          </w:tcPr>
          <w:p>
            <w:pPr>
              <w:pageBreakBefore w:val="0"/>
              <w:widowControl/>
              <w:wordWrap/>
              <w:bidi w:val="0"/>
              <w:spacing w:line="240" w:lineRule="auto"/>
              <w:ind w:left="0" w:leftChars="0" w:right="0" w:rightChars="0"/>
              <w:jc w:val="left"/>
              <w:rPr>
                <w:rFonts w:hint="default" w:ascii="Times New Roman" w:hAnsi="Times New Roman" w:eastAsia="宋体" w:cs="Times New Roman"/>
                <w:color w:val="auto"/>
                <w:kern w:val="0"/>
                <w:szCs w:val="21"/>
                <w:highlight w:val="none"/>
              </w:rPr>
            </w:pPr>
          </w:p>
        </w:tc>
      </w:tr>
      <w:tr>
        <w:tblPrEx>
          <w:tblCellMar>
            <w:top w:w="0" w:type="dxa"/>
            <w:left w:w="108" w:type="dxa"/>
            <w:bottom w:w="0" w:type="dxa"/>
            <w:right w:w="108" w:type="dxa"/>
          </w:tblCellMar>
        </w:tblPrEx>
        <w:trPr>
          <w:trHeight w:val="340" w:hRule="atLeast"/>
        </w:trPr>
        <w:tc>
          <w:tcPr>
            <w:tcW w:w="2036" w:type="pct"/>
            <w:tcBorders>
              <w:top w:val="single" w:color="auto" w:sz="4" w:space="0"/>
              <w:left w:val="single" w:color="auto" w:sz="4" w:space="0"/>
              <w:bottom w:val="single" w:color="auto" w:sz="4" w:space="0"/>
              <w:right w:val="single" w:color="auto" w:sz="4" w:space="0"/>
            </w:tcBorders>
            <w:shd w:val="clear" w:color="auto" w:fill="auto"/>
            <w:noWrap/>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+0.35</w:t>
            </w:r>
          </w:p>
        </w:tc>
        <w:tc>
          <w:tcPr>
            <w:tcW w:w="1068" w:type="pct"/>
            <w:tcBorders>
              <w:top w:val="nil"/>
              <w:left w:val="nil"/>
              <w:bottom w:val="single" w:color="auto" w:sz="4" w:space="0"/>
              <w:right w:val="single" w:color="auto" w:sz="4" w:space="0"/>
            </w:tcBorders>
            <w:shd w:val="clear" w:color="auto" w:fill="auto"/>
            <w:noWrap/>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lang w:eastAsia="zh-CN"/>
              </w:rPr>
            </w:pPr>
            <w:r>
              <w:rPr>
                <w:rFonts w:hint="default" w:ascii="Times New Roman" w:hAnsi="Times New Roman" w:eastAsia="宋体" w:cs="Times New Roman"/>
                <w:color w:val="auto"/>
                <w:kern w:val="0"/>
                <w:szCs w:val="21"/>
                <w:highlight w:val="none"/>
              </w:rPr>
              <w:t>1.27</w:t>
            </w:r>
          </w:p>
        </w:tc>
        <w:tc>
          <w:tcPr>
            <w:tcW w:w="1895" w:type="pct"/>
            <w:tcBorders>
              <w:top w:val="nil"/>
              <w:left w:val="nil"/>
              <w:bottom w:val="single" w:color="auto" w:sz="4" w:space="0"/>
              <w:right w:val="single" w:color="auto" w:sz="4" w:space="0"/>
            </w:tcBorders>
            <w:shd w:val="clear" w:color="auto" w:fill="auto"/>
            <w:noWrap/>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100</w:t>
            </w:r>
          </w:p>
        </w:tc>
      </w:tr>
      <w:tr>
        <w:tblPrEx>
          <w:tblCellMar>
            <w:top w:w="0" w:type="dxa"/>
            <w:left w:w="108" w:type="dxa"/>
            <w:bottom w:w="0" w:type="dxa"/>
            <w:right w:w="108" w:type="dxa"/>
          </w:tblCellMar>
        </w:tblPrEx>
        <w:trPr>
          <w:trHeight w:val="340" w:hRule="atLeast"/>
        </w:trPr>
        <w:tc>
          <w:tcPr>
            <w:tcW w:w="2036" w:type="pct"/>
            <w:tcBorders>
              <w:top w:val="single" w:color="auto" w:sz="4" w:space="0"/>
              <w:left w:val="single" w:color="auto" w:sz="4" w:space="0"/>
              <w:bottom w:val="single" w:color="auto" w:sz="4" w:space="0"/>
              <w:right w:val="single" w:color="auto" w:sz="4" w:space="0"/>
            </w:tcBorders>
            <w:shd w:val="clear" w:color="auto" w:fill="auto"/>
            <w:noWrap/>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-0.35~+0.246</w:t>
            </w:r>
          </w:p>
        </w:tc>
        <w:tc>
          <w:tcPr>
            <w:tcW w:w="1068" w:type="pct"/>
            <w:tcBorders>
              <w:top w:val="nil"/>
              <w:left w:val="nil"/>
              <w:bottom w:val="single" w:color="auto" w:sz="4" w:space="0"/>
              <w:right w:val="single" w:color="auto" w:sz="4" w:space="0"/>
            </w:tcBorders>
            <w:shd w:val="clear" w:color="auto" w:fill="auto"/>
            <w:noWrap/>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lang w:eastAsia="zh-CN"/>
              </w:rPr>
            </w:pPr>
            <w:r>
              <w:rPr>
                <w:rFonts w:hint="default" w:ascii="Times New Roman" w:hAnsi="Times New Roman" w:eastAsia="宋体" w:cs="Times New Roman"/>
                <w:color w:val="auto"/>
                <w:kern w:val="0"/>
                <w:szCs w:val="21"/>
                <w:highlight w:val="none"/>
              </w:rPr>
              <w:t>3.08</w:t>
            </w:r>
          </w:p>
        </w:tc>
        <w:tc>
          <w:tcPr>
            <w:tcW w:w="1895" w:type="pct"/>
            <w:tcBorders>
              <w:top w:val="nil"/>
              <w:left w:val="nil"/>
              <w:bottom w:val="single" w:color="auto" w:sz="4" w:space="0"/>
              <w:right w:val="single" w:color="auto" w:sz="4" w:space="0"/>
            </w:tcBorders>
            <w:shd w:val="clear" w:color="auto" w:fill="auto"/>
            <w:noWrap/>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lang w:eastAsia="zh-CN"/>
              </w:rPr>
            </w:pPr>
            <w:r>
              <w:rPr>
                <w:rFonts w:hint="default" w:ascii="Times New Roman" w:hAnsi="Times New Roman" w:eastAsia="宋体" w:cs="Times New Roman"/>
                <w:color w:val="auto"/>
                <w:kern w:val="0"/>
                <w:szCs w:val="21"/>
                <w:highlight w:val="none"/>
              </w:rPr>
              <w:t>98.73</w:t>
            </w:r>
          </w:p>
        </w:tc>
      </w:tr>
      <w:tr>
        <w:tblPrEx>
          <w:tblCellMar>
            <w:top w:w="0" w:type="dxa"/>
            <w:left w:w="108" w:type="dxa"/>
            <w:bottom w:w="0" w:type="dxa"/>
            <w:right w:w="108" w:type="dxa"/>
          </w:tblCellMar>
        </w:tblPrEx>
        <w:trPr>
          <w:trHeight w:val="340" w:hRule="atLeast"/>
        </w:trPr>
        <w:tc>
          <w:tcPr>
            <w:tcW w:w="2036" w:type="pct"/>
            <w:tcBorders>
              <w:top w:val="single" w:color="auto" w:sz="4" w:space="0"/>
              <w:left w:val="single" w:color="auto" w:sz="4" w:space="0"/>
              <w:bottom w:val="single" w:color="auto" w:sz="4" w:space="0"/>
              <w:right w:val="single" w:color="auto" w:sz="4" w:space="0"/>
            </w:tcBorders>
            <w:shd w:val="clear" w:color="auto" w:fill="auto"/>
            <w:noWrap/>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-0.246~+0.175</w:t>
            </w:r>
          </w:p>
        </w:tc>
        <w:tc>
          <w:tcPr>
            <w:tcW w:w="1068" w:type="pct"/>
            <w:tcBorders>
              <w:top w:val="nil"/>
              <w:left w:val="nil"/>
              <w:bottom w:val="single" w:color="auto" w:sz="4" w:space="0"/>
              <w:right w:val="single" w:color="auto" w:sz="4" w:space="0"/>
            </w:tcBorders>
            <w:shd w:val="clear" w:color="auto" w:fill="auto"/>
            <w:noWrap/>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lang w:eastAsia="zh-CN"/>
              </w:rPr>
            </w:pPr>
            <w:r>
              <w:rPr>
                <w:rFonts w:hint="default" w:ascii="Times New Roman" w:hAnsi="Times New Roman" w:eastAsia="宋体" w:cs="Times New Roman"/>
                <w:color w:val="auto"/>
                <w:kern w:val="0"/>
                <w:szCs w:val="21"/>
                <w:highlight w:val="none"/>
              </w:rPr>
              <w:t>5.29</w:t>
            </w:r>
          </w:p>
        </w:tc>
        <w:tc>
          <w:tcPr>
            <w:tcW w:w="1895" w:type="pct"/>
            <w:tcBorders>
              <w:top w:val="nil"/>
              <w:left w:val="nil"/>
              <w:bottom w:val="single" w:color="auto" w:sz="4" w:space="0"/>
              <w:right w:val="single" w:color="auto" w:sz="4" w:space="0"/>
            </w:tcBorders>
            <w:shd w:val="clear" w:color="auto" w:fill="auto"/>
            <w:noWrap/>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lang w:eastAsia="zh-CN"/>
              </w:rPr>
            </w:pPr>
            <w:r>
              <w:rPr>
                <w:rFonts w:hint="default" w:ascii="Times New Roman" w:hAnsi="Times New Roman" w:eastAsia="宋体" w:cs="Times New Roman"/>
                <w:color w:val="auto"/>
                <w:kern w:val="0"/>
                <w:szCs w:val="21"/>
                <w:highlight w:val="none"/>
              </w:rPr>
              <w:t>95.65</w:t>
            </w:r>
          </w:p>
        </w:tc>
      </w:tr>
      <w:tr>
        <w:tblPrEx>
          <w:tblCellMar>
            <w:top w:w="0" w:type="dxa"/>
            <w:left w:w="108" w:type="dxa"/>
            <w:bottom w:w="0" w:type="dxa"/>
            <w:right w:w="108" w:type="dxa"/>
          </w:tblCellMar>
        </w:tblPrEx>
        <w:trPr>
          <w:trHeight w:val="340" w:hRule="atLeast"/>
        </w:trPr>
        <w:tc>
          <w:tcPr>
            <w:tcW w:w="2036" w:type="pct"/>
            <w:tcBorders>
              <w:top w:val="single" w:color="auto" w:sz="4" w:space="0"/>
              <w:left w:val="single" w:color="auto" w:sz="4" w:space="0"/>
              <w:bottom w:val="single" w:color="auto" w:sz="4" w:space="0"/>
              <w:right w:val="single" w:color="auto" w:sz="4" w:space="0"/>
            </w:tcBorders>
            <w:shd w:val="clear" w:color="auto" w:fill="auto"/>
            <w:noWrap/>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-0.175~+0.147</w:t>
            </w:r>
          </w:p>
        </w:tc>
        <w:tc>
          <w:tcPr>
            <w:tcW w:w="1068" w:type="pct"/>
            <w:tcBorders>
              <w:top w:val="nil"/>
              <w:left w:val="nil"/>
              <w:bottom w:val="single" w:color="auto" w:sz="4" w:space="0"/>
              <w:right w:val="single" w:color="auto" w:sz="4" w:space="0"/>
            </w:tcBorders>
            <w:shd w:val="clear" w:color="auto" w:fill="auto"/>
            <w:noWrap/>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lang w:eastAsia="zh-CN"/>
              </w:rPr>
            </w:pPr>
            <w:r>
              <w:rPr>
                <w:rFonts w:hint="default" w:ascii="Times New Roman" w:hAnsi="Times New Roman" w:eastAsia="宋体" w:cs="Times New Roman"/>
                <w:color w:val="auto"/>
                <w:kern w:val="0"/>
                <w:szCs w:val="21"/>
                <w:highlight w:val="none"/>
              </w:rPr>
              <w:t>7.14</w:t>
            </w:r>
          </w:p>
        </w:tc>
        <w:tc>
          <w:tcPr>
            <w:tcW w:w="1895" w:type="pct"/>
            <w:tcBorders>
              <w:top w:val="nil"/>
              <w:left w:val="nil"/>
              <w:bottom w:val="single" w:color="auto" w:sz="4" w:space="0"/>
              <w:right w:val="single" w:color="auto" w:sz="4" w:space="0"/>
            </w:tcBorders>
            <w:shd w:val="clear" w:color="auto" w:fill="auto"/>
            <w:noWrap/>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lang w:eastAsia="zh-CN"/>
              </w:rPr>
            </w:pPr>
            <w:r>
              <w:rPr>
                <w:rFonts w:hint="default" w:ascii="Times New Roman" w:hAnsi="Times New Roman" w:eastAsia="宋体" w:cs="Times New Roman"/>
                <w:color w:val="auto"/>
                <w:kern w:val="0"/>
                <w:szCs w:val="21"/>
                <w:highlight w:val="none"/>
              </w:rPr>
              <w:t>90.36</w:t>
            </w:r>
          </w:p>
        </w:tc>
      </w:tr>
      <w:tr>
        <w:tblPrEx>
          <w:tblCellMar>
            <w:top w:w="0" w:type="dxa"/>
            <w:left w:w="108" w:type="dxa"/>
            <w:bottom w:w="0" w:type="dxa"/>
            <w:right w:w="108" w:type="dxa"/>
          </w:tblCellMar>
        </w:tblPrEx>
        <w:trPr>
          <w:trHeight w:val="340" w:hRule="atLeast"/>
        </w:trPr>
        <w:tc>
          <w:tcPr>
            <w:tcW w:w="2036" w:type="pct"/>
            <w:tcBorders>
              <w:top w:val="single" w:color="auto" w:sz="4" w:space="0"/>
              <w:left w:val="single" w:color="auto" w:sz="4" w:space="0"/>
              <w:bottom w:val="single" w:color="auto" w:sz="4" w:space="0"/>
              <w:right w:val="single" w:color="auto" w:sz="4" w:space="0"/>
            </w:tcBorders>
            <w:shd w:val="clear" w:color="auto" w:fill="auto"/>
            <w:noWrap/>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-0.147~+0.104</w:t>
            </w:r>
          </w:p>
        </w:tc>
        <w:tc>
          <w:tcPr>
            <w:tcW w:w="1068" w:type="pct"/>
            <w:tcBorders>
              <w:top w:val="nil"/>
              <w:left w:val="nil"/>
              <w:bottom w:val="single" w:color="auto" w:sz="4" w:space="0"/>
              <w:right w:val="single" w:color="auto" w:sz="4" w:space="0"/>
            </w:tcBorders>
            <w:shd w:val="clear" w:color="auto" w:fill="auto"/>
            <w:noWrap/>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lang w:eastAsia="zh-CN"/>
              </w:rPr>
            </w:pPr>
            <w:r>
              <w:rPr>
                <w:rFonts w:hint="default" w:ascii="Times New Roman" w:hAnsi="Times New Roman" w:eastAsia="宋体" w:cs="Times New Roman"/>
                <w:color w:val="auto"/>
                <w:kern w:val="0"/>
                <w:szCs w:val="21"/>
                <w:highlight w:val="none"/>
              </w:rPr>
              <w:t>11.03</w:t>
            </w:r>
          </w:p>
        </w:tc>
        <w:tc>
          <w:tcPr>
            <w:tcW w:w="1895" w:type="pct"/>
            <w:tcBorders>
              <w:top w:val="nil"/>
              <w:left w:val="nil"/>
              <w:bottom w:val="single" w:color="auto" w:sz="4" w:space="0"/>
              <w:right w:val="single" w:color="auto" w:sz="4" w:space="0"/>
            </w:tcBorders>
            <w:shd w:val="clear" w:color="auto" w:fill="auto"/>
            <w:noWrap/>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lang w:eastAsia="zh-CN"/>
              </w:rPr>
            </w:pPr>
            <w:r>
              <w:rPr>
                <w:rFonts w:hint="default" w:ascii="Times New Roman" w:hAnsi="Times New Roman" w:eastAsia="宋体" w:cs="Times New Roman"/>
                <w:color w:val="auto"/>
                <w:kern w:val="0"/>
                <w:szCs w:val="21"/>
                <w:highlight w:val="none"/>
              </w:rPr>
              <w:t>83.22</w:t>
            </w:r>
          </w:p>
        </w:tc>
      </w:tr>
      <w:tr>
        <w:tblPrEx>
          <w:tblCellMar>
            <w:top w:w="0" w:type="dxa"/>
            <w:left w:w="108" w:type="dxa"/>
            <w:bottom w:w="0" w:type="dxa"/>
            <w:right w:w="108" w:type="dxa"/>
          </w:tblCellMar>
        </w:tblPrEx>
        <w:trPr>
          <w:trHeight w:val="340" w:hRule="atLeast"/>
        </w:trPr>
        <w:tc>
          <w:tcPr>
            <w:tcW w:w="2036" w:type="pct"/>
            <w:tcBorders>
              <w:top w:val="single" w:color="auto" w:sz="4" w:space="0"/>
              <w:left w:val="single" w:color="auto" w:sz="4" w:space="0"/>
              <w:bottom w:val="single" w:color="auto" w:sz="4" w:space="0"/>
              <w:right w:val="single" w:color="auto" w:sz="4" w:space="0"/>
            </w:tcBorders>
            <w:shd w:val="clear" w:color="auto" w:fill="auto"/>
            <w:noWrap/>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-0.104~+0.075</w:t>
            </w:r>
          </w:p>
        </w:tc>
        <w:tc>
          <w:tcPr>
            <w:tcW w:w="1068" w:type="pct"/>
            <w:tcBorders>
              <w:top w:val="nil"/>
              <w:left w:val="nil"/>
              <w:bottom w:val="single" w:color="auto" w:sz="4" w:space="0"/>
              <w:right w:val="single" w:color="auto" w:sz="4" w:space="0"/>
            </w:tcBorders>
            <w:shd w:val="clear" w:color="auto" w:fill="auto"/>
            <w:noWrap/>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lang w:eastAsia="zh-CN"/>
              </w:rPr>
            </w:pPr>
            <w:r>
              <w:rPr>
                <w:rFonts w:hint="default" w:ascii="Times New Roman" w:hAnsi="Times New Roman" w:eastAsia="宋体" w:cs="Times New Roman"/>
                <w:color w:val="auto"/>
                <w:kern w:val="0"/>
                <w:szCs w:val="21"/>
                <w:highlight w:val="none"/>
              </w:rPr>
              <w:t>16.01</w:t>
            </w:r>
          </w:p>
        </w:tc>
        <w:tc>
          <w:tcPr>
            <w:tcW w:w="1895" w:type="pct"/>
            <w:tcBorders>
              <w:top w:val="nil"/>
              <w:left w:val="nil"/>
              <w:bottom w:val="single" w:color="auto" w:sz="4" w:space="0"/>
              <w:right w:val="single" w:color="auto" w:sz="4" w:space="0"/>
            </w:tcBorders>
            <w:shd w:val="clear" w:color="auto" w:fill="auto"/>
            <w:noWrap/>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lang w:eastAsia="zh-CN"/>
              </w:rPr>
            </w:pPr>
            <w:r>
              <w:rPr>
                <w:rFonts w:hint="default" w:ascii="Times New Roman" w:hAnsi="Times New Roman" w:eastAsia="宋体" w:cs="Times New Roman"/>
                <w:color w:val="auto"/>
                <w:kern w:val="0"/>
                <w:szCs w:val="21"/>
                <w:highlight w:val="none"/>
              </w:rPr>
              <w:t>72.19</w:t>
            </w:r>
          </w:p>
        </w:tc>
      </w:tr>
      <w:tr>
        <w:tblPrEx>
          <w:tblCellMar>
            <w:top w:w="0" w:type="dxa"/>
            <w:left w:w="108" w:type="dxa"/>
            <w:bottom w:w="0" w:type="dxa"/>
            <w:right w:w="108" w:type="dxa"/>
          </w:tblCellMar>
        </w:tblPrEx>
        <w:trPr>
          <w:trHeight w:val="340" w:hRule="atLeast"/>
        </w:trPr>
        <w:tc>
          <w:tcPr>
            <w:tcW w:w="2036" w:type="pct"/>
            <w:tcBorders>
              <w:top w:val="single" w:color="auto" w:sz="4" w:space="0"/>
              <w:left w:val="single" w:color="auto" w:sz="4" w:space="0"/>
              <w:bottom w:val="single" w:color="auto" w:sz="4" w:space="0"/>
              <w:right w:val="single" w:color="auto" w:sz="4" w:space="0"/>
            </w:tcBorders>
            <w:shd w:val="clear" w:color="auto" w:fill="auto"/>
            <w:noWrap/>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-0.075~+0.053</w:t>
            </w:r>
          </w:p>
        </w:tc>
        <w:tc>
          <w:tcPr>
            <w:tcW w:w="1068" w:type="pct"/>
            <w:tcBorders>
              <w:top w:val="nil"/>
              <w:left w:val="nil"/>
              <w:bottom w:val="single" w:color="auto" w:sz="4" w:space="0"/>
              <w:right w:val="single" w:color="auto" w:sz="4" w:space="0"/>
            </w:tcBorders>
            <w:shd w:val="clear" w:color="auto" w:fill="auto"/>
            <w:noWrap/>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lang w:eastAsia="zh-CN"/>
              </w:rPr>
            </w:pPr>
            <w:r>
              <w:rPr>
                <w:rFonts w:hint="default" w:ascii="Times New Roman" w:hAnsi="Times New Roman" w:eastAsia="宋体" w:cs="Times New Roman"/>
                <w:color w:val="auto"/>
                <w:kern w:val="0"/>
                <w:szCs w:val="21"/>
                <w:highlight w:val="none"/>
              </w:rPr>
              <w:t>15.46</w:t>
            </w:r>
          </w:p>
        </w:tc>
        <w:tc>
          <w:tcPr>
            <w:tcW w:w="1895" w:type="pct"/>
            <w:tcBorders>
              <w:top w:val="nil"/>
              <w:left w:val="nil"/>
              <w:bottom w:val="single" w:color="auto" w:sz="4" w:space="0"/>
              <w:right w:val="single" w:color="auto" w:sz="4" w:space="0"/>
            </w:tcBorders>
            <w:shd w:val="clear" w:color="auto" w:fill="auto"/>
            <w:noWrap/>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lang w:eastAsia="zh-CN"/>
              </w:rPr>
            </w:pPr>
            <w:r>
              <w:rPr>
                <w:rFonts w:hint="default" w:ascii="Times New Roman" w:hAnsi="Times New Roman" w:eastAsia="宋体" w:cs="Times New Roman"/>
                <w:color w:val="auto"/>
                <w:kern w:val="0"/>
                <w:szCs w:val="21"/>
                <w:highlight w:val="none"/>
              </w:rPr>
              <w:t>56.18</w:t>
            </w:r>
          </w:p>
        </w:tc>
      </w:tr>
      <w:tr>
        <w:tblPrEx>
          <w:tblCellMar>
            <w:top w:w="0" w:type="dxa"/>
            <w:left w:w="108" w:type="dxa"/>
            <w:bottom w:w="0" w:type="dxa"/>
            <w:right w:w="108" w:type="dxa"/>
          </w:tblCellMar>
        </w:tblPrEx>
        <w:trPr>
          <w:trHeight w:val="340" w:hRule="atLeast"/>
        </w:trPr>
        <w:tc>
          <w:tcPr>
            <w:tcW w:w="2036" w:type="pct"/>
            <w:tcBorders>
              <w:top w:val="single" w:color="auto" w:sz="4" w:space="0"/>
              <w:left w:val="single" w:color="auto" w:sz="4" w:space="0"/>
              <w:bottom w:val="single" w:color="auto" w:sz="4" w:space="0"/>
              <w:right w:val="single" w:color="auto" w:sz="4" w:space="0"/>
            </w:tcBorders>
            <w:shd w:val="clear" w:color="auto" w:fill="auto"/>
            <w:noWrap/>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-0.053~+0.043</w:t>
            </w:r>
          </w:p>
        </w:tc>
        <w:tc>
          <w:tcPr>
            <w:tcW w:w="1068" w:type="pct"/>
            <w:tcBorders>
              <w:top w:val="nil"/>
              <w:left w:val="nil"/>
              <w:bottom w:val="single" w:color="auto" w:sz="4" w:space="0"/>
              <w:right w:val="single" w:color="auto" w:sz="4" w:space="0"/>
            </w:tcBorders>
            <w:shd w:val="clear" w:color="auto" w:fill="auto"/>
            <w:noWrap/>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lang w:eastAsia="zh-CN"/>
              </w:rPr>
            </w:pPr>
            <w:r>
              <w:rPr>
                <w:rFonts w:hint="default" w:ascii="Times New Roman" w:hAnsi="Times New Roman" w:eastAsia="宋体" w:cs="Times New Roman"/>
                <w:color w:val="auto"/>
                <w:kern w:val="0"/>
                <w:szCs w:val="21"/>
                <w:highlight w:val="none"/>
              </w:rPr>
              <w:t>12.53</w:t>
            </w:r>
          </w:p>
        </w:tc>
        <w:tc>
          <w:tcPr>
            <w:tcW w:w="1895" w:type="pct"/>
            <w:tcBorders>
              <w:top w:val="nil"/>
              <w:left w:val="nil"/>
              <w:bottom w:val="single" w:color="auto" w:sz="4" w:space="0"/>
              <w:right w:val="single" w:color="auto" w:sz="4" w:space="0"/>
            </w:tcBorders>
            <w:shd w:val="clear" w:color="auto" w:fill="auto"/>
            <w:noWrap/>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lang w:eastAsia="zh-CN"/>
              </w:rPr>
            </w:pPr>
            <w:r>
              <w:rPr>
                <w:rFonts w:hint="default" w:ascii="Times New Roman" w:hAnsi="Times New Roman" w:eastAsia="宋体" w:cs="Times New Roman"/>
                <w:color w:val="auto"/>
                <w:kern w:val="0"/>
                <w:szCs w:val="21"/>
                <w:highlight w:val="none"/>
              </w:rPr>
              <w:t>40.72</w:t>
            </w:r>
          </w:p>
        </w:tc>
      </w:tr>
      <w:tr>
        <w:tblPrEx>
          <w:tblCellMar>
            <w:top w:w="0" w:type="dxa"/>
            <w:left w:w="108" w:type="dxa"/>
            <w:bottom w:w="0" w:type="dxa"/>
            <w:right w:w="108" w:type="dxa"/>
          </w:tblCellMar>
        </w:tblPrEx>
        <w:trPr>
          <w:trHeight w:val="340" w:hRule="atLeast"/>
        </w:trPr>
        <w:tc>
          <w:tcPr>
            <w:tcW w:w="2036" w:type="pct"/>
            <w:tcBorders>
              <w:top w:val="single" w:color="auto" w:sz="4" w:space="0"/>
              <w:left w:val="single" w:color="auto" w:sz="4" w:space="0"/>
              <w:bottom w:val="single" w:color="auto" w:sz="4" w:space="0"/>
              <w:right w:val="single" w:color="auto" w:sz="4" w:space="0"/>
            </w:tcBorders>
            <w:shd w:val="clear" w:color="auto" w:fill="auto"/>
            <w:noWrap/>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-0.043~+0.038</w:t>
            </w:r>
          </w:p>
        </w:tc>
        <w:tc>
          <w:tcPr>
            <w:tcW w:w="1068" w:type="pct"/>
            <w:tcBorders>
              <w:top w:val="nil"/>
              <w:left w:val="nil"/>
              <w:bottom w:val="single" w:color="auto" w:sz="4" w:space="0"/>
              <w:right w:val="single" w:color="auto" w:sz="4" w:space="0"/>
            </w:tcBorders>
            <w:shd w:val="clear" w:color="auto" w:fill="auto"/>
            <w:noWrap/>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lang w:eastAsia="zh-CN"/>
              </w:rPr>
            </w:pPr>
            <w:r>
              <w:rPr>
                <w:rFonts w:hint="default" w:ascii="Times New Roman" w:hAnsi="Times New Roman" w:eastAsia="宋体" w:cs="Times New Roman"/>
                <w:color w:val="auto"/>
                <w:kern w:val="0"/>
                <w:szCs w:val="21"/>
                <w:highlight w:val="none"/>
              </w:rPr>
              <w:t>9.31</w:t>
            </w:r>
          </w:p>
        </w:tc>
        <w:tc>
          <w:tcPr>
            <w:tcW w:w="1895" w:type="pct"/>
            <w:tcBorders>
              <w:top w:val="nil"/>
              <w:left w:val="nil"/>
              <w:bottom w:val="single" w:color="auto" w:sz="4" w:space="0"/>
              <w:right w:val="single" w:color="auto" w:sz="4" w:space="0"/>
            </w:tcBorders>
            <w:shd w:val="clear" w:color="auto" w:fill="auto"/>
            <w:noWrap/>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lang w:eastAsia="zh-CN"/>
              </w:rPr>
            </w:pPr>
            <w:r>
              <w:rPr>
                <w:rFonts w:hint="default" w:ascii="Times New Roman" w:hAnsi="Times New Roman" w:eastAsia="宋体" w:cs="Times New Roman"/>
                <w:color w:val="auto"/>
                <w:kern w:val="0"/>
                <w:szCs w:val="21"/>
                <w:highlight w:val="none"/>
              </w:rPr>
              <w:t>28.19</w:t>
            </w:r>
          </w:p>
        </w:tc>
      </w:tr>
      <w:tr>
        <w:tblPrEx>
          <w:tblCellMar>
            <w:top w:w="0" w:type="dxa"/>
            <w:left w:w="108" w:type="dxa"/>
            <w:bottom w:w="0" w:type="dxa"/>
            <w:right w:w="108" w:type="dxa"/>
          </w:tblCellMar>
        </w:tblPrEx>
        <w:trPr>
          <w:trHeight w:val="340" w:hRule="atLeast"/>
        </w:trPr>
        <w:tc>
          <w:tcPr>
            <w:tcW w:w="2036" w:type="pct"/>
            <w:tcBorders>
              <w:top w:val="single" w:color="auto" w:sz="4" w:space="0"/>
              <w:left w:val="single" w:color="auto" w:sz="4" w:space="0"/>
              <w:bottom w:val="single" w:color="auto" w:sz="4" w:space="0"/>
              <w:right w:val="single" w:color="auto" w:sz="4" w:space="0"/>
            </w:tcBorders>
            <w:shd w:val="clear" w:color="auto" w:fill="auto"/>
            <w:noWrap/>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-0.038~+0.030</w:t>
            </w:r>
          </w:p>
        </w:tc>
        <w:tc>
          <w:tcPr>
            <w:tcW w:w="1068" w:type="pct"/>
            <w:tcBorders>
              <w:top w:val="nil"/>
              <w:left w:val="nil"/>
              <w:bottom w:val="single" w:color="auto" w:sz="4" w:space="0"/>
              <w:right w:val="single" w:color="auto" w:sz="4" w:space="0"/>
            </w:tcBorders>
            <w:shd w:val="clear" w:color="auto" w:fill="auto"/>
            <w:noWrap/>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lang w:eastAsia="zh-CN"/>
              </w:rPr>
            </w:pPr>
            <w:r>
              <w:rPr>
                <w:rFonts w:hint="default" w:ascii="Times New Roman" w:hAnsi="Times New Roman" w:eastAsia="宋体" w:cs="Times New Roman"/>
                <w:color w:val="auto"/>
                <w:kern w:val="0"/>
                <w:szCs w:val="21"/>
                <w:highlight w:val="none"/>
              </w:rPr>
              <w:t>7.64</w:t>
            </w:r>
          </w:p>
        </w:tc>
        <w:tc>
          <w:tcPr>
            <w:tcW w:w="1895" w:type="pct"/>
            <w:tcBorders>
              <w:top w:val="nil"/>
              <w:left w:val="nil"/>
              <w:bottom w:val="single" w:color="auto" w:sz="4" w:space="0"/>
              <w:right w:val="single" w:color="auto" w:sz="4" w:space="0"/>
            </w:tcBorders>
            <w:shd w:val="clear" w:color="auto" w:fill="auto"/>
            <w:noWrap/>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lang w:eastAsia="zh-CN"/>
              </w:rPr>
            </w:pPr>
            <w:r>
              <w:rPr>
                <w:rFonts w:hint="default" w:ascii="Times New Roman" w:hAnsi="Times New Roman" w:eastAsia="宋体" w:cs="Times New Roman"/>
                <w:color w:val="auto"/>
                <w:kern w:val="0"/>
                <w:szCs w:val="21"/>
                <w:highlight w:val="none"/>
              </w:rPr>
              <w:t>18.88</w:t>
            </w:r>
          </w:p>
        </w:tc>
      </w:tr>
      <w:tr>
        <w:tblPrEx>
          <w:tblCellMar>
            <w:top w:w="0" w:type="dxa"/>
            <w:left w:w="108" w:type="dxa"/>
            <w:bottom w:w="0" w:type="dxa"/>
            <w:right w:w="108" w:type="dxa"/>
          </w:tblCellMar>
        </w:tblPrEx>
        <w:trPr>
          <w:trHeight w:val="340" w:hRule="atLeast"/>
        </w:trPr>
        <w:tc>
          <w:tcPr>
            <w:tcW w:w="2036" w:type="pct"/>
            <w:tcBorders>
              <w:top w:val="single" w:color="auto" w:sz="4" w:space="0"/>
              <w:left w:val="single" w:color="auto" w:sz="4" w:space="0"/>
              <w:bottom w:val="single" w:color="auto" w:sz="4" w:space="0"/>
              <w:right w:val="single" w:color="auto" w:sz="4" w:space="0"/>
            </w:tcBorders>
            <w:shd w:val="clear" w:color="auto" w:fill="auto"/>
            <w:noWrap/>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-0.030</w:t>
            </w:r>
          </w:p>
        </w:tc>
        <w:tc>
          <w:tcPr>
            <w:tcW w:w="1068" w:type="pct"/>
            <w:tcBorders>
              <w:top w:val="nil"/>
              <w:left w:val="nil"/>
              <w:bottom w:val="single" w:color="auto" w:sz="4" w:space="0"/>
              <w:right w:val="single" w:color="auto" w:sz="4" w:space="0"/>
            </w:tcBorders>
            <w:shd w:val="clear" w:color="auto" w:fill="auto"/>
            <w:noWrap/>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lang w:eastAsia="zh-CN"/>
              </w:rPr>
            </w:pPr>
            <w:r>
              <w:rPr>
                <w:rFonts w:hint="default" w:ascii="Times New Roman" w:hAnsi="Times New Roman" w:eastAsia="宋体" w:cs="Times New Roman"/>
                <w:color w:val="auto"/>
                <w:kern w:val="0"/>
                <w:szCs w:val="21"/>
                <w:highlight w:val="none"/>
              </w:rPr>
              <w:t>11.24</w:t>
            </w:r>
          </w:p>
        </w:tc>
        <w:tc>
          <w:tcPr>
            <w:tcW w:w="1895" w:type="pct"/>
            <w:tcBorders>
              <w:top w:val="nil"/>
              <w:left w:val="nil"/>
              <w:bottom w:val="single" w:color="auto" w:sz="4" w:space="0"/>
              <w:right w:val="single" w:color="auto" w:sz="4" w:space="0"/>
            </w:tcBorders>
            <w:shd w:val="clear" w:color="auto" w:fill="auto"/>
            <w:noWrap/>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lang w:eastAsia="zh-CN"/>
              </w:rPr>
            </w:pPr>
            <w:r>
              <w:rPr>
                <w:rFonts w:hint="default" w:ascii="Times New Roman" w:hAnsi="Times New Roman" w:eastAsia="宋体" w:cs="Times New Roman"/>
                <w:color w:val="auto"/>
                <w:kern w:val="0"/>
                <w:szCs w:val="21"/>
                <w:highlight w:val="none"/>
              </w:rPr>
              <w:t>11.24</w:t>
            </w:r>
          </w:p>
        </w:tc>
      </w:tr>
    </w:tbl>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outlineLvl w:val="0"/>
        <w:rPr>
          <w:rFonts w:hint="default" w:ascii="Times New Roman" w:hAnsi="Times New Roman" w:eastAsia="宋体" w:cs="Times New Roman"/>
          <w:b w:val="0"/>
          <w:bCs w:val="0"/>
          <w:color w:val="auto"/>
          <w:sz w:val="24"/>
          <w:szCs w:val="24"/>
          <w:highlight w:val="none"/>
          <w:lang w:val="en-US" w:eastAsia="zh-CN"/>
        </w:rPr>
      </w:pPr>
      <w:bookmarkStart w:id="395" w:name="_Toc1118"/>
      <w:bookmarkStart w:id="396" w:name="_Toc27335"/>
      <w:r>
        <w:rPr>
          <w:rFonts w:hint="default" w:ascii="Times New Roman" w:hAnsi="Times New Roman" w:eastAsia="宋体" w:cs="Times New Roman"/>
          <w:b w:val="0"/>
          <w:bCs w:val="0"/>
          <w:color w:val="auto"/>
          <w:sz w:val="24"/>
          <w:szCs w:val="24"/>
          <w:highlight w:val="none"/>
          <w:lang w:val="en-US" w:eastAsia="zh-CN"/>
        </w:rPr>
        <w:t>（4）尾矿</w:t>
      </w:r>
      <w:bookmarkEnd w:id="388"/>
      <w:r>
        <w:rPr>
          <w:rFonts w:hint="default" w:ascii="Times New Roman" w:hAnsi="Times New Roman" w:eastAsia="宋体" w:cs="Times New Roman"/>
          <w:b w:val="0"/>
          <w:bCs w:val="0"/>
          <w:color w:val="auto"/>
          <w:sz w:val="24"/>
          <w:szCs w:val="24"/>
          <w:highlight w:val="none"/>
          <w:lang w:val="en-US" w:eastAsia="zh-CN"/>
        </w:rPr>
        <w:t>输送方案</w:t>
      </w:r>
      <w:bookmarkEnd w:id="395"/>
      <w:bookmarkEnd w:id="396"/>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bCs/>
          <w:color w:val="auto"/>
          <w:sz w:val="24"/>
          <w:szCs w:val="24"/>
          <w:highlight w:val="none"/>
        </w:rPr>
      </w:pPr>
      <w:r>
        <w:rPr>
          <w:rFonts w:hint="default" w:ascii="Times New Roman" w:hAnsi="Times New Roman" w:eastAsia="宋体" w:cs="Times New Roman"/>
          <w:bCs/>
          <w:color w:val="auto"/>
          <w:sz w:val="24"/>
          <w:szCs w:val="24"/>
          <w:highlight w:val="none"/>
        </w:rPr>
        <w:t>根据现有尾矿输送系统设置条件</w:t>
      </w:r>
      <w:r>
        <w:rPr>
          <w:rFonts w:hint="default" w:ascii="Times New Roman" w:hAnsi="Times New Roman" w:eastAsia="宋体"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rPr>
        <w:t>在尾矿库南侧坝肩下1460m新建1座尾矿加压泵站</w:t>
      </w:r>
      <w:r>
        <w:rPr>
          <w:rFonts w:hint="default" w:ascii="Times New Roman" w:hAnsi="Times New Roman" w:eastAsia="宋体"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rPr>
        <w:t>内设尾矿加压泵组</w:t>
      </w:r>
      <w:r>
        <w:rPr>
          <w:rFonts w:hint="default" w:ascii="Times New Roman" w:hAnsi="Times New Roman" w:eastAsia="宋体"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rPr>
        <w:t>加压后尾矿输送系统满足扩容后终期坝放矿要求。</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bCs/>
          <w:color w:val="auto"/>
          <w:sz w:val="24"/>
          <w:szCs w:val="24"/>
          <w:highlight w:val="none"/>
        </w:rPr>
      </w:pPr>
      <w:r>
        <w:rPr>
          <w:rFonts w:hint="default" w:ascii="Times New Roman" w:hAnsi="Times New Roman" w:eastAsia="宋体" w:cs="Times New Roman"/>
          <w:bCs/>
          <w:color w:val="auto"/>
          <w:sz w:val="24"/>
          <w:szCs w:val="24"/>
          <w:highlight w:val="none"/>
        </w:rPr>
        <w:t>本次设计根据新建尾矿加压泵站位置调整尾矿输送管线的路由</w:t>
      </w:r>
      <w:r>
        <w:rPr>
          <w:rFonts w:hint="default" w:ascii="Times New Roman" w:hAnsi="Times New Roman" w:eastAsia="宋体"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rPr>
        <w:t>利旧现有尾矿输送管线的部分管段（从选厂起始约700m）</w:t>
      </w:r>
      <w:r>
        <w:rPr>
          <w:rFonts w:hint="default" w:ascii="Times New Roman" w:hAnsi="Times New Roman" w:eastAsia="宋体"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rPr>
        <w:t>调整约500m尾矿输送管线至新建尾矿加压泵站。调整区段尾矿输送管道可拆除原有线路尾矿管道后利旧使用。</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bCs/>
          <w:color w:val="auto"/>
          <w:sz w:val="24"/>
          <w:szCs w:val="24"/>
          <w:highlight w:val="none"/>
          <w:lang w:eastAsia="zh-CN"/>
        </w:rPr>
      </w:pPr>
      <w:r>
        <w:rPr>
          <w:rFonts w:hint="default" w:ascii="Times New Roman" w:hAnsi="Times New Roman" w:eastAsia="宋体" w:cs="Times New Roman"/>
          <w:bCs/>
          <w:color w:val="auto"/>
          <w:sz w:val="24"/>
          <w:szCs w:val="24"/>
          <w:highlight w:val="none"/>
        </w:rPr>
        <w:t>尾矿加压泵站出矿管道即为尾矿放矿主管</w:t>
      </w:r>
      <w:r>
        <w:rPr>
          <w:rFonts w:hint="default" w:ascii="Times New Roman" w:hAnsi="Times New Roman" w:eastAsia="宋体"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rPr>
        <w:t>管道采用dn450PE管</w:t>
      </w:r>
      <w:r>
        <w:rPr>
          <w:rFonts w:hint="default" w:ascii="Times New Roman" w:hAnsi="Times New Roman" w:eastAsia="宋体"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rPr>
        <w:t>沿尾矿库坝顶明设并保温</w:t>
      </w:r>
      <w:r>
        <w:rPr>
          <w:rFonts w:hint="default" w:ascii="Times New Roman" w:hAnsi="Times New Roman" w:eastAsia="宋体"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rPr>
        <w:t>管线总长度约1km。坝上放矿主管可利旧移设现有管道坝上放矿支管沿坝体间隔12m设置</w:t>
      </w:r>
      <w:r>
        <w:rPr>
          <w:rFonts w:hint="default" w:ascii="Times New Roman" w:hAnsi="Times New Roman" w:eastAsia="宋体"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rPr>
        <w:t>每18条支管为1组</w:t>
      </w:r>
      <w:r>
        <w:rPr>
          <w:rFonts w:hint="default" w:ascii="Times New Roman" w:hAnsi="Times New Roman" w:eastAsia="宋体"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rPr>
        <w:t>暂设2组</w:t>
      </w:r>
      <w:r>
        <w:rPr>
          <w:rFonts w:hint="default" w:ascii="Times New Roman" w:hAnsi="Times New Roman" w:eastAsia="宋体"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rPr>
        <w:t>放矿支管采用dn160钢丝网骨架塑料复合管</w:t>
      </w:r>
      <w:r>
        <w:rPr>
          <w:rFonts w:hint="default" w:ascii="Times New Roman" w:hAnsi="Times New Roman" w:eastAsia="宋体"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rPr>
        <w:t>管道压力等级1.0MPa。每条放矿支管起端设1个DN150矿浆阀进行控制。放矿支管可利旧使用现有管道</w:t>
      </w:r>
      <w:r>
        <w:rPr>
          <w:rFonts w:hint="default" w:ascii="Times New Roman" w:hAnsi="Times New Roman" w:eastAsia="宋体" w:cs="Times New Roman"/>
          <w:bCs/>
          <w:color w:val="auto"/>
          <w:sz w:val="24"/>
          <w:szCs w:val="24"/>
          <w:highlight w:val="none"/>
          <w:lang w:eastAsia="zh-CN"/>
        </w:rPr>
        <w:t>。</w:t>
      </w:r>
    </w:p>
    <w:p>
      <w:pPr>
        <w:keepNext w:val="0"/>
        <w:keepLines w:val="0"/>
        <w:pageBreakBefore w:val="0"/>
        <w:widowControl w:val="0"/>
        <w:kinsoku/>
        <w:wordWrap/>
        <w:overflowPunct/>
        <w:topLinePunct w:val="0"/>
        <w:autoSpaceDE/>
        <w:autoSpaceDN/>
        <w:bidi w:val="0"/>
        <w:adjustRightInd/>
        <w:spacing w:line="360" w:lineRule="auto"/>
        <w:ind w:left="0" w:leftChars="0" w:right="0" w:rightChars="0" w:firstLine="480" w:firstLineChars="200"/>
        <w:textAlignment w:val="auto"/>
        <w:outlineLvl w:val="0"/>
        <w:rPr>
          <w:rFonts w:hint="default" w:ascii="Times New Roman" w:hAnsi="Times New Roman" w:eastAsia="宋体" w:cs="Times New Roman"/>
          <w:bCs/>
          <w:color w:val="auto"/>
          <w:sz w:val="24"/>
          <w:szCs w:val="24"/>
          <w:highlight w:val="none"/>
        </w:rPr>
      </w:pPr>
      <w:bookmarkStart w:id="397" w:name="_Toc13985"/>
      <w:bookmarkStart w:id="398" w:name="_Toc13382"/>
      <w:r>
        <w:rPr>
          <w:rFonts w:hint="default" w:ascii="Times New Roman" w:hAnsi="Times New Roman" w:eastAsia="宋体" w:cs="Times New Roman"/>
          <w:b w:val="0"/>
          <w:bCs w:val="0"/>
          <w:color w:val="auto"/>
          <w:sz w:val="24"/>
          <w:szCs w:val="24"/>
          <w:highlight w:val="none"/>
          <w:lang w:val="en-US" w:eastAsia="zh-CN"/>
        </w:rPr>
        <w:t>（5）</w:t>
      </w:r>
      <w:r>
        <w:rPr>
          <w:rFonts w:hint="default" w:ascii="Times New Roman" w:hAnsi="Times New Roman" w:eastAsia="宋体" w:cs="Times New Roman"/>
          <w:bCs/>
          <w:color w:val="auto"/>
          <w:sz w:val="24"/>
          <w:szCs w:val="24"/>
          <w:highlight w:val="none"/>
        </w:rPr>
        <w:t>尾矿输送水力计算</w:t>
      </w:r>
      <w:bookmarkEnd w:id="397"/>
      <w:bookmarkEnd w:id="398"/>
    </w:p>
    <w:p>
      <w:pPr>
        <w:keepNext w:val="0"/>
        <w:keepLines w:val="0"/>
        <w:pageBreakBefore w:val="0"/>
        <w:widowControl w:val="0"/>
        <w:kinsoku/>
        <w:wordWrap/>
        <w:overflowPunct/>
        <w:topLinePunct w:val="0"/>
        <w:autoSpaceDE/>
        <w:autoSpaceDN/>
        <w:bidi w:val="0"/>
        <w:adjustRightInd/>
        <w:spacing w:line="360" w:lineRule="auto"/>
        <w:ind w:left="0" w:leftChars="0" w:right="0" w:rightChars="0" w:firstLine="480" w:firstLineChars="200"/>
        <w:textAlignment w:val="auto"/>
        <w:outlineLvl w:val="1"/>
        <w:rPr>
          <w:rFonts w:hint="default" w:ascii="Times New Roman" w:hAnsi="Times New Roman" w:eastAsia="宋体" w:cs="Times New Roman"/>
          <w:bCs/>
          <w:color w:val="auto"/>
          <w:sz w:val="24"/>
          <w:szCs w:val="24"/>
          <w:highlight w:val="none"/>
        </w:rPr>
      </w:pPr>
      <w:bookmarkStart w:id="399" w:name="_Toc30116"/>
      <w:bookmarkStart w:id="400" w:name="_Toc19825"/>
      <w:r>
        <w:rPr>
          <w:rFonts w:hint="default" w:ascii="Times New Roman" w:hAnsi="Times New Roman" w:eastAsia="宋体" w:cs="Times New Roman"/>
          <w:bCs/>
          <w:color w:val="auto"/>
          <w:sz w:val="24"/>
          <w:szCs w:val="24"/>
          <w:highlight w:val="none"/>
        </w:rPr>
        <w:t>1）水力计算模型</w:t>
      </w:r>
      <w:bookmarkEnd w:id="399"/>
      <w:bookmarkEnd w:id="400"/>
    </w:p>
    <w:p>
      <w:pPr>
        <w:keepNext w:val="0"/>
        <w:keepLines w:val="0"/>
        <w:pageBreakBefore w:val="0"/>
        <w:widowControl w:val="0"/>
        <w:tabs>
          <w:tab w:val="left" w:pos="630"/>
        </w:tabs>
        <w:kinsoku/>
        <w:wordWrap/>
        <w:overflowPunct/>
        <w:topLinePunct w:val="0"/>
        <w:autoSpaceDE/>
        <w:autoSpaceDN/>
        <w:bidi w:val="0"/>
        <w:adjustRightInd/>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由于没有尾矿管道输送试验报告</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本次设计参考北京有色冶金设计院计算方法</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计算确定临界管径和临界流速。</w:t>
      </w:r>
    </w:p>
    <w:p>
      <w:pPr>
        <w:keepNext w:val="0"/>
        <w:keepLines w:val="0"/>
        <w:pageBreakBefore w:val="0"/>
        <w:widowControl w:val="0"/>
        <w:tabs>
          <w:tab w:val="left" w:pos="630"/>
        </w:tabs>
        <w:kinsoku/>
        <w:wordWrap/>
        <w:overflowPunct/>
        <w:topLinePunct w:val="0"/>
        <w:autoSpaceDE/>
        <w:autoSpaceDN/>
        <w:bidi w:val="0"/>
        <w:adjustRightInd/>
        <w:spacing w:line="360" w:lineRule="auto"/>
        <w:ind w:left="0" w:leftChars="0" w:right="0" w:rightChars="0" w:firstLine="480" w:firstLineChars="200"/>
        <w:textAlignment w:val="auto"/>
        <w:outlineLvl w:val="2"/>
        <w:rPr>
          <w:rFonts w:hint="default" w:ascii="Times New Roman" w:hAnsi="Times New Roman" w:eastAsia="宋体" w:cs="Times New Roman"/>
          <w:color w:val="auto"/>
          <w:sz w:val="24"/>
          <w:szCs w:val="24"/>
          <w:highlight w:val="none"/>
        </w:rPr>
      </w:pPr>
      <w:bookmarkStart w:id="401" w:name="_Toc15761"/>
      <w:bookmarkStart w:id="402" w:name="_Toc13302"/>
      <w:r>
        <w:rPr>
          <w:rFonts w:hint="default" w:ascii="Times New Roman" w:hAnsi="Times New Roman" w:eastAsia="宋体" w:cs="Times New Roman"/>
          <w:color w:val="auto"/>
          <w:sz w:val="24"/>
          <w:szCs w:val="24"/>
          <w:highlight w:val="none"/>
        </w:rPr>
        <w:t>①临界管径计算</w:t>
      </w:r>
      <w:bookmarkEnd w:id="401"/>
      <w:bookmarkEnd w:id="402"/>
    </w:p>
    <w:p>
      <w:pPr>
        <w:keepNext w:val="0"/>
        <w:keepLines w:val="0"/>
        <w:pageBreakBefore w:val="0"/>
        <w:widowControl w:val="0"/>
        <w:tabs>
          <w:tab w:val="left" w:pos="630"/>
        </w:tabs>
        <w:kinsoku/>
        <w:wordWrap/>
        <w:overflowPunct/>
        <w:topLinePunct w:val="0"/>
        <w:autoSpaceDE/>
        <w:autoSpaceDN/>
        <w:bidi w:val="0"/>
        <w:adjustRightInd/>
        <w:spacing w:line="360" w:lineRule="auto"/>
        <w:ind w:left="0" w:leftChars="0" w:right="0" w:rightChars="0" w:firstLine="480" w:firstLineChars="20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D</w:t>
      </w:r>
      <w:r>
        <w:rPr>
          <w:rFonts w:hint="default" w:ascii="Times New Roman" w:hAnsi="Times New Roman" w:eastAsia="宋体" w:cs="Times New Roman"/>
          <w:color w:val="auto"/>
          <w:sz w:val="24"/>
          <w:szCs w:val="24"/>
          <w:highlight w:val="none"/>
          <w:vertAlign w:val="subscript"/>
        </w:rPr>
        <w:t>L</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position w:val="-76"/>
          <w:sz w:val="24"/>
          <w:szCs w:val="24"/>
          <w:highlight w:val="none"/>
        </w:rPr>
        <w:object>
          <v:shape id="_x0000_i1025" o:spt="75" type="#_x0000_t75" style="height:63pt;width:193.8pt;" o:ole="t" filled="f" o:preferrelative="t" stroked="f" coordsize="21600,21600">
            <v:path/>
            <v:fill on="f" focussize="0,0"/>
            <v:stroke on="f"/>
            <v:imagedata r:id="rId32" o:title=""/>
            <o:lock v:ext="edit" aspectratio="t"/>
            <w10:wrap type="none"/>
            <w10:anchorlock/>
          </v:shape>
          <o:OLEObject Type="Embed" ProgID="Equation.3" ShapeID="_x0000_i1025" DrawAspect="Content" ObjectID="_1468075725" r:id="rId31">
            <o:LockedField>false</o:LockedField>
          </o:OLEObject>
        </w:object>
      </w:r>
    </w:p>
    <w:p>
      <w:pPr>
        <w:keepNext w:val="0"/>
        <w:keepLines w:val="0"/>
        <w:pageBreakBefore w:val="0"/>
        <w:widowControl w:val="0"/>
        <w:tabs>
          <w:tab w:val="left" w:pos="630"/>
        </w:tabs>
        <w:kinsoku/>
        <w:wordWrap/>
        <w:overflowPunct/>
        <w:topLinePunct w:val="0"/>
        <w:autoSpaceDE/>
        <w:autoSpaceDN/>
        <w:bidi w:val="0"/>
        <w:adjustRightInd/>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式中：Q</w:t>
      </w:r>
      <w:r>
        <w:rPr>
          <w:rFonts w:hint="default" w:ascii="Times New Roman" w:hAnsi="Times New Roman" w:eastAsia="宋体" w:cs="Times New Roman"/>
          <w:color w:val="auto"/>
          <w:sz w:val="24"/>
          <w:szCs w:val="24"/>
          <w:highlight w:val="none"/>
          <w:vertAlign w:val="subscript"/>
        </w:rPr>
        <w:t>k</w:t>
      </w:r>
      <w:r>
        <w:rPr>
          <w:rFonts w:hint="default" w:ascii="Times New Roman" w:hAnsi="Times New Roman" w:eastAsia="宋体" w:cs="Times New Roman"/>
          <w:color w:val="auto"/>
          <w:sz w:val="24"/>
          <w:szCs w:val="24"/>
          <w:highlight w:val="none"/>
        </w:rPr>
        <w:t>——矿浆流量</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/s；</w:t>
      </w:r>
    </w:p>
    <w:p>
      <w:pPr>
        <w:keepNext w:val="0"/>
        <w:keepLines w:val="0"/>
        <w:pageBreakBefore w:val="0"/>
        <w:widowControl w:val="0"/>
        <w:tabs>
          <w:tab w:val="left" w:pos="630"/>
        </w:tabs>
        <w:kinsoku/>
        <w:wordWrap/>
        <w:overflowPunct/>
        <w:topLinePunct w:val="0"/>
        <w:autoSpaceDE/>
        <w:autoSpaceDN/>
        <w:bidi w:val="0"/>
        <w:adjustRightInd/>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D</w:t>
      </w:r>
      <w:r>
        <w:rPr>
          <w:rFonts w:hint="default" w:ascii="Times New Roman" w:hAnsi="Times New Roman" w:eastAsia="宋体" w:cs="Times New Roman"/>
          <w:color w:val="auto"/>
          <w:sz w:val="24"/>
          <w:szCs w:val="24"/>
          <w:highlight w:val="none"/>
          <w:vertAlign w:val="subscript"/>
        </w:rPr>
        <w:t>L</w:t>
      </w:r>
      <w:r>
        <w:rPr>
          <w:rFonts w:hint="default" w:ascii="Times New Roman" w:hAnsi="Times New Roman" w:eastAsia="宋体" w:cs="Times New Roman"/>
          <w:color w:val="auto"/>
          <w:sz w:val="24"/>
          <w:szCs w:val="24"/>
          <w:highlight w:val="none"/>
        </w:rPr>
        <w:t>——临界管径</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m；</w:t>
      </w:r>
    </w:p>
    <w:p>
      <w:pPr>
        <w:keepNext w:val="0"/>
        <w:keepLines w:val="0"/>
        <w:pageBreakBefore w:val="0"/>
        <w:widowControl w:val="0"/>
        <w:tabs>
          <w:tab w:val="left" w:pos="630"/>
        </w:tabs>
        <w:kinsoku/>
        <w:wordWrap/>
        <w:overflowPunct/>
        <w:topLinePunct w:val="0"/>
        <w:autoSpaceDE/>
        <w:autoSpaceDN/>
        <w:bidi w:val="0"/>
        <w:adjustRightInd/>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u——矿砂中值颗粒直径d</w:t>
      </w:r>
      <w:r>
        <w:rPr>
          <w:rFonts w:hint="default" w:ascii="Times New Roman" w:hAnsi="Times New Roman" w:eastAsia="宋体" w:cs="Times New Roman"/>
          <w:color w:val="auto"/>
          <w:sz w:val="24"/>
          <w:szCs w:val="24"/>
          <w:highlight w:val="none"/>
          <w:vertAlign w:val="subscript"/>
        </w:rPr>
        <w:t>50</w:t>
      </w:r>
      <w:r>
        <w:rPr>
          <w:rFonts w:hint="default" w:ascii="Times New Roman" w:hAnsi="Times New Roman" w:eastAsia="宋体" w:cs="Times New Roman"/>
          <w:color w:val="auto"/>
          <w:sz w:val="24"/>
          <w:szCs w:val="24"/>
          <w:highlight w:val="none"/>
        </w:rPr>
        <w:t>的沉速</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m/s；</w:t>
      </w:r>
    </w:p>
    <w:p>
      <w:pPr>
        <w:keepNext w:val="0"/>
        <w:keepLines w:val="0"/>
        <w:pageBreakBefore w:val="0"/>
        <w:widowControl w:val="0"/>
        <w:tabs>
          <w:tab w:val="left" w:pos="630"/>
        </w:tabs>
        <w:kinsoku/>
        <w:wordWrap/>
        <w:overflowPunct/>
        <w:topLinePunct w:val="0"/>
        <w:autoSpaceDE/>
        <w:autoSpaceDN/>
        <w:bidi w:val="0"/>
        <w:adjustRightInd/>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p</w:t>
      </w:r>
      <w:r>
        <w:rPr>
          <w:rFonts w:hint="default" w:ascii="Times New Roman" w:hAnsi="Times New Roman" w:eastAsia="宋体" w:cs="Times New Roman"/>
          <w:color w:val="auto"/>
          <w:sz w:val="24"/>
          <w:szCs w:val="24"/>
          <w:highlight w:val="none"/>
          <w:vertAlign w:val="subscript"/>
        </w:rPr>
        <w:t>v</w:t>
      </w:r>
      <w:r>
        <w:rPr>
          <w:rFonts w:hint="default" w:ascii="Times New Roman" w:hAnsi="Times New Roman" w:eastAsia="宋体" w:cs="Times New Roman"/>
          <w:color w:val="auto"/>
          <w:sz w:val="24"/>
          <w:szCs w:val="24"/>
          <w:highlight w:val="none"/>
        </w:rPr>
        <w:t>——矿浆体积浓度；</w:t>
      </w:r>
    </w:p>
    <w:p>
      <w:pPr>
        <w:keepNext w:val="0"/>
        <w:keepLines w:val="0"/>
        <w:pageBreakBefore w:val="0"/>
        <w:widowControl w:val="0"/>
        <w:tabs>
          <w:tab w:val="left" w:pos="630"/>
        </w:tabs>
        <w:kinsoku/>
        <w:wordWrap/>
        <w:overflowPunct/>
        <w:topLinePunct w:val="0"/>
        <w:autoSpaceDE/>
        <w:autoSpaceDN/>
        <w:bidi w:val="0"/>
        <w:adjustRightInd/>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g——重力加速度</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m/s</w:t>
      </w:r>
      <w:r>
        <w:rPr>
          <w:rFonts w:hint="default" w:ascii="Times New Roman" w:hAnsi="Times New Roman" w:eastAsia="宋体" w:cs="Times New Roman"/>
          <w:color w:val="auto"/>
          <w:sz w:val="24"/>
          <w:szCs w:val="24"/>
          <w:highlight w:val="none"/>
          <w:vertAlign w:val="superscript"/>
        </w:rPr>
        <w:t>2</w:t>
      </w:r>
      <w:r>
        <w:rPr>
          <w:rFonts w:hint="default" w:ascii="Times New Roman" w:hAnsi="Times New Roman" w:eastAsia="宋体" w:cs="Times New Roman"/>
          <w:color w:val="auto"/>
          <w:sz w:val="24"/>
          <w:szCs w:val="24"/>
          <w:highlight w:val="none"/>
        </w:rPr>
        <w:t>；</w:t>
      </w:r>
    </w:p>
    <w:p>
      <w:pPr>
        <w:keepNext w:val="0"/>
        <w:keepLines w:val="0"/>
        <w:pageBreakBefore w:val="0"/>
        <w:widowControl w:val="0"/>
        <w:tabs>
          <w:tab w:val="left" w:pos="630"/>
        </w:tabs>
        <w:kinsoku/>
        <w:wordWrap/>
        <w:overflowPunct/>
        <w:topLinePunct w:val="0"/>
        <w:autoSpaceDE/>
        <w:autoSpaceDN/>
        <w:bidi w:val="0"/>
        <w:adjustRightInd/>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γ</w:t>
      </w:r>
      <w:r>
        <w:rPr>
          <w:rFonts w:hint="default" w:ascii="Times New Roman" w:hAnsi="Times New Roman" w:eastAsia="宋体" w:cs="Times New Roman"/>
          <w:color w:val="auto"/>
          <w:sz w:val="24"/>
          <w:szCs w:val="24"/>
          <w:highlight w:val="none"/>
          <w:vertAlign w:val="subscript"/>
        </w:rPr>
        <w:t>g</w:t>
      </w:r>
      <w:r>
        <w:rPr>
          <w:rFonts w:hint="default" w:ascii="Times New Roman" w:hAnsi="Times New Roman" w:eastAsia="宋体" w:cs="Times New Roman"/>
          <w:color w:val="auto"/>
          <w:sz w:val="24"/>
          <w:szCs w:val="24"/>
          <w:highlight w:val="none"/>
        </w:rPr>
        <w:t>——尾矿比重；</w:t>
      </w:r>
    </w:p>
    <w:p>
      <w:pPr>
        <w:keepNext w:val="0"/>
        <w:keepLines w:val="0"/>
        <w:pageBreakBefore w:val="0"/>
        <w:widowControl w:val="0"/>
        <w:tabs>
          <w:tab w:val="left" w:pos="630"/>
        </w:tabs>
        <w:kinsoku/>
        <w:wordWrap/>
        <w:overflowPunct/>
        <w:topLinePunct w:val="0"/>
        <w:autoSpaceDE/>
        <w:autoSpaceDN/>
        <w:bidi w:val="0"/>
        <w:adjustRightInd/>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k——安全系数</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取k=2；</w:t>
      </w:r>
    </w:p>
    <w:p>
      <w:pPr>
        <w:keepNext w:val="0"/>
        <w:keepLines w:val="0"/>
        <w:pageBreakBefore w:val="0"/>
        <w:widowControl w:val="0"/>
        <w:tabs>
          <w:tab w:val="left" w:pos="630"/>
        </w:tabs>
        <w:kinsoku/>
        <w:wordWrap/>
        <w:overflowPunct/>
        <w:topLinePunct w:val="0"/>
        <w:autoSpaceDE/>
        <w:autoSpaceDN/>
        <w:bidi w:val="0"/>
        <w:adjustRightInd/>
        <w:spacing w:line="360" w:lineRule="auto"/>
        <w:ind w:left="0" w:leftChars="0" w:right="0" w:rightChars="0" w:firstLine="480" w:firstLineChars="200"/>
        <w:textAlignment w:val="auto"/>
        <w:outlineLvl w:val="2"/>
        <w:rPr>
          <w:rFonts w:hint="default" w:ascii="Times New Roman" w:hAnsi="Times New Roman" w:eastAsia="宋体" w:cs="Times New Roman"/>
          <w:color w:val="auto"/>
          <w:sz w:val="24"/>
          <w:szCs w:val="24"/>
          <w:highlight w:val="none"/>
        </w:rPr>
      </w:pPr>
      <w:bookmarkStart w:id="403" w:name="_Toc20697"/>
      <w:bookmarkStart w:id="404" w:name="_Toc9286"/>
      <w:r>
        <w:rPr>
          <w:rFonts w:hint="default" w:ascii="Times New Roman" w:hAnsi="Times New Roman" w:eastAsia="宋体" w:cs="Times New Roman"/>
          <w:color w:val="auto"/>
          <w:sz w:val="24"/>
          <w:szCs w:val="24"/>
          <w:highlight w:val="none"/>
        </w:rPr>
        <w:t>②临界流速计算</w:t>
      </w:r>
      <w:bookmarkEnd w:id="403"/>
      <w:bookmarkEnd w:id="404"/>
    </w:p>
    <w:p>
      <w:pPr>
        <w:keepNext w:val="0"/>
        <w:keepLines w:val="0"/>
        <w:pageBreakBefore w:val="0"/>
        <w:widowControl w:val="0"/>
        <w:tabs>
          <w:tab w:val="left" w:pos="630"/>
        </w:tabs>
        <w:kinsoku/>
        <w:wordWrap/>
        <w:overflowPunct/>
        <w:topLinePunct w:val="0"/>
        <w:autoSpaceDE/>
        <w:autoSpaceDN/>
        <w:bidi w:val="0"/>
        <w:adjustRightInd/>
        <w:spacing w:line="360" w:lineRule="auto"/>
        <w:ind w:left="0" w:leftChars="0" w:right="0" w:rightChars="0" w:firstLine="480" w:firstLineChars="200"/>
        <w:jc w:val="center"/>
        <w:textAlignment w:val="auto"/>
        <w:rPr>
          <w:rFonts w:hint="default" w:ascii="Times New Roman" w:hAnsi="Times New Roman" w:eastAsia="宋体" w:cs="Times New Roman"/>
          <w:color w:val="auto"/>
          <w:sz w:val="24"/>
          <w:szCs w:val="24"/>
          <w:highlight w:val="none"/>
          <w:vertAlign w:val="superscript"/>
        </w:rPr>
      </w:pPr>
      <w:r>
        <w:rPr>
          <w:rFonts w:hint="default" w:ascii="Times New Roman" w:hAnsi="Times New Roman" w:eastAsia="宋体" w:cs="Times New Roman"/>
          <w:color w:val="auto"/>
          <w:sz w:val="24"/>
          <w:szCs w:val="24"/>
          <w:highlight w:val="none"/>
        </w:rPr>
        <w:t>V</w:t>
      </w:r>
      <w:r>
        <w:rPr>
          <w:rFonts w:hint="default" w:ascii="Times New Roman" w:hAnsi="Times New Roman" w:eastAsia="宋体" w:cs="Times New Roman"/>
          <w:color w:val="auto"/>
          <w:sz w:val="24"/>
          <w:szCs w:val="24"/>
          <w:highlight w:val="none"/>
          <w:vertAlign w:val="subscript"/>
        </w:rPr>
        <w:t>L</w:t>
      </w:r>
      <w:r>
        <w:rPr>
          <w:rFonts w:hint="default" w:ascii="Times New Roman" w:hAnsi="Times New Roman" w:eastAsia="宋体" w:cs="Times New Roman"/>
          <w:color w:val="auto"/>
          <w:sz w:val="24"/>
          <w:szCs w:val="24"/>
          <w:highlight w:val="none"/>
        </w:rPr>
        <w:t>=9.5</w:t>
      </w:r>
      <w:r>
        <w:rPr>
          <w:rFonts w:hint="default" w:ascii="Times New Roman" w:hAnsi="Times New Roman" w:eastAsia="宋体" w:cs="Times New Roman"/>
          <w:color w:val="auto"/>
          <w:position w:val="-36"/>
          <w:sz w:val="24"/>
          <w:szCs w:val="24"/>
          <w:highlight w:val="none"/>
        </w:rPr>
        <w:object>
          <v:shape id="_x0000_i1026" o:spt="75" type="#_x0000_t75" style="height:40.2pt;width:162pt;" o:ole="t" filled="f" o:preferrelative="t" stroked="f" coordsize="21600,21600">
            <v:path/>
            <v:fill on="f" focussize="0,0"/>
            <v:stroke on="f"/>
            <v:imagedata r:id="rId34" o:title=""/>
            <o:lock v:ext="edit" aspectratio="t"/>
            <w10:wrap type="none"/>
            <w10:anchorlock/>
          </v:shape>
          <o:OLEObject Type="Embed" ProgID="Equation.3" ShapeID="_x0000_i1026" DrawAspect="Content" ObjectID="_1468075726" r:id="rId33">
            <o:LockedField>false</o:LockedField>
          </o:OLEObject>
        </w:object>
      </w:r>
    </w:p>
    <w:p>
      <w:pPr>
        <w:keepNext w:val="0"/>
        <w:keepLines w:val="0"/>
        <w:pageBreakBefore w:val="0"/>
        <w:widowControl w:val="0"/>
        <w:tabs>
          <w:tab w:val="left" w:pos="630"/>
        </w:tabs>
        <w:kinsoku/>
        <w:wordWrap/>
        <w:overflowPunct/>
        <w:topLinePunct w:val="0"/>
        <w:autoSpaceDE/>
        <w:autoSpaceDN/>
        <w:bidi w:val="0"/>
        <w:adjustRightInd/>
        <w:snapToGrid w:val="0"/>
        <w:spacing w:line="360" w:lineRule="auto"/>
        <w:ind w:left="0" w:leftChars="0" w:right="0" w:rightChars="0" w:firstLine="480" w:firstLineChars="200"/>
        <w:jc w:val="left"/>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式中</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V</w:t>
      </w:r>
      <w:r>
        <w:rPr>
          <w:rFonts w:hint="default" w:ascii="Times New Roman" w:hAnsi="Times New Roman" w:eastAsia="宋体" w:cs="Times New Roman"/>
          <w:color w:val="auto"/>
          <w:sz w:val="24"/>
          <w:szCs w:val="24"/>
          <w:highlight w:val="none"/>
          <w:vertAlign w:val="subscript"/>
        </w:rPr>
        <w:t>L</w:t>
      </w:r>
      <w:r>
        <w:rPr>
          <w:rFonts w:hint="default" w:ascii="Times New Roman" w:hAnsi="Times New Roman" w:eastAsia="宋体" w:cs="Times New Roman"/>
          <w:color w:val="auto"/>
          <w:sz w:val="24"/>
          <w:szCs w:val="24"/>
          <w:highlight w:val="none"/>
        </w:rPr>
        <w:t>——临界流速</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m/s；</w:t>
      </w:r>
    </w:p>
    <w:p>
      <w:pPr>
        <w:keepNext w:val="0"/>
        <w:keepLines w:val="0"/>
        <w:pageBreakBefore w:val="0"/>
        <w:widowControl w:val="0"/>
        <w:tabs>
          <w:tab w:val="left" w:pos="630"/>
        </w:tabs>
        <w:kinsoku/>
        <w:wordWrap/>
        <w:overflowPunct/>
        <w:topLinePunct w:val="0"/>
        <w:autoSpaceDE/>
        <w:autoSpaceDN/>
        <w:bidi w:val="0"/>
        <w:adjustRightInd/>
        <w:snapToGrid w:val="0"/>
        <w:spacing w:line="360" w:lineRule="auto"/>
        <w:ind w:left="0" w:leftChars="0" w:right="0" w:rightChars="0" w:firstLine="480" w:firstLineChars="200"/>
        <w:jc w:val="left"/>
        <w:textAlignment w:val="auto"/>
        <w:outlineLvl w:val="2"/>
        <w:rPr>
          <w:rFonts w:hint="default" w:ascii="Times New Roman" w:hAnsi="Times New Roman" w:eastAsia="宋体" w:cs="Times New Roman"/>
          <w:color w:val="auto"/>
          <w:sz w:val="24"/>
          <w:szCs w:val="24"/>
          <w:highlight w:val="none"/>
          <w:lang w:eastAsia="zh-CN"/>
        </w:rPr>
      </w:pPr>
      <w:bookmarkStart w:id="405" w:name="_Toc31210"/>
      <w:bookmarkStart w:id="406" w:name="_Toc10245"/>
      <w:r>
        <w:rPr>
          <w:rFonts w:hint="default" w:ascii="Times New Roman" w:hAnsi="Times New Roman" w:eastAsia="宋体" w:cs="Times New Roman"/>
          <w:color w:val="auto"/>
          <w:sz w:val="24"/>
          <w:szCs w:val="24"/>
          <w:highlight w:val="none"/>
        </w:rPr>
        <w:t>③水力坡降计算</w:t>
      </w:r>
      <w:bookmarkEnd w:id="405"/>
      <w:bookmarkEnd w:id="406"/>
    </w:p>
    <w:p>
      <w:pPr>
        <w:keepNext w:val="0"/>
        <w:keepLines w:val="0"/>
        <w:pageBreakBefore w:val="0"/>
        <w:widowControl w:val="0"/>
        <w:tabs>
          <w:tab w:val="left" w:pos="630"/>
        </w:tabs>
        <w:kinsoku/>
        <w:wordWrap/>
        <w:overflowPunct/>
        <w:topLinePunct w:val="0"/>
        <w:autoSpaceDE/>
        <w:autoSpaceDN/>
        <w:bidi w:val="0"/>
        <w:adjustRightInd/>
        <w:snapToGrid w:val="0"/>
        <w:spacing w:line="360" w:lineRule="auto"/>
        <w:ind w:left="0" w:leftChars="0" w:right="0" w:rightChars="0" w:firstLine="480" w:firstLineChars="200"/>
        <w:jc w:val="center"/>
        <w:textAlignment w:val="auto"/>
        <w:rPr>
          <w:rFonts w:hint="default" w:ascii="Times New Roman" w:hAnsi="Times New Roman" w:eastAsia="宋体" w:cs="Times New Roman"/>
          <w:color w:val="auto"/>
          <w:sz w:val="24"/>
          <w:szCs w:val="24"/>
          <w:highlight w:val="none"/>
          <w:vertAlign w:val="subscript"/>
        </w:rPr>
      </w:pPr>
      <w:r>
        <w:rPr>
          <w:rFonts w:hint="default" w:ascii="Times New Roman" w:hAnsi="Times New Roman" w:eastAsia="宋体" w:cs="Times New Roman"/>
          <w:color w:val="auto"/>
          <w:sz w:val="24"/>
          <w:szCs w:val="24"/>
          <w:highlight w:val="none"/>
        </w:rPr>
        <w:t>I</w:t>
      </w:r>
      <w:r>
        <w:rPr>
          <w:rFonts w:hint="default" w:ascii="Times New Roman" w:hAnsi="Times New Roman" w:eastAsia="宋体" w:cs="Times New Roman"/>
          <w:color w:val="auto"/>
          <w:sz w:val="24"/>
          <w:szCs w:val="24"/>
          <w:highlight w:val="none"/>
          <w:vertAlign w:val="subscript"/>
        </w:rPr>
        <w:t>k</w:t>
      </w:r>
      <w:r>
        <w:rPr>
          <w:rFonts w:hint="default" w:ascii="Times New Roman" w:hAnsi="Times New Roman" w:eastAsia="宋体" w:cs="Times New Roman"/>
          <w:color w:val="auto"/>
          <w:sz w:val="24"/>
          <w:szCs w:val="24"/>
          <w:highlight w:val="none"/>
        </w:rPr>
        <w:t>=kI</w:t>
      </w:r>
      <w:r>
        <w:rPr>
          <w:rFonts w:hint="default" w:ascii="Times New Roman" w:hAnsi="Times New Roman" w:eastAsia="宋体" w:cs="Times New Roman"/>
          <w:color w:val="auto"/>
          <w:sz w:val="24"/>
          <w:szCs w:val="24"/>
          <w:highlight w:val="none"/>
          <w:vertAlign w:val="subscript"/>
        </w:rPr>
        <w:t>0</w:t>
      </w:r>
      <w:r>
        <w:rPr>
          <w:rFonts w:hint="default" w:ascii="Times New Roman" w:hAnsi="Times New Roman" w:eastAsia="宋体" w:cs="Times New Roman"/>
          <w:color w:val="auto"/>
          <w:sz w:val="24"/>
          <w:szCs w:val="24"/>
          <w:highlight w:val="none"/>
        </w:rPr>
        <w:t>γ</w:t>
      </w:r>
      <w:r>
        <w:rPr>
          <w:rFonts w:hint="default" w:ascii="Times New Roman" w:hAnsi="Times New Roman" w:eastAsia="宋体" w:cs="Times New Roman"/>
          <w:color w:val="auto"/>
          <w:sz w:val="24"/>
          <w:szCs w:val="24"/>
          <w:highlight w:val="none"/>
          <w:vertAlign w:val="subscript"/>
        </w:rPr>
        <w:t>k</w:t>
      </w:r>
    </w:p>
    <w:p>
      <w:pPr>
        <w:keepNext w:val="0"/>
        <w:keepLines w:val="0"/>
        <w:pageBreakBefore w:val="0"/>
        <w:widowControl w:val="0"/>
        <w:tabs>
          <w:tab w:val="left" w:pos="630"/>
        </w:tabs>
        <w:kinsoku/>
        <w:wordWrap/>
        <w:overflowPunct/>
        <w:topLinePunct w:val="0"/>
        <w:autoSpaceDE/>
        <w:autoSpaceDN/>
        <w:bidi w:val="0"/>
        <w:adjustRightInd/>
        <w:snapToGrid w:val="0"/>
        <w:spacing w:line="360" w:lineRule="auto"/>
        <w:ind w:left="0" w:leftChars="0" w:right="0" w:rightChars="0" w:firstLine="480" w:firstLineChars="200"/>
        <w:jc w:val="left"/>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式中：I</w:t>
      </w:r>
      <w:r>
        <w:rPr>
          <w:rFonts w:hint="default" w:ascii="Times New Roman" w:hAnsi="Times New Roman" w:eastAsia="宋体" w:cs="Times New Roman"/>
          <w:color w:val="auto"/>
          <w:sz w:val="24"/>
          <w:szCs w:val="24"/>
          <w:highlight w:val="none"/>
          <w:vertAlign w:val="subscript"/>
        </w:rPr>
        <w:t>k</w:t>
      </w:r>
      <w:r>
        <w:rPr>
          <w:rFonts w:hint="default" w:ascii="Times New Roman" w:hAnsi="Times New Roman" w:eastAsia="宋体" w:cs="Times New Roman"/>
          <w:color w:val="auto"/>
          <w:sz w:val="24"/>
          <w:szCs w:val="24"/>
          <w:highlight w:val="none"/>
        </w:rPr>
        <w:t>——输送矿浆的水力坡降；</w:t>
      </w:r>
    </w:p>
    <w:p>
      <w:pPr>
        <w:keepNext w:val="0"/>
        <w:keepLines w:val="0"/>
        <w:pageBreakBefore w:val="0"/>
        <w:widowControl w:val="0"/>
        <w:tabs>
          <w:tab w:val="left" w:pos="630"/>
        </w:tabs>
        <w:kinsoku/>
        <w:wordWrap/>
        <w:overflowPunct/>
        <w:topLinePunct w:val="0"/>
        <w:autoSpaceDE/>
        <w:autoSpaceDN/>
        <w:bidi w:val="0"/>
        <w:adjustRightInd/>
        <w:snapToGrid w:val="0"/>
        <w:spacing w:line="360" w:lineRule="auto"/>
        <w:ind w:left="0" w:leftChars="0" w:right="0" w:rightChars="0" w:firstLine="480" w:firstLineChars="200"/>
        <w:jc w:val="left"/>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γ</w:t>
      </w:r>
      <w:r>
        <w:rPr>
          <w:rFonts w:hint="default" w:ascii="Times New Roman" w:hAnsi="Times New Roman" w:eastAsia="宋体" w:cs="Times New Roman"/>
          <w:color w:val="auto"/>
          <w:sz w:val="24"/>
          <w:szCs w:val="24"/>
          <w:highlight w:val="none"/>
          <w:vertAlign w:val="subscript"/>
        </w:rPr>
        <w:t>k</w:t>
      </w:r>
      <w:r>
        <w:rPr>
          <w:rFonts w:hint="default" w:ascii="Times New Roman" w:hAnsi="Times New Roman" w:eastAsia="宋体" w:cs="Times New Roman"/>
          <w:color w:val="auto"/>
          <w:sz w:val="24"/>
          <w:szCs w:val="24"/>
          <w:highlight w:val="none"/>
        </w:rPr>
        <w:t>——矿浆比重；</w:t>
      </w:r>
    </w:p>
    <w:p>
      <w:pPr>
        <w:keepNext w:val="0"/>
        <w:keepLines w:val="0"/>
        <w:pageBreakBefore w:val="0"/>
        <w:widowControl w:val="0"/>
        <w:tabs>
          <w:tab w:val="left" w:pos="630"/>
        </w:tabs>
        <w:kinsoku/>
        <w:wordWrap/>
        <w:overflowPunct/>
        <w:topLinePunct w:val="0"/>
        <w:autoSpaceDE/>
        <w:autoSpaceDN/>
        <w:bidi w:val="0"/>
        <w:adjustRightInd/>
        <w:snapToGrid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I</w:t>
      </w:r>
      <w:r>
        <w:rPr>
          <w:rFonts w:hint="default" w:ascii="Times New Roman" w:hAnsi="Times New Roman" w:eastAsia="宋体" w:cs="Times New Roman"/>
          <w:color w:val="auto"/>
          <w:sz w:val="24"/>
          <w:szCs w:val="24"/>
          <w:highlight w:val="none"/>
          <w:vertAlign w:val="subscript"/>
        </w:rPr>
        <w:t>0</w:t>
      </w:r>
      <w:r>
        <w:rPr>
          <w:rFonts w:hint="default" w:ascii="Times New Roman" w:hAnsi="Times New Roman" w:eastAsia="宋体" w:cs="Times New Roman"/>
          <w:color w:val="auto"/>
          <w:sz w:val="24"/>
          <w:szCs w:val="24"/>
          <w:highlight w:val="none"/>
        </w:rPr>
        <w:t>—输送与矿浆流速相等的清水的水力坡降</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m水柱/m。</w:t>
      </w:r>
    </w:p>
    <w:p>
      <w:pPr>
        <w:keepNext w:val="0"/>
        <w:keepLines w:val="0"/>
        <w:pageBreakBefore w:val="0"/>
        <w:widowControl w:val="0"/>
        <w:tabs>
          <w:tab w:val="left" w:pos="630"/>
        </w:tabs>
        <w:kinsoku/>
        <w:wordWrap/>
        <w:overflowPunct/>
        <w:topLinePunct w:val="0"/>
        <w:autoSpaceDE/>
        <w:autoSpaceDN/>
        <w:bidi w:val="0"/>
        <w:adjustRightInd/>
        <w:snapToGrid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vertAlign w:val="subscript"/>
        </w:rPr>
      </w:pPr>
      <w:r>
        <w:rPr>
          <w:rFonts w:hint="default" w:ascii="Times New Roman" w:hAnsi="Times New Roman" w:eastAsia="宋体" w:cs="Times New Roman"/>
          <w:color w:val="auto"/>
          <w:sz w:val="24"/>
          <w:szCs w:val="24"/>
          <w:highlight w:val="none"/>
        </w:rPr>
        <w:t>I</w:t>
      </w:r>
      <w:r>
        <w:rPr>
          <w:rFonts w:hint="default" w:ascii="Times New Roman" w:hAnsi="Times New Roman" w:eastAsia="宋体" w:cs="Times New Roman"/>
          <w:color w:val="auto"/>
          <w:sz w:val="24"/>
          <w:szCs w:val="24"/>
          <w:highlight w:val="none"/>
          <w:vertAlign w:val="subscript"/>
        </w:rPr>
        <w:t>0</w:t>
      </w:r>
      <w:r>
        <w:rPr>
          <w:rFonts w:hint="default" w:ascii="Times New Roman" w:hAnsi="Times New Roman" w:eastAsia="宋体" w:cs="Times New Roman"/>
          <w:color w:val="auto"/>
          <w:sz w:val="24"/>
          <w:szCs w:val="24"/>
          <w:highlight w:val="none"/>
        </w:rPr>
        <w:t>=λV</w:t>
      </w:r>
      <w:r>
        <w:rPr>
          <w:rFonts w:hint="default" w:ascii="Times New Roman" w:hAnsi="Times New Roman" w:eastAsia="宋体" w:cs="Times New Roman"/>
          <w:color w:val="auto"/>
          <w:sz w:val="24"/>
          <w:szCs w:val="24"/>
          <w:highlight w:val="none"/>
          <w:vertAlign w:val="subscript"/>
        </w:rPr>
        <w:t>j</w:t>
      </w:r>
      <w:r>
        <w:rPr>
          <w:rFonts w:hint="default" w:ascii="Times New Roman" w:hAnsi="Times New Roman" w:eastAsia="宋体" w:cs="Times New Roman"/>
          <w:color w:val="auto"/>
          <w:sz w:val="24"/>
          <w:szCs w:val="24"/>
          <w:highlight w:val="none"/>
          <w:vertAlign w:val="superscript"/>
        </w:rPr>
        <w:t>2</w:t>
      </w:r>
      <w:r>
        <w:rPr>
          <w:rFonts w:hint="default" w:ascii="Times New Roman" w:hAnsi="Times New Roman" w:eastAsia="宋体" w:cs="Times New Roman"/>
          <w:color w:val="auto"/>
          <w:sz w:val="24"/>
          <w:szCs w:val="24"/>
          <w:highlight w:val="none"/>
        </w:rPr>
        <w:t>/2gD</w:t>
      </w:r>
      <w:r>
        <w:rPr>
          <w:rFonts w:hint="default" w:ascii="Times New Roman" w:hAnsi="Times New Roman" w:eastAsia="宋体" w:cs="Times New Roman"/>
          <w:color w:val="auto"/>
          <w:sz w:val="24"/>
          <w:szCs w:val="24"/>
          <w:highlight w:val="none"/>
          <w:vertAlign w:val="subscript"/>
        </w:rPr>
        <w:t>j</w:t>
      </w:r>
    </w:p>
    <w:p>
      <w:pPr>
        <w:keepNext w:val="0"/>
        <w:keepLines w:val="0"/>
        <w:pageBreakBefore w:val="0"/>
        <w:widowControl w:val="0"/>
        <w:tabs>
          <w:tab w:val="left" w:pos="630"/>
        </w:tabs>
        <w:kinsoku/>
        <w:wordWrap/>
        <w:overflowPunct/>
        <w:topLinePunct w:val="0"/>
        <w:autoSpaceDE/>
        <w:autoSpaceDN/>
        <w:bidi w:val="0"/>
        <w:adjustRightInd/>
        <w:snapToGrid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D</w:t>
      </w:r>
      <w:r>
        <w:rPr>
          <w:rFonts w:hint="default" w:ascii="Times New Roman" w:hAnsi="Times New Roman" w:eastAsia="宋体" w:cs="Times New Roman"/>
          <w:color w:val="auto"/>
          <w:sz w:val="24"/>
          <w:szCs w:val="24"/>
          <w:highlight w:val="none"/>
          <w:vertAlign w:val="subscript"/>
        </w:rPr>
        <w:t>j</w:t>
      </w:r>
      <w:r>
        <w:rPr>
          <w:rFonts w:hint="default" w:ascii="Times New Roman" w:hAnsi="Times New Roman" w:eastAsia="宋体" w:cs="Times New Roman"/>
          <w:color w:val="auto"/>
          <w:sz w:val="24"/>
          <w:szCs w:val="24"/>
          <w:highlight w:val="none"/>
        </w:rPr>
        <w:t>——计算管径</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m；</w:t>
      </w:r>
    </w:p>
    <w:p>
      <w:pPr>
        <w:keepNext w:val="0"/>
        <w:keepLines w:val="0"/>
        <w:pageBreakBefore w:val="0"/>
        <w:widowControl w:val="0"/>
        <w:tabs>
          <w:tab w:val="left" w:pos="630"/>
        </w:tabs>
        <w:kinsoku/>
        <w:wordWrap/>
        <w:overflowPunct/>
        <w:topLinePunct w:val="0"/>
        <w:autoSpaceDE/>
        <w:autoSpaceDN/>
        <w:bidi w:val="0"/>
        <w:adjustRightInd/>
        <w:snapToGrid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V</w:t>
      </w:r>
      <w:r>
        <w:rPr>
          <w:rFonts w:hint="default" w:ascii="Times New Roman" w:hAnsi="Times New Roman" w:eastAsia="宋体" w:cs="Times New Roman"/>
          <w:color w:val="auto"/>
          <w:sz w:val="24"/>
          <w:szCs w:val="24"/>
          <w:highlight w:val="none"/>
          <w:vertAlign w:val="subscript"/>
        </w:rPr>
        <w:t>j</w:t>
      </w:r>
      <w:r>
        <w:rPr>
          <w:rFonts w:hint="default" w:ascii="Times New Roman" w:hAnsi="Times New Roman" w:eastAsia="宋体" w:cs="Times New Roman"/>
          <w:color w:val="auto"/>
          <w:sz w:val="24"/>
          <w:szCs w:val="24"/>
          <w:highlight w:val="none"/>
        </w:rPr>
        <w:t>——计算流速</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m/s；</w:t>
      </w:r>
    </w:p>
    <w:p>
      <w:pPr>
        <w:keepNext w:val="0"/>
        <w:keepLines w:val="0"/>
        <w:pageBreakBefore w:val="0"/>
        <w:widowControl w:val="0"/>
        <w:tabs>
          <w:tab w:val="left" w:pos="630"/>
        </w:tabs>
        <w:kinsoku/>
        <w:wordWrap/>
        <w:overflowPunct/>
        <w:topLinePunct w:val="0"/>
        <w:autoSpaceDE/>
        <w:autoSpaceDN/>
        <w:bidi w:val="0"/>
        <w:adjustRightInd/>
        <w:snapToGrid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g——重力加速度</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9.81m/s</w:t>
      </w:r>
      <w:r>
        <w:rPr>
          <w:rFonts w:hint="default" w:ascii="Times New Roman" w:hAnsi="Times New Roman" w:eastAsia="宋体" w:cs="Times New Roman"/>
          <w:color w:val="auto"/>
          <w:sz w:val="24"/>
          <w:szCs w:val="24"/>
          <w:highlight w:val="none"/>
          <w:vertAlign w:val="superscript"/>
        </w:rPr>
        <w:t>2</w:t>
      </w:r>
      <w:r>
        <w:rPr>
          <w:rFonts w:hint="default" w:ascii="Times New Roman" w:hAnsi="Times New Roman" w:eastAsia="宋体" w:cs="Times New Roman"/>
          <w:color w:val="auto"/>
          <w:sz w:val="24"/>
          <w:szCs w:val="24"/>
          <w:highlight w:val="none"/>
        </w:rPr>
        <w:t>；</w:t>
      </w:r>
    </w:p>
    <w:p>
      <w:pPr>
        <w:keepNext w:val="0"/>
        <w:keepLines w:val="0"/>
        <w:pageBreakBefore w:val="0"/>
        <w:widowControl w:val="0"/>
        <w:tabs>
          <w:tab w:val="left" w:pos="630"/>
        </w:tabs>
        <w:kinsoku/>
        <w:wordWrap/>
        <w:overflowPunct/>
        <w:topLinePunct w:val="0"/>
        <w:autoSpaceDE/>
        <w:autoSpaceDN/>
        <w:bidi w:val="0"/>
        <w:adjustRightInd/>
        <w:snapToGrid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λ——阻力系数；</w:t>
      </w:r>
    </w:p>
    <w:p>
      <w:pPr>
        <w:keepNext w:val="0"/>
        <w:keepLines w:val="0"/>
        <w:pageBreakBefore w:val="0"/>
        <w:widowControl w:val="0"/>
        <w:tabs>
          <w:tab w:val="left" w:pos="630"/>
        </w:tabs>
        <w:kinsoku/>
        <w:wordWrap/>
        <w:overflowPunct/>
        <w:topLinePunct w:val="0"/>
        <w:autoSpaceDE/>
        <w:autoSpaceDN/>
        <w:bidi w:val="0"/>
        <w:adjustRightInd/>
        <w:spacing w:line="360" w:lineRule="auto"/>
        <w:ind w:left="0" w:leftChars="0" w:right="0" w:rightChars="0" w:firstLine="480" w:firstLineChars="20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position w:val="-34"/>
          <w:sz w:val="24"/>
          <w:szCs w:val="24"/>
          <w:highlight w:val="none"/>
        </w:rPr>
        <w:object>
          <v:shape id="_x0000_i1027" o:spt="75" type="#_x0000_t75" style="height:42.85pt;width:63.45pt;" o:ole="t" filled="f" o:preferrelative="t" stroked="f" coordsize="21600,21600">
            <v:path/>
            <v:fill on="f" focussize="0,0"/>
            <v:stroke on="f"/>
            <v:imagedata r:id="rId36" o:title=""/>
            <o:lock v:ext="edit" aspectratio="t"/>
            <w10:wrap type="none"/>
            <w10:anchorlock/>
          </v:shape>
          <o:OLEObject Type="Embed" ProgID="Equation.KSEE3" ShapeID="_x0000_i1027" DrawAspect="Content" ObjectID="_1468075727" r:id="rId35">
            <o:LockedField>false</o:LockedField>
          </o:OLEObject>
        </w:object>
      </w:r>
    </w:p>
    <w:p>
      <w:pPr>
        <w:keepNext w:val="0"/>
        <w:keepLines w:val="0"/>
        <w:pageBreakBefore w:val="0"/>
        <w:widowControl w:val="0"/>
        <w:tabs>
          <w:tab w:val="left" w:pos="630"/>
        </w:tabs>
        <w:kinsoku/>
        <w:wordWrap/>
        <w:overflowPunct/>
        <w:topLinePunct w:val="0"/>
        <w:autoSpaceDE/>
        <w:autoSpaceDN/>
        <w:bidi w:val="0"/>
        <w:adjustRightInd/>
        <w:spacing w:line="360" w:lineRule="auto"/>
        <w:ind w:left="0" w:leftChars="0" w:right="0" w:rightChars="0" w:firstLine="480" w:firstLineChars="200"/>
        <w:textAlignment w:val="auto"/>
        <w:outlineLvl w:val="1"/>
        <w:rPr>
          <w:rFonts w:hint="default" w:ascii="Times New Roman" w:hAnsi="Times New Roman" w:eastAsia="宋体" w:cs="Times New Roman"/>
          <w:color w:val="auto"/>
          <w:sz w:val="24"/>
          <w:szCs w:val="24"/>
          <w:highlight w:val="none"/>
        </w:rPr>
      </w:pPr>
      <w:bookmarkStart w:id="407" w:name="_Toc14566"/>
      <w:bookmarkStart w:id="408" w:name="_Toc3764"/>
      <w:r>
        <w:rPr>
          <w:rFonts w:hint="default" w:ascii="Times New Roman" w:hAnsi="Times New Roman" w:eastAsia="宋体" w:cs="Times New Roman"/>
          <w:color w:val="auto"/>
          <w:sz w:val="24"/>
          <w:szCs w:val="24"/>
          <w:highlight w:val="none"/>
        </w:rPr>
        <w:t>2）水力计算</w:t>
      </w:r>
      <w:bookmarkEnd w:id="407"/>
      <w:bookmarkEnd w:id="408"/>
    </w:p>
    <w:p>
      <w:pPr>
        <w:keepNext w:val="0"/>
        <w:keepLines w:val="0"/>
        <w:pageBreakBefore w:val="0"/>
        <w:widowControl w:val="0"/>
        <w:tabs>
          <w:tab w:val="left" w:pos="630"/>
        </w:tabs>
        <w:kinsoku/>
        <w:wordWrap/>
        <w:overflowPunct/>
        <w:topLinePunct w:val="0"/>
        <w:autoSpaceDE/>
        <w:autoSpaceDN/>
        <w:bidi w:val="0"/>
        <w:adjustRightInd/>
        <w:spacing w:line="360" w:lineRule="auto"/>
        <w:ind w:left="0" w:leftChars="0" w:right="0" w:rightChars="0" w:firstLine="480" w:firstLineChars="200"/>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color w:val="auto"/>
          <w:sz w:val="24"/>
          <w:szCs w:val="24"/>
          <w:highlight w:val="none"/>
        </w:rPr>
        <w:t>尾矿干矿量415.9t/h</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尾矿输送浓度</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40%</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临界管径、临界流速、水力坡降按上述公式计算</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选用dn450（内径397mm）PE管作为计算管径</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结果见表</w:t>
      </w:r>
      <w:r>
        <w:rPr>
          <w:rFonts w:hint="default" w:ascii="Times New Roman" w:hAnsi="Times New Roman" w:eastAsia="宋体" w:cs="Times New Roman"/>
          <w:color w:val="auto"/>
          <w:sz w:val="24"/>
          <w:szCs w:val="24"/>
          <w:highlight w:val="none"/>
          <w:lang w:val="en-US" w:eastAsia="zh-CN"/>
        </w:rPr>
        <w:t>2-10</w:t>
      </w:r>
      <w:r>
        <w:rPr>
          <w:rFonts w:hint="default" w:ascii="Times New Roman" w:hAnsi="Times New Roman" w:eastAsia="宋体" w:cs="Times New Roman"/>
          <w:color w:val="auto"/>
          <w:sz w:val="24"/>
          <w:szCs w:val="24"/>
          <w:highlight w:val="none"/>
        </w:rPr>
        <w:t>。</w:t>
      </w:r>
    </w:p>
    <w:p>
      <w:pPr>
        <w:keepNext w:val="0"/>
        <w:keepLines w:val="0"/>
        <w:pageBreakBefore w:val="0"/>
        <w:widowControl w:val="0"/>
        <w:kinsoku/>
        <w:wordWrap/>
        <w:overflowPunct/>
        <w:topLinePunct w:val="0"/>
        <w:autoSpaceDE/>
        <w:autoSpaceDN/>
        <w:bidi w:val="0"/>
        <w:adjustRightInd/>
        <w:spacing w:line="360" w:lineRule="auto"/>
        <w:ind w:left="0" w:leftChars="0" w:right="0" w:rightChars="0" w:firstLine="482" w:firstLineChars="200"/>
        <w:jc w:val="center"/>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表</w:t>
      </w:r>
      <w:r>
        <w:rPr>
          <w:rFonts w:hint="default" w:ascii="Times New Roman" w:hAnsi="Times New Roman" w:eastAsia="宋体" w:cs="Times New Roman"/>
          <w:b/>
          <w:bCs/>
          <w:color w:val="auto"/>
          <w:sz w:val="24"/>
          <w:szCs w:val="24"/>
          <w:highlight w:val="none"/>
          <w:lang w:val="en-US" w:eastAsia="zh-CN"/>
        </w:rPr>
        <w:t>2-10</w:t>
      </w:r>
      <w:r>
        <w:rPr>
          <w:rFonts w:hint="default" w:ascii="Times New Roman" w:hAnsi="Times New Roman" w:eastAsia="宋体" w:cs="Times New Roman"/>
          <w:b/>
          <w:bCs/>
          <w:color w:val="auto"/>
          <w:sz w:val="24"/>
          <w:szCs w:val="24"/>
          <w:highlight w:val="none"/>
        </w:rPr>
        <w:t>尾矿输送水力计算表</w:t>
      </w:r>
    </w:p>
    <w:tbl>
      <w:tblPr>
        <w:tblStyle w:val="5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1"/>
        <w:gridCol w:w="992"/>
        <w:gridCol w:w="1133"/>
        <w:gridCol w:w="1416"/>
        <w:gridCol w:w="1275"/>
        <w:gridCol w:w="1385"/>
        <w:gridCol w:w="13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53" w:type="dxa"/>
            <w:gridSpan w:val="2"/>
            <w:tcBorders>
              <w:top w:val="single" w:color="auto" w:sz="4" w:space="0"/>
              <w:left w:val="single" w:color="auto" w:sz="4" w:space="0"/>
              <w:bottom w:val="single" w:color="auto" w:sz="4" w:space="0"/>
              <w:right w:val="single" w:color="auto" w:sz="4" w:space="0"/>
            </w:tcBorders>
            <w:noWrap w:val="0"/>
            <w:vAlign w:val="center"/>
          </w:tcPr>
          <w:p>
            <w:pPr>
              <w:pageBreakBefore w:val="0"/>
              <w:tabs>
                <w:tab w:val="left" w:pos="630"/>
              </w:tabs>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流量</w:t>
            </w:r>
          </w:p>
          <w:p>
            <w:pPr>
              <w:pageBreakBefore w:val="0"/>
              <w:tabs>
                <w:tab w:val="left" w:pos="630"/>
              </w:tabs>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Q(m³/h)</w:t>
            </w:r>
          </w:p>
        </w:tc>
        <w:tc>
          <w:tcPr>
            <w:tcW w:w="1133" w:type="dxa"/>
            <w:tcBorders>
              <w:top w:val="single" w:color="auto" w:sz="4" w:space="0"/>
              <w:left w:val="single" w:color="auto" w:sz="4" w:space="0"/>
              <w:bottom w:val="single" w:color="auto" w:sz="4" w:space="0"/>
              <w:right w:val="single" w:color="auto" w:sz="4" w:space="0"/>
            </w:tcBorders>
            <w:noWrap w:val="0"/>
            <w:vAlign w:val="center"/>
          </w:tcPr>
          <w:p>
            <w:pPr>
              <w:pageBreakBefore w:val="0"/>
              <w:tabs>
                <w:tab w:val="left" w:pos="630"/>
              </w:tabs>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浓度</w:t>
            </w:r>
          </w:p>
          <w:p>
            <w:pPr>
              <w:pageBreakBefore w:val="0"/>
              <w:tabs>
                <w:tab w:val="left" w:pos="630"/>
              </w:tabs>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P(%)</w:t>
            </w:r>
          </w:p>
        </w:tc>
        <w:tc>
          <w:tcPr>
            <w:tcW w:w="1416" w:type="dxa"/>
            <w:tcBorders>
              <w:top w:val="single" w:color="auto" w:sz="4" w:space="0"/>
              <w:left w:val="single" w:color="auto" w:sz="4" w:space="0"/>
              <w:bottom w:val="single" w:color="auto" w:sz="4" w:space="0"/>
              <w:right w:val="single" w:color="auto" w:sz="4" w:space="0"/>
            </w:tcBorders>
            <w:noWrap w:val="0"/>
            <w:vAlign w:val="center"/>
          </w:tcPr>
          <w:p>
            <w:pPr>
              <w:pageBreakBefore w:val="0"/>
              <w:tabs>
                <w:tab w:val="left" w:pos="630"/>
              </w:tabs>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临界管径</w:t>
            </w:r>
          </w:p>
          <w:p>
            <w:pPr>
              <w:pageBreakBefore w:val="0"/>
              <w:tabs>
                <w:tab w:val="left" w:pos="630"/>
              </w:tabs>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(mm)</w:t>
            </w:r>
          </w:p>
        </w:tc>
        <w:tc>
          <w:tcPr>
            <w:tcW w:w="1275" w:type="dxa"/>
            <w:tcBorders>
              <w:top w:val="single" w:color="auto" w:sz="4" w:space="0"/>
              <w:left w:val="single" w:color="auto" w:sz="4" w:space="0"/>
              <w:bottom w:val="single" w:color="auto" w:sz="4" w:space="0"/>
              <w:right w:val="single" w:color="auto" w:sz="4" w:space="0"/>
            </w:tcBorders>
            <w:noWrap w:val="0"/>
            <w:vAlign w:val="center"/>
          </w:tcPr>
          <w:p>
            <w:pPr>
              <w:pageBreakBefore w:val="0"/>
              <w:tabs>
                <w:tab w:val="left" w:pos="630"/>
              </w:tabs>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临界流速</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m/s</w:t>
            </w:r>
            <w:r>
              <w:rPr>
                <w:rFonts w:hint="default" w:ascii="Times New Roman" w:hAnsi="Times New Roman" w:eastAsia="宋体" w:cs="Times New Roman"/>
                <w:color w:val="auto"/>
                <w:highlight w:val="none"/>
                <w:lang w:eastAsia="zh-CN"/>
              </w:rPr>
              <w:t>）</w:t>
            </w:r>
          </w:p>
        </w:tc>
        <w:tc>
          <w:tcPr>
            <w:tcW w:w="1385" w:type="dxa"/>
            <w:tcBorders>
              <w:top w:val="single" w:color="auto" w:sz="4" w:space="0"/>
              <w:left w:val="single" w:color="auto" w:sz="4" w:space="0"/>
              <w:bottom w:val="single" w:color="auto" w:sz="4" w:space="0"/>
              <w:right w:val="single" w:color="auto" w:sz="4" w:space="0"/>
            </w:tcBorders>
            <w:noWrap w:val="0"/>
            <w:vAlign w:val="center"/>
          </w:tcPr>
          <w:p>
            <w:pPr>
              <w:pageBreakBefore w:val="0"/>
              <w:tabs>
                <w:tab w:val="left" w:pos="630"/>
              </w:tabs>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计算管内径</w:t>
            </w:r>
          </w:p>
          <w:p>
            <w:pPr>
              <w:pageBreakBefore w:val="0"/>
              <w:tabs>
                <w:tab w:val="left" w:pos="630"/>
              </w:tabs>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(mm)</w:t>
            </w:r>
          </w:p>
        </w:tc>
        <w:tc>
          <w:tcPr>
            <w:tcW w:w="1360" w:type="dxa"/>
            <w:noWrap w:val="0"/>
            <w:vAlign w:val="center"/>
          </w:tcPr>
          <w:p>
            <w:pPr>
              <w:pageBreakBefore w:val="0"/>
              <w:tabs>
                <w:tab w:val="left" w:pos="630"/>
              </w:tabs>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计算流速</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m/s</w:t>
            </w:r>
            <w:r>
              <w:rPr>
                <w:rFonts w:hint="default" w:ascii="Times New Roman" w:hAnsi="Times New Roman" w:eastAsia="宋体" w:cs="Times New Roman"/>
                <w:color w:val="auto"/>
                <w:highlight w:val="no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1" w:type="dxa"/>
            <w:tcBorders>
              <w:top w:val="single" w:color="auto" w:sz="4" w:space="0"/>
              <w:left w:val="single" w:color="auto" w:sz="4" w:space="0"/>
              <w:bottom w:val="single" w:color="auto" w:sz="4" w:space="0"/>
              <w:right w:val="single" w:color="auto" w:sz="4" w:space="0"/>
            </w:tcBorders>
            <w:noWrap w:val="0"/>
            <w:vAlign w:val="center"/>
          </w:tcPr>
          <w:p>
            <w:pPr>
              <w:pageBreakBefore w:val="0"/>
              <w:tabs>
                <w:tab w:val="left" w:pos="630"/>
              </w:tabs>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Q2</w:t>
            </w:r>
          </w:p>
        </w:tc>
        <w:tc>
          <w:tcPr>
            <w:tcW w:w="992" w:type="dxa"/>
            <w:tcBorders>
              <w:top w:val="single" w:color="auto" w:sz="4" w:space="0"/>
              <w:left w:val="single" w:color="auto" w:sz="4" w:space="0"/>
              <w:bottom w:val="single" w:color="auto" w:sz="4" w:space="0"/>
              <w:right w:val="single" w:color="auto" w:sz="4" w:space="0"/>
            </w:tcBorders>
            <w:noWrap w:val="0"/>
            <w:vAlign w:val="center"/>
          </w:tcPr>
          <w:p>
            <w:pPr>
              <w:pageBreakBefore w:val="0"/>
              <w:widowControl/>
              <w:tabs>
                <w:tab w:val="left" w:pos="630"/>
              </w:tabs>
              <w:wordWrap/>
              <w:bidi w:val="0"/>
              <w:spacing w:line="240" w:lineRule="auto"/>
              <w:ind w:left="0" w:leftChars="0" w:right="0" w:rightChars="0"/>
              <w:jc w:val="center"/>
              <w:textAlignment w:val="center"/>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772</w:t>
            </w:r>
          </w:p>
        </w:tc>
        <w:tc>
          <w:tcPr>
            <w:tcW w:w="1133" w:type="dxa"/>
            <w:tcBorders>
              <w:top w:val="single" w:color="auto" w:sz="4" w:space="0"/>
              <w:left w:val="single" w:color="auto" w:sz="4" w:space="0"/>
              <w:bottom w:val="single" w:color="auto" w:sz="4" w:space="0"/>
              <w:right w:val="single" w:color="auto" w:sz="4" w:space="0"/>
            </w:tcBorders>
            <w:noWrap w:val="0"/>
            <w:vAlign w:val="center"/>
          </w:tcPr>
          <w:p>
            <w:pPr>
              <w:pageBreakBefore w:val="0"/>
              <w:tabs>
                <w:tab w:val="left" w:pos="630"/>
              </w:tabs>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40</w:t>
            </w:r>
          </w:p>
        </w:tc>
        <w:tc>
          <w:tcPr>
            <w:tcW w:w="1416" w:type="dxa"/>
            <w:tcBorders>
              <w:top w:val="single" w:color="auto" w:sz="4" w:space="0"/>
              <w:left w:val="single" w:color="auto" w:sz="4" w:space="0"/>
              <w:bottom w:val="single" w:color="auto" w:sz="4" w:space="0"/>
              <w:right w:val="single" w:color="auto" w:sz="4" w:space="0"/>
            </w:tcBorders>
            <w:noWrap w:val="0"/>
            <w:vAlign w:val="center"/>
          </w:tcPr>
          <w:p>
            <w:pPr>
              <w:pageBreakBefore w:val="0"/>
              <w:widowControl/>
              <w:tabs>
                <w:tab w:val="left" w:pos="630"/>
              </w:tabs>
              <w:wordWrap/>
              <w:bidi w:val="0"/>
              <w:spacing w:line="240" w:lineRule="auto"/>
              <w:ind w:left="0" w:leftChars="0" w:right="0" w:right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390</w:t>
            </w:r>
          </w:p>
        </w:tc>
        <w:tc>
          <w:tcPr>
            <w:tcW w:w="1275" w:type="dxa"/>
            <w:tcBorders>
              <w:top w:val="single" w:color="auto" w:sz="4" w:space="0"/>
              <w:left w:val="single" w:color="auto" w:sz="4" w:space="0"/>
              <w:bottom w:val="single" w:color="auto" w:sz="4" w:space="0"/>
              <w:right w:val="single" w:color="auto" w:sz="4" w:space="0"/>
            </w:tcBorders>
            <w:noWrap w:val="0"/>
            <w:vAlign w:val="center"/>
          </w:tcPr>
          <w:p>
            <w:pPr>
              <w:pageBreakBefore w:val="0"/>
              <w:widowControl/>
              <w:tabs>
                <w:tab w:val="left" w:pos="630"/>
              </w:tabs>
              <w:wordWrap/>
              <w:bidi w:val="0"/>
              <w:spacing w:line="240" w:lineRule="auto"/>
              <w:ind w:left="0" w:leftChars="0" w:right="0" w:rightChars="0"/>
              <w:jc w:val="center"/>
              <w:textAlignment w:val="center"/>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1.78</w:t>
            </w:r>
          </w:p>
        </w:tc>
        <w:tc>
          <w:tcPr>
            <w:tcW w:w="1385" w:type="dxa"/>
            <w:tcBorders>
              <w:top w:val="single" w:color="auto" w:sz="4" w:space="0"/>
              <w:left w:val="single" w:color="auto" w:sz="4" w:space="0"/>
              <w:bottom w:val="single" w:color="auto" w:sz="4" w:space="0"/>
              <w:right w:val="single" w:color="auto" w:sz="4" w:space="0"/>
            </w:tcBorders>
            <w:noWrap w:val="0"/>
            <w:vAlign w:val="center"/>
          </w:tcPr>
          <w:p>
            <w:pPr>
              <w:pageBreakBefore w:val="0"/>
              <w:widowControl/>
              <w:tabs>
                <w:tab w:val="left" w:pos="630"/>
              </w:tabs>
              <w:wordWrap/>
              <w:bidi w:val="0"/>
              <w:spacing w:line="240" w:lineRule="auto"/>
              <w:ind w:left="0" w:leftChars="0" w:right="0" w:right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397</w:t>
            </w:r>
          </w:p>
        </w:tc>
        <w:tc>
          <w:tcPr>
            <w:tcW w:w="1360" w:type="dxa"/>
            <w:noWrap w:val="0"/>
            <w:vAlign w:val="center"/>
          </w:tcPr>
          <w:p>
            <w:pPr>
              <w:pageBreakBefore w:val="0"/>
              <w:widowControl/>
              <w:tabs>
                <w:tab w:val="left" w:pos="630"/>
              </w:tabs>
              <w:wordWrap/>
              <w:bidi w:val="0"/>
              <w:spacing w:line="240" w:lineRule="auto"/>
              <w:ind w:left="0" w:leftChars="0" w:right="0" w:right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Q2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1" w:type="dxa"/>
            <w:tcBorders>
              <w:top w:val="single" w:color="auto" w:sz="4" w:space="0"/>
              <w:left w:val="single" w:color="auto" w:sz="4" w:space="0"/>
              <w:bottom w:val="single" w:color="auto" w:sz="4" w:space="0"/>
              <w:right w:val="single" w:color="auto" w:sz="4" w:space="0"/>
            </w:tcBorders>
            <w:noWrap w:val="0"/>
            <w:vAlign w:val="center"/>
          </w:tcPr>
          <w:p>
            <w:pPr>
              <w:pageBreakBefore w:val="0"/>
              <w:tabs>
                <w:tab w:val="left" w:pos="630"/>
              </w:tabs>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0.9Q2</w:t>
            </w:r>
          </w:p>
        </w:tc>
        <w:tc>
          <w:tcPr>
            <w:tcW w:w="992" w:type="dxa"/>
            <w:tcBorders>
              <w:top w:val="single" w:color="auto" w:sz="4" w:space="0"/>
              <w:left w:val="single" w:color="auto" w:sz="4" w:space="0"/>
              <w:bottom w:val="single" w:color="auto" w:sz="4" w:space="0"/>
              <w:right w:val="single" w:color="auto" w:sz="4" w:space="0"/>
            </w:tcBorders>
            <w:noWrap w:val="0"/>
            <w:vAlign w:val="center"/>
          </w:tcPr>
          <w:p>
            <w:pPr>
              <w:pageBreakBefore w:val="0"/>
              <w:widowControl/>
              <w:tabs>
                <w:tab w:val="left" w:pos="630"/>
              </w:tabs>
              <w:wordWrap/>
              <w:bidi w:val="0"/>
              <w:spacing w:line="240" w:lineRule="auto"/>
              <w:ind w:left="0" w:leftChars="0" w:right="0" w:rightChars="0"/>
              <w:jc w:val="center"/>
              <w:textAlignment w:val="center"/>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695</w:t>
            </w:r>
          </w:p>
        </w:tc>
        <w:tc>
          <w:tcPr>
            <w:tcW w:w="1133" w:type="dxa"/>
            <w:tcBorders>
              <w:top w:val="single" w:color="auto" w:sz="4" w:space="0"/>
              <w:left w:val="single" w:color="auto" w:sz="4" w:space="0"/>
              <w:bottom w:val="single" w:color="auto" w:sz="4" w:space="0"/>
              <w:right w:val="single" w:color="auto" w:sz="4" w:space="0"/>
            </w:tcBorders>
            <w:noWrap w:val="0"/>
            <w:vAlign w:val="center"/>
          </w:tcPr>
          <w:p>
            <w:pPr>
              <w:pageBreakBefore w:val="0"/>
              <w:tabs>
                <w:tab w:val="left" w:pos="630"/>
              </w:tabs>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40</w:t>
            </w:r>
          </w:p>
        </w:tc>
        <w:tc>
          <w:tcPr>
            <w:tcW w:w="1416" w:type="dxa"/>
            <w:tcBorders>
              <w:top w:val="single" w:color="auto" w:sz="4" w:space="0"/>
              <w:left w:val="single" w:color="auto" w:sz="4" w:space="0"/>
              <w:bottom w:val="single" w:color="auto" w:sz="4" w:space="0"/>
              <w:right w:val="single" w:color="auto" w:sz="4" w:space="0"/>
            </w:tcBorders>
            <w:noWrap w:val="0"/>
            <w:vAlign w:val="center"/>
          </w:tcPr>
          <w:p>
            <w:pPr>
              <w:pageBreakBefore w:val="0"/>
              <w:widowControl/>
              <w:tabs>
                <w:tab w:val="left" w:pos="630"/>
              </w:tabs>
              <w:wordWrap/>
              <w:bidi w:val="0"/>
              <w:spacing w:line="240" w:lineRule="auto"/>
              <w:ind w:left="0" w:leftChars="0" w:right="0" w:rightChars="0"/>
              <w:jc w:val="center"/>
              <w:textAlignment w:val="center"/>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370</w:t>
            </w:r>
          </w:p>
        </w:tc>
        <w:tc>
          <w:tcPr>
            <w:tcW w:w="1275" w:type="dxa"/>
            <w:tcBorders>
              <w:top w:val="single" w:color="auto" w:sz="4" w:space="0"/>
              <w:left w:val="single" w:color="auto" w:sz="4" w:space="0"/>
              <w:bottom w:val="single" w:color="auto" w:sz="4" w:space="0"/>
              <w:right w:val="single" w:color="auto" w:sz="4" w:space="0"/>
            </w:tcBorders>
            <w:noWrap w:val="0"/>
            <w:vAlign w:val="center"/>
          </w:tcPr>
          <w:p>
            <w:pPr>
              <w:pageBreakBefore w:val="0"/>
              <w:widowControl/>
              <w:tabs>
                <w:tab w:val="left" w:pos="630"/>
              </w:tabs>
              <w:wordWrap/>
              <w:bidi w:val="0"/>
              <w:spacing w:line="240" w:lineRule="auto"/>
              <w:ind w:left="0" w:leftChars="0" w:right="0" w:rightChars="0"/>
              <w:jc w:val="center"/>
              <w:textAlignment w:val="center"/>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1.75</w:t>
            </w:r>
          </w:p>
        </w:tc>
        <w:tc>
          <w:tcPr>
            <w:tcW w:w="1385" w:type="dxa"/>
            <w:tcBorders>
              <w:top w:val="single" w:color="auto" w:sz="4" w:space="0"/>
              <w:left w:val="single" w:color="auto" w:sz="4" w:space="0"/>
              <w:bottom w:val="single" w:color="auto" w:sz="4" w:space="0"/>
              <w:right w:val="single" w:color="auto" w:sz="4" w:space="0"/>
            </w:tcBorders>
            <w:noWrap w:val="0"/>
            <w:vAlign w:val="center"/>
          </w:tcPr>
          <w:p>
            <w:pPr>
              <w:pageBreakBefore w:val="0"/>
              <w:widowControl/>
              <w:tabs>
                <w:tab w:val="left" w:pos="630"/>
              </w:tabs>
              <w:wordWrap/>
              <w:bidi w:val="0"/>
              <w:spacing w:line="240" w:lineRule="auto"/>
              <w:ind w:left="0" w:leftChars="0" w:right="0" w:right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397</w:t>
            </w:r>
          </w:p>
        </w:tc>
        <w:tc>
          <w:tcPr>
            <w:tcW w:w="1360" w:type="dxa"/>
            <w:noWrap w:val="0"/>
            <w:vAlign w:val="center"/>
          </w:tcPr>
          <w:p>
            <w:pPr>
              <w:pageBreakBefore w:val="0"/>
              <w:widowControl/>
              <w:tabs>
                <w:tab w:val="left" w:pos="630"/>
              </w:tabs>
              <w:wordWrap/>
              <w:bidi w:val="0"/>
              <w:spacing w:line="240" w:lineRule="auto"/>
              <w:ind w:left="0" w:leftChars="0" w:right="0" w:right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0.9Q2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1" w:type="dxa"/>
            <w:tcBorders>
              <w:top w:val="single" w:color="auto" w:sz="4" w:space="0"/>
              <w:left w:val="single" w:color="auto" w:sz="4" w:space="0"/>
              <w:bottom w:val="single" w:color="auto" w:sz="4" w:space="0"/>
              <w:right w:val="single" w:color="auto" w:sz="4" w:space="0"/>
            </w:tcBorders>
            <w:noWrap w:val="0"/>
            <w:vAlign w:val="center"/>
          </w:tcPr>
          <w:p>
            <w:pPr>
              <w:pageBreakBefore w:val="0"/>
              <w:tabs>
                <w:tab w:val="left" w:pos="630"/>
              </w:tabs>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1.1Q2</w:t>
            </w:r>
          </w:p>
        </w:tc>
        <w:tc>
          <w:tcPr>
            <w:tcW w:w="992" w:type="dxa"/>
            <w:tcBorders>
              <w:top w:val="single" w:color="auto" w:sz="4" w:space="0"/>
              <w:left w:val="single" w:color="auto" w:sz="4" w:space="0"/>
              <w:bottom w:val="single" w:color="auto" w:sz="4" w:space="0"/>
              <w:right w:val="single" w:color="auto" w:sz="4" w:space="0"/>
            </w:tcBorders>
            <w:noWrap w:val="0"/>
            <w:vAlign w:val="center"/>
          </w:tcPr>
          <w:p>
            <w:pPr>
              <w:pageBreakBefore w:val="0"/>
              <w:widowControl/>
              <w:tabs>
                <w:tab w:val="left" w:pos="630"/>
              </w:tabs>
              <w:wordWrap/>
              <w:bidi w:val="0"/>
              <w:spacing w:line="240" w:lineRule="auto"/>
              <w:ind w:left="0" w:leftChars="0" w:right="0" w:rightChars="0"/>
              <w:jc w:val="center"/>
              <w:textAlignment w:val="center"/>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850</w:t>
            </w:r>
          </w:p>
        </w:tc>
        <w:tc>
          <w:tcPr>
            <w:tcW w:w="1133" w:type="dxa"/>
            <w:tcBorders>
              <w:top w:val="single" w:color="auto" w:sz="4" w:space="0"/>
              <w:left w:val="single" w:color="auto" w:sz="4" w:space="0"/>
              <w:bottom w:val="single" w:color="auto" w:sz="4" w:space="0"/>
              <w:right w:val="single" w:color="auto" w:sz="4" w:space="0"/>
            </w:tcBorders>
            <w:noWrap w:val="0"/>
            <w:vAlign w:val="center"/>
          </w:tcPr>
          <w:p>
            <w:pPr>
              <w:pageBreakBefore w:val="0"/>
              <w:tabs>
                <w:tab w:val="left" w:pos="630"/>
              </w:tabs>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40</w:t>
            </w:r>
          </w:p>
        </w:tc>
        <w:tc>
          <w:tcPr>
            <w:tcW w:w="1416" w:type="dxa"/>
            <w:tcBorders>
              <w:top w:val="single" w:color="auto" w:sz="4" w:space="0"/>
              <w:left w:val="single" w:color="auto" w:sz="4" w:space="0"/>
              <w:bottom w:val="single" w:color="auto" w:sz="4" w:space="0"/>
              <w:right w:val="single" w:color="auto" w:sz="4" w:space="0"/>
            </w:tcBorders>
            <w:noWrap w:val="0"/>
            <w:vAlign w:val="center"/>
          </w:tcPr>
          <w:p>
            <w:pPr>
              <w:pageBreakBefore w:val="0"/>
              <w:widowControl/>
              <w:tabs>
                <w:tab w:val="left" w:pos="630"/>
              </w:tabs>
              <w:wordWrap/>
              <w:bidi w:val="0"/>
              <w:spacing w:line="240" w:lineRule="auto"/>
              <w:ind w:left="0" w:leftChars="0" w:right="0" w:right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410</w:t>
            </w:r>
          </w:p>
        </w:tc>
        <w:tc>
          <w:tcPr>
            <w:tcW w:w="1275" w:type="dxa"/>
            <w:tcBorders>
              <w:top w:val="single" w:color="auto" w:sz="4" w:space="0"/>
              <w:left w:val="single" w:color="auto" w:sz="4" w:space="0"/>
              <w:bottom w:val="single" w:color="auto" w:sz="4" w:space="0"/>
              <w:right w:val="single" w:color="auto" w:sz="4" w:space="0"/>
            </w:tcBorders>
            <w:noWrap w:val="0"/>
            <w:vAlign w:val="center"/>
          </w:tcPr>
          <w:p>
            <w:pPr>
              <w:pageBreakBefore w:val="0"/>
              <w:widowControl/>
              <w:tabs>
                <w:tab w:val="left" w:pos="630"/>
              </w:tabs>
              <w:wordWrap/>
              <w:bidi w:val="0"/>
              <w:spacing w:line="240" w:lineRule="auto"/>
              <w:ind w:left="0" w:leftChars="0" w:right="0" w:rightChars="0"/>
              <w:jc w:val="center"/>
              <w:textAlignment w:val="center"/>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1.81</w:t>
            </w:r>
          </w:p>
        </w:tc>
        <w:tc>
          <w:tcPr>
            <w:tcW w:w="1385" w:type="dxa"/>
            <w:tcBorders>
              <w:top w:val="single" w:color="auto" w:sz="4" w:space="0"/>
              <w:left w:val="single" w:color="auto" w:sz="4" w:space="0"/>
              <w:bottom w:val="single" w:color="auto" w:sz="4" w:space="0"/>
              <w:right w:val="single" w:color="auto" w:sz="4" w:space="0"/>
            </w:tcBorders>
            <w:noWrap w:val="0"/>
            <w:vAlign w:val="center"/>
          </w:tcPr>
          <w:p>
            <w:pPr>
              <w:pageBreakBefore w:val="0"/>
              <w:widowControl/>
              <w:tabs>
                <w:tab w:val="left" w:pos="630"/>
              </w:tabs>
              <w:wordWrap/>
              <w:bidi w:val="0"/>
              <w:spacing w:line="240" w:lineRule="auto"/>
              <w:ind w:left="0" w:leftChars="0" w:right="0" w:right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397</w:t>
            </w:r>
          </w:p>
        </w:tc>
        <w:tc>
          <w:tcPr>
            <w:tcW w:w="1360" w:type="dxa"/>
            <w:noWrap w:val="0"/>
            <w:vAlign w:val="center"/>
          </w:tcPr>
          <w:p>
            <w:pPr>
              <w:pageBreakBefore w:val="0"/>
              <w:widowControl/>
              <w:tabs>
                <w:tab w:val="left" w:pos="630"/>
              </w:tabs>
              <w:wordWrap/>
              <w:bidi w:val="0"/>
              <w:spacing w:line="240" w:lineRule="auto"/>
              <w:ind w:left="0" w:leftChars="0" w:right="0" w:right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1.1Q2</w:t>
            </w:r>
          </w:p>
        </w:tc>
      </w:tr>
    </w:tbl>
    <w:p>
      <w:pPr>
        <w:keepNext w:val="0"/>
        <w:keepLines w:val="0"/>
        <w:pageBreakBefore w:val="0"/>
        <w:widowControl w:val="0"/>
        <w:kinsoku/>
        <w:wordWrap/>
        <w:overflowPunct/>
        <w:topLinePunct w:val="0"/>
        <w:autoSpaceDE/>
        <w:autoSpaceDN/>
        <w:bidi w:val="0"/>
        <w:adjustRightInd/>
        <w:spacing w:line="360" w:lineRule="auto"/>
        <w:ind w:left="0" w:leftChars="0" w:right="0" w:rightChars="0" w:firstLine="480" w:firstLineChars="200"/>
        <w:textAlignment w:val="auto"/>
        <w:outlineLvl w:val="1"/>
        <w:rPr>
          <w:rFonts w:hint="default" w:ascii="Times New Roman" w:hAnsi="Times New Roman" w:eastAsia="宋体" w:cs="Times New Roman"/>
          <w:bCs/>
          <w:color w:val="auto"/>
          <w:sz w:val="24"/>
          <w:szCs w:val="24"/>
          <w:highlight w:val="none"/>
        </w:rPr>
      </w:pPr>
      <w:bookmarkStart w:id="409" w:name="_Toc9924"/>
      <w:bookmarkStart w:id="410" w:name="_Toc13030"/>
      <w:r>
        <w:rPr>
          <w:rFonts w:hint="default" w:ascii="Times New Roman" w:hAnsi="Times New Roman" w:eastAsia="宋体" w:cs="Times New Roman"/>
          <w:bCs/>
          <w:color w:val="auto"/>
          <w:sz w:val="24"/>
          <w:szCs w:val="24"/>
          <w:highlight w:val="none"/>
        </w:rPr>
        <w:t>3）尾矿系统输送扬程</w:t>
      </w:r>
      <w:bookmarkEnd w:id="409"/>
      <w:bookmarkEnd w:id="410"/>
    </w:p>
    <w:p>
      <w:pPr>
        <w:keepNext w:val="0"/>
        <w:keepLines w:val="0"/>
        <w:pageBreakBefore w:val="0"/>
        <w:widowControl w:val="0"/>
        <w:tabs>
          <w:tab w:val="left" w:pos="630"/>
        </w:tabs>
        <w:kinsoku/>
        <w:wordWrap/>
        <w:overflowPunct/>
        <w:topLinePunct w:val="0"/>
        <w:autoSpaceDE/>
        <w:autoSpaceDN/>
        <w:bidi w:val="0"/>
        <w:adjustRightInd/>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尾矿加压泵站高于尾矿库原设计终期坝标高（1454m）</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尾矿加压泵主要用于尾矿库扩容加高后尾矿排放</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尾矿加压泵所需扬程计算</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详见表</w:t>
      </w:r>
      <w:r>
        <w:rPr>
          <w:rFonts w:hint="default" w:ascii="Times New Roman" w:hAnsi="Times New Roman" w:eastAsia="宋体" w:cs="Times New Roman"/>
          <w:color w:val="auto"/>
          <w:sz w:val="24"/>
          <w:szCs w:val="24"/>
          <w:highlight w:val="none"/>
          <w:lang w:val="en-US" w:eastAsia="zh-CN"/>
        </w:rPr>
        <w:t>2-11</w:t>
      </w:r>
      <w:r>
        <w:rPr>
          <w:rFonts w:hint="default" w:ascii="Times New Roman" w:hAnsi="Times New Roman" w:eastAsia="宋体" w:cs="Times New Roman"/>
          <w:color w:val="auto"/>
          <w:sz w:val="24"/>
          <w:szCs w:val="24"/>
          <w:highlight w:val="none"/>
        </w:rPr>
        <w:t>。</w:t>
      </w:r>
    </w:p>
    <w:p>
      <w:pPr>
        <w:keepNext w:val="0"/>
        <w:keepLines w:val="0"/>
        <w:pageBreakBefore w:val="0"/>
        <w:widowControl w:val="0"/>
        <w:tabs>
          <w:tab w:val="left" w:pos="630"/>
        </w:tabs>
        <w:kinsoku/>
        <w:wordWrap/>
        <w:overflowPunct/>
        <w:topLinePunct w:val="0"/>
        <w:autoSpaceDE/>
        <w:autoSpaceDN/>
        <w:bidi w:val="0"/>
        <w:adjustRightInd/>
        <w:snapToGrid w:val="0"/>
        <w:spacing w:line="360" w:lineRule="auto"/>
        <w:ind w:left="0" w:leftChars="0" w:right="0" w:rightChars="0" w:firstLine="482" w:firstLineChars="200"/>
        <w:jc w:val="center"/>
        <w:textAlignment w:val="auto"/>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表</w:t>
      </w:r>
      <w:r>
        <w:rPr>
          <w:rFonts w:hint="default" w:ascii="Times New Roman" w:hAnsi="Times New Roman" w:eastAsia="宋体" w:cs="Times New Roman"/>
          <w:b/>
          <w:color w:val="auto"/>
          <w:sz w:val="24"/>
          <w:szCs w:val="24"/>
          <w:highlight w:val="none"/>
          <w:lang w:val="en-US" w:eastAsia="zh-CN"/>
        </w:rPr>
        <w:t>2-11</w:t>
      </w:r>
      <w:r>
        <w:rPr>
          <w:rFonts w:hint="default" w:ascii="Times New Roman" w:hAnsi="Times New Roman" w:eastAsia="宋体" w:cs="Times New Roman"/>
          <w:b/>
          <w:color w:val="auto"/>
          <w:sz w:val="24"/>
          <w:szCs w:val="24"/>
          <w:highlight w:val="none"/>
        </w:rPr>
        <w:t>尾矿加压泵扬程核算</w:t>
      </w:r>
    </w:p>
    <w:tbl>
      <w:tblPr>
        <w:tblStyle w:val="54"/>
        <w:tblW w:w="847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7"/>
        <w:gridCol w:w="1100"/>
        <w:gridCol w:w="1213"/>
        <w:gridCol w:w="856"/>
        <w:gridCol w:w="850"/>
        <w:gridCol w:w="909"/>
        <w:gridCol w:w="792"/>
        <w:gridCol w:w="851"/>
        <w:gridCol w:w="11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67"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坝高（m）</w:t>
            </w:r>
          </w:p>
        </w:tc>
        <w:tc>
          <w:tcPr>
            <w:tcW w:w="1100" w:type="dxa"/>
            <w:tcBorders>
              <w:top w:val="single" w:color="auto" w:sz="4" w:space="0"/>
              <w:left w:val="single" w:color="auto" w:sz="4" w:space="0"/>
              <w:bottom w:val="single" w:color="auto" w:sz="4" w:space="0"/>
              <w:right w:val="single" w:color="auto" w:sz="4" w:space="0"/>
            </w:tcBorders>
            <w:noWrap w:val="0"/>
            <w:vAlign w:val="center"/>
          </w:tcPr>
          <w:p>
            <w:pPr>
              <w:pageBreakBefore w:val="0"/>
              <w:tabs>
                <w:tab w:val="left" w:pos="630"/>
              </w:tabs>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设计输送</w:t>
            </w:r>
          </w:p>
          <w:p>
            <w:pPr>
              <w:pageBreakBefore w:val="0"/>
              <w:tabs>
                <w:tab w:val="left" w:pos="630"/>
              </w:tabs>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矿浆量</w:t>
            </w:r>
          </w:p>
          <w:p>
            <w:pPr>
              <w:pageBreakBefore w:val="0"/>
              <w:tabs>
                <w:tab w:val="left" w:pos="630"/>
              </w:tabs>
              <w:wordWrap/>
              <w:bidi w:val="0"/>
              <w:spacing w:line="240" w:lineRule="auto"/>
              <w:ind w:left="0" w:leftChars="0" w:right="0" w:rightChars="0"/>
              <w:jc w:val="center"/>
              <w:rPr>
                <w:rFonts w:hint="default" w:ascii="Times New Roman" w:hAnsi="Times New Roman" w:eastAsia="宋体" w:cs="Times New Roman"/>
                <w:color w:val="auto"/>
                <w:highlight w:val="none"/>
                <w:vertAlign w:val="subscript"/>
              </w:rPr>
            </w:pP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/h）</w:t>
            </w:r>
          </w:p>
        </w:tc>
        <w:tc>
          <w:tcPr>
            <w:tcW w:w="1213" w:type="dxa"/>
            <w:tcBorders>
              <w:top w:val="single" w:color="auto" w:sz="4" w:space="0"/>
              <w:left w:val="single" w:color="auto" w:sz="4" w:space="0"/>
              <w:bottom w:val="single" w:color="auto" w:sz="4" w:space="0"/>
              <w:right w:val="single" w:color="auto" w:sz="4" w:space="0"/>
            </w:tcBorders>
            <w:noWrap w:val="0"/>
            <w:vAlign w:val="center"/>
          </w:tcPr>
          <w:p>
            <w:pPr>
              <w:pageBreakBefore w:val="0"/>
              <w:tabs>
                <w:tab w:val="left" w:pos="630"/>
              </w:tabs>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水力坡降I</w:t>
            </w:r>
          </w:p>
          <w:p>
            <w:pPr>
              <w:pageBreakBefore w:val="0"/>
              <w:tabs>
                <w:tab w:val="left" w:pos="630"/>
              </w:tabs>
              <w:wordWrap/>
              <w:bidi w:val="0"/>
              <w:spacing w:line="240" w:lineRule="auto"/>
              <w:ind w:left="0" w:leftChars="0" w:right="0" w:right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(m水柱/m)</w:t>
            </w:r>
          </w:p>
        </w:tc>
        <w:tc>
          <w:tcPr>
            <w:tcW w:w="856" w:type="dxa"/>
            <w:tcBorders>
              <w:top w:val="single" w:color="auto" w:sz="4" w:space="0"/>
              <w:left w:val="single" w:color="auto" w:sz="4" w:space="0"/>
              <w:bottom w:val="single" w:color="auto" w:sz="4" w:space="0"/>
              <w:right w:val="single" w:color="auto" w:sz="4" w:space="0"/>
            </w:tcBorders>
            <w:noWrap w:val="0"/>
            <w:vAlign w:val="center"/>
          </w:tcPr>
          <w:p>
            <w:pPr>
              <w:pageBreakBefore w:val="0"/>
              <w:tabs>
                <w:tab w:val="left" w:pos="630"/>
              </w:tabs>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输送</w:t>
            </w:r>
          </w:p>
          <w:p>
            <w:pPr>
              <w:pageBreakBefore w:val="0"/>
              <w:tabs>
                <w:tab w:val="left" w:pos="630"/>
              </w:tabs>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距离（m）</w:t>
            </w:r>
          </w:p>
        </w:tc>
        <w:tc>
          <w:tcPr>
            <w:tcW w:w="850" w:type="dxa"/>
            <w:tcBorders>
              <w:top w:val="single" w:color="auto" w:sz="4" w:space="0"/>
              <w:left w:val="single" w:color="auto" w:sz="4" w:space="0"/>
              <w:bottom w:val="single" w:color="auto" w:sz="4" w:space="0"/>
              <w:right w:val="single" w:color="auto" w:sz="4" w:space="0"/>
            </w:tcBorders>
            <w:noWrap w:val="0"/>
            <w:vAlign w:val="center"/>
          </w:tcPr>
          <w:p>
            <w:pPr>
              <w:pageBreakBefore w:val="0"/>
              <w:tabs>
                <w:tab w:val="left" w:pos="630"/>
              </w:tabs>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输送</w:t>
            </w:r>
          </w:p>
          <w:p>
            <w:pPr>
              <w:pageBreakBefore w:val="0"/>
              <w:tabs>
                <w:tab w:val="left" w:pos="630"/>
              </w:tabs>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高差</w:t>
            </w:r>
          </w:p>
          <w:p>
            <w:pPr>
              <w:pageBreakBefore w:val="0"/>
              <w:tabs>
                <w:tab w:val="left" w:pos="630"/>
              </w:tabs>
              <w:wordWrap/>
              <w:bidi w:val="0"/>
              <w:spacing w:line="240" w:lineRule="auto"/>
              <w:ind w:left="0" w:leftChars="0" w:right="0" w:rightChars="0"/>
              <w:jc w:val="center"/>
              <w:rPr>
                <w:rFonts w:hint="default" w:ascii="Times New Roman" w:hAnsi="Times New Roman" w:eastAsia="宋体" w:cs="Times New Roman"/>
                <w:color w:val="auto"/>
                <w:highlight w:val="none"/>
                <w:vertAlign w:val="subscript"/>
              </w:rPr>
            </w:pPr>
            <w:r>
              <w:rPr>
                <w:rFonts w:hint="default" w:ascii="Times New Roman" w:hAnsi="Times New Roman" w:eastAsia="宋体" w:cs="Times New Roman"/>
                <w:color w:val="auto"/>
                <w:highlight w:val="none"/>
              </w:rPr>
              <w:t>（m）</w:t>
            </w:r>
          </w:p>
        </w:tc>
        <w:tc>
          <w:tcPr>
            <w:tcW w:w="909" w:type="dxa"/>
            <w:tcBorders>
              <w:top w:val="single" w:color="auto" w:sz="4" w:space="0"/>
              <w:left w:val="single" w:color="auto" w:sz="4" w:space="0"/>
              <w:bottom w:val="single" w:color="auto" w:sz="4" w:space="0"/>
              <w:right w:val="single" w:color="auto" w:sz="4" w:space="0"/>
            </w:tcBorders>
            <w:noWrap w:val="0"/>
            <w:vAlign w:val="center"/>
          </w:tcPr>
          <w:p>
            <w:pPr>
              <w:pageBreakBefore w:val="0"/>
              <w:tabs>
                <w:tab w:val="left" w:pos="630"/>
              </w:tabs>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管道总损失</w:t>
            </w:r>
          </w:p>
          <w:p>
            <w:pPr>
              <w:pageBreakBefore w:val="0"/>
              <w:tabs>
                <w:tab w:val="left" w:pos="630"/>
              </w:tabs>
              <w:wordWrap/>
              <w:bidi w:val="0"/>
              <w:spacing w:line="240" w:lineRule="auto"/>
              <w:ind w:left="0" w:leftChars="0" w:right="0" w:rightChars="0"/>
              <w:jc w:val="center"/>
              <w:rPr>
                <w:rFonts w:hint="default" w:ascii="Times New Roman" w:hAnsi="Times New Roman" w:eastAsia="宋体" w:cs="Times New Roman"/>
                <w:color w:val="auto"/>
                <w:highlight w:val="none"/>
                <w:vertAlign w:val="subscript"/>
              </w:rPr>
            </w:pPr>
            <w:r>
              <w:rPr>
                <w:rFonts w:hint="default" w:ascii="Times New Roman" w:hAnsi="Times New Roman" w:eastAsia="宋体" w:cs="Times New Roman"/>
                <w:color w:val="auto"/>
                <w:highlight w:val="none"/>
              </w:rPr>
              <w:t>（m）</w:t>
            </w:r>
          </w:p>
        </w:tc>
        <w:tc>
          <w:tcPr>
            <w:tcW w:w="792" w:type="dxa"/>
            <w:tcBorders>
              <w:top w:val="single" w:color="auto" w:sz="4" w:space="0"/>
              <w:left w:val="single" w:color="auto" w:sz="4" w:space="0"/>
              <w:bottom w:val="single" w:color="auto" w:sz="4" w:space="0"/>
              <w:right w:val="single" w:color="auto" w:sz="4" w:space="0"/>
            </w:tcBorders>
            <w:noWrap w:val="0"/>
            <w:vAlign w:val="center"/>
          </w:tcPr>
          <w:p>
            <w:pPr>
              <w:pageBreakBefore w:val="0"/>
              <w:tabs>
                <w:tab w:val="left" w:pos="630"/>
              </w:tabs>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剩余</w:t>
            </w:r>
          </w:p>
          <w:p>
            <w:pPr>
              <w:pageBreakBefore w:val="0"/>
              <w:tabs>
                <w:tab w:val="left" w:pos="630"/>
              </w:tabs>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水头</w:t>
            </w:r>
          </w:p>
          <w:p>
            <w:pPr>
              <w:pageBreakBefore w:val="0"/>
              <w:tabs>
                <w:tab w:val="left" w:pos="630"/>
              </w:tabs>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（m）</w:t>
            </w:r>
          </w:p>
        </w:tc>
        <w:tc>
          <w:tcPr>
            <w:tcW w:w="851" w:type="dxa"/>
            <w:tcBorders>
              <w:top w:val="single" w:color="auto" w:sz="4" w:space="0"/>
              <w:left w:val="single" w:color="auto" w:sz="4" w:space="0"/>
              <w:bottom w:val="single" w:color="auto" w:sz="4" w:space="0"/>
              <w:right w:val="single" w:color="auto" w:sz="4" w:space="0"/>
            </w:tcBorders>
            <w:noWrap w:val="0"/>
            <w:vAlign w:val="center"/>
          </w:tcPr>
          <w:p>
            <w:pPr>
              <w:pageBreakBefore w:val="0"/>
              <w:tabs>
                <w:tab w:val="left" w:pos="630"/>
              </w:tabs>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浆体</w:t>
            </w:r>
          </w:p>
          <w:p>
            <w:pPr>
              <w:pageBreakBefore w:val="0"/>
              <w:tabs>
                <w:tab w:val="left" w:pos="630"/>
              </w:tabs>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扬程（m）</w:t>
            </w:r>
          </w:p>
        </w:tc>
        <w:tc>
          <w:tcPr>
            <w:tcW w:w="1135" w:type="dxa"/>
            <w:tcBorders>
              <w:top w:val="single" w:color="auto" w:sz="4" w:space="0"/>
              <w:left w:val="single" w:color="auto" w:sz="4" w:space="0"/>
              <w:bottom w:val="single" w:color="auto" w:sz="4" w:space="0"/>
              <w:right w:val="single" w:color="auto" w:sz="4" w:space="0"/>
            </w:tcBorders>
            <w:noWrap w:val="0"/>
            <w:vAlign w:val="center"/>
          </w:tcPr>
          <w:p>
            <w:pPr>
              <w:pageBreakBefore w:val="0"/>
              <w:tabs>
                <w:tab w:val="left" w:pos="630"/>
              </w:tabs>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渣浆泵</w:t>
            </w:r>
          </w:p>
          <w:p>
            <w:pPr>
              <w:pageBreakBefore w:val="0"/>
              <w:tabs>
                <w:tab w:val="left" w:pos="630"/>
              </w:tabs>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清水扬程（m）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67" w:type="dxa"/>
            <w:vMerge w:val="restart"/>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1495</w:t>
            </w:r>
          </w:p>
        </w:tc>
        <w:tc>
          <w:tcPr>
            <w:tcW w:w="1100" w:type="dxa"/>
            <w:tcBorders>
              <w:top w:val="single" w:color="auto" w:sz="4" w:space="0"/>
              <w:left w:val="single" w:color="auto" w:sz="4" w:space="0"/>
              <w:bottom w:val="single" w:color="auto" w:sz="4" w:space="0"/>
              <w:right w:val="single" w:color="auto" w:sz="4" w:space="0"/>
            </w:tcBorders>
            <w:noWrap w:val="0"/>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bCs/>
                <w:color w:val="auto"/>
                <w:szCs w:val="21"/>
                <w:highlight w:val="none"/>
                <w:lang w:eastAsia="zh-CN"/>
              </w:rPr>
            </w:pPr>
            <w:r>
              <w:rPr>
                <w:rFonts w:hint="default" w:ascii="Times New Roman" w:hAnsi="Times New Roman" w:eastAsia="宋体" w:cs="Times New Roman"/>
                <w:bCs/>
                <w:color w:val="auto"/>
                <w:szCs w:val="21"/>
                <w:highlight w:val="none"/>
              </w:rPr>
              <w:t>772</w:t>
            </w:r>
          </w:p>
        </w:tc>
        <w:tc>
          <w:tcPr>
            <w:tcW w:w="1213" w:type="dxa"/>
            <w:tcBorders>
              <w:top w:val="single" w:color="auto" w:sz="4" w:space="0"/>
              <w:left w:val="single" w:color="auto" w:sz="4" w:space="0"/>
              <w:bottom w:val="single" w:color="auto" w:sz="4" w:space="0"/>
              <w:right w:val="single" w:color="auto" w:sz="4" w:space="0"/>
            </w:tcBorders>
            <w:noWrap w:val="0"/>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bCs/>
                <w:color w:val="auto"/>
                <w:szCs w:val="21"/>
                <w:highlight w:val="none"/>
                <w:lang w:eastAsia="zh-CN"/>
              </w:rPr>
            </w:pPr>
            <w:r>
              <w:rPr>
                <w:rFonts w:hint="default" w:ascii="Times New Roman" w:hAnsi="Times New Roman" w:eastAsia="宋体" w:cs="Times New Roman"/>
                <w:bCs/>
                <w:color w:val="auto"/>
                <w:szCs w:val="21"/>
                <w:highlight w:val="none"/>
              </w:rPr>
              <w:t>0.0069</w:t>
            </w:r>
          </w:p>
        </w:tc>
        <w:tc>
          <w:tcPr>
            <w:tcW w:w="856" w:type="dxa"/>
            <w:tcBorders>
              <w:top w:val="single" w:color="auto" w:sz="4" w:space="0"/>
              <w:left w:val="single" w:color="auto" w:sz="4" w:space="0"/>
              <w:bottom w:val="single" w:color="auto" w:sz="4" w:space="0"/>
              <w:right w:val="single" w:color="auto" w:sz="4" w:space="0"/>
            </w:tcBorders>
            <w:noWrap w:val="0"/>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1000</w:t>
            </w:r>
          </w:p>
        </w:tc>
        <w:tc>
          <w:tcPr>
            <w:tcW w:w="850" w:type="dxa"/>
            <w:tcBorders>
              <w:top w:val="single" w:color="auto" w:sz="4" w:space="0"/>
              <w:left w:val="single" w:color="auto" w:sz="4" w:space="0"/>
              <w:bottom w:val="single" w:color="auto" w:sz="4" w:space="0"/>
              <w:right w:val="single" w:color="auto" w:sz="4" w:space="0"/>
            </w:tcBorders>
            <w:noWrap w:val="0"/>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35</w:t>
            </w:r>
          </w:p>
        </w:tc>
        <w:tc>
          <w:tcPr>
            <w:tcW w:w="909" w:type="dxa"/>
            <w:tcBorders>
              <w:top w:val="single" w:color="auto" w:sz="4" w:space="0"/>
              <w:left w:val="single" w:color="auto" w:sz="4" w:space="0"/>
              <w:bottom w:val="single" w:color="auto" w:sz="4" w:space="0"/>
              <w:right w:val="single" w:color="auto" w:sz="4" w:space="0"/>
            </w:tcBorders>
            <w:noWrap w:val="0"/>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bCs/>
                <w:color w:val="auto"/>
                <w:szCs w:val="21"/>
                <w:highlight w:val="none"/>
                <w:lang w:eastAsia="zh-CN"/>
              </w:rPr>
            </w:pPr>
            <w:r>
              <w:rPr>
                <w:rFonts w:hint="default" w:ascii="Times New Roman" w:hAnsi="Times New Roman" w:eastAsia="宋体" w:cs="Times New Roman"/>
                <w:bCs/>
                <w:color w:val="auto"/>
                <w:szCs w:val="21"/>
                <w:highlight w:val="none"/>
              </w:rPr>
              <w:t>10.55</w:t>
            </w:r>
          </w:p>
        </w:tc>
        <w:tc>
          <w:tcPr>
            <w:tcW w:w="792" w:type="dxa"/>
            <w:tcBorders>
              <w:top w:val="single" w:color="auto" w:sz="4" w:space="0"/>
              <w:left w:val="single" w:color="auto" w:sz="4" w:space="0"/>
              <w:bottom w:val="single" w:color="auto" w:sz="4" w:space="0"/>
              <w:right w:val="single" w:color="auto" w:sz="4" w:space="0"/>
            </w:tcBorders>
            <w:noWrap w:val="0"/>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10</w:t>
            </w:r>
          </w:p>
        </w:tc>
        <w:tc>
          <w:tcPr>
            <w:tcW w:w="851" w:type="dxa"/>
            <w:tcBorders>
              <w:top w:val="single" w:color="auto" w:sz="4" w:space="0"/>
              <w:left w:val="single" w:color="auto" w:sz="4" w:space="0"/>
              <w:bottom w:val="single" w:color="auto" w:sz="4" w:space="0"/>
              <w:right w:val="single" w:color="auto" w:sz="4" w:space="0"/>
            </w:tcBorders>
            <w:noWrap w:val="0"/>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bCs/>
                <w:color w:val="auto"/>
                <w:szCs w:val="21"/>
                <w:highlight w:val="none"/>
                <w:lang w:eastAsia="zh-CN"/>
              </w:rPr>
            </w:pPr>
            <w:r>
              <w:rPr>
                <w:rFonts w:hint="default" w:ascii="Times New Roman" w:hAnsi="Times New Roman" w:eastAsia="宋体" w:cs="Times New Roman"/>
                <w:bCs/>
                <w:color w:val="auto"/>
                <w:szCs w:val="21"/>
                <w:highlight w:val="none"/>
              </w:rPr>
              <w:t>69.56</w:t>
            </w:r>
          </w:p>
        </w:tc>
        <w:tc>
          <w:tcPr>
            <w:tcW w:w="1135" w:type="dxa"/>
            <w:tcBorders>
              <w:top w:val="single" w:color="auto" w:sz="4" w:space="0"/>
              <w:left w:val="single" w:color="auto" w:sz="4" w:space="0"/>
              <w:bottom w:val="single" w:color="auto" w:sz="4" w:space="0"/>
              <w:right w:val="single" w:color="auto" w:sz="4" w:space="0"/>
            </w:tcBorders>
            <w:noWrap w:val="0"/>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bCs/>
                <w:color w:val="auto"/>
                <w:szCs w:val="21"/>
                <w:highlight w:val="none"/>
                <w:lang w:eastAsia="zh-CN"/>
              </w:rPr>
            </w:pPr>
            <w:r>
              <w:rPr>
                <w:rFonts w:hint="default" w:ascii="Times New Roman" w:hAnsi="Times New Roman" w:eastAsia="宋体" w:cs="Times New Roman"/>
                <w:bCs/>
                <w:color w:val="auto"/>
                <w:szCs w:val="21"/>
                <w:highlight w:val="none"/>
              </w:rPr>
              <w:t>63.37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67" w:type="dxa"/>
            <w:vMerge w:val="continue"/>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highlight w:val="none"/>
              </w:rPr>
            </w:pPr>
          </w:p>
        </w:tc>
        <w:tc>
          <w:tcPr>
            <w:tcW w:w="1100" w:type="dxa"/>
            <w:tcBorders>
              <w:top w:val="single" w:color="auto" w:sz="4" w:space="0"/>
              <w:left w:val="single" w:color="auto" w:sz="4" w:space="0"/>
              <w:bottom w:val="single" w:color="auto" w:sz="4" w:space="0"/>
              <w:right w:val="single" w:color="auto" w:sz="4" w:space="0"/>
            </w:tcBorders>
            <w:noWrap w:val="0"/>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bCs/>
                <w:color w:val="auto"/>
                <w:szCs w:val="21"/>
                <w:highlight w:val="none"/>
                <w:lang w:eastAsia="zh-CN"/>
              </w:rPr>
            </w:pPr>
            <w:r>
              <w:rPr>
                <w:rFonts w:hint="default" w:ascii="Times New Roman" w:hAnsi="Times New Roman" w:eastAsia="宋体" w:cs="Times New Roman"/>
                <w:bCs/>
                <w:color w:val="auto"/>
                <w:szCs w:val="21"/>
                <w:highlight w:val="none"/>
              </w:rPr>
              <w:t>695</w:t>
            </w:r>
          </w:p>
        </w:tc>
        <w:tc>
          <w:tcPr>
            <w:tcW w:w="1213" w:type="dxa"/>
            <w:tcBorders>
              <w:top w:val="single" w:color="auto" w:sz="4" w:space="0"/>
              <w:left w:val="single" w:color="auto" w:sz="4" w:space="0"/>
              <w:bottom w:val="single" w:color="auto" w:sz="4" w:space="0"/>
              <w:right w:val="single" w:color="auto" w:sz="4" w:space="0"/>
            </w:tcBorders>
            <w:noWrap w:val="0"/>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bCs/>
                <w:color w:val="auto"/>
                <w:szCs w:val="21"/>
                <w:highlight w:val="none"/>
                <w:lang w:eastAsia="zh-CN"/>
              </w:rPr>
            </w:pPr>
            <w:r>
              <w:rPr>
                <w:rFonts w:hint="default" w:ascii="Times New Roman" w:hAnsi="Times New Roman" w:eastAsia="宋体" w:cs="Times New Roman"/>
                <w:bCs/>
                <w:color w:val="auto"/>
                <w:szCs w:val="21"/>
                <w:highlight w:val="none"/>
              </w:rPr>
              <w:t>0.0056</w:t>
            </w:r>
          </w:p>
        </w:tc>
        <w:tc>
          <w:tcPr>
            <w:tcW w:w="856" w:type="dxa"/>
            <w:tcBorders>
              <w:top w:val="single" w:color="auto" w:sz="4" w:space="0"/>
              <w:left w:val="single" w:color="auto" w:sz="4" w:space="0"/>
              <w:bottom w:val="single" w:color="auto" w:sz="4" w:space="0"/>
              <w:right w:val="single" w:color="auto" w:sz="4" w:space="0"/>
            </w:tcBorders>
            <w:noWrap w:val="0"/>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1000</w:t>
            </w:r>
          </w:p>
        </w:tc>
        <w:tc>
          <w:tcPr>
            <w:tcW w:w="850" w:type="dxa"/>
            <w:tcBorders>
              <w:top w:val="single" w:color="auto" w:sz="4" w:space="0"/>
              <w:left w:val="single" w:color="auto" w:sz="4" w:space="0"/>
              <w:bottom w:val="single" w:color="auto" w:sz="4" w:space="0"/>
              <w:right w:val="single" w:color="auto" w:sz="4" w:space="0"/>
            </w:tcBorders>
            <w:noWrap w:val="0"/>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35</w:t>
            </w:r>
          </w:p>
        </w:tc>
        <w:tc>
          <w:tcPr>
            <w:tcW w:w="909" w:type="dxa"/>
            <w:tcBorders>
              <w:top w:val="single" w:color="auto" w:sz="4" w:space="0"/>
              <w:left w:val="single" w:color="auto" w:sz="4" w:space="0"/>
              <w:bottom w:val="single" w:color="auto" w:sz="4" w:space="0"/>
              <w:right w:val="single" w:color="auto" w:sz="4" w:space="0"/>
            </w:tcBorders>
            <w:noWrap w:val="0"/>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bCs/>
                <w:color w:val="auto"/>
                <w:szCs w:val="21"/>
                <w:highlight w:val="none"/>
                <w:lang w:eastAsia="zh-CN"/>
              </w:rPr>
            </w:pPr>
            <w:r>
              <w:rPr>
                <w:rFonts w:hint="default" w:ascii="Times New Roman" w:hAnsi="Times New Roman" w:eastAsia="宋体" w:cs="Times New Roman"/>
                <w:bCs/>
                <w:color w:val="auto"/>
                <w:szCs w:val="21"/>
                <w:highlight w:val="none"/>
              </w:rPr>
              <w:t>9.11</w:t>
            </w:r>
          </w:p>
        </w:tc>
        <w:tc>
          <w:tcPr>
            <w:tcW w:w="792" w:type="dxa"/>
            <w:tcBorders>
              <w:top w:val="single" w:color="auto" w:sz="4" w:space="0"/>
              <w:left w:val="single" w:color="auto" w:sz="4" w:space="0"/>
              <w:bottom w:val="single" w:color="auto" w:sz="4" w:space="0"/>
              <w:right w:val="single" w:color="auto" w:sz="4" w:space="0"/>
            </w:tcBorders>
            <w:noWrap w:val="0"/>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10</w:t>
            </w:r>
          </w:p>
        </w:tc>
        <w:tc>
          <w:tcPr>
            <w:tcW w:w="851" w:type="dxa"/>
            <w:tcBorders>
              <w:top w:val="single" w:color="auto" w:sz="4" w:space="0"/>
              <w:left w:val="single" w:color="auto" w:sz="4" w:space="0"/>
              <w:bottom w:val="single" w:color="auto" w:sz="4" w:space="0"/>
              <w:right w:val="single" w:color="auto" w:sz="4" w:space="0"/>
            </w:tcBorders>
            <w:noWrap w:val="0"/>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bCs/>
                <w:color w:val="auto"/>
                <w:szCs w:val="21"/>
                <w:highlight w:val="none"/>
                <w:lang w:eastAsia="zh-CN"/>
              </w:rPr>
            </w:pPr>
            <w:r>
              <w:rPr>
                <w:rFonts w:hint="default" w:ascii="Times New Roman" w:hAnsi="Times New Roman" w:eastAsia="宋体" w:cs="Times New Roman"/>
                <w:bCs/>
                <w:color w:val="auto"/>
                <w:szCs w:val="21"/>
                <w:highlight w:val="none"/>
              </w:rPr>
              <w:t>67.91</w:t>
            </w:r>
          </w:p>
        </w:tc>
        <w:tc>
          <w:tcPr>
            <w:tcW w:w="1135" w:type="dxa"/>
            <w:tcBorders>
              <w:top w:val="single" w:color="auto" w:sz="4" w:space="0"/>
              <w:left w:val="single" w:color="auto" w:sz="4" w:space="0"/>
              <w:bottom w:val="single" w:color="auto" w:sz="4" w:space="0"/>
              <w:right w:val="single" w:color="auto" w:sz="4" w:space="0"/>
            </w:tcBorders>
            <w:noWrap w:val="0"/>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bCs/>
                <w:color w:val="auto"/>
                <w:szCs w:val="21"/>
                <w:highlight w:val="none"/>
                <w:lang w:eastAsia="zh-CN"/>
              </w:rPr>
            </w:pPr>
            <w:r>
              <w:rPr>
                <w:rFonts w:hint="default" w:ascii="Times New Roman" w:hAnsi="Times New Roman" w:eastAsia="宋体" w:cs="Times New Roman"/>
                <w:bCs/>
                <w:color w:val="auto"/>
                <w:szCs w:val="21"/>
                <w:highlight w:val="none"/>
              </w:rPr>
              <w:t>61.87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67" w:type="dxa"/>
            <w:vMerge w:val="continue"/>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highlight w:val="none"/>
              </w:rPr>
            </w:pPr>
          </w:p>
        </w:tc>
        <w:tc>
          <w:tcPr>
            <w:tcW w:w="1100" w:type="dxa"/>
            <w:tcBorders>
              <w:top w:val="single" w:color="auto" w:sz="4" w:space="0"/>
              <w:left w:val="single" w:color="auto" w:sz="4" w:space="0"/>
              <w:bottom w:val="single" w:color="auto" w:sz="4" w:space="0"/>
              <w:right w:val="single" w:color="auto" w:sz="4" w:space="0"/>
            </w:tcBorders>
            <w:noWrap w:val="0"/>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bCs/>
                <w:color w:val="auto"/>
                <w:szCs w:val="21"/>
                <w:highlight w:val="none"/>
                <w:lang w:eastAsia="zh-CN"/>
              </w:rPr>
            </w:pPr>
            <w:r>
              <w:rPr>
                <w:rFonts w:hint="default" w:ascii="Times New Roman" w:hAnsi="Times New Roman" w:eastAsia="宋体" w:cs="Times New Roman"/>
                <w:bCs/>
                <w:color w:val="auto"/>
                <w:szCs w:val="21"/>
                <w:highlight w:val="none"/>
              </w:rPr>
              <w:t>850</w:t>
            </w:r>
          </w:p>
        </w:tc>
        <w:tc>
          <w:tcPr>
            <w:tcW w:w="1213" w:type="dxa"/>
            <w:tcBorders>
              <w:top w:val="single" w:color="auto" w:sz="4" w:space="0"/>
              <w:left w:val="single" w:color="auto" w:sz="4" w:space="0"/>
              <w:bottom w:val="single" w:color="auto" w:sz="4" w:space="0"/>
              <w:right w:val="single" w:color="auto" w:sz="4" w:space="0"/>
            </w:tcBorders>
            <w:noWrap w:val="0"/>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bCs/>
                <w:color w:val="auto"/>
                <w:szCs w:val="21"/>
                <w:highlight w:val="none"/>
                <w:lang w:eastAsia="zh-CN"/>
              </w:rPr>
            </w:pPr>
            <w:r>
              <w:rPr>
                <w:rFonts w:hint="default" w:ascii="Times New Roman" w:hAnsi="Times New Roman" w:eastAsia="宋体" w:cs="Times New Roman"/>
                <w:bCs/>
                <w:color w:val="auto"/>
                <w:szCs w:val="21"/>
                <w:highlight w:val="none"/>
              </w:rPr>
              <w:t>0.0083</w:t>
            </w:r>
          </w:p>
        </w:tc>
        <w:tc>
          <w:tcPr>
            <w:tcW w:w="856" w:type="dxa"/>
            <w:tcBorders>
              <w:top w:val="single" w:color="auto" w:sz="4" w:space="0"/>
              <w:left w:val="single" w:color="auto" w:sz="4" w:space="0"/>
              <w:bottom w:val="single" w:color="auto" w:sz="4" w:space="0"/>
              <w:right w:val="single" w:color="auto" w:sz="4" w:space="0"/>
            </w:tcBorders>
            <w:noWrap w:val="0"/>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1000</w:t>
            </w:r>
          </w:p>
        </w:tc>
        <w:tc>
          <w:tcPr>
            <w:tcW w:w="850" w:type="dxa"/>
            <w:tcBorders>
              <w:top w:val="single" w:color="auto" w:sz="4" w:space="0"/>
              <w:left w:val="single" w:color="auto" w:sz="4" w:space="0"/>
              <w:bottom w:val="single" w:color="auto" w:sz="4" w:space="0"/>
              <w:right w:val="single" w:color="auto" w:sz="4" w:space="0"/>
            </w:tcBorders>
            <w:noWrap w:val="0"/>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35</w:t>
            </w:r>
          </w:p>
        </w:tc>
        <w:tc>
          <w:tcPr>
            <w:tcW w:w="909" w:type="dxa"/>
            <w:tcBorders>
              <w:top w:val="single" w:color="auto" w:sz="4" w:space="0"/>
              <w:left w:val="single" w:color="auto" w:sz="4" w:space="0"/>
              <w:bottom w:val="single" w:color="auto" w:sz="4" w:space="0"/>
              <w:right w:val="single" w:color="auto" w:sz="4" w:space="0"/>
            </w:tcBorders>
            <w:noWrap w:val="0"/>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bCs/>
                <w:color w:val="auto"/>
                <w:szCs w:val="21"/>
                <w:highlight w:val="none"/>
                <w:lang w:eastAsia="zh-CN"/>
              </w:rPr>
            </w:pPr>
            <w:r>
              <w:rPr>
                <w:rFonts w:hint="default" w:ascii="Times New Roman" w:hAnsi="Times New Roman" w:eastAsia="宋体" w:cs="Times New Roman"/>
                <w:bCs/>
                <w:color w:val="auto"/>
                <w:szCs w:val="21"/>
                <w:highlight w:val="none"/>
              </w:rPr>
              <w:t>12.13</w:t>
            </w:r>
          </w:p>
        </w:tc>
        <w:tc>
          <w:tcPr>
            <w:tcW w:w="792" w:type="dxa"/>
            <w:tcBorders>
              <w:top w:val="single" w:color="auto" w:sz="4" w:space="0"/>
              <w:left w:val="single" w:color="auto" w:sz="4" w:space="0"/>
              <w:bottom w:val="single" w:color="auto" w:sz="4" w:space="0"/>
              <w:right w:val="single" w:color="auto" w:sz="4" w:space="0"/>
            </w:tcBorders>
            <w:noWrap w:val="0"/>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10</w:t>
            </w:r>
          </w:p>
        </w:tc>
        <w:tc>
          <w:tcPr>
            <w:tcW w:w="851" w:type="dxa"/>
            <w:tcBorders>
              <w:top w:val="single" w:color="auto" w:sz="4" w:space="0"/>
              <w:left w:val="single" w:color="auto" w:sz="4" w:space="0"/>
              <w:bottom w:val="single" w:color="auto" w:sz="4" w:space="0"/>
              <w:right w:val="single" w:color="auto" w:sz="4" w:space="0"/>
            </w:tcBorders>
            <w:noWrap w:val="0"/>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bCs/>
                <w:color w:val="auto"/>
                <w:szCs w:val="21"/>
                <w:highlight w:val="none"/>
                <w:lang w:eastAsia="zh-CN"/>
              </w:rPr>
            </w:pPr>
            <w:r>
              <w:rPr>
                <w:rFonts w:hint="default" w:ascii="Times New Roman" w:hAnsi="Times New Roman" w:eastAsia="宋体" w:cs="Times New Roman"/>
                <w:bCs/>
                <w:color w:val="auto"/>
                <w:szCs w:val="21"/>
                <w:highlight w:val="none"/>
              </w:rPr>
              <w:t>71.38</w:t>
            </w:r>
          </w:p>
        </w:tc>
        <w:tc>
          <w:tcPr>
            <w:tcW w:w="1135" w:type="dxa"/>
            <w:tcBorders>
              <w:top w:val="single" w:color="auto" w:sz="4" w:space="0"/>
              <w:left w:val="single" w:color="auto" w:sz="4" w:space="0"/>
              <w:bottom w:val="single" w:color="auto" w:sz="4" w:space="0"/>
              <w:right w:val="single" w:color="auto" w:sz="4" w:space="0"/>
            </w:tcBorders>
            <w:noWrap w:val="0"/>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bCs/>
                <w:color w:val="auto"/>
                <w:szCs w:val="21"/>
                <w:highlight w:val="none"/>
                <w:lang w:eastAsia="zh-CN"/>
              </w:rPr>
            </w:pPr>
            <w:r>
              <w:rPr>
                <w:rFonts w:hint="default" w:ascii="Times New Roman" w:hAnsi="Times New Roman" w:eastAsia="宋体" w:cs="Times New Roman"/>
                <w:bCs/>
                <w:color w:val="auto"/>
                <w:szCs w:val="21"/>
                <w:highlight w:val="none"/>
              </w:rPr>
              <w:t>65.03</w:t>
            </w:r>
          </w:p>
        </w:tc>
      </w:tr>
    </w:tbl>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textAlignment w:val="auto"/>
        <w:outlineLvl w:val="2"/>
        <w:rPr>
          <w:rFonts w:hint="default" w:ascii="Times New Roman" w:hAnsi="Times New Roman" w:eastAsia="宋体" w:cs="Times New Roman"/>
          <w:b/>
          <w:bCs/>
          <w:color w:val="auto"/>
          <w:sz w:val="24"/>
          <w:szCs w:val="24"/>
          <w:highlight w:val="none"/>
        </w:rPr>
      </w:pPr>
      <w:bookmarkStart w:id="411" w:name="_Toc4248"/>
      <w:bookmarkStart w:id="412" w:name="_Toc21736"/>
      <w:bookmarkStart w:id="413" w:name="_Toc27403"/>
      <w:r>
        <w:rPr>
          <w:rFonts w:hint="default" w:ascii="Times New Roman" w:hAnsi="Times New Roman" w:eastAsia="宋体" w:cs="Times New Roman"/>
          <w:b/>
          <w:bCs/>
          <w:color w:val="auto"/>
          <w:sz w:val="24"/>
          <w:szCs w:val="24"/>
          <w:highlight w:val="none"/>
          <w:lang w:eastAsia="zh-CN"/>
        </w:rPr>
        <w:t>2.3.3.</w:t>
      </w:r>
      <w:r>
        <w:rPr>
          <w:rFonts w:hint="default" w:ascii="Times New Roman" w:hAnsi="Times New Roman" w:eastAsia="宋体" w:cs="Times New Roman"/>
          <w:b/>
          <w:bCs/>
          <w:color w:val="auto"/>
          <w:sz w:val="24"/>
          <w:szCs w:val="24"/>
          <w:highlight w:val="none"/>
          <w:lang w:val="en-US" w:eastAsia="zh-CN"/>
        </w:rPr>
        <w:t>3</w:t>
      </w:r>
      <w:r>
        <w:rPr>
          <w:rFonts w:hint="default" w:ascii="Times New Roman" w:hAnsi="Times New Roman" w:eastAsia="宋体" w:cs="Times New Roman"/>
          <w:b/>
          <w:bCs/>
          <w:color w:val="auto"/>
          <w:sz w:val="24"/>
          <w:szCs w:val="24"/>
          <w:highlight w:val="none"/>
        </w:rPr>
        <w:t>尾矿加压泵站</w:t>
      </w:r>
      <w:bookmarkEnd w:id="411"/>
      <w:bookmarkEnd w:id="412"/>
      <w:bookmarkEnd w:id="413"/>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bCs/>
          <w:color w:val="auto"/>
          <w:sz w:val="24"/>
          <w:szCs w:val="24"/>
          <w:highlight w:val="none"/>
        </w:rPr>
      </w:pPr>
      <w:r>
        <w:rPr>
          <w:rFonts w:hint="default" w:ascii="Times New Roman" w:hAnsi="Times New Roman" w:eastAsia="宋体" w:cs="Times New Roman"/>
          <w:bCs/>
          <w:color w:val="auto"/>
          <w:sz w:val="24"/>
          <w:szCs w:val="24"/>
          <w:highlight w:val="none"/>
          <w:lang w:eastAsia="zh-CN"/>
        </w:rPr>
        <w:t>在</w:t>
      </w:r>
      <w:r>
        <w:rPr>
          <w:rFonts w:hint="default" w:ascii="Times New Roman" w:hAnsi="Times New Roman" w:eastAsia="宋体" w:cs="Times New Roman"/>
          <w:bCs/>
          <w:color w:val="auto"/>
          <w:sz w:val="24"/>
          <w:szCs w:val="24"/>
          <w:highlight w:val="none"/>
        </w:rPr>
        <w:t>尾矿库南侧坝肩下新建1座尾矿加压泵站</w:t>
      </w:r>
      <w:r>
        <w:rPr>
          <w:rFonts w:hint="default" w:ascii="Times New Roman" w:hAnsi="Times New Roman" w:eastAsia="宋体"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rPr>
        <w:t>泵站为地上式建筑</w:t>
      </w:r>
      <w:r>
        <w:rPr>
          <w:rFonts w:hint="default" w:ascii="Times New Roman" w:hAnsi="Times New Roman" w:eastAsia="宋体"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rPr>
        <w:t>主体泵房平面尺寸</w:t>
      </w:r>
      <w:r>
        <w:rPr>
          <w:rFonts w:hint="default" w:ascii="Times New Roman" w:hAnsi="Times New Roman" w:eastAsia="宋体"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rPr>
        <w:t>15m×12m</w:t>
      </w:r>
      <w:r>
        <w:rPr>
          <w:rFonts w:hint="default" w:ascii="Times New Roman" w:hAnsi="Times New Roman" w:eastAsia="宋体"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rPr>
        <w:t>吊车梁轨顶高7m</w:t>
      </w:r>
      <w:r>
        <w:rPr>
          <w:rFonts w:hint="default" w:ascii="Times New Roman" w:hAnsi="Times New Roman" w:eastAsia="宋体"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rPr>
        <w:t>辅建配电室及值班室。泵站室内地坪绝对标高为1460m。泵站内设备详见表</w:t>
      </w:r>
      <w:r>
        <w:rPr>
          <w:rFonts w:hint="default" w:ascii="Times New Roman" w:hAnsi="Times New Roman" w:eastAsia="宋体" w:cs="Times New Roman"/>
          <w:bCs/>
          <w:color w:val="auto"/>
          <w:sz w:val="24"/>
          <w:szCs w:val="24"/>
          <w:highlight w:val="none"/>
          <w:lang w:val="en-US" w:eastAsia="zh-CN"/>
        </w:rPr>
        <w:t>2</w:t>
      </w:r>
      <w:r>
        <w:rPr>
          <w:rFonts w:hint="default" w:ascii="Times New Roman" w:hAnsi="Times New Roman" w:eastAsia="宋体" w:cs="Times New Roman"/>
          <w:bCs/>
          <w:color w:val="auto"/>
          <w:sz w:val="24"/>
          <w:szCs w:val="24"/>
          <w:highlight w:val="none"/>
        </w:rPr>
        <w:t>-</w:t>
      </w:r>
      <w:r>
        <w:rPr>
          <w:rFonts w:hint="default" w:ascii="Times New Roman" w:hAnsi="Times New Roman" w:eastAsia="宋体" w:cs="Times New Roman"/>
          <w:bCs/>
          <w:color w:val="auto"/>
          <w:sz w:val="24"/>
          <w:szCs w:val="24"/>
          <w:highlight w:val="none"/>
          <w:lang w:val="en-US" w:eastAsia="zh-CN"/>
        </w:rPr>
        <w:t>12</w:t>
      </w:r>
      <w:r>
        <w:rPr>
          <w:rFonts w:hint="default" w:ascii="Times New Roman" w:hAnsi="Times New Roman" w:eastAsia="宋体" w:cs="Times New Roman"/>
          <w:bCs/>
          <w:color w:val="auto"/>
          <w:sz w:val="24"/>
          <w:szCs w:val="24"/>
          <w:highlight w:val="none"/>
        </w:rPr>
        <w:t>。</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jc w:val="center"/>
        <w:textAlignment w:val="auto"/>
        <w:rPr>
          <w:rFonts w:hint="default" w:ascii="Times New Roman" w:hAnsi="Times New Roman" w:eastAsia="宋体" w:cs="Times New Roman"/>
          <w:b/>
          <w:bCs w:val="0"/>
          <w:color w:val="auto"/>
          <w:sz w:val="24"/>
          <w:szCs w:val="24"/>
          <w:highlight w:val="none"/>
        </w:rPr>
      </w:pPr>
      <w:r>
        <w:rPr>
          <w:rFonts w:hint="default" w:ascii="Times New Roman" w:hAnsi="Times New Roman" w:eastAsia="宋体" w:cs="Times New Roman"/>
          <w:b/>
          <w:bCs w:val="0"/>
          <w:color w:val="auto"/>
          <w:sz w:val="24"/>
          <w:szCs w:val="24"/>
          <w:highlight w:val="none"/>
        </w:rPr>
        <w:t>表</w:t>
      </w:r>
      <w:r>
        <w:rPr>
          <w:rFonts w:hint="default" w:ascii="Times New Roman" w:hAnsi="Times New Roman" w:eastAsia="宋体" w:cs="Times New Roman"/>
          <w:b/>
          <w:bCs w:val="0"/>
          <w:color w:val="auto"/>
          <w:sz w:val="24"/>
          <w:szCs w:val="24"/>
          <w:highlight w:val="none"/>
          <w:lang w:val="en-US" w:eastAsia="zh-CN"/>
        </w:rPr>
        <w:t>2</w:t>
      </w:r>
      <w:r>
        <w:rPr>
          <w:rFonts w:hint="default" w:ascii="Times New Roman" w:hAnsi="Times New Roman" w:eastAsia="宋体" w:cs="Times New Roman"/>
          <w:b/>
          <w:bCs w:val="0"/>
          <w:color w:val="auto"/>
          <w:sz w:val="24"/>
          <w:szCs w:val="24"/>
          <w:highlight w:val="none"/>
        </w:rPr>
        <w:t>-</w:t>
      </w:r>
      <w:r>
        <w:rPr>
          <w:rFonts w:hint="default" w:ascii="Times New Roman" w:hAnsi="Times New Roman" w:eastAsia="宋体" w:cs="Times New Roman"/>
          <w:b/>
          <w:bCs w:val="0"/>
          <w:color w:val="auto"/>
          <w:sz w:val="24"/>
          <w:szCs w:val="24"/>
          <w:highlight w:val="none"/>
          <w:lang w:val="en-US" w:eastAsia="zh-CN"/>
        </w:rPr>
        <w:t>12</w:t>
      </w:r>
      <w:r>
        <w:rPr>
          <w:rFonts w:hint="default" w:ascii="Times New Roman" w:hAnsi="Times New Roman" w:eastAsia="宋体" w:cs="Times New Roman"/>
          <w:b/>
          <w:bCs w:val="0"/>
          <w:color w:val="auto"/>
          <w:sz w:val="24"/>
          <w:szCs w:val="24"/>
          <w:highlight w:val="none"/>
        </w:rPr>
        <w:t>尾矿加压泵站主要设备表</w:t>
      </w:r>
    </w:p>
    <w:tbl>
      <w:tblPr>
        <w:tblStyle w:val="54"/>
        <w:tblW w:w="500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203"/>
        <w:gridCol w:w="1203"/>
        <w:gridCol w:w="2120"/>
        <w:gridCol w:w="1203"/>
        <w:gridCol w:w="1203"/>
        <w:gridCol w:w="13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338" w:type="dxa"/>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序号</w:t>
            </w:r>
          </w:p>
        </w:tc>
        <w:tc>
          <w:tcPr>
            <w:tcW w:w="11338" w:type="dxa"/>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名称</w:t>
            </w:r>
          </w:p>
        </w:tc>
        <w:tc>
          <w:tcPr>
            <w:tcW w:w="11338" w:type="dxa"/>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型号及规格</w:t>
            </w:r>
          </w:p>
        </w:tc>
        <w:tc>
          <w:tcPr>
            <w:tcW w:w="11338" w:type="dxa"/>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单位</w:t>
            </w:r>
          </w:p>
        </w:tc>
        <w:tc>
          <w:tcPr>
            <w:tcW w:w="11338" w:type="dxa"/>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数量</w:t>
            </w:r>
          </w:p>
        </w:tc>
        <w:tc>
          <w:tcPr>
            <w:tcW w:w="11338" w:type="dxa"/>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338" w:type="dxa"/>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11338" w:type="dxa"/>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尾矿加压泵</w:t>
            </w:r>
          </w:p>
        </w:tc>
        <w:tc>
          <w:tcPr>
            <w:tcW w:w="11338" w:type="dxa"/>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250ZJ-</w:t>
            </w:r>
            <w:r>
              <w:rPr>
                <w:rFonts w:hint="default" w:ascii="Times New Roman" w:hAnsi="Times New Roman" w:eastAsia="宋体" w:cs="Times New Roman"/>
                <w:color w:val="auto"/>
                <w:sz w:val="21"/>
                <w:szCs w:val="21"/>
                <w:highlight w:val="none"/>
                <w:lang w:eastAsia="zh-CN"/>
              </w:rPr>
              <w:t>Ⅱ</w:t>
            </w:r>
            <w:r>
              <w:rPr>
                <w:rFonts w:hint="default" w:ascii="Times New Roman" w:hAnsi="Times New Roman" w:eastAsia="宋体" w:cs="Times New Roman"/>
                <w:color w:val="auto"/>
                <w:sz w:val="21"/>
                <w:szCs w:val="21"/>
                <w:highlight w:val="none"/>
              </w:rPr>
              <w:t>-A83</w:t>
            </w:r>
          </w:p>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Q=900m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/h</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H=66m</w:t>
            </w:r>
          </w:p>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N=400kW</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380V</w:t>
            </w:r>
          </w:p>
        </w:tc>
        <w:tc>
          <w:tcPr>
            <w:tcW w:w="11338" w:type="dxa"/>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台</w:t>
            </w:r>
          </w:p>
        </w:tc>
        <w:tc>
          <w:tcPr>
            <w:tcW w:w="11338" w:type="dxa"/>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tc>
        <w:tc>
          <w:tcPr>
            <w:tcW w:w="11338" w:type="dxa"/>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1用1备</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变频电机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338" w:type="dxa"/>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tc>
        <w:tc>
          <w:tcPr>
            <w:tcW w:w="11338" w:type="dxa"/>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液下渣浆泵</w:t>
            </w:r>
          </w:p>
        </w:tc>
        <w:tc>
          <w:tcPr>
            <w:tcW w:w="11338" w:type="dxa"/>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40ZJL-A35</w:t>
            </w:r>
          </w:p>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Q=40m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/h</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H=42m</w:t>
            </w:r>
          </w:p>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N=18.5W</w:t>
            </w:r>
          </w:p>
        </w:tc>
        <w:tc>
          <w:tcPr>
            <w:tcW w:w="11338" w:type="dxa"/>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台</w:t>
            </w:r>
          </w:p>
        </w:tc>
        <w:tc>
          <w:tcPr>
            <w:tcW w:w="11338" w:type="dxa"/>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tc>
        <w:tc>
          <w:tcPr>
            <w:tcW w:w="11338" w:type="dxa"/>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1用1备</w:t>
            </w:r>
          </w:p>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配控制箱及液位控制器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338" w:type="dxa"/>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w:t>
            </w:r>
          </w:p>
        </w:tc>
        <w:tc>
          <w:tcPr>
            <w:tcW w:w="11338" w:type="dxa"/>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水封泵</w:t>
            </w:r>
          </w:p>
        </w:tc>
        <w:tc>
          <w:tcPr>
            <w:tcW w:w="11338" w:type="dxa"/>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40DFL6-12×8</w:t>
            </w:r>
          </w:p>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Q=6m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/h</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H=96m</w:t>
            </w:r>
          </w:p>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N=4kW</w:t>
            </w:r>
          </w:p>
        </w:tc>
        <w:tc>
          <w:tcPr>
            <w:tcW w:w="11338" w:type="dxa"/>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台</w:t>
            </w:r>
          </w:p>
        </w:tc>
        <w:tc>
          <w:tcPr>
            <w:tcW w:w="11338" w:type="dxa"/>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tc>
        <w:tc>
          <w:tcPr>
            <w:tcW w:w="11338" w:type="dxa"/>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1用1备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1338" w:type="dxa"/>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w:t>
            </w:r>
          </w:p>
        </w:tc>
        <w:tc>
          <w:tcPr>
            <w:tcW w:w="11338" w:type="dxa"/>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电动单梁起重机</w:t>
            </w:r>
          </w:p>
        </w:tc>
        <w:tc>
          <w:tcPr>
            <w:tcW w:w="11338" w:type="dxa"/>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LDA-10型</w:t>
            </w:r>
          </w:p>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G=10t</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起升高度9m</w:t>
            </w:r>
          </w:p>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N=17.6kW</w:t>
            </w:r>
          </w:p>
        </w:tc>
        <w:tc>
          <w:tcPr>
            <w:tcW w:w="11338" w:type="dxa"/>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台</w:t>
            </w:r>
          </w:p>
        </w:tc>
        <w:tc>
          <w:tcPr>
            <w:tcW w:w="11338" w:type="dxa"/>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11338" w:type="dxa"/>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r>
    </w:tbl>
    <w:p>
      <w:pPr>
        <w:pageBreakBefore w:val="0"/>
        <w:wordWrap/>
        <w:bidi w:val="0"/>
        <w:spacing w:line="360" w:lineRule="auto"/>
        <w:ind w:left="0" w:leftChars="0" w:right="0" w:rightChars="0"/>
        <w:outlineLvl w:val="2"/>
        <w:rPr>
          <w:rFonts w:hint="default" w:ascii="Times New Roman" w:hAnsi="Times New Roman" w:eastAsia="宋体" w:cs="Times New Roman"/>
          <w:b/>
          <w:bCs/>
          <w:color w:val="auto"/>
          <w:sz w:val="24"/>
          <w:szCs w:val="32"/>
          <w:highlight w:val="none"/>
          <w:lang w:val="en-US" w:eastAsia="zh-CN"/>
        </w:rPr>
      </w:pPr>
      <w:bookmarkStart w:id="414" w:name="_Toc14848"/>
      <w:bookmarkStart w:id="415" w:name="_Toc21671"/>
      <w:bookmarkStart w:id="416" w:name="_Toc126592186"/>
      <w:bookmarkStart w:id="417" w:name="_Toc33537524"/>
      <w:r>
        <w:rPr>
          <w:rFonts w:hint="default" w:ascii="Times New Roman" w:hAnsi="Times New Roman" w:eastAsia="宋体" w:cs="Times New Roman"/>
          <w:b/>
          <w:bCs/>
          <w:color w:val="auto"/>
          <w:sz w:val="24"/>
          <w:szCs w:val="32"/>
          <w:highlight w:val="none"/>
          <w:lang w:val="en-US" w:eastAsia="zh-CN"/>
        </w:rPr>
        <w:t>2.3.3.4堆积坝与筑坝工艺</w:t>
      </w:r>
      <w:bookmarkEnd w:id="414"/>
      <w:bookmarkEnd w:id="415"/>
    </w:p>
    <w:p>
      <w:pPr>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加高工程放矿工艺采用上游式分散放矿法，在坝顶铺设放矿主管道，管道采用dn450PE管，沿尾矿库坝顶明设并保温，坝上放矿支管沿坝体间隔12m设置，每18条支管为1组，放矿支管采用dn160钢丝网骨架塑料复合管，管道压力等级1.0MPa，采用支管于子坝前均匀放矿，保持坝内滩面均匀上升。冰冻季节采用库内多点集中放矿。</w:t>
      </w:r>
    </w:p>
    <w:p>
      <w:pPr>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尾矿排放重量浓度为40%，根据《尾矿库安全规程》（GB39496-2020），上游式尾矿筑坝的尾矿浆重量浓度超过35%时，应进行尾矿堆坝试验研究。企业已按40%浓度生产运行多年，根据增高扩容工程岩土工程勘察报告剖面图及堆积坝粒径分析表，初期坝顶以上堆积坝钻孔ZK1-1~ZK1-7，-200目颗粒含量约15%～20%，对比类似工程，尾矿排放浓度为20%的尾矿库堆积坝，-200目颗粒含量约14%～18%，该浓度指标条件下堆积坝主要由粗颗粒组成，勘察根据钻孔概化剖面、根据室内试验得出尾矿力学指标，在此基础上进行三维静动力分析及坝体稳定性分析，根据计算结果，坝体稳定性满足规范要求，无需尾矿堆坝试验研究。</w:t>
      </w:r>
    </w:p>
    <w:p>
      <w:pPr>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在尾矿库现状子坝顶平台内侧及副坝坝顶向上堆筑子坝，每级子坝高度为5.0m，可分二期进行堆筑，每期堆筑高度2.5m，顶宽3.0m。主坝每级子坝需留设12.5m宽平台后堆筑下一级子坝，子坝外坡比为1：3，内坡比为1：1.5，平均外坡比为1：5.5；副坝每级子坝需留设10m宽平台后堆筑下一级子坝，子坝外坡比为1：2.0，内坡比为1：1.5，平均外坡比为1：4.0。在子坝堆筑过程中，采用推土机结合人工方法堆筑，子坝压实度不小于92%。每年汛期及冰冻期之前必须提前堆筑好子坝，确保所需的调洪库容。滩前粗尾砂不满足子坝堆筑需求量时采用山皮土堆筑子坝。</w:t>
      </w:r>
    </w:p>
    <w:p>
      <w:pPr>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3号副坝滩顶距溢流井较近，最小距离仅230m，为保证尾矿库回水和防洪满足要求，设计自标高1475m起，库区内滩前130m位置修建导流堤，导流堤采用库区土石堆筑，轴线长约250m，顶宽为2m，两侧坡比为1：1.5。生产运行过程中若其他坝段干滩长度或安全超高无法满足设计要求可采用池填法放矿，届时由设计补充相关参数。</w:t>
      </w:r>
    </w:p>
    <w:p>
      <w:pPr>
        <w:pageBreakBefore w:val="0"/>
        <w:wordWrap/>
        <w:bidi w:val="0"/>
        <w:spacing w:line="360" w:lineRule="auto"/>
        <w:ind w:left="0" w:leftChars="0" w:right="0" w:rightChars="0"/>
        <w:outlineLvl w:val="2"/>
        <w:rPr>
          <w:rFonts w:hint="default" w:ascii="Times New Roman" w:hAnsi="Times New Roman" w:eastAsia="宋体" w:cs="Times New Roman"/>
          <w:b/>
          <w:bCs/>
          <w:color w:val="auto"/>
          <w:sz w:val="24"/>
          <w:szCs w:val="24"/>
          <w:highlight w:val="none"/>
          <w:lang w:val="en-US" w:eastAsia="zh-CN"/>
        </w:rPr>
      </w:pPr>
      <w:bookmarkStart w:id="418" w:name="_Toc29260"/>
      <w:bookmarkStart w:id="419" w:name="_Toc17805"/>
      <w:r>
        <w:rPr>
          <w:rFonts w:hint="default" w:ascii="Times New Roman" w:hAnsi="Times New Roman" w:eastAsia="宋体" w:cs="Times New Roman"/>
          <w:b/>
          <w:bCs/>
          <w:color w:val="auto"/>
          <w:sz w:val="24"/>
          <w:szCs w:val="24"/>
          <w:highlight w:val="none"/>
          <w:lang w:val="en-US" w:eastAsia="zh-CN"/>
        </w:rPr>
        <w:t>2.3.3.5副坝及淹没区排土场防护</w:t>
      </w:r>
      <w:bookmarkEnd w:id="418"/>
      <w:bookmarkEnd w:id="419"/>
    </w:p>
    <w:p>
      <w:pPr>
        <w:pageBreakBefore w:val="0"/>
        <w:wordWrap/>
        <w:bidi w:val="0"/>
        <w:adjustRightInd w:val="0"/>
        <w:spacing w:line="360" w:lineRule="auto"/>
        <w:ind w:left="0" w:leftChars="0" w:right="0" w:rightChars="0" w:firstLine="480" w:firstLineChars="200"/>
        <w:outlineLvl w:val="0"/>
        <w:rPr>
          <w:rFonts w:hint="default" w:ascii="Times New Roman" w:hAnsi="Times New Roman" w:eastAsia="宋体" w:cs="Times New Roman"/>
          <w:color w:val="auto"/>
          <w:sz w:val="24"/>
          <w:szCs w:val="24"/>
          <w:highlight w:val="none"/>
        </w:rPr>
      </w:pPr>
      <w:bookmarkStart w:id="420" w:name="_Toc5709"/>
      <w:bookmarkStart w:id="421" w:name="_Toc27111"/>
      <w:bookmarkStart w:id="422" w:name="_Hlk75341300"/>
      <w:r>
        <w:rPr>
          <w:rFonts w:hint="default" w:ascii="Times New Roman" w:hAnsi="Times New Roman" w:eastAsia="宋体" w:cs="Times New Roman"/>
          <w:color w:val="auto"/>
          <w:sz w:val="24"/>
          <w:szCs w:val="24"/>
          <w:highlight w:val="none"/>
        </w:rPr>
        <w:t>（1）</w:t>
      </w:r>
      <w:bookmarkStart w:id="423" w:name="OLE_LINK1"/>
      <w:r>
        <w:rPr>
          <w:rFonts w:hint="default" w:ascii="Times New Roman" w:hAnsi="Times New Roman" w:eastAsia="宋体" w:cs="Times New Roman"/>
          <w:color w:val="auto"/>
          <w:sz w:val="24"/>
          <w:szCs w:val="24"/>
          <w:highlight w:val="none"/>
        </w:rPr>
        <w:t>3号副坝</w:t>
      </w:r>
      <w:bookmarkEnd w:id="420"/>
      <w:bookmarkEnd w:id="421"/>
      <w:bookmarkEnd w:id="423"/>
    </w:p>
    <w:p>
      <w:pPr>
        <w:pageBreakBefore w:val="0"/>
        <w:wordWrap/>
        <w:bidi w:val="0"/>
        <w:adjustRightInd w:val="0"/>
        <w:spacing w:line="360" w:lineRule="auto"/>
        <w:ind w:left="0" w:leftChars="0" w:right="0" w:rightChars="0"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库区西北侧垭口位置建</w:t>
      </w:r>
      <w:bookmarkStart w:id="424" w:name="_Hlk138858148"/>
      <w:r>
        <w:rPr>
          <w:rFonts w:hint="default" w:ascii="Times New Roman" w:hAnsi="Times New Roman" w:eastAsia="宋体" w:cs="Times New Roman"/>
          <w:color w:val="auto"/>
          <w:sz w:val="24"/>
          <w:szCs w:val="24"/>
          <w:highlight w:val="none"/>
        </w:rPr>
        <w:t>3号副坝</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采用堆石坝</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最大坝高6m</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坝底标高1460m</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坝顶标高1466m</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坝轴线长约52.3m</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副坝顶宽为5m</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内坡比为1:1.65</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外坡比为1:1.75</w:t>
      </w:r>
      <w:bookmarkEnd w:id="424"/>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坝体内坡设SN2/PE-16-400-0.3复合土工膜防渗</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土工膜基层分别采用200mm厚碎石和100mm粗砂</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保护层采用300mm厚碎石。</w:t>
      </w:r>
    </w:p>
    <w:p>
      <w:pPr>
        <w:pageBreakBefore w:val="0"/>
        <w:wordWrap/>
        <w:bidi w:val="0"/>
        <w:adjustRightInd w:val="0"/>
        <w:spacing w:line="360" w:lineRule="auto"/>
        <w:ind w:left="0" w:leftChars="0" w:right="0" w:rightChars="0"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设计采用SN2/PE-16-400-0.3复合土工膜</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其基本特性要求如下</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单位面积质量400g/m</w:t>
      </w:r>
      <w:r>
        <w:rPr>
          <w:rFonts w:hint="default" w:ascii="Times New Roman" w:hAnsi="Times New Roman" w:eastAsia="宋体" w:cs="Times New Roman"/>
          <w:color w:val="auto"/>
          <w:sz w:val="24"/>
          <w:szCs w:val="24"/>
          <w:highlight w:val="none"/>
          <w:vertAlign w:val="superscript"/>
        </w:rPr>
        <w:t>2</w:t>
      </w:r>
      <w:r>
        <w:rPr>
          <w:rFonts w:hint="default" w:ascii="Times New Roman" w:hAnsi="Times New Roman" w:eastAsia="宋体" w:cs="Times New Roman"/>
          <w:color w:val="auto"/>
          <w:sz w:val="24"/>
          <w:szCs w:val="24"/>
          <w:highlight w:val="none"/>
        </w:rPr>
        <w:t>；厚度0.3mm；纵横向</w:t>
      </w:r>
      <w:r>
        <w:rPr>
          <w:rFonts w:hint="default" w:ascii="Times New Roman" w:hAnsi="Times New Roman" w:eastAsia="宋体" w:cs="Times New Roman"/>
          <w:color w:val="auto"/>
          <w:sz w:val="24"/>
          <w:szCs w:val="24"/>
          <w:highlight w:val="none"/>
          <w:lang w:eastAsia="zh-CN"/>
        </w:rPr>
        <w:t>断裂应力</w:t>
      </w:r>
      <w:r>
        <w:rPr>
          <w:rFonts w:hint="default" w:ascii="Times New Roman" w:hAnsi="Times New Roman" w:eastAsia="宋体" w:cs="Times New Roman"/>
          <w:color w:val="auto"/>
          <w:sz w:val="24"/>
          <w:szCs w:val="24"/>
          <w:highlight w:val="none"/>
        </w:rPr>
        <w:t>均不小于16kN/m；CBR顶破强力不小于2.8kN；耐静水压力0.5MPa；剥离强度不小于6N/cm</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幅宽偏差小于1.0%。</w:t>
      </w:r>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szCs w:val="24"/>
          <w:highlight w:val="none"/>
        </w:rPr>
      </w:pPr>
      <w:bookmarkStart w:id="425" w:name="_Hlk78183812"/>
      <w:r>
        <w:rPr>
          <w:rFonts w:hint="default" w:ascii="Times New Roman" w:hAnsi="Times New Roman" w:eastAsia="宋体" w:cs="Times New Roman"/>
          <w:color w:val="auto"/>
          <w:sz w:val="24"/>
          <w:szCs w:val="24"/>
          <w:highlight w:val="none"/>
        </w:rPr>
        <w:t>副坝筑坝材料可利用采场剥离岩石</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筑坝前必须对筑坝材料进行材料试验</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其性能须满足抗压强度不小于35Mpa</w:t>
      </w:r>
      <w:r>
        <w:rPr>
          <w:rFonts w:hint="default" w:ascii="Times New Roman" w:hAnsi="Times New Roman" w:eastAsia="宋体" w:cs="Times New Roman"/>
          <w:color w:val="auto"/>
          <w:sz w:val="24"/>
          <w:szCs w:val="24"/>
          <w:highlight w:val="none"/>
          <w:lang w:eastAsia="zh-CN"/>
        </w:rPr>
        <w:t>，内摩擦角</w:t>
      </w:r>
      <w:r>
        <w:rPr>
          <w:rFonts w:hint="default" w:ascii="Times New Roman" w:hAnsi="Times New Roman" w:eastAsia="宋体" w:cs="Times New Roman"/>
          <w:color w:val="auto"/>
          <w:sz w:val="24"/>
          <w:szCs w:val="24"/>
          <w:highlight w:val="none"/>
        </w:rPr>
        <w:t>＞34°</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软化系数不小于0.85。</w:t>
      </w:r>
      <w:bookmarkEnd w:id="425"/>
      <w:r>
        <w:rPr>
          <w:rFonts w:hint="default" w:ascii="Times New Roman" w:hAnsi="Times New Roman" w:eastAsia="宋体" w:cs="Times New Roman"/>
          <w:color w:val="auto"/>
          <w:sz w:val="24"/>
          <w:szCs w:val="24"/>
          <w:highlight w:val="none"/>
        </w:rPr>
        <w:t>对上坝石料进行筛选</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以满足筑坝材料级配要求</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一般石料的中值粒径D</w:t>
      </w:r>
      <w:r>
        <w:rPr>
          <w:rFonts w:hint="default" w:ascii="Times New Roman" w:hAnsi="Times New Roman" w:eastAsia="宋体" w:cs="Times New Roman"/>
          <w:color w:val="auto"/>
          <w:sz w:val="24"/>
          <w:szCs w:val="24"/>
          <w:highlight w:val="none"/>
          <w:vertAlign w:val="subscript"/>
        </w:rPr>
        <w:t>50</w:t>
      </w:r>
      <w:r>
        <w:rPr>
          <w:rFonts w:hint="default" w:ascii="Times New Roman" w:hAnsi="Times New Roman" w:eastAsia="宋体" w:cs="Times New Roman"/>
          <w:color w:val="auto"/>
          <w:sz w:val="24"/>
          <w:szCs w:val="24"/>
          <w:highlight w:val="none"/>
        </w:rPr>
        <w:t>=40～200mm</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不均匀系数η=30～150</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石料中不应含有5mm以下的颗粒</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小于2cm颗粒含量不应大于5%</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石料最大粒径不应大于碾压厚度的3/4</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碾压厚度根据施工机械通过碾压试验确定</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一般不超过600mm。要求碾压后的石料孔隙率应小于30%。</w:t>
      </w:r>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GB"/>
        </w:rPr>
        <w:t>坝体最外层干砌块石</w:t>
      </w:r>
      <w:r>
        <w:rPr>
          <w:rFonts w:hint="default" w:ascii="Times New Roman" w:hAnsi="Times New Roman" w:eastAsia="宋体" w:cs="Times New Roman"/>
          <w:color w:val="auto"/>
          <w:sz w:val="24"/>
          <w:szCs w:val="24"/>
          <w:highlight w:val="none"/>
        </w:rPr>
        <w:t>要求平方</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最小边长应大于0.2m</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长短边之比不超过3~4。干砌块石</w:t>
      </w:r>
      <w:r>
        <w:rPr>
          <w:rFonts w:hint="default" w:ascii="Times New Roman" w:hAnsi="Times New Roman" w:eastAsia="宋体" w:cs="Times New Roman"/>
          <w:color w:val="auto"/>
          <w:sz w:val="24"/>
          <w:szCs w:val="24"/>
          <w:highlight w:val="none"/>
          <w:lang w:val="en-GB"/>
        </w:rPr>
        <w:t>应垫稳填实</w:t>
      </w:r>
      <w:r>
        <w:rPr>
          <w:rFonts w:hint="default" w:ascii="Times New Roman" w:hAnsi="Times New Roman" w:eastAsia="宋体" w:cs="Times New Roman"/>
          <w:color w:val="auto"/>
          <w:sz w:val="24"/>
          <w:szCs w:val="24"/>
          <w:highlight w:val="none"/>
          <w:lang w:val="en-GB" w:eastAsia="zh-CN"/>
        </w:rPr>
        <w:t>，</w:t>
      </w:r>
      <w:r>
        <w:rPr>
          <w:rFonts w:hint="default" w:ascii="Times New Roman" w:hAnsi="Times New Roman" w:eastAsia="宋体" w:cs="Times New Roman"/>
          <w:color w:val="auto"/>
          <w:sz w:val="24"/>
          <w:szCs w:val="24"/>
          <w:highlight w:val="none"/>
          <w:lang w:val="en-GB"/>
        </w:rPr>
        <w:t>与周边砌石靠紧</w:t>
      </w:r>
      <w:r>
        <w:rPr>
          <w:rFonts w:hint="default" w:ascii="Times New Roman" w:hAnsi="Times New Roman" w:eastAsia="宋体" w:cs="Times New Roman"/>
          <w:color w:val="auto"/>
          <w:sz w:val="24"/>
          <w:szCs w:val="24"/>
          <w:highlight w:val="none"/>
          <w:lang w:val="en-GB" w:eastAsia="zh-CN"/>
        </w:rPr>
        <w:t>，</w:t>
      </w:r>
      <w:r>
        <w:rPr>
          <w:rFonts w:hint="default" w:ascii="Times New Roman" w:hAnsi="Times New Roman" w:eastAsia="宋体" w:cs="Times New Roman"/>
          <w:color w:val="auto"/>
          <w:sz w:val="24"/>
          <w:szCs w:val="24"/>
          <w:highlight w:val="none"/>
          <w:lang w:val="en-GB"/>
        </w:rPr>
        <w:t>不使用有夹角或薄边的石料砌筑</w:t>
      </w:r>
      <w:r>
        <w:rPr>
          <w:rFonts w:hint="default" w:ascii="Times New Roman" w:hAnsi="Times New Roman" w:eastAsia="宋体" w:cs="Times New Roman"/>
          <w:color w:val="auto"/>
          <w:sz w:val="24"/>
          <w:szCs w:val="24"/>
          <w:highlight w:val="none"/>
          <w:lang w:val="en-GB" w:eastAsia="zh-CN"/>
        </w:rPr>
        <w:t>，</w:t>
      </w:r>
      <w:r>
        <w:rPr>
          <w:rFonts w:hint="default" w:ascii="Times New Roman" w:hAnsi="Times New Roman" w:eastAsia="宋体" w:cs="Times New Roman"/>
          <w:color w:val="auto"/>
          <w:sz w:val="24"/>
          <w:szCs w:val="24"/>
          <w:highlight w:val="none"/>
          <w:lang w:val="en-GB"/>
        </w:rPr>
        <w:t>严禁出现通缝</w:t>
      </w:r>
      <w:r>
        <w:rPr>
          <w:rFonts w:hint="default" w:ascii="Times New Roman" w:hAnsi="Times New Roman" w:eastAsia="宋体" w:cs="Times New Roman"/>
          <w:color w:val="auto"/>
          <w:sz w:val="24"/>
          <w:szCs w:val="24"/>
          <w:highlight w:val="none"/>
          <w:lang w:val="en-GB" w:eastAsia="zh-CN"/>
        </w:rPr>
        <w:t>，</w:t>
      </w:r>
      <w:r>
        <w:rPr>
          <w:rFonts w:hint="default" w:ascii="Times New Roman" w:hAnsi="Times New Roman" w:eastAsia="宋体" w:cs="Times New Roman"/>
          <w:color w:val="auto"/>
          <w:sz w:val="24"/>
          <w:szCs w:val="24"/>
          <w:highlight w:val="none"/>
          <w:lang w:val="en-GB"/>
        </w:rPr>
        <w:t>叠砌和浮塞现象。</w:t>
      </w:r>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szCs w:val="24"/>
          <w:highlight w:val="none"/>
        </w:rPr>
      </w:pPr>
      <w:bookmarkStart w:id="426" w:name="_Hlk78183686"/>
      <w:r>
        <w:rPr>
          <w:rFonts w:hint="default" w:ascii="Times New Roman" w:hAnsi="Times New Roman" w:eastAsia="宋体" w:cs="Times New Roman"/>
          <w:color w:val="auto"/>
          <w:sz w:val="24"/>
          <w:szCs w:val="24"/>
          <w:highlight w:val="none"/>
        </w:rPr>
        <w:t>副坝坝基要求坐落在</w:t>
      </w:r>
      <w:r>
        <w:rPr>
          <w:rFonts w:hint="default" w:ascii="Times New Roman" w:hAnsi="Times New Roman" w:eastAsia="宋体" w:cs="Times New Roman"/>
          <w:color w:val="auto"/>
          <w:kern w:val="0"/>
          <w:sz w:val="24"/>
          <w:szCs w:val="24"/>
          <w:highlight w:val="none"/>
        </w:rPr>
        <w:t>强风化花岗岩层上</w:t>
      </w:r>
      <w:bookmarkEnd w:id="426"/>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开挖深度不小于0.5m。</w:t>
      </w:r>
      <w:r>
        <w:rPr>
          <w:rFonts w:hint="default" w:ascii="Times New Roman" w:hAnsi="Times New Roman" w:eastAsia="宋体" w:cs="Times New Roman"/>
          <w:color w:val="auto"/>
          <w:kern w:val="0"/>
          <w:sz w:val="24"/>
          <w:szCs w:val="24"/>
          <w:highlight w:val="none"/>
        </w:rPr>
        <w:t>副坝</w:t>
      </w:r>
      <w:r>
        <w:rPr>
          <w:rFonts w:hint="default" w:ascii="Times New Roman" w:hAnsi="Times New Roman" w:eastAsia="宋体" w:cs="Times New Roman"/>
          <w:color w:val="auto"/>
          <w:sz w:val="24"/>
          <w:szCs w:val="24"/>
          <w:highlight w:val="none"/>
        </w:rPr>
        <w:t>与岸坡接头坡度要求不陡于1:1.5</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同时不能出现局部岸坡突变</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不允许存在台阶式和倒悬坡。要求清理后岸坡平顺均匀</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无明显凸凹不平或突变。</w:t>
      </w:r>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坝体施工应严格执行《碾压式土石坝设计规范》（SL274-2020）中的相关规定</w:t>
      </w:r>
      <w:bookmarkEnd w:id="422"/>
      <w:r>
        <w:rPr>
          <w:rFonts w:hint="default" w:ascii="Times New Roman" w:hAnsi="Times New Roman" w:eastAsia="宋体" w:cs="Times New Roman"/>
          <w:color w:val="auto"/>
          <w:sz w:val="24"/>
          <w:szCs w:val="24"/>
          <w:highlight w:val="none"/>
        </w:rPr>
        <w:t>。</w:t>
      </w:r>
    </w:p>
    <w:p>
      <w:pPr>
        <w:pageBreakBefore w:val="0"/>
        <w:wordWrap/>
        <w:bidi w:val="0"/>
        <w:adjustRightInd w:val="0"/>
        <w:snapToGrid w:val="0"/>
        <w:spacing w:line="360" w:lineRule="auto"/>
        <w:ind w:left="0" w:leftChars="0" w:right="0" w:rightChars="0" w:firstLine="480" w:firstLineChars="200"/>
        <w:outlineLvl w:val="0"/>
        <w:rPr>
          <w:rFonts w:hint="default" w:ascii="Times New Roman" w:hAnsi="Times New Roman" w:eastAsia="宋体" w:cs="Times New Roman"/>
          <w:color w:val="auto"/>
          <w:sz w:val="24"/>
          <w:szCs w:val="24"/>
          <w:highlight w:val="none"/>
        </w:rPr>
      </w:pPr>
      <w:bookmarkStart w:id="427" w:name="_Toc12711"/>
      <w:bookmarkStart w:id="428" w:name="_Toc27078"/>
      <w:r>
        <w:rPr>
          <w:rFonts w:hint="default" w:ascii="Times New Roman" w:hAnsi="Times New Roman" w:eastAsia="宋体" w:cs="Times New Roman"/>
          <w:color w:val="auto"/>
          <w:sz w:val="24"/>
          <w:szCs w:val="24"/>
          <w:highlight w:val="none"/>
        </w:rPr>
        <w:t>（2）南侧排土场防护</w:t>
      </w:r>
      <w:bookmarkEnd w:id="427"/>
      <w:bookmarkEnd w:id="428"/>
    </w:p>
    <w:p>
      <w:pPr>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扩建尾矿库利用现有</w:t>
      </w:r>
      <w:r>
        <w:rPr>
          <w:rFonts w:hint="default" w:ascii="Times New Roman" w:hAnsi="Times New Roman" w:eastAsia="宋体" w:cs="Times New Roman"/>
          <w:color w:val="auto"/>
          <w:sz w:val="24"/>
          <w:szCs w:val="24"/>
          <w:highlight w:val="none"/>
        </w:rPr>
        <w:t>排土场</w:t>
      </w:r>
      <w:r>
        <w:rPr>
          <w:rFonts w:hint="default" w:ascii="Times New Roman" w:hAnsi="Times New Roman" w:eastAsia="宋体" w:cs="Times New Roman"/>
          <w:color w:val="auto"/>
          <w:sz w:val="24"/>
          <w:szCs w:val="24"/>
          <w:highlight w:val="none"/>
          <w:lang w:val="en-US" w:eastAsia="zh-CN"/>
        </w:rPr>
        <w:t>作为坝体（和南侧山体作用一样），</w:t>
      </w:r>
      <w:r>
        <w:rPr>
          <w:rFonts w:hint="default" w:ascii="Times New Roman" w:hAnsi="Times New Roman" w:eastAsia="宋体" w:cs="Times New Roman"/>
          <w:color w:val="auto"/>
          <w:sz w:val="24"/>
          <w:szCs w:val="24"/>
          <w:highlight w:val="none"/>
        </w:rPr>
        <w:t>该区域排土场顶标高1495m</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高约35m</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已达到排土场最终设计标高</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尾矿库坝体</w:t>
      </w:r>
      <w:r>
        <w:rPr>
          <w:rFonts w:hint="default" w:ascii="Times New Roman" w:hAnsi="Times New Roman" w:eastAsia="宋体" w:cs="Times New Roman"/>
          <w:color w:val="auto"/>
          <w:sz w:val="24"/>
          <w:szCs w:val="24"/>
          <w:highlight w:val="none"/>
          <w:lang w:eastAsia="zh-CN"/>
        </w:rPr>
        <w:t>最终堆积标高1454.0m，</w:t>
      </w:r>
      <w:r>
        <w:rPr>
          <w:rFonts w:hint="default" w:ascii="Times New Roman" w:hAnsi="Times New Roman" w:eastAsia="宋体" w:cs="Times New Roman"/>
          <w:color w:val="auto"/>
          <w:sz w:val="24"/>
          <w:szCs w:val="24"/>
          <w:highlight w:val="none"/>
          <w:lang w:val="en-US" w:eastAsia="zh-CN"/>
        </w:rPr>
        <w:t>因此，可以利用作为一侧的坝体。</w:t>
      </w:r>
    </w:p>
    <w:p>
      <w:pPr>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排土场外坡比为1:2.0</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间隔高差10m设平台</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平台顶宽3m。排土场淹没区域设SN2/PE-16-400-0.3复合土工膜防渗</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土工膜基层采用200mm厚碎石及100mm厚粗砂</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保护层采用300mm厚清基土料</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来自尾矿库新增占地清基过程中产生的</w:t>
      </w:r>
      <w:r>
        <w:rPr>
          <w:rFonts w:hint="default" w:ascii="Times New Roman" w:hAnsi="Times New Roman" w:eastAsia="宋体" w:cs="Times New Roman"/>
          <w:color w:val="auto"/>
          <w:sz w:val="24"/>
          <w:szCs w:val="24"/>
          <w:highlight w:val="none"/>
        </w:rPr>
        <w:t>土料</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rPr>
        <w:t>土工膜防渗随坝体升高铺设</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不低于主坝坝顶标高</w:t>
      </w:r>
      <w:r>
        <w:rPr>
          <w:rFonts w:hint="default" w:ascii="Times New Roman" w:hAnsi="Times New Roman" w:eastAsia="宋体" w:cs="Times New Roman"/>
          <w:color w:val="auto"/>
          <w:sz w:val="24"/>
          <w:szCs w:val="24"/>
          <w:highlight w:val="none"/>
          <w:lang w:eastAsia="zh-CN"/>
        </w:rPr>
        <w:t>。</w:t>
      </w:r>
    </w:p>
    <w:p>
      <w:pPr>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排土场每做好一个台阶，及时进行生态修复（不属于本次工程范围）</w:t>
      </w:r>
      <w:r>
        <w:rPr>
          <w:rFonts w:hint="default" w:ascii="Times New Roman" w:hAnsi="Times New Roman" w:eastAsia="宋体" w:cs="Times New Roman"/>
          <w:color w:val="auto"/>
          <w:sz w:val="24"/>
          <w:szCs w:val="24"/>
          <w:highlight w:val="none"/>
          <w:lang w:eastAsia="zh-CN"/>
        </w:rPr>
        <w:t>。</w:t>
      </w:r>
    </w:p>
    <w:bookmarkEnd w:id="416"/>
    <w:bookmarkEnd w:id="417"/>
    <w:p>
      <w:pPr>
        <w:pageBreakBefore w:val="0"/>
        <w:wordWrap/>
        <w:bidi w:val="0"/>
        <w:spacing w:line="360" w:lineRule="auto"/>
        <w:ind w:left="0" w:leftChars="0" w:right="0" w:rightChars="0"/>
        <w:outlineLvl w:val="1"/>
        <w:rPr>
          <w:rFonts w:hint="default" w:ascii="Times New Roman" w:hAnsi="Times New Roman" w:eastAsia="宋体" w:cs="Times New Roman"/>
          <w:b/>
          <w:bCs/>
          <w:color w:val="auto"/>
          <w:sz w:val="24"/>
          <w:szCs w:val="32"/>
          <w:highlight w:val="none"/>
          <w:lang w:val="en-US" w:eastAsia="zh-CN"/>
        </w:rPr>
      </w:pPr>
      <w:bookmarkStart w:id="429" w:name="_Toc11810"/>
      <w:bookmarkStart w:id="430" w:name="_Toc126592188"/>
      <w:bookmarkStart w:id="431" w:name="_Toc32350"/>
      <w:r>
        <w:rPr>
          <w:rFonts w:hint="default" w:ascii="Times New Roman" w:hAnsi="Times New Roman" w:eastAsia="宋体" w:cs="Times New Roman"/>
          <w:b/>
          <w:bCs/>
          <w:color w:val="auto"/>
          <w:sz w:val="24"/>
          <w:szCs w:val="32"/>
          <w:highlight w:val="none"/>
          <w:lang w:val="en-US" w:eastAsia="zh-CN"/>
        </w:rPr>
        <w:t>2.3.3.6库容及服务年限</w:t>
      </w:r>
      <w:bookmarkEnd w:id="429"/>
      <w:bookmarkEnd w:id="430"/>
      <w:bookmarkEnd w:id="431"/>
    </w:p>
    <w:p>
      <w:pPr>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尾矿坝堆积至标高1495m时尾矿库新增库容约为926万m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库容利用系数按0.75计算</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有效库容为695万m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坝高—新增库容曲线详见表</w:t>
      </w:r>
      <w:r>
        <w:rPr>
          <w:rFonts w:hint="default" w:ascii="Times New Roman" w:hAnsi="Times New Roman" w:eastAsia="宋体" w:cs="Times New Roman"/>
          <w:color w:val="auto"/>
          <w:sz w:val="24"/>
          <w:highlight w:val="none"/>
          <w:lang w:val="en-US" w:eastAsia="zh-CN"/>
        </w:rPr>
        <w:t>2-13</w:t>
      </w:r>
      <w:r>
        <w:rPr>
          <w:rFonts w:hint="default" w:ascii="Times New Roman" w:hAnsi="Times New Roman" w:eastAsia="宋体" w:cs="Times New Roman"/>
          <w:color w:val="auto"/>
          <w:sz w:val="24"/>
          <w:highlight w:val="none"/>
        </w:rPr>
        <w:t>。</w:t>
      </w:r>
    </w:p>
    <w:p>
      <w:pPr>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b/>
          <w:color w:val="auto"/>
          <w:sz w:val="24"/>
          <w:highlight w:val="none"/>
        </w:rPr>
      </w:pPr>
      <w:r>
        <w:rPr>
          <w:rFonts w:hint="default" w:ascii="Times New Roman" w:hAnsi="Times New Roman" w:eastAsia="宋体" w:cs="Times New Roman"/>
          <w:color w:val="auto"/>
          <w:sz w:val="24"/>
          <w:highlight w:val="none"/>
        </w:rPr>
        <w:t>选厂年排尾量为299.46万t</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尾矿平均堆积干容重按1.6t/m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计算</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szCs w:val="24"/>
          <w:highlight w:val="none"/>
          <w:lang w:val="en-GB" w:eastAsia="zh-CN"/>
        </w:rPr>
        <w:t>现有尾矿库剩余服务年限约0.9年，</w:t>
      </w:r>
      <w:r>
        <w:rPr>
          <w:rFonts w:hint="default" w:ascii="Times New Roman" w:hAnsi="Times New Roman" w:eastAsia="宋体" w:cs="Times New Roman"/>
          <w:color w:val="auto"/>
          <w:sz w:val="24"/>
          <w:szCs w:val="24"/>
          <w:highlight w:val="none"/>
        </w:rPr>
        <w:t>扩建尾矿库服务年限约</w:t>
      </w:r>
      <w:r>
        <w:rPr>
          <w:rFonts w:hint="default" w:ascii="Times New Roman" w:hAnsi="Times New Roman" w:eastAsia="宋体" w:cs="Times New Roman"/>
          <w:color w:val="auto"/>
          <w:sz w:val="24"/>
          <w:szCs w:val="24"/>
          <w:highlight w:val="none"/>
          <w:lang w:eastAsia="zh-CN"/>
        </w:rPr>
        <w:t>3.7</w:t>
      </w:r>
      <w:r>
        <w:rPr>
          <w:rFonts w:hint="default" w:ascii="Times New Roman" w:hAnsi="Times New Roman" w:eastAsia="宋体" w:cs="Times New Roman"/>
          <w:color w:val="auto"/>
          <w:sz w:val="24"/>
          <w:szCs w:val="24"/>
          <w:highlight w:val="none"/>
        </w:rPr>
        <w:t>年</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扩建后尾矿库</w:t>
      </w:r>
      <w:r>
        <w:rPr>
          <w:rFonts w:hint="default" w:ascii="Times New Roman" w:hAnsi="Times New Roman" w:eastAsia="宋体" w:cs="Times New Roman"/>
          <w:color w:val="auto"/>
          <w:sz w:val="24"/>
          <w:szCs w:val="24"/>
          <w:highlight w:val="none"/>
        </w:rPr>
        <w:t>服务年限约</w:t>
      </w:r>
      <w:r>
        <w:rPr>
          <w:rFonts w:hint="default" w:ascii="Times New Roman" w:hAnsi="Times New Roman" w:eastAsia="宋体" w:cs="Times New Roman"/>
          <w:color w:val="auto"/>
          <w:sz w:val="24"/>
          <w:szCs w:val="24"/>
          <w:highlight w:val="none"/>
          <w:lang w:val="en-US" w:eastAsia="zh-CN"/>
        </w:rPr>
        <w:t>4.6</w:t>
      </w:r>
      <w:r>
        <w:rPr>
          <w:rFonts w:hint="default" w:ascii="Times New Roman" w:hAnsi="Times New Roman" w:eastAsia="宋体" w:cs="Times New Roman"/>
          <w:color w:val="auto"/>
          <w:sz w:val="24"/>
          <w:szCs w:val="24"/>
          <w:highlight w:val="none"/>
        </w:rPr>
        <w:t>年</w:t>
      </w:r>
      <w:r>
        <w:rPr>
          <w:rFonts w:hint="default" w:ascii="Times New Roman" w:hAnsi="Times New Roman" w:eastAsia="宋体" w:cs="Times New Roman"/>
          <w:color w:val="auto"/>
          <w:sz w:val="24"/>
          <w:highlight w:val="none"/>
        </w:rPr>
        <w:t>。</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2" w:firstLineChars="200"/>
        <w:jc w:val="center"/>
        <w:textAlignment w:val="baseline"/>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w:t>表</w:t>
      </w:r>
      <w:r>
        <w:rPr>
          <w:rFonts w:hint="default" w:ascii="Times New Roman" w:hAnsi="Times New Roman" w:eastAsia="宋体" w:cs="Times New Roman"/>
          <w:b/>
          <w:color w:val="auto"/>
          <w:sz w:val="24"/>
          <w:highlight w:val="none"/>
          <w:lang w:val="en-US" w:eastAsia="zh-CN"/>
        </w:rPr>
        <w:t>2-13</w:t>
      </w:r>
      <w:r>
        <w:rPr>
          <w:rFonts w:hint="default" w:ascii="Times New Roman" w:hAnsi="Times New Roman" w:eastAsia="宋体" w:cs="Times New Roman"/>
          <w:b/>
          <w:color w:val="auto"/>
          <w:sz w:val="24"/>
          <w:highlight w:val="none"/>
        </w:rPr>
        <w:t>坝高—新增库容曲线表</w:t>
      </w:r>
    </w:p>
    <w:tbl>
      <w:tblPr>
        <w:tblStyle w:val="5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00"/>
        <w:gridCol w:w="940"/>
        <w:gridCol w:w="1179"/>
        <w:gridCol w:w="800"/>
        <w:gridCol w:w="1266"/>
        <w:gridCol w:w="1179"/>
        <w:gridCol w:w="1179"/>
        <w:gridCol w:w="11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425" w:type="pct"/>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标高</w:t>
            </w:r>
          </w:p>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m</w:t>
            </w:r>
            <w:r>
              <w:rPr>
                <w:rFonts w:hint="default" w:ascii="Times New Roman" w:hAnsi="Times New Roman" w:eastAsia="宋体" w:cs="Times New Roman"/>
                <w:color w:val="auto"/>
                <w:kern w:val="0"/>
                <w:sz w:val="21"/>
                <w:szCs w:val="21"/>
                <w:highlight w:val="none"/>
                <w:lang w:eastAsia="zh-CN"/>
              </w:rPr>
              <w:t>）</w:t>
            </w:r>
          </w:p>
        </w:tc>
        <w:tc>
          <w:tcPr>
            <w:tcW w:w="566" w:type="pct"/>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面积</w:t>
            </w:r>
          </w:p>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m</w:t>
            </w:r>
            <w:r>
              <w:rPr>
                <w:rFonts w:hint="default" w:ascii="Times New Roman" w:hAnsi="Times New Roman" w:eastAsia="宋体" w:cs="Times New Roman"/>
                <w:color w:val="auto"/>
                <w:kern w:val="0"/>
                <w:sz w:val="21"/>
                <w:szCs w:val="21"/>
                <w:highlight w:val="none"/>
                <w:vertAlign w:val="superscript"/>
              </w:rPr>
              <w:t>2</w:t>
            </w:r>
            <w:r>
              <w:rPr>
                <w:rFonts w:hint="default" w:ascii="Times New Roman" w:hAnsi="Times New Roman" w:eastAsia="宋体" w:cs="Times New Roman"/>
                <w:color w:val="auto"/>
                <w:kern w:val="0"/>
                <w:sz w:val="21"/>
                <w:szCs w:val="21"/>
                <w:highlight w:val="none"/>
                <w:lang w:eastAsia="zh-CN"/>
              </w:rPr>
              <w:t>）</w:t>
            </w:r>
          </w:p>
        </w:tc>
        <w:tc>
          <w:tcPr>
            <w:tcW w:w="706" w:type="pct"/>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rPr>
              <w:t>平均面积</w:t>
            </w:r>
            <w:r>
              <w:rPr>
                <w:rFonts w:hint="default"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m</w:t>
            </w:r>
            <w:r>
              <w:rPr>
                <w:rFonts w:hint="default" w:ascii="Times New Roman" w:hAnsi="Times New Roman" w:eastAsia="宋体" w:cs="Times New Roman"/>
                <w:color w:val="auto"/>
                <w:kern w:val="0"/>
                <w:sz w:val="21"/>
                <w:szCs w:val="21"/>
                <w:highlight w:val="none"/>
                <w:vertAlign w:val="superscript"/>
              </w:rPr>
              <w:t>2</w:t>
            </w:r>
            <w:r>
              <w:rPr>
                <w:rFonts w:hint="default" w:ascii="Times New Roman" w:hAnsi="Times New Roman" w:eastAsia="宋体" w:cs="Times New Roman"/>
                <w:color w:val="auto"/>
                <w:kern w:val="0"/>
                <w:sz w:val="21"/>
                <w:szCs w:val="21"/>
                <w:highlight w:val="none"/>
                <w:lang w:eastAsia="zh-CN"/>
              </w:rPr>
              <w:t>）</w:t>
            </w:r>
          </w:p>
        </w:tc>
        <w:tc>
          <w:tcPr>
            <w:tcW w:w="425" w:type="pct"/>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高差</w:t>
            </w:r>
          </w:p>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m</w:t>
            </w:r>
            <w:r>
              <w:rPr>
                <w:rFonts w:hint="default" w:ascii="Times New Roman" w:hAnsi="Times New Roman" w:eastAsia="宋体" w:cs="Times New Roman"/>
                <w:color w:val="auto"/>
                <w:kern w:val="0"/>
                <w:sz w:val="21"/>
                <w:szCs w:val="21"/>
                <w:highlight w:val="none"/>
                <w:lang w:eastAsia="zh-CN"/>
              </w:rPr>
              <w:t>）</w:t>
            </w:r>
          </w:p>
        </w:tc>
        <w:tc>
          <w:tcPr>
            <w:tcW w:w="757" w:type="pct"/>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库容</w:t>
            </w:r>
          </w:p>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rPr>
              <w:t>（万m</w:t>
            </w:r>
            <w:r>
              <w:rPr>
                <w:rFonts w:hint="default" w:ascii="Times New Roman" w:hAnsi="Times New Roman" w:eastAsia="宋体" w:cs="Times New Roman"/>
                <w:color w:val="auto"/>
                <w:kern w:val="0"/>
                <w:sz w:val="21"/>
                <w:szCs w:val="21"/>
                <w:highlight w:val="none"/>
                <w:vertAlign w:val="superscript"/>
              </w:rPr>
              <w:t>3</w:t>
            </w:r>
            <w:r>
              <w:rPr>
                <w:rFonts w:hint="default" w:ascii="Times New Roman" w:hAnsi="Times New Roman" w:eastAsia="宋体" w:cs="Times New Roman"/>
                <w:color w:val="auto"/>
                <w:kern w:val="0"/>
                <w:sz w:val="21"/>
                <w:szCs w:val="21"/>
                <w:highlight w:val="none"/>
                <w:lang w:eastAsia="zh-CN"/>
              </w:rPr>
              <w:t>）</w:t>
            </w:r>
          </w:p>
        </w:tc>
        <w:tc>
          <w:tcPr>
            <w:tcW w:w="706" w:type="pct"/>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累计库容</w:t>
            </w:r>
          </w:p>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万m</w:t>
            </w:r>
            <w:r>
              <w:rPr>
                <w:rFonts w:hint="default" w:ascii="Times New Roman" w:hAnsi="Times New Roman" w:eastAsia="宋体" w:cs="Times New Roman"/>
                <w:color w:val="auto"/>
                <w:kern w:val="0"/>
                <w:sz w:val="21"/>
                <w:szCs w:val="21"/>
                <w:highlight w:val="none"/>
                <w:vertAlign w:val="superscript"/>
              </w:rPr>
              <w:t>3</w:t>
            </w:r>
            <w:r>
              <w:rPr>
                <w:rFonts w:hint="default" w:ascii="Times New Roman" w:hAnsi="Times New Roman" w:eastAsia="宋体" w:cs="Times New Roman"/>
                <w:color w:val="auto"/>
                <w:kern w:val="0"/>
                <w:sz w:val="21"/>
                <w:szCs w:val="21"/>
                <w:highlight w:val="none"/>
                <w:lang w:eastAsia="zh-CN"/>
              </w:rPr>
              <w:t>）</w:t>
            </w:r>
          </w:p>
        </w:tc>
        <w:tc>
          <w:tcPr>
            <w:tcW w:w="706" w:type="pct"/>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有效库容</w:t>
            </w:r>
          </w:p>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万m</w:t>
            </w:r>
            <w:r>
              <w:rPr>
                <w:rFonts w:hint="default" w:ascii="Times New Roman" w:hAnsi="Times New Roman" w:eastAsia="宋体" w:cs="Times New Roman"/>
                <w:color w:val="auto"/>
                <w:kern w:val="0"/>
                <w:sz w:val="21"/>
                <w:szCs w:val="21"/>
                <w:highlight w:val="none"/>
                <w:vertAlign w:val="superscript"/>
              </w:rPr>
              <w:t>3</w:t>
            </w:r>
            <w:r>
              <w:rPr>
                <w:rFonts w:hint="default" w:ascii="Times New Roman" w:hAnsi="Times New Roman" w:eastAsia="宋体" w:cs="Times New Roman"/>
                <w:color w:val="auto"/>
                <w:kern w:val="0"/>
                <w:sz w:val="21"/>
                <w:szCs w:val="21"/>
                <w:highlight w:val="none"/>
                <w:lang w:eastAsia="zh-CN"/>
              </w:rPr>
              <w:t>）</w:t>
            </w:r>
          </w:p>
        </w:tc>
        <w:tc>
          <w:tcPr>
            <w:tcW w:w="706" w:type="pct"/>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服务年限</w:t>
            </w:r>
          </w:p>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5" w:type="pc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1454</w:t>
            </w:r>
          </w:p>
        </w:tc>
        <w:tc>
          <w:tcPr>
            <w:tcW w:w="566" w:type="pc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221095</w:t>
            </w:r>
          </w:p>
        </w:tc>
        <w:tc>
          <w:tcPr>
            <w:tcW w:w="706" w:type="pct"/>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w:t>
            </w:r>
          </w:p>
        </w:tc>
        <w:tc>
          <w:tcPr>
            <w:tcW w:w="425" w:type="pct"/>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w:t>
            </w:r>
          </w:p>
        </w:tc>
        <w:tc>
          <w:tcPr>
            <w:tcW w:w="757" w:type="pct"/>
            <w:noWrap w:val="0"/>
            <w:vAlign w:val="top"/>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706" w:type="pc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706" w:type="pct"/>
            <w:noWrap w:val="0"/>
            <w:vAlign w:val="top"/>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706" w:type="pc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5" w:type="pc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1465</w:t>
            </w:r>
          </w:p>
        </w:tc>
        <w:tc>
          <w:tcPr>
            <w:tcW w:w="566" w:type="pc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247515</w:t>
            </w:r>
          </w:p>
        </w:tc>
        <w:tc>
          <w:tcPr>
            <w:tcW w:w="706" w:type="pc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234305</w:t>
            </w:r>
          </w:p>
        </w:tc>
        <w:tc>
          <w:tcPr>
            <w:tcW w:w="425" w:type="pc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11</w:t>
            </w:r>
          </w:p>
        </w:tc>
        <w:tc>
          <w:tcPr>
            <w:tcW w:w="757" w:type="pc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257.74</w:t>
            </w:r>
          </w:p>
        </w:tc>
        <w:tc>
          <w:tcPr>
            <w:tcW w:w="706" w:type="pc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257.74</w:t>
            </w:r>
          </w:p>
        </w:tc>
        <w:tc>
          <w:tcPr>
            <w:tcW w:w="706" w:type="pc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193.30</w:t>
            </w:r>
          </w:p>
        </w:tc>
        <w:tc>
          <w:tcPr>
            <w:tcW w:w="706" w:type="pc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425" w:type="pc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1475</w:t>
            </w:r>
          </w:p>
        </w:tc>
        <w:tc>
          <w:tcPr>
            <w:tcW w:w="566" w:type="pc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228793</w:t>
            </w:r>
          </w:p>
        </w:tc>
        <w:tc>
          <w:tcPr>
            <w:tcW w:w="706" w:type="pc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238154</w:t>
            </w:r>
          </w:p>
        </w:tc>
        <w:tc>
          <w:tcPr>
            <w:tcW w:w="425" w:type="pc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w:t>
            </w:r>
          </w:p>
        </w:tc>
        <w:tc>
          <w:tcPr>
            <w:tcW w:w="757" w:type="pc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238.15</w:t>
            </w:r>
          </w:p>
        </w:tc>
        <w:tc>
          <w:tcPr>
            <w:tcW w:w="706" w:type="pc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495.89</w:t>
            </w:r>
          </w:p>
        </w:tc>
        <w:tc>
          <w:tcPr>
            <w:tcW w:w="706" w:type="pc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371.92</w:t>
            </w:r>
          </w:p>
        </w:tc>
        <w:tc>
          <w:tcPr>
            <w:tcW w:w="706" w:type="pc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425" w:type="pc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1485</w:t>
            </w:r>
          </w:p>
        </w:tc>
        <w:tc>
          <w:tcPr>
            <w:tcW w:w="566" w:type="pc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220202</w:t>
            </w:r>
          </w:p>
        </w:tc>
        <w:tc>
          <w:tcPr>
            <w:tcW w:w="706" w:type="pc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224497.5</w:t>
            </w:r>
          </w:p>
        </w:tc>
        <w:tc>
          <w:tcPr>
            <w:tcW w:w="425" w:type="pc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w:t>
            </w:r>
          </w:p>
        </w:tc>
        <w:tc>
          <w:tcPr>
            <w:tcW w:w="757" w:type="pc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224.50</w:t>
            </w:r>
          </w:p>
        </w:tc>
        <w:tc>
          <w:tcPr>
            <w:tcW w:w="706" w:type="pc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720.39</w:t>
            </w:r>
          </w:p>
        </w:tc>
        <w:tc>
          <w:tcPr>
            <w:tcW w:w="706" w:type="pc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540.29</w:t>
            </w:r>
          </w:p>
        </w:tc>
        <w:tc>
          <w:tcPr>
            <w:tcW w:w="706" w:type="pc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425" w:type="pc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1495</w:t>
            </w:r>
          </w:p>
        </w:tc>
        <w:tc>
          <w:tcPr>
            <w:tcW w:w="566" w:type="pc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191439</w:t>
            </w:r>
          </w:p>
        </w:tc>
        <w:tc>
          <w:tcPr>
            <w:tcW w:w="706" w:type="pc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205820.5</w:t>
            </w:r>
          </w:p>
        </w:tc>
        <w:tc>
          <w:tcPr>
            <w:tcW w:w="425" w:type="pc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w:t>
            </w:r>
          </w:p>
        </w:tc>
        <w:tc>
          <w:tcPr>
            <w:tcW w:w="757" w:type="pc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205.82</w:t>
            </w:r>
          </w:p>
        </w:tc>
        <w:tc>
          <w:tcPr>
            <w:tcW w:w="706" w:type="pc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926.21</w:t>
            </w:r>
          </w:p>
        </w:tc>
        <w:tc>
          <w:tcPr>
            <w:tcW w:w="706" w:type="pc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694.66</w:t>
            </w:r>
          </w:p>
        </w:tc>
        <w:tc>
          <w:tcPr>
            <w:tcW w:w="706" w:type="pc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3.7</w:t>
            </w:r>
          </w:p>
        </w:tc>
      </w:tr>
    </w:tbl>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textAlignment w:val="auto"/>
        <w:outlineLvl w:val="1"/>
        <w:rPr>
          <w:rFonts w:hint="default" w:ascii="Times New Roman" w:hAnsi="Times New Roman" w:eastAsia="宋体" w:cs="Times New Roman"/>
          <w:b/>
          <w:bCs/>
          <w:color w:val="auto"/>
          <w:sz w:val="24"/>
          <w:szCs w:val="24"/>
          <w:highlight w:val="none"/>
          <w:lang w:val="en-US" w:eastAsia="zh-CN"/>
        </w:rPr>
      </w:pPr>
      <w:bookmarkStart w:id="432" w:name="_Toc24363"/>
      <w:bookmarkStart w:id="433" w:name="_Toc13057"/>
      <w:bookmarkStart w:id="434" w:name="_Toc126592189"/>
      <w:r>
        <w:rPr>
          <w:rFonts w:hint="default" w:ascii="Times New Roman" w:hAnsi="Times New Roman" w:eastAsia="宋体" w:cs="Times New Roman"/>
          <w:b/>
          <w:bCs/>
          <w:color w:val="auto"/>
          <w:sz w:val="24"/>
          <w:szCs w:val="24"/>
          <w:highlight w:val="none"/>
          <w:lang w:val="en-US" w:eastAsia="zh-CN"/>
        </w:rPr>
        <w:t>2.3.3.7新建排水系统</w:t>
      </w:r>
      <w:bookmarkEnd w:id="432"/>
      <w:bookmarkEnd w:id="433"/>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bookmarkStart w:id="435" w:name="_Hlk97058339"/>
      <w:r>
        <w:rPr>
          <w:rFonts w:hint="default" w:ascii="Times New Roman" w:hAnsi="Times New Roman" w:eastAsia="宋体" w:cs="Times New Roman"/>
          <w:color w:val="auto"/>
          <w:sz w:val="24"/>
          <w:szCs w:val="24"/>
          <w:highlight w:val="none"/>
        </w:rPr>
        <w:t>加高扩容时</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在库区南侧新建排水系统</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新建排水系统采用井</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管式。</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textAlignment w:val="auto"/>
        <w:outlineLvl w:val="0"/>
        <w:rPr>
          <w:rFonts w:hint="default" w:ascii="Times New Roman" w:hAnsi="Times New Roman" w:eastAsia="宋体" w:cs="Times New Roman"/>
          <w:color w:val="auto"/>
          <w:sz w:val="24"/>
          <w:szCs w:val="24"/>
          <w:highlight w:val="none"/>
          <w:lang w:eastAsia="zh-CN"/>
        </w:rPr>
      </w:pPr>
      <w:bookmarkStart w:id="436" w:name="_Toc8066"/>
      <w:bookmarkStart w:id="437" w:name="_Toc13202"/>
      <w:r>
        <w:rPr>
          <w:rFonts w:hint="default" w:ascii="Times New Roman" w:hAnsi="Times New Roman" w:eastAsia="宋体" w:cs="Times New Roman"/>
          <w:color w:val="auto"/>
          <w:sz w:val="24"/>
          <w:szCs w:val="24"/>
          <w:highlight w:val="none"/>
        </w:rPr>
        <w:t>（1）</w:t>
      </w:r>
      <w:r>
        <w:rPr>
          <w:rFonts w:hint="default" w:ascii="Times New Roman" w:hAnsi="Times New Roman" w:eastAsia="宋体" w:cs="Times New Roman"/>
          <w:color w:val="auto"/>
          <w:sz w:val="24"/>
          <w:szCs w:val="24"/>
          <w:highlight w:val="none"/>
          <w:lang w:eastAsia="zh-CN"/>
        </w:rPr>
        <w:t>溢流井</w:t>
      </w:r>
      <w:bookmarkEnd w:id="436"/>
      <w:bookmarkEnd w:id="437"/>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库区新建</w:t>
      </w:r>
      <w:r>
        <w:rPr>
          <w:rFonts w:hint="default" w:ascii="Times New Roman" w:hAnsi="Times New Roman" w:eastAsia="宋体"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rPr>
        <w:t>座</w:t>
      </w:r>
      <w:r>
        <w:rPr>
          <w:rFonts w:hint="default" w:ascii="Times New Roman" w:hAnsi="Times New Roman" w:eastAsia="宋体" w:cs="Times New Roman"/>
          <w:color w:val="auto"/>
          <w:sz w:val="24"/>
          <w:szCs w:val="24"/>
          <w:highlight w:val="none"/>
          <w:lang w:eastAsia="zh-CN"/>
        </w:rPr>
        <w:t>溢流井，溢流井</w:t>
      </w:r>
      <w:r>
        <w:rPr>
          <w:rFonts w:hint="default" w:ascii="Times New Roman" w:hAnsi="Times New Roman" w:eastAsia="宋体" w:cs="Times New Roman"/>
          <w:color w:val="auto"/>
          <w:sz w:val="24"/>
          <w:szCs w:val="24"/>
          <w:highlight w:val="none"/>
        </w:rPr>
        <w:t>采用窗口式、C30现浇钢筋混凝土结构</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1号</w:t>
      </w:r>
      <w:r>
        <w:rPr>
          <w:rFonts w:hint="default" w:ascii="Times New Roman" w:hAnsi="Times New Roman" w:eastAsia="宋体" w:cs="Times New Roman"/>
          <w:color w:val="auto"/>
          <w:sz w:val="24"/>
          <w:szCs w:val="24"/>
          <w:highlight w:val="none"/>
          <w:lang w:eastAsia="zh-CN"/>
        </w:rPr>
        <w:t>溢流井</w:t>
      </w:r>
      <w:r>
        <w:rPr>
          <w:rFonts w:hint="default" w:ascii="Times New Roman" w:hAnsi="Times New Roman" w:eastAsia="宋体" w:cs="Times New Roman"/>
          <w:color w:val="auto"/>
          <w:sz w:val="24"/>
          <w:szCs w:val="24"/>
          <w:highlight w:val="none"/>
        </w:rPr>
        <w:t>高12m</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2号及3号井高17m</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井筒内径均为2.0m</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井壁厚度均为0.20m。每层设置6个进水孔</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内径0.25m</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外径0.3m。</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eastAsia="zh-CN"/>
        </w:rPr>
        <w:t>溢流井</w:t>
      </w:r>
      <w:r>
        <w:rPr>
          <w:rFonts w:hint="default" w:ascii="Times New Roman" w:hAnsi="Times New Roman" w:eastAsia="宋体" w:cs="Times New Roman"/>
          <w:color w:val="auto"/>
          <w:sz w:val="24"/>
          <w:szCs w:val="24"/>
          <w:highlight w:val="none"/>
        </w:rPr>
        <w:t>要求采用商品混凝土。</w:t>
      </w:r>
      <w:r>
        <w:rPr>
          <w:rFonts w:hint="default" w:ascii="Times New Roman" w:hAnsi="Times New Roman" w:eastAsia="宋体" w:cs="Times New Roman"/>
          <w:color w:val="auto"/>
          <w:sz w:val="24"/>
          <w:szCs w:val="24"/>
          <w:highlight w:val="none"/>
          <w:lang w:eastAsia="zh-CN"/>
        </w:rPr>
        <w:t>溢流井</w:t>
      </w:r>
      <w:r>
        <w:rPr>
          <w:rFonts w:hint="default" w:ascii="Times New Roman" w:hAnsi="Times New Roman" w:eastAsia="宋体" w:cs="Times New Roman"/>
          <w:color w:val="auto"/>
          <w:sz w:val="24"/>
          <w:szCs w:val="24"/>
          <w:highlight w:val="none"/>
        </w:rPr>
        <w:t>基础要求坐落在中风化基岩上</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超挖部分采用C15毛石混凝土回填。</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eastAsia="zh-CN"/>
        </w:rPr>
        <w:t>溢流井</w:t>
      </w:r>
      <w:r>
        <w:rPr>
          <w:rFonts w:hint="default" w:ascii="Times New Roman" w:hAnsi="Times New Roman" w:eastAsia="宋体" w:cs="Times New Roman"/>
          <w:color w:val="auto"/>
          <w:sz w:val="24"/>
          <w:szCs w:val="24"/>
          <w:highlight w:val="none"/>
        </w:rPr>
        <w:t>进水孔均采用混凝土塞封堵</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孔塞要求质量合格</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预先试封编号</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一孔一塞。孔塞安装完毕后</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在</w:t>
      </w:r>
      <w:r>
        <w:rPr>
          <w:rFonts w:hint="default" w:ascii="Times New Roman" w:hAnsi="Times New Roman" w:eastAsia="宋体" w:cs="Times New Roman"/>
          <w:color w:val="auto"/>
          <w:sz w:val="24"/>
          <w:szCs w:val="24"/>
          <w:highlight w:val="none"/>
          <w:lang w:eastAsia="zh-CN"/>
        </w:rPr>
        <w:t>溢流井</w:t>
      </w:r>
      <w:r>
        <w:rPr>
          <w:rFonts w:hint="default" w:ascii="Times New Roman" w:hAnsi="Times New Roman" w:eastAsia="宋体" w:cs="Times New Roman"/>
          <w:color w:val="auto"/>
          <w:sz w:val="24"/>
          <w:szCs w:val="24"/>
          <w:highlight w:val="none"/>
        </w:rPr>
        <w:t>外侧采用500g/m</w:t>
      </w:r>
      <w:r>
        <w:rPr>
          <w:rFonts w:hint="default" w:ascii="Times New Roman" w:hAnsi="Times New Roman" w:eastAsia="宋体" w:cs="Times New Roman"/>
          <w:color w:val="auto"/>
          <w:sz w:val="24"/>
          <w:szCs w:val="24"/>
          <w:highlight w:val="none"/>
          <w:vertAlign w:val="superscript"/>
        </w:rPr>
        <w:t>2</w:t>
      </w:r>
      <w:r>
        <w:rPr>
          <w:rFonts w:hint="default" w:ascii="Times New Roman" w:hAnsi="Times New Roman" w:eastAsia="宋体" w:cs="Times New Roman"/>
          <w:color w:val="auto"/>
          <w:sz w:val="24"/>
          <w:szCs w:val="24"/>
          <w:highlight w:val="none"/>
        </w:rPr>
        <w:t>土工布包裹</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土工布用直径6mm钢筋固定。</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lang w:val="en-GB"/>
        </w:rPr>
      </w:pPr>
      <w:r>
        <w:rPr>
          <w:rFonts w:hint="default" w:ascii="Times New Roman" w:hAnsi="Times New Roman" w:eastAsia="宋体" w:cs="Times New Roman"/>
          <w:color w:val="auto"/>
          <w:sz w:val="24"/>
          <w:szCs w:val="24"/>
          <w:highlight w:val="none"/>
        </w:rPr>
        <w:t>在</w:t>
      </w:r>
      <w:r>
        <w:rPr>
          <w:rFonts w:hint="default" w:ascii="Times New Roman" w:hAnsi="Times New Roman" w:eastAsia="宋体" w:cs="Times New Roman"/>
          <w:color w:val="auto"/>
          <w:sz w:val="24"/>
          <w:szCs w:val="24"/>
          <w:highlight w:val="none"/>
          <w:lang w:eastAsia="zh-CN"/>
        </w:rPr>
        <w:t>溢流井</w:t>
      </w:r>
      <w:r>
        <w:rPr>
          <w:rFonts w:hint="default" w:ascii="Times New Roman" w:hAnsi="Times New Roman" w:eastAsia="宋体" w:cs="Times New Roman"/>
          <w:color w:val="auto"/>
          <w:sz w:val="24"/>
          <w:szCs w:val="24"/>
          <w:highlight w:val="none"/>
        </w:rPr>
        <w:t>周边设置浮圈</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在井顶安装避雷针</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在进水口设置拦污栅和强光照明设施</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在朝向坝顶方向的井壁上设置水位标尺及</w:t>
      </w:r>
      <w:r>
        <w:rPr>
          <w:rFonts w:hint="default" w:ascii="Times New Roman" w:hAnsi="Times New Roman" w:eastAsia="宋体" w:cs="Times New Roman"/>
          <w:color w:val="auto"/>
          <w:sz w:val="24"/>
          <w:szCs w:val="24"/>
          <w:highlight w:val="none"/>
          <w:lang w:eastAsia="zh-CN"/>
        </w:rPr>
        <w:t>溢流井</w:t>
      </w:r>
      <w:r>
        <w:rPr>
          <w:rFonts w:hint="default" w:ascii="Times New Roman" w:hAnsi="Times New Roman" w:eastAsia="宋体" w:cs="Times New Roman"/>
          <w:color w:val="auto"/>
          <w:sz w:val="24"/>
          <w:szCs w:val="24"/>
          <w:highlight w:val="none"/>
        </w:rPr>
        <w:t>标识牌</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标明井座高程、井顶高程、井高、进水高程等数据</w:t>
      </w:r>
      <w:r>
        <w:rPr>
          <w:rFonts w:hint="default" w:ascii="Times New Roman" w:hAnsi="Times New Roman" w:eastAsia="宋体" w:cs="Times New Roman"/>
          <w:color w:val="auto"/>
          <w:sz w:val="24"/>
          <w:szCs w:val="24"/>
          <w:highlight w:val="none"/>
          <w:lang w:val="en-GB"/>
        </w:rPr>
        <w:t>。</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lang w:val="en-GB"/>
        </w:rPr>
      </w:pPr>
      <w:bookmarkStart w:id="438" w:name="_Hlk138666247"/>
      <w:r>
        <w:rPr>
          <w:rFonts w:hint="default" w:ascii="Times New Roman" w:hAnsi="Times New Roman" w:eastAsia="宋体" w:cs="Times New Roman"/>
          <w:color w:val="auto"/>
          <w:sz w:val="24"/>
          <w:szCs w:val="24"/>
          <w:highlight w:val="none"/>
        </w:rPr>
        <w:t>后一座</w:t>
      </w:r>
      <w:r>
        <w:rPr>
          <w:rFonts w:hint="default" w:ascii="Times New Roman" w:hAnsi="Times New Roman" w:eastAsia="宋体" w:cs="Times New Roman"/>
          <w:color w:val="auto"/>
          <w:sz w:val="24"/>
          <w:szCs w:val="24"/>
          <w:highlight w:val="none"/>
          <w:lang w:eastAsia="zh-CN"/>
        </w:rPr>
        <w:t>溢流井</w:t>
      </w:r>
      <w:r>
        <w:rPr>
          <w:rFonts w:hint="default" w:ascii="Times New Roman" w:hAnsi="Times New Roman" w:eastAsia="宋体" w:cs="Times New Roman"/>
          <w:color w:val="auto"/>
          <w:sz w:val="24"/>
          <w:szCs w:val="24"/>
          <w:highlight w:val="none"/>
        </w:rPr>
        <w:t>投入使用后及时对前</w:t>
      </w:r>
      <w:r>
        <w:rPr>
          <w:rFonts w:hint="default" w:ascii="Times New Roman" w:hAnsi="Times New Roman" w:eastAsia="宋体" w:cs="Times New Roman"/>
          <w:color w:val="auto"/>
          <w:sz w:val="24"/>
          <w:szCs w:val="24"/>
          <w:highlight w:val="none"/>
          <w:lang w:eastAsia="zh-CN"/>
        </w:rPr>
        <w:t>一座溢流井</w:t>
      </w:r>
      <w:r>
        <w:rPr>
          <w:rFonts w:hint="default" w:ascii="Times New Roman" w:hAnsi="Times New Roman" w:eastAsia="宋体" w:cs="Times New Roman"/>
          <w:color w:val="auto"/>
          <w:sz w:val="24"/>
          <w:szCs w:val="24"/>
          <w:highlight w:val="none"/>
        </w:rPr>
        <w:t>井座封堵</w:t>
      </w:r>
      <w:r>
        <w:rPr>
          <w:rFonts w:hint="default" w:ascii="Times New Roman" w:hAnsi="Times New Roman" w:eastAsia="宋体" w:cs="Times New Roman"/>
          <w:color w:val="auto"/>
          <w:sz w:val="24"/>
          <w:szCs w:val="24"/>
          <w:highlight w:val="none"/>
          <w:lang w:val="en-GB" w:eastAsia="zh-CN"/>
        </w:rPr>
        <w:t>，</w:t>
      </w:r>
      <w:r>
        <w:rPr>
          <w:rFonts w:hint="default" w:ascii="Times New Roman" w:hAnsi="Times New Roman" w:eastAsia="宋体" w:cs="Times New Roman"/>
          <w:color w:val="auto"/>
          <w:sz w:val="24"/>
          <w:szCs w:val="24"/>
          <w:highlight w:val="none"/>
          <w:lang w:val="en-GB"/>
        </w:rPr>
        <w:t>封堵体采用C30现浇钢筋混凝土</w:t>
      </w:r>
      <w:r>
        <w:rPr>
          <w:rFonts w:hint="default" w:ascii="Times New Roman" w:hAnsi="Times New Roman" w:eastAsia="宋体" w:cs="Times New Roman"/>
          <w:color w:val="auto"/>
          <w:sz w:val="24"/>
          <w:szCs w:val="24"/>
          <w:highlight w:val="none"/>
          <w:lang w:val="en-GB" w:eastAsia="zh-CN"/>
        </w:rPr>
        <w:t>，</w:t>
      </w:r>
      <w:r>
        <w:rPr>
          <w:rFonts w:hint="default" w:ascii="Times New Roman" w:hAnsi="Times New Roman" w:eastAsia="宋体" w:cs="Times New Roman"/>
          <w:color w:val="auto"/>
          <w:sz w:val="24"/>
          <w:szCs w:val="24"/>
          <w:highlight w:val="none"/>
          <w:lang w:val="en-GB"/>
        </w:rPr>
        <w:t>直径与井座内径一致</w:t>
      </w:r>
      <w:r>
        <w:rPr>
          <w:rFonts w:hint="default" w:ascii="Times New Roman" w:hAnsi="Times New Roman" w:eastAsia="宋体" w:cs="Times New Roman"/>
          <w:color w:val="auto"/>
          <w:sz w:val="24"/>
          <w:szCs w:val="24"/>
          <w:highlight w:val="none"/>
          <w:lang w:val="en-GB" w:eastAsia="zh-CN"/>
        </w:rPr>
        <w:t>，</w:t>
      </w:r>
      <w:r>
        <w:rPr>
          <w:rFonts w:hint="default" w:ascii="Times New Roman" w:hAnsi="Times New Roman" w:eastAsia="宋体" w:cs="Times New Roman"/>
          <w:color w:val="auto"/>
          <w:sz w:val="24"/>
          <w:szCs w:val="24"/>
          <w:highlight w:val="none"/>
          <w:lang w:val="en-GB"/>
        </w:rPr>
        <w:t>厚1.0m。</w:t>
      </w:r>
    </w:p>
    <w:bookmarkEnd w:id="438"/>
    <w:p>
      <w:pPr>
        <w:keepNext w:val="0"/>
        <w:keepLines w:val="0"/>
        <w:pageBreakBefore w:val="0"/>
        <w:widowControl w:val="0"/>
        <w:kinsoku/>
        <w:wordWrap/>
        <w:overflowPunct/>
        <w:topLinePunct w:val="0"/>
        <w:autoSpaceDE/>
        <w:autoSpaceDN/>
        <w:bidi w:val="0"/>
        <w:spacing w:line="360" w:lineRule="auto"/>
        <w:ind w:left="0" w:leftChars="0" w:right="0" w:rightChars="0" w:firstLine="480" w:firstLineChars="200"/>
        <w:textAlignment w:val="auto"/>
        <w:outlineLvl w:val="0"/>
        <w:rPr>
          <w:rFonts w:hint="default" w:ascii="Times New Roman" w:hAnsi="Times New Roman" w:eastAsia="宋体" w:cs="Times New Roman"/>
          <w:color w:val="auto"/>
          <w:sz w:val="24"/>
          <w:szCs w:val="24"/>
          <w:highlight w:val="none"/>
          <w:lang w:eastAsia="zh-CN"/>
        </w:rPr>
      </w:pPr>
      <w:bookmarkStart w:id="439" w:name="_Toc12039"/>
      <w:bookmarkStart w:id="440" w:name="_Toc21939"/>
      <w:r>
        <w:rPr>
          <w:rFonts w:hint="default" w:ascii="Times New Roman" w:hAnsi="Times New Roman" w:eastAsia="宋体" w:cs="Times New Roman"/>
          <w:color w:val="auto"/>
          <w:sz w:val="24"/>
          <w:szCs w:val="24"/>
          <w:highlight w:val="none"/>
        </w:rPr>
        <w:t>（2）</w:t>
      </w:r>
      <w:r>
        <w:rPr>
          <w:rFonts w:hint="default" w:ascii="Times New Roman" w:hAnsi="Times New Roman" w:eastAsia="宋体" w:cs="Times New Roman"/>
          <w:color w:val="auto"/>
          <w:sz w:val="24"/>
          <w:szCs w:val="24"/>
          <w:highlight w:val="none"/>
          <w:lang w:eastAsia="zh-CN"/>
        </w:rPr>
        <w:t>回水管</w:t>
      </w:r>
      <w:bookmarkEnd w:id="439"/>
      <w:bookmarkEnd w:id="440"/>
    </w:p>
    <w:p>
      <w:pPr>
        <w:keepNext w:val="0"/>
        <w:keepLines w:val="0"/>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转流井、</w:t>
      </w:r>
      <w:r>
        <w:rPr>
          <w:rFonts w:hint="default" w:ascii="Times New Roman" w:hAnsi="Times New Roman" w:eastAsia="宋体" w:cs="Times New Roman"/>
          <w:color w:val="auto"/>
          <w:sz w:val="24"/>
          <w:szCs w:val="24"/>
          <w:highlight w:val="none"/>
          <w:lang w:eastAsia="zh-CN"/>
        </w:rPr>
        <w:t>溢流井</w:t>
      </w:r>
      <w:r>
        <w:rPr>
          <w:rFonts w:hint="default" w:ascii="Times New Roman" w:hAnsi="Times New Roman" w:eastAsia="宋体" w:cs="Times New Roman"/>
          <w:color w:val="auto"/>
          <w:sz w:val="24"/>
          <w:szCs w:val="24"/>
          <w:highlight w:val="none"/>
        </w:rPr>
        <w:t>、消力池之间采用现浇整体式</w:t>
      </w:r>
      <w:r>
        <w:rPr>
          <w:rFonts w:hint="default" w:ascii="Times New Roman" w:hAnsi="Times New Roman" w:eastAsia="宋体" w:cs="Times New Roman"/>
          <w:color w:val="auto"/>
          <w:sz w:val="24"/>
          <w:szCs w:val="24"/>
          <w:highlight w:val="none"/>
          <w:lang w:eastAsia="zh-CN"/>
        </w:rPr>
        <w:t>回水管</w:t>
      </w:r>
      <w:r>
        <w:rPr>
          <w:rFonts w:hint="default" w:ascii="Times New Roman" w:hAnsi="Times New Roman" w:eastAsia="宋体" w:cs="Times New Roman"/>
          <w:color w:val="auto"/>
          <w:sz w:val="24"/>
          <w:szCs w:val="24"/>
          <w:highlight w:val="none"/>
        </w:rPr>
        <w:t>连接。</w:t>
      </w:r>
      <w:r>
        <w:rPr>
          <w:rFonts w:hint="default" w:ascii="Times New Roman" w:hAnsi="Times New Roman" w:eastAsia="宋体" w:cs="Times New Roman"/>
          <w:color w:val="auto"/>
          <w:sz w:val="24"/>
          <w:szCs w:val="24"/>
          <w:highlight w:val="none"/>
          <w:lang w:eastAsia="zh-CN"/>
        </w:rPr>
        <w:t>回水管</w:t>
      </w:r>
      <w:r>
        <w:rPr>
          <w:rFonts w:hint="default" w:ascii="Times New Roman" w:hAnsi="Times New Roman" w:eastAsia="宋体" w:cs="Times New Roman"/>
          <w:color w:val="auto"/>
          <w:sz w:val="24"/>
          <w:szCs w:val="24"/>
          <w:highlight w:val="none"/>
        </w:rPr>
        <w:t>过水断面为圆形</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内径1.2m</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壁厚0.3m</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底板厚0.45m</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总长度约884m。</w:t>
      </w:r>
    </w:p>
    <w:p>
      <w:pPr>
        <w:keepNext w:val="0"/>
        <w:keepLines w:val="0"/>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eastAsia="zh-CN"/>
        </w:rPr>
        <w:t>回水管</w:t>
      </w:r>
      <w:r>
        <w:rPr>
          <w:rFonts w:hint="default" w:ascii="Times New Roman" w:hAnsi="Times New Roman" w:eastAsia="宋体" w:cs="Times New Roman"/>
          <w:color w:val="auto"/>
          <w:sz w:val="24"/>
          <w:szCs w:val="24"/>
          <w:highlight w:val="none"/>
        </w:rPr>
        <w:t>采用现浇C30水工钢筋混凝土结构</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要求采用商品混凝土。</w:t>
      </w:r>
      <w:r>
        <w:rPr>
          <w:rFonts w:hint="default" w:ascii="Times New Roman" w:hAnsi="Times New Roman" w:eastAsia="宋体" w:cs="Times New Roman"/>
          <w:color w:val="auto"/>
          <w:sz w:val="24"/>
          <w:szCs w:val="24"/>
          <w:highlight w:val="none"/>
          <w:lang w:eastAsia="zh-CN"/>
        </w:rPr>
        <w:t>回水管</w:t>
      </w:r>
      <w:r>
        <w:rPr>
          <w:rFonts w:hint="default" w:ascii="Times New Roman" w:hAnsi="Times New Roman" w:eastAsia="宋体" w:cs="Times New Roman"/>
          <w:color w:val="auto"/>
          <w:sz w:val="24"/>
          <w:szCs w:val="24"/>
          <w:highlight w:val="none"/>
        </w:rPr>
        <w:t>基础要求坐落在强风化基岩上</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超挖部分采用C15毛石混凝土回填。每8m设一道沉降缝</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缝间设置橡胶止水带</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地基变化处需加设沉降缝。</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textAlignment w:val="auto"/>
        <w:outlineLvl w:val="0"/>
        <w:rPr>
          <w:rFonts w:hint="default" w:ascii="Times New Roman" w:hAnsi="Times New Roman" w:eastAsia="宋体" w:cs="Times New Roman"/>
          <w:color w:val="auto"/>
          <w:sz w:val="24"/>
          <w:szCs w:val="24"/>
          <w:highlight w:val="none"/>
        </w:rPr>
      </w:pPr>
      <w:bookmarkStart w:id="441" w:name="_Toc12089"/>
      <w:bookmarkStart w:id="442" w:name="_Toc1307"/>
      <w:r>
        <w:rPr>
          <w:rFonts w:hint="default" w:ascii="Times New Roman" w:hAnsi="Times New Roman" w:eastAsia="宋体" w:cs="Times New Roman"/>
          <w:color w:val="auto"/>
          <w:sz w:val="24"/>
          <w:szCs w:val="24"/>
          <w:highlight w:val="none"/>
        </w:rPr>
        <w:t>（3）转流井</w:t>
      </w:r>
      <w:bookmarkEnd w:id="441"/>
      <w:bookmarkEnd w:id="442"/>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eastAsia="zh-CN"/>
        </w:rPr>
        <w:t>回水管</w:t>
      </w:r>
      <w:r>
        <w:rPr>
          <w:rFonts w:hint="default" w:ascii="Times New Roman" w:hAnsi="Times New Roman" w:eastAsia="宋体" w:cs="Times New Roman"/>
          <w:color w:val="auto"/>
          <w:sz w:val="24"/>
          <w:szCs w:val="24"/>
          <w:highlight w:val="none"/>
        </w:rPr>
        <w:t>转角大于130°位置设转流井</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共设2座</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转流井侧壁、顶板和底板厚度均为0.6m</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净高3.7m</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内径2.5m。转流井为现浇C30水工钢筋混凝土结构</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要求采用商品混凝土。转流井基础要求坐落在中风化基岩上</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超挖部分采用C15毛石混凝土回填。</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textAlignment w:val="auto"/>
        <w:outlineLvl w:val="0"/>
        <w:rPr>
          <w:rFonts w:hint="default" w:ascii="Times New Roman" w:hAnsi="Times New Roman" w:eastAsia="宋体" w:cs="Times New Roman"/>
          <w:color w:val="auto"/>
          <w:sz w:val="24"/>
          <w:szCs w:val="24"/>
          <w:highlight w:val="none"/>
        </w:rPr>
      </w:pPr>
      <w:bookmarkStart w:id="443" w:name="_Toc21047"/>
      <w:bookmarkStart w:id="444" w:name="_Toc8392"/>
      <w:r>
        <w:rPr>
          <w:rFonts w:hint="default" w:ascii="Times New Roman" w:hAnsi="Times New Roman" w:eastAsia="宋体" w:cs="Times New Roman"/>
          <w:color w:val="auto"/>
          <w:sz w:val="24"/>
          <w:szCs w:val="24"/>
          <w:highlight w:val="none"/>
        </w:rPr>
        <w:t>（4）消力池</w:t>
      </w:r>
      <w:bookmarkEnd w:id="443"/>
      <w:bookmarkEnd w:id="444"/>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消力池采用C30钢筋混凝土结构</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断面尺寸为10m×5m×3m</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侧壁和底板厚度均为300mm。</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textAlignment w:val="auto"/>
        <w:outlineLvl w:val="0"/>
        <w:rPr>
          <w:rFonts w:hint="default" w:ascii="Times New Roman" w:hAnsi="Times New Roman" w:eastAsia="宋体" w:cs="Times New Roman"/>
          <w:color w:val="auto"/>
          <w:sz w:val="24"/>
          <w:szCs w:val="24"/>
          <w:highlight w:val="none"/>
        </w:rPr>
      </w:pPr>
      <w:bookmarkStart w:id="445" w:name="_Toc17096"/>
      <w:bookmarkStart w:id="446" w:name="_Toc14948"/>
      <w:r>
        <w:rPr>
          <w:rFonts w:hint="default" w:ascii="Times New Roman" w:hAnsi="Times New Roman" w:eastAsia="宋体" w:cs="Times New Roman"/>
          <w:color w:val="auto"/>
          <w:sz w:val="24"/>
          <w:szCs w:val="24"/>
          <w:highlight w:val="none"/>
        </w:rPr>
        <w:t>（5）导流明渠</w:t>
      </w:r>
      <w:bookmarkEnd w:id="445"/>
      <w:bookmarkEnd w:id="446"/>
    </w:p>
    <w:p>
      <w:pPr>
        <w:keepNext w:val="0"/>
        <w:keepLines w:val="0"/>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消力池通过导流明渠</w:t>
      </w:r>
      <w:r>
        <w:rPr>
          <w:rFonts w:hint="default" w:ascii="Times New Roman" w:hAnsi="Times New Roman" w:eastAsia="宋体" w:cs="Times New Roman"/>
          <w:color w:val="auto"/>
          <w:sz w:val="24"/>
          <w:szCs w:val="24"/>
          <w:highlight w:val="none"/>
          <w:lang w:val="en-US" w:eastAsia="zh-CN"/>
        </w:rPr>
        <w:t>接至</w:t>
      </w:r>
      <w:r>
        <w:rPr>
          <w:rFonts w:hint="default" w:ascii="Times New Roman" w:hAnsi="Times New Roman" w:eastAsia="宋体" w:cs="Times New Roman"/>
          <w:color w:val="auto"/>
          <w:sz w:val="24"/>
          <w:szCs w:val="24"/>
          <w:highlight w:val="none"/>
        </w:rPr>
        <w:t>新建回水池，再通过新建回水泵站泵送至选矿厂现有高位水池，作为生产用水循环使用。</w:t>
      </w:r>
    </w:p>
    <w:p>
      <w:pPr>
        <w:keepNext w:val="0"/>
        <w:keepLines w:val="0"/>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导流明渠长度约280m</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明渠过水断面尺寸1.2m（宽）×1.1m（深）</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采用M7.5浆砌石结构</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侧壁和底板厚均为0.5m</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过水表面采用水泥砂浆抹平</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厚度20mm</w:t>
      </w:r>
      <w:bookmarkEnd w:id="435"/>
      <w:r>
        <w:rPr>
          <w:rFonts w:hint="default" w:ascii="Times New Roman" w:hAnsi="Times New Roman" w:eastAsia="宋体" w:cs="Times New Roman"/>
          <w:color w:val="auto"/>
          <w:sz w:val="24"/>
          <w:szCs w:val="24"/>
          <w:highlight w:val="none"/>
          <w:lang w:eastAsia="zh-CN"/>
        </w:rPr>
        <w:t>。</w:t>
      </w:r>
    </w:p>
    <w:p>
      <w:pPr>
        <w:keepNext w:val="0"/>
        <w:keepLines w:val="0"/>
        <w:pageBreakBefore w:val="0"/>
        <w:widowControl w:val="0"/>
        <w:kinsoku/>
        <w:wordWrap/>
        <w:overflowPunct/>
        <w:topLinePunct w:val="0"/>
        <w:autoSpaceDE/>
        <w:autoSpaceDN/>
        <w:bidi w:val="0"/>
        <w:spacing w:line="360" w:lineRule="auto"/>
        <w:ind w:left="0" w:leftChars="0" w:right="0" w:rightChars="0"/>
        <w:textAlignment w:val="auto"/>
        <w:outlineLvl w:val="1"/>
        <w:rPr>
          <w:rFonts w:hint="default" w:ascii="Times New Roman" w:hAnsi="Times New Roman" w:eastAsia="宋体" w:cs="Times New Roman"/>
          <w:color w:val="auto"/>
          <w:sz w:val="24"/>
          <w:szCs w:val="24"/>
          <w:highlight w:val="none"/>
          <w:lang w:val="en-US" w:eastAsia="zh-CN"/>
        </w:rPr>
      </w:pPr>
      <w:bookmarkStart w:id="447" w:name="_Toc22420"/>
      <w:bookmarkStart w:id="448" w:name="_Toc10407"/>
      <w:r>
        <w:rPr>
          <w:rFonts w:hint="default" w:ascii="Times New Roman" w:hAnsi="Times New Roman" w:eastAsia="宋体" w:cs="Times New Roman"/>
          <w:b/>
          <w:bCs/>
          <w:color w:val="auto"/>
          <w:sz w:val="24"/>
          <w:szCs w:val="24"/>
          <w:highlight w:val="none"/>
          <w:lang w:val="en-US" w:eastAsia="zh-CN"/>
        </w:rPr>
        <w:t>2.3.3.8原排水系统封堵</w:t>
      </w:r>
      <w:bookmarkEnd w:id="447"/>
      <w:bookmarkEnd w:id="448"/>
    </w:p>
    <w:p>
      <w:pPr>
        <w:keepNext w:val="0"/>
        <w:keepLines w:val="0"/>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bookmarkStart w:id="449" w:name="_Hlk132802893"/>
      <w:r>
        <w:rPr>
          <w:rFonts w:hint="default" w:ascii="Times New Roman" w:hAnsi="Times New Roman" w:eastAsia="宋体" w:cs="Times New Roman"/>
          <w:color w:val="auto"/>
          <w:sz w:val="24"/>
          <w:szCs w:val="24"/>
          <w:highlight w:val="none"/>
        </w:rPr>
        <w:t>该尾矿库加高后现状排水系统结构可靠性无法保证</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故在新排水系统建成后</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需及时将原排水系统进行封堵处理。</w:t>
      </w:r>
    </w:p>
    <w:p>
      <w:pPr>
        <w:keepNext w:val="0"/>
        <w:keepLines w:val="0"/>
        <w:pageBreakBefore w:val="0"/>
        <w:widowControl w:val="0"/>
        <w:kinsoku/>
        <w:wordWrap/>
        <w:overflowPunct/>
        <w:topLinePunct w:val="0"/>
        <w:autoSpaceDE/>
        <w:autoSpaceDN/>
        <w:bidi w:val="0"/>
        <w:spacing w:line="360" w:lineRule="auto"/>
        <w:ind w:left="0" w:leftChars="0" w:right="0" w:rightChars="0" w:firstLine="480" w:firstLineChars="200"/>
        <w:textAlignment w:val="auto"/>
        <w:outlineLvl w:val="0"/>
        <w:rPr>
          <w:rFonts w:hint="default" w:ascii="Times New Roman" w:hAnsi="Times New Roman" w:eastAsia="宋体" w:cs="Times New Roman"/>
          <w:color w:val="auto"/>
          <w:sz w:val="24"/>
          <w:szCs w:val="24"/>
          <w:highlight w:val="none"/>
        </w:rPr>
      </w:pPr>
      <w:bookmarkStart w:id="450" w:name="_Toc23333"/>
      <w:bookmarkStart w:id="451" w:name="_Toc23243"/>
      <w:r>
        <w:rPr>
          <w:rFonts w:hint="default" w:ascii="Times New Roman" w:hAnsi="Times New Roman" w:eastAsia="宋体" w:cs="Times New Roman"/>
          <w:color w:val="auto"/>
          <w:sz w:val="24"/>
          <w:szCs w:val="24"/>
          <w:highlight w:val="none"/>
        </w:rPr>
        <w:t>（1）处理</w:t>
      </w:r>
      <w:r>
        <w:rPr>
          <w:rFonts w:hint="default" w:ascii="Times New Roman" w:hAnsi="Times New Roman" w:eastAsia="宋体" w:cs="Times New Roman"/>
          <w:color w:val="auto"/>
          <w:sz w:val="24"/>
          <w:szCs w:val="24"/>
          <w:highlight w:val="none"/>
          <w:lang w:val="en-GB"/>
        </w:rPr>
        <w:t>措施</w:t>
      </w:r>
      <w:bookmarkEnd w:id="450"/>
      <w:bookmarkEnd w:id="451"/>
    </w:p>
    <w:p>
      <w:pPr>
        <w:keepNext w:val="0"/>
        <w:keepLines w:val="0"/>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原</w:t>
      </w:r>
      <w:r>
        <w:rPr>
          <w:rFonts w:hint="default" w:ascii="Times New Roman" w:hAnsi="Times New Roman" w:eastAsia="宋体" w:cs="Times New Roman"/>
          <w:color w:val="auto"/>
          <w:sz w:val="24"/>
          <w:szCs w:val="24"/>
          <w:highlight w:val="none"/>
          <w:lang w:eastAsia="zh-CN"/>
        </w:rPr>
        <w:t>回水管</w:t>
      </w:r>
      <w:r>
        <w:rPr>
          <w:rFonts w:hint="default" w:ascii="Times New Roman" w:hAnsi="Times New Roman" w:eastAsia="宋体" w:cs="Times New Roman"/>
          <w:color w:val="auto"/>
          <w:sz w:val="24"/>
          <w:szCs w:val="24"/>
          <w:highlight w:val="none"/>
        </w:rPr>
        <w:t>线与初期坝内坝脚交接位置上、下游各50m长度区段全部采用C25混凝土全断面封堵。</w:t>
      </w:r>
    </w:p>
    <w:p>
      <w:pPr>
        <w:keepNext w:val="0"/>
        <w:keepLines w:val="0"/>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为保证充填密实</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充填时采用分段充填</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C25混凝土充填段一次充填长度不大于50m。</w:t>
      </w:r>
    </w:p>
    <w:p>
      <w:pPr>
        <w:keepNext w:val="0"/>
        <w:keepLines w:val="0"/>
        <w:pageBreakBefore w:val="0"/>
        <w:widowControl w:val="0"/>
        <w:kinsoku/>
        <w:wordWrap/>
        <w:overflowPunct/>
        <w:topLinePunct w:val="0"/>
        <w:autoSpaceDE/>
        <w:autoSpaceDN/>
        <w:bidi w:val="0"/>
        <w:spacing w:line="360" w:lineRule="auto"/>
        <w:ind w:left="0" w:leftChars="0" w:right="0" w:rightChars="0" w:firstLine="480" w:firstLineChars="200"/>
        <w:textAlignment w:val="auto"/>
        <w:outlineLvl w:val="0"/>
        <w:rPr>
          <w:rFonts w:hint="default" w:ascii="Times New Roman" w:hAnsi="Times New Roman" w:eastAsia="宋体" w:cs="Times New Roman"/>
          <w:color w:val="auto"/>
          <w:sz w:val="24"/>
          <w:szCs w:val="24"/>
          <w:highlight w:val="none"/>
        </w:rPr>
      </w:pPr>
      <w:bookmarkStart w:id="452" w:name="_Toc27205"/>
      <w:bookmarkStart w:id="453" w:name="_Toc773"/>
      <w:r>
        <w:rPr>
          <w:rFonts w:hint="default" w:ascii="Times New Roman" w:hAnsi="Times New Roman" w:eastAsia="宋体" w:cs="Times New Roman"/>
          <w:color w:val="auto"/>
          <w:sz w:val="24"/>
          <w:szCs w:val="24"/>
          <w:highlight w:val="none"/>
        </w:rPr>
        <w:t>（2）施工方法和步骤</w:t>
      </w:r>
      <w:bookmarkEnd w:id="452"/>
      <w:bookmarkEnd w:id="453"/>
    </w:p>
    <w:p>
      <w:pPr>
        <w:keepNext w:val="0"/>
        <w:keepLines w:val="0"/>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1）从下游出口进入</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对拟注满填实段</w:t>
      </w:r>
      <w:r>
        <w:rPr>
          <w:rFonts w:hint="default" w:ascii="Times New Roman" w:hAnsi="Times New Roman" w:eastAsia="宋体" w:cs="Times New Roman"/>
          <w:color w:val="auto"/>
          <w:sz w:val="24"/>
          <w:szCs w:val="24"/>
          <w:highlight w:val="none"/>
          <w:lang w:eastAsia="zh-CN"/>
        </w:rPr>
        <w:t>回水管</w:t>
      </w:r>
      <w:r>
        <w:rPr>
          <w:rFonts w:hint="default" w:ascii="Times New Roman" w:hAnsi="Times New Roman" w:eastAsia="宋体" w:cs="Times New Roman"/>
          <w:color w:val="auto"/>
          <w:sz w:val="24"/>
          <w:szCs w:val="24"/>
          <w:highlight w:val="none"/>
        </w:rPr>
        <w:t>进行清淤工作</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待清淤完毕后</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在距离下游出口250m处砌筑第一道水泥</w:t>
      </w:r>
      <w:r>
        <w:rPr>
          <w:rFonts w:hint="default" w:ascii="Times New Roman" w:hAnsi="Times New Roman" w:eastAsia="宋体" w:cs="Times New Roman"/>
          <w:color w:val="auto"/>
          <w:sz w:val="24"/>
          <w:szCs w:val="24"/>
          <w:highlight w:val="none"/>
          <w:lang w:eastAsia="zh-CN"/>
        </w:rPr>
        <w:t>沙袋</w:t>
      </w:r>
      <w:r>
        <w:rPr>
          <w:rFonts w:hint="default" w:ascii="Times New Roman" w:hAnsi="Times New Roman" w:eastAsia="宋体" w:cs="Times New Roman"/>
          <w:color w:val="auto"/>
          <w:sz w:val="24"/>
          <w:szCs w:val="24"/>
          <w:highlight w:val="none"/>
        </w:rPr>
        <w:t>围堰（须插6根Φ18钢筋）</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砌筑时埋设注浆管、排气管、导流管和监测设施</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导流管和排气管均可采用内径100mm的塑料管；</w:t>
      </w:r>
    </w:p>
    <w:p>
      <w:pPr>
        <w:keepNext w:val="0"/>
        <w:keepLines w:val="0"/>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2）在距第一道围堰下游46m处砌筑第二道围堰</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砌筑时埋设导流管、排气管和注浆管</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注浆管内径150mm</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采用膨胀螺栓固定在</w:t>
      </w:r>
      <w:r>
        <w:rPr>
          <w:rFonts w:hint="default" w:ascii="Times New Roman" w:hAnsi="Times New Roman" w:eastAsia="宋体" w:cs="Times New Roman"/>
          <w:color w:val="auto"/>
          <w:sz w:val="24"/>
          <w:szCs w:val="24"/>
          <w:highlight w:val="none"/>
          <w:lang w:eastAsia="zh-CN"/>
        </w:rPr>
        <w:t>回水管</w:t>
      </w:r>
      <w:r>
        <w:rPr>
          <w:rFonts w:hint="default" w:ascii="Times New Roman" w:hAnsi="Times New Roman" w:eastAsia="宋体" w:cs="Times New Roman"/>
          <w:color w:val="auto"/>
          <w:sz w:val="24"/>
          <w:szCs w:val="24"/>
          <w:highlight w:val="none"/>
        </w:rPr>
        <w:t>顶部</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上游端头包裹500g</w:t>
      </w:r>
      <w:r>
        <w:rPr>
          <w:rFonts w:hint="default" w:ascii="Times New Roman" w:hAnsi="Times New Roman" w:eastAsia="宋体" w:cs="Times New Roman"/>
          <w:color w:val="auto"/>
          <w:sz w:val="24"/>
          <w:szCs w:val="24"/>
          <w:highlight w:val="none"/>
          <w:lang w:val="en-GB"/>
        </w:rPr>
        <w:t>/</w:t>
      </w:r>
      <w:r>
        <w:rPr>
          <w:rFonts w:hint="default" w:ascii="Times New Roman" w:hAnsi="Times New Roman" w:eastAsia="宋体" w:cs="Times New Roman"/>
          <w:color w:val="auto"/>
          <w:sz w:val="24"/>
          <w:szCs w:val="24"/>
          <w:highlight w:val="none"/>
        </w:rPr>
        <w:t>m</w:t>
      </w:r>
      <w:r>
        <w:rPr>
          <w:rFonts w:hint="default" w:ascii="Times New Roman" w:hAnsi="Times New Roman" w:eastAsia="宋体" w:cs="Times New Roman"/>
          <w:color w:val="auto"/>
          <w:sz w:val="24"/>
          <w:szCs w:val="24"/>
          <w:highlight w:val="none"/>
          <w:vertAlign w:val="superscript"/>
        </w:rPr>
        <w:t>2</w:t>
      </w:r>
      <w:r>
        <w:rPr>
          <w:rFonts w:hint="default" w:ascii="Times New Roman" w:hAnsi="Times New Roman" w:eastAsia="宋体" w:cs="Times New Roman"/>
          <w:color w:val="auto"/>
          <w:sz w:val="24"/>
          <w:szCs w:val="24"/>
          <w:highlight w:val="none"/>
        </w:rPr>
        <w:t>土工布。在第二道围堰下游附近布设可移动的监测设施；</w:t>
      </w:r>
    </w:p>
    <w:p>
      <w:pPr>
        <w:keepNext w:val="0"/>
        <w:keepLines w:val="0"/>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3）待人员撤出</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第二道围堰凝固后</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开始启动设备对充填段灌注C25混凝土</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一次注满</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施工时</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利用布设的监测设施监控充实效果</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确保注浆段都注满填实；</w:t>
      </w:r>
    </w:p>
    <w:p>
      <w:pPr>
        <w:keepNext w:val="0"/>
        <w:keepLines w:val="0"/>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4）第一段注满填实后</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人员进入</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在距第二道围堰下游48m处砌筑第三道围堰</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按上述方法灌注C25混凝土。</w:t>
      </w:r>
    </w:p>
    <w:p>
      <w:pPr>
        <w:keepNext w:val="0"/>
        <w:keepLines w:val="0"/>
        <w:pageBreakBefore w:val="0"/>
        <w:widowControl w:val="0"/>
        <w:kinsoku/>
        <w:wordWrap/>
        <w:overflowPunct/>
        <w:topLinePunct w:val="0"/>
        <w:autoSpaceDE/>
        <w:autoSpaceDN/>
        <w:bidi w:val="0"/>
        <w:spacing w:line="360" w:lineRule="auto"/>
        <w:ind w:left="0" w:leftChars="0" w:right="0" w:rightChars="0" w:firstLine="480" w:firstLineChars="200"/>
        <w:textAlignment w:val="auto"/>
        <w:outlineLvl w:val="0"/>
        <w:rPr>
          <w:rFonts w:hint="default" w:ascii="Times New Roman" w:hAnsi="Times New Roman" w:eastAsia="宋体" w:cs="Times New Roman"/>
          <w:color w:val="auto"/>
          <w:sz w:val="24"/>
          <w:szCs w:val="24"/>
          <w:highlight w:val="none"/>
        </w:rPr>
      </w:pPr>
      <w:bookmarkStart w:id="454" w:name="_Toc28185"/>
      <w:bookmarkStart w:id="455" w:name="_Toc4186"/>
      <w:r>
        <w:rPr>
          <w:rFonts w:hint="default" w:ascii="Times New Roman" w:hAnsi="Times New Roman" w:eastAsia="宋体" w:cs="Times New Roman"/>
          <w:color w:val="auto"/>
          <w:sz w:val="24"/>
          <w:szCs w:val="24"/>
          <w:highlight w:val="none"/>
        </w:rPr>
        <w:t>（3）施工安全防范措施</w:t>
      </w:r>
      <w:bookmarkEnd w:id="454"/>
      <w:bookmarkEnd w:id="455"/>
    </w:p>
    <w:p>
      <w:pPr>
        <w:keepNext w:val="0"/>
        <w:keepLines w:val="0"/>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bookmarkStart w:id="456" w:name="_Hlk98789368"/>
      <w:r>
        <w:rPr>
          <w:rFonts w:hint="default" w:ascii="Times New Roman" w:hAnsi="Times New Roman" w:eastAsia="宋体" w:cs="Times New Roman"/>
          <w:color w:val="auto"/>
          <w:sz w:val="24"/>
          <w:szCs w:val="24"/>
          <w:highlight w:val="none"/>
        </w:rPr>
        <w:t>1）对进入和参与施工的工作人员进行安全和各项操作的现场培训</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讲解操作规程</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并严格按操作规程进行作业。</w:t>
      </w:r>
    </w:p>
    <w:p>
      <w:pPr>
        <w:keepNext w:val="0"/>
        <w:keepLines w:val="0"/>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2）排水系统注满</w:t>
      </w:r>
      <w:r>
        <w:rPr>
          <w:rFonts w:hint="default" w:ascii="Times New Roman" w:hAnsi="Times New Roman" w:eastAsia="宋体" w:cs="Times New Roman"/>
          <w:color w:val="auto"/>
          <w:sz w:val="24"/>
          <w:szCs w:val="24"/>
          <w:highlight w:val="none"/>
          <w:lang w:eastAsia="zh-CN"/>
        </w:rPr>
        <w:t>填土</w:t>
      </w:r>
      <w:r>
        <w:rPr>
          <w:rFonts w:hint="default" w:ascii="Times New Roman" w:hAnsi="Times New Roman" w:eastAsia="宋体" w:cs="Times New Roman"/>
          <w:color w:val="auto"/>
          <w:sz w:val="24"/>
          <w:szCs w:val="24"/>
          <w:highlight w:val="none"/>
        </w:rPr>
        <w:t>施工前应将管内积水排空</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确保</w:t>
      </w:r>
      <w:r>
        <w:rPr>
          <w:rFonts w:hint="default" w:ascii="Times New Roman" w:hAnsi="Times New Roman" w:eastAsia="宋体" w:cs="Times New Roman"/>
          <w:color w:val="auto"/>
          <w:sz w:val="24"/>
          <w:szCs w:val="24"/>
          <w:highlight w:val="none"/>
          <w:lang w:eastAsia="zh-CN"/>
        </w:rPr>
        <w:t>回水管</w:t>
      </w:r>
      <w:r>
        <w:rPr>
          <w:rFonts w:hint="default" w:ascii="Times New Roman" w:hAnsi="Times New Roman" w:eastAsia="宋体" w:cs="Times New Roman"/>
          <w:color w:val="auto"/>
          <w:sz w:val="24"/>
          <w:szCs w:val="24"/>
          <w:highlight w:val="none"/>
        </w:rPr>
        <w:t>线具备施工条件；</w:t>
      </w:r>
    </w:p>
    <w:p>
      <w:pPr>
        <w:keepNext w:val="0"/>
        <w:keepLines w:val="0"/>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3）排水系统清淤时</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应检查现状结构完好程度。确保安全前提下人员方可进入管内进行施工操作；</w:t>
      </w:r>
    </w:p>
    <w:p>
      <w:pPr>
        <w:keepNext w:val="0"/>
        <w:keepLines w:val="0"/>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4）清淤过程中若存在淤堵物下泄等危害危及施工人员安全的情况时</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应立即停止清淤工作</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并由建设单位、施工单位、监理单位和设计单位及时共同协商解决；</w:t>
      </w:r>
    </w:p>
    <w:p>
      <w:pPr>
        <w:keepNext w:val="0"/>
        <w:keepLines w:val="0"/>
        <w:pageBreakBefore w:val="0"/>
        <w:widowControl w:val="0"/>
        <w:kinsoku/>
        <w:wordWrap/>
        <w:overflowPunct/>
        <w:topLinePunct w:val="0"/>
        <w:autoSpaceDE/>
        <w:autoSpaceDN/>
        <w:bidi w:val="0"/>
        <w:spacing w:line="360" w:lineRule="auto"/>
        <w:ind w:left="0" w:leftChars="0" w:right="0" w:rightChars="0" w:firstLine="480" w:firstLineChars="200"/>
        <w:textAlignment w:val="auto"/>
        <w:outlineLvl w:val="1"/>
        <w:rPr>
          <w:rFonts w:hint="default" w:ascii="Times New Roman" w:hAnsi="Times New Roman" w:eastAsia="宋体" w:cs="Times New Roman"/>
          <w:color w:val="auto"/>
          <w:sz w:val="24"/>
          <w:szCs w:val="24"/>
          <w:highlight w:val="none"/>
        </w:rPr>
      </w:pPr>
      <w:bookmarkStart w:id="457" w:name="_Toc236"/>
      <w:bookmarkStart w:id="458" w:name="_Toc25220"/>
      <w:r>
        <w:rPr>
          <w:rFonts w:hint="default" w:ascii="Times New Roman" w:hAnsi="Times New Roman" w:eastAsia="宋体" w:cs="Times New Roman"/>
          <w:color w:val="auto"/>
          <w:sz w:val="24"/>
          <w:szCs w:val="24"/>
          <w:highlight w:val="none"/>
        </w:rPr>
        <w:t>5）施工人员应佩戴安全帽</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手套等防护器具；</w:t>
      </w:r>
      <w:bookmarkEnd w:id="457"/>
      <w:bookmarkEnd w:id="458"/>
    </w:p>
    <w:p>
      <w:pPr>
        <w:keepNext w:val="0"/>
        <w:keepLines w:val="0"/>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6）施工人员应配备对讲机等通讯器材</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还应携带氧气包</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两人同时进入</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做好互保；</w:t>
      </w:r>
    </w:p>
    <w:p>
      <w:pPr>
        <w:keepNext w:val="0"/>
        <w:keepLines w:val="0"/>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7）为了防止发生人员的伤亡事故</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排洪系统外必须有必要的交通工具和抢救设备</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如防毒面具等。</w:t>
      </w:r>
    </w:p>
    <w:p>
      <w:pPr>
        <w:keepNext w:val="0"/>
        <w:keepLines w:val="0"/>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8）排水系统内配备24V以下的低压照明设备</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应急灯等照明设施；</w:t>
      </w:r>
    </w:p>
    <w:p>
      <w:pPr>
        <w:keepNext w:val="0"/>
        <w:keepLines w:val="0"/>
        <w:pageBreakBefore w:val="0"/>
        <w:widowControl w:val="0"/>
        <w:kinsoku/>
        <w:wordWrap/>
        <w:overflowPunct/>
        <w:topLinePunct w:val="0"/>
        <w:autoSpaceDE/>
        <w:autoSpaceDN/>
        <w:bidi w:val="0"/>
        <w:spacing w:line="360" w:lineRule="auto"/>
        <w:ind w:left="0" w:leftChars="0" w:right="0" w:rightChars="0" w:firstLine="480" w:firstLineChars="200"/>
        <w:textAlignment w:val="auto"/>
        <w:outlineLvl w:val="1"/>
        <w:rPr>
          <w:rFonts w:hint="default" w:ascii="Times New Roman" w:hAnsi="Times New Roman" w:eastAsia="宋体" w:cs="Times New Roman"/>
          <w:color w:val="auto"/>
          <w:sz w:val="24"/>
          <w:szCs w:val="24"/>
          <w:highlight w:val="none"/>
        </w:rPr>
      </w:pPr>
      <w:bookmarkStart w:id="459" w:name="_Toc384"/>
      <w:bookmarkStart w:id="460" w:name="_Toc12087"/>
      <w:r>
        <w:rPr>
          <w:rFonts w:hint="default" w:ascii="Times New Roman" w:hAnsi="Times New Roman" w:eastAsia="宋体" w:cs="Times New Roman"/>
          <w:color w:val="auto"/>
          <w:sz w:val="24"/>
          <w:szCs w:val="24"/>
          <w:highlight w:val="none"/>
        </w:rPr>
        <w:t>9）必须制定通风措施及相应的应急预案；</w:t>
      </w:r>
      <w:bookmarkEnd w:id="459"/>
      <w:bookmarkEnd w:id="460"/>
    </w:p>
    <w:p>
      <w:pPr>
        <w:keepNext w:val="0"/>
        <w:keepLines w:val="0"/>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10）在排水系统压力灌浆充填过程中</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管内施工人员必须全部撤出；</w:t>
      </w:r>
    </w:p>
    <w:p>
      <w:pPr>
        <w:keepNext w:val="0"/>
        <w:keepLines w:val="0"/>
        <w:pageBreakBefore w:val="0"/>
        <w:widowControl w:val="0"/>
        <w:kinsoku/>
        <w:wordWrap/>
        <w:overflowPunct/>
        <w:topLinePunct w:val="0"/>
        <w:autoSpaceDE/>
        <w:autoSpaceDN/>
        <w:bidi w:val="0"/>
        <w:spacing w:line="360" w:lineRule="auto"/>
        <w:ind w:left="0" w:leftChars="0" w:right="0" w:rightChars="0" w:firstLine="480" w:firstLineChars="200"/>
        <w:textAlignment w:val="auto"/>
        <w:outlineLvl w:val="1"/>
        <w:rPr>
          <w:rFonts w:hint="default" w:ascii="Times New Roman" w:hAnsi="Times New Roman" w:eastAsia="宋体" w:cs="Times New Roman"/>
          <w:color w:val="auto"/>
          <w:sz w:val="24"/>
          <w:szCs w:val="24"/>
          <w:highlight w:val="none"/>
        </w:rPr>
      </w:pPr>
      <w:bookmarkStart w:id="461" w:name="_Toc27393"/>
      <w:bookmarkStart w:id="462" w:name="_Toc6207"/>
      <w:r>
        <w:rPr>
          <w:rFonts w:hint="default" w:ascii="Times New Roman" w:hAnsi="Times New Roman" w:eastAsia="宋体" w:cs="Times New Roman"/>
          <w:color w:val="auto"/>
          <w:sz w:val="24"/>
          <w:szCs w:val="24"/>
          <w:highlight w:val="none"/>
        </w:rPr>
        <w:t>11）分段灌浆时水泥</w:t>
      </w:r>
      <w:r>
        <w:rPr>
          <w:rFonts w:hint="default" w:ascii="Times New Roman" w:hAnsi="Times New Roman" w:eastAsia="宋体" w:cs="Times New Roman"/>
          <w:color w:val="auto"/>
          <w:sz w:val="24"/>
          <w:szCs w:val="24"/>
          <w:highlight w:val="none"/>
          <w:lang w:eastAsia="zh-CN"/>
        </w:rPr>
        <w:t>沙袋</w:t>
      </w:r>
      <w:r>
        <w:rPr>
          <w:rFonts w:hint="default" w:ascii="Times New Roman" w:hAnsi="Times New Roman" w:eastAsia="宋体" w:cs="Times New Roman"/>
          <w:color w:val="auto"/>
          <w:sz w:val="24"/>
          <w:szCs w:val="24"/>
          <w:highlight w:val="none"/>
        </w:rPr>
        <w:t>围堰厚度可根据现场实际情况适当加大；</w:t>
      </w:r>
      <w:bookmarkEnd w:id="461"/>
      <w:bookmarkEnd w:id="462"/>
    </w:p>
    <w:p>
      <w:pPr>
        <w:keepNext w:val="0"/>
        <w:keepLines w:val="0"/>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12）整个施工过程中应派专人负责观察库区情况</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如出现异常</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需及时通报现场施工管理人员</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并启动相应应急预案。</w:t>
      </w:r>
    </w:p>
    <w:p>
      <w:pPr>
        <w:keepNext w:val="0"/>
        <w:keepLines w:val="0"/>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13）</w:t>
      </w:r>
      <w:r>
        <w:rPr>
          <w:rFonts w:hint="default" w:ascii="Times New Roman" w:hAnsi="Times New Roman" w:eastAsia="宋体" w:cs="Times New Roman"/>
          <w:color w:val="auto"/>
          <w:sz w:val="24"/>
          <w:szCs w:val="24"/>
          <w:highlight w:val="none"/>
          <w:lang w:eastAsia="zh-CN"/>
        </w:rPr>
        <w:t>回水管</w:t>
      </w:r>
      <w:r>
        <w:rPr>
          <w:rFonts w:hint="default" w:ascii="Times New Roman" w:hAnsi="Times New Roman" w:eastAsia="宋体" w:cs="Times New Roman"/>
          <w:color w:val="auto"/>
          <w:sz w:val="24"/>
          <w:szCs w:val="24"/>
          <w:highlight w:val="none"/>
        </w:rPr>
        <w:t>内缺氧可用鼓风机通风</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通风管应直接到达施工面进行不间断</w:t>
      </w:r>
      <w:r>
        <w:rPr>
          <w:rFonts w:hint="default" w:ascii="Times New Roman" w:hAnsi="Times New Roman" w:eastAsia="宋体" w:cs="Times New Roman"/>
          <w:color w:val="auto"/>
          <w:sz w:val="24"/>
          <w:szCs w:val="24"/>
          <w:highlight w:val="none"/>
          <w:lang w:eastAsia="zh-CN"/>
        </w:rPr>
        <w:t>地</w:t>
      </w:r>
      <w:r>
        <w:rPr>
          <w:rFonts w:hint="default" w:ascii="Times New Roman" w:hAnsi="Times New Roman" w:eastAsia="宋体" w:cs="Times New Roman"/>
          <w:color w:val="auto"/>
          <w:sz w:val="24"/>
          <w:szCs w:val="24"/>
          <w:highlight w:val="none"/>
        </w:rPr>
        <w:t>送风</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保证</w:t>
      </w:r>
      <w:r>
        <w:rPr>
          <w:rFonts w:hint="default" w:ascii="Times New Roman" w:hAnsi="Times New Roman" w:eastAsia="宋体" w:cs="Times New Roman"/>
          <w:color w:val="auto"/>
          <w:sz w:val="24"/>
          <w:szCs w:val="24"/>
          <w:highlight w:val="none"/>
          <w:lang w:eastAsia="zh-CN"/>
        </w:rPr>
        <w:t>回水管</w:t>
      </w:r>
      <w:r>
        <w:rPr>
          <w:rFonts w:hint="default" w:ascii="Times New Roman" w:hAnsi="Times New Roman" w:eastAsia="宋体" w:cs="Times New Roman"/>
          <w:color w:val="auto"/>
          <w:sz w:val="24"/>
          <w:szCs w:val="24"/>
          <w:highlight w:val="none"/>
        </w:rPr>
        <w:t>内空气的流通</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作业区应设置氧气浓度监控设备</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一旦浓度低时快速撤离</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同时应有备用的医用氧气</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便于发生缺氧事故时急救。</w:t>
      </w:r>
    </w:p>
    <w:p>
      <w:pPr>
        <w:keepNext w:val="0"/>
        <w:keepLines w:val="0"/>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14）</w:t>
      </w:r>
      <w:r>
        <w:rPr>
          <w:rFonts w:hint="default" w:ascii="Times New Roman" w:hAnsi="Times New Roman" w:eastAsia="宋体" w:cs="Times New Roman"/>
          <w:color w:val="auto"/>
          <w:sz w:val="24"/>
          <w:szCs w:val="24"/>
          <w:highlight w:val="none"/>
          <w:lang w:eastAsia="zh-CN"/>
        </w:rPr>
        <w:t>回水管</w:t>
      </w:r>
      <w:r>
        <w:rPr>
          <w:rFonts w:hint="default" w:ascii="Times New Roman" w:hAnsi="Times New Roman" w:eastAsia="宋体" w:cs="Times New Roman"/>
          <w:color w:val="auto"/>
          <w:sz w:val="24"/>
          <w:szCs w:val="24"/>
          <w:highlight w:val="none"/>
        </w:rPr>
        <w:t>内出现险情时</w:t>
      </w:r>
      <w:r>
        <w:rPr>
          <w:rFonts w:hint="default" w:ascii="Times New Roman" w:hAnsi="Times New Roman" w:eastAsia="宋体" w:cs="Times New Roman"/>
          <w:color w:val="auto"/>
          <w:sz w:val="24"/>
          <w:szCs w:val="24"/>
          <w:highlight w:val="none"/>
          <w:lang w:eastAsia="zh-CN"/>
        </w:rPr>
        <w:t>，回水管</w:t>
      </w:r>
      <w:r>
        <w:rPr>
          <w:rFonts w:hint="default" w:ascii="Times New Roman" w:hAnsi="Times New Roman" w:eastAsia="宋体" w:cs="Times New Roman"/>
          <w:color w:val="auto"/>
          <w:sz w:val="24"/>
          <w:szCs w:val="24"/>
          <w:highlight w:val="none"/>
        </w:rPr>
        <w:t>内的人员使用报警器向管外报警</w:t>
      </w:r>
      <w:r>
        <w:rPr>
          <w:rFonts w:hint="default" w:ascii="Times New Roman" w:hAnsi="Times New Roman" w:eastAsia="宋体" w:cs="Times New Roman"/>
          <w:color w:val="auto"/>
          <w:sz w:val="24"/>
          <w:szCs w:val="24"/>
          <w:highlight w:val="none"/>
          <w:lang w:eastAsia="zh-CN"/>
        </w:rPr>
        <w:t>，回水管</w:t>
      </w:r>
      <w:r>
        <w:rPr>
          <w:rFonts w:hint="default" w:ascii="Times New Roman" w:hAnsi="Times New Roman" w:eastAsia="宋体" w:cs="Times New Roman"/>
          <w:color w:val="auto"/>
          <w:sz w:val="24"/>
          <w:szCs w:val="24"/>
          <w:highlight w:val="none"/>
        </w:rPr>
        <w:t>外的人接到报警后马上实施抢救。</w:t>
      </w:r>
      <w:r>
        <w:rPr>
          <w:rFonts w:hint="default" w:ascii="Times New Roman" w:hAnsi="Times New Roman" w:eastAsia="宋体" w:cs="Times New Roman"/>
          <w:color w:val="auto"/>
          <w:sz w:val="24"/>
          <w:szCs w:val="24"/>
          <w:highlight w:val="none"/>
          <w:lang w:eastAsia="zh-CN"/>
        </w:rPr>
        <w:t>回水管</w:t>
      </w:r>
      <w:r>
        <w:rPr>
          <w:rFonts w:hint="default" w:ascii="Times New Roman" w:hAnsi="Times New Roman" w:eastAsia="宋体" w:cs="Times New Roman"/>
          <w:color w:val="auto"/>
          <w:sz w:val="24"/>
          <w:szCs w:val="24"/>
          <w:highlight w:val="none"/>
        </w:rPr>
        <w:t>外发生险情时</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使用信号灯向</w:t>
      </w:r>
      <w:r>
        <w:rPr>
          <w:rFonts w:hint="default" w:ascii="Times New Roman" w:hAnsi="Times New Roman" w:eastAsia="宋体" w:cs="Times New Roman"/>
          <w:color w:val="auto"/>
          <w:sz w:val="24"/>
          <w:szCs w:val="24"/>
          <w:highlight w:val="none"/>
          <w:lang w:eastAsia="zh-CN"/>
        </w:rPr>
        <w:t>回水管</w:t>
      </w:r>
      <w:r>
        <w:rPr>
          <w:rFonts w:hint="default" w:ascii="Times New Roman" w:hAnsi="Times New Roman" w:eastAsia="宋体" w:cs="Times New Roman"/>
          <w:color w:val="auto"/>
          <w:sz w:val="24"/>
          <w:szCs w:val="24"/>
          <w:highlight w:val="none"/>
        </w:rPr>
        <w:t>内报警</w:t>
      </w:r>
      <w:r>
        <w:rPr>
          <w:rFonts w:hint="default" w:ascii="Times New Roman" w:hAnsi="Times New Roman" w:eastAsia="宋体" w:cs="Times New Roman"/>
          <w:color w:val="auto"/>
          <w:sz w:val="24"/>
          <w:szCs w:val="24"/>
          <w:highlight w:val="none"/>
          <w:lang w:eastAsia="zh-CN"/>
        </w:rPr>
        <w:t>，回水管</w:t>
      </w:r>
      <w:r>
        <w:rPr>
          <w:rFonts w:hint="default" w:ascii="Times New Roman" w:hAnsi="Times New Roman" w:eastAsia="宋体" w:cs="Times New Roman"/>
          <w:color w:val="auto"/>
          <w:sz w:val="24"/>
          <w:szCs w:val="24"/>
          <w:highlight w:val="none"/>
        </w:rPr>
        <w:t>内的人员接到报警后迅速撤离</w:t>
      </w:r>
      <w:bookmarkEnd w:id="449"/>
      <w:bookmarkEnd w:id="456"/>
      <w:r>
        <w:rPr>
          <w:rFonts w:hint="default" w:ascii="Times New Roman" w:hAnsi="Times New Roman" w:eastAsia="宋体" w:cs="Times New Roman"/>
          <w:color w:val="auto"/>
          <w:sz w:val="24"/>
          <w:szCs w:val="24"/>
          <w:highlight w:val="none"/>
        </w:rPr>
        <w:t>。</w:t>
      </w:r>
    </w:p>
    <w:p>
      <w:pPr>
        <w:keepNext w:val="0"/>
        <w:keepLines w:val="0"/>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原排水系统4号</w:t>
      </w:r>
      <w:r>
        <w:rPr>
          <w:rFonts w:hint="default" w:ascii="Times New Roman" w:hAnsi="Times New Roman" w:eastAsia="宋体" w:cs="Times New Roman"/>
          <w:color w:val="auto"/>
          <w:sz w:val="24"/>
          <w:szCs w:val="24"/>
          <w:highlight w:val="none"/>
          <w:lang w:eastAsia="zh-CN"/>
        </w:rPr>
        <w:t>溢流井</w:t>
      </w:r>
      <w:r>
        <w:rPr>
          <w:rFonts w:hint="default" w:ascii="Times New Roman" w:hAnsi="Times New Roman" w:eastAsia="宋体" w:cs="Times New Roman"/>
          <w:color w:val="auto"/>
          <w:sz w:val="24"/>
          <w:szCs w:val="24"/>
          <w:highlight w:val="none"/>
        </w:rPr>
        <w:t>顶标高为1456m</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库水位运行至标高1455m前应完成新建排水系统建设</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新建排水系统投入使用后及时对原排水系统进行封堵</w:t>
      </w:r>
      <w:r>
        <w:rPr>
          <w:rFonts w:hint="default" w:ascii="Times New Roman" w:hAnsi="Times New Roman" w:eastAsia="宋体" w:cs="Times New Roman"/>
          <w:color w:val="auto"/>
          <w:sz w:val="24"/>
          <w:szCs w:val="24"/>
          <w:highlight w:val="none"/>
          <w:lang w:eastAsia="zh-CN"/>
        </w:rPr>
        <w:t>。</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textAlignment w:val="auto"/>
        <w:outlineLvl w:val="2"/>
        <w:rPr>
          <w:rFonts w:hint="default" w:ascii="Times New Roman" w:hAnsi="Times New Roman" w:eastAsia="宋体" w:cs="Times New Roman"/>
          <w:color w:val="auto"/>
          <w:sz w:val="24"/>
          <w:szCs w:val="24"/>
          <w:highlight w:val="none"/>
          <w:lang w:val="en-US" w:eastAsia="zh-CN"/>
        </w:rPr>
      </w:pPr>
      <w:bookmarkStart w:id="463" w:name="_Toc20373"/>
      <w:bookmarkStart w:id="464" w:name="_Toc32668"/>
      <w:r>
        <w:rPr>
          <w:rFonts w:hint="default" w:ascii="Times New Roman" w:hAnsi="Times New Roman" w:eastAsia="宋体" w:cs="Times New Roman"/>
          <w:b/>
          <w:bCs/>
          <w:color w:val="auto"/>
          <w:sz w:val="24"/>
          <w:szCs w:val="24"/>
          <w:highlight w:val="none"/>
          <w:lang w:val="en-US" w:eastAsia="zh-CN"/>
        </w:rPr>
        <w:t>2.3.3.9尾矿回水系统设计</w:t>
      </w:r>
      <w:bookmarkEnd w:id="463"/>
      <w:bookmarkEnd w:id="464"/>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outlineLvl w:val="0"/>
        <w:rPr>
          <w:rFonts w:hint="default" w:ascii="Times New Roman" w:hAnsi="Times New Roman" w:eastAsia="宋体" w:cs="Times New Roman"/>
          <w:color w:val="auto"/>
          <w:sz w:val="24"/>
          <w:szCs w:val="24"/>
          <w:highlight w:val="none"/>
        </w:rPr>
      </w:pPr>
      <w:bookmarkStart w:id="465" w:name="_Toc22069"/>
      <w:bookmarkStart w:id="466" w:name="_Toc29352"/>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尾矿库回水量</w:t>
      </w:r>
      <w:bookmarkEnd w:id="465"/>
      <w:bookmarkEnd w:id="466"/>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bookmarkStart w:id="467" w:name="_Hlk80350720"/>
      <w:r>
        <w:rPr>
          <w:rFonts w:hint="default" w:ascii="Times New Roman" w:hAnsi="Times New Roman" w:eastAsia="宋体" w:cs="Times New Roman"/>
          <w:color w:val="auto"/>
          <w:sz w:val="24"/>
          <w:szCs w:val="24"/>
          <w:highlight w:val="none"/>
        </w:rPr>
        <w:t>尾矿库入库干尾矿量为</w:t>
      </w:r>
      <w:r>
        <w:rPr>
          <w:rFonts w:hint="default" w:ascii="Times New Roman" w:hAnsi="Times New Roman" w:eastAsia="宋体" w:cs="Times New Roman"/>
          <w:bCs/>
          <w:color w:val="auto"/>
          <w:sz w:val="24"/>
          <w:szCs w:val="24"/>
          <w:highlight w:val="none"/>
          <w:lang w:eastAsia="zh-CN"/>
        </w:rPr>
        <w:t>299.46</w:t>
      </w:r>
      <w:r>
        <w:rPr>
          <w:rFonts w:hint="default" w:ascii="Times New Roman" w:hAnsi="Times New Roman" w:eastAsia="宋体" w:cs="Times New Roman"/>
          <w:bCs/>
          <w:color w:val="auto"/>
          <w:sz w:val="24"/>
          <w:szCs w:val="24"/>
          <w:highlight w:val="none"/>
        </w:rPr>
        <w:t>万t/a</w:t>
      </w:r>
      <w:r>
        <w:rPr>
          <w:rFonts w:hint="default" w:ascii="Times New Roman" w:hAnsi="Times New Roman" w:eastAsia="宋体"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rPr>
        <w:t>尾矿排放</w:t>
      </w:r>
      <w:r>
        <w:rPr>
          <w:rFonts w:hint="default" w:ascii="Times New Roman" w:hAnsi="Times New Roman" w:eastAsia="宋体" w:cs="Times New Roman"/>
          <w:color w:val="auto"/>
          <w:sz w:val="24"/>
          <w:szCs w:val="24"/>
          <w:highlight w:val="none"/>
        </w:rPr>
        <w:t>浓度</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40%</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尾矿库回水率按80%考虑</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尾矿库回水量为499m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/h</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设计回水量考虑1.1波动系数</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尾矿库设计回水量549m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/h。</w:t>
      </w:r>
    </w:p>
    <w:bookmarkEnd w:id="467"/>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outlineLvl w:val="0"/>
        <w:rPr>
          <w:rFonts w:hint="default" w:ascii="Times New Roman" w:hAnsi="Times New Roman" w:eastAsia="宋体" w:cs="Times New Roman"/>
          <w:color w:val="auto"/>
          <w:sz w:val="24"/>
          <w:szCs w:val="24"/>
          <w:highlight w:val="none"/>
        </w:rPr>
      </w:pPr>
      <w:bookmarkStart w:id="468" w:name="_Toc23119"/>
      <w:bookmarkStart w:id="469" w:name="_Toc29663"/>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尾矿回水系统设施</w:t>
      </w:r>
      <w:bookmarkEnd w:id="468"/>
      <w:bookmarkEnd w:id="469"/>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lang w:val="en-GB"/>
        </w:rPr>
      </w:pPr>
      <w:r>
        <w:rPr>
          <w:rFonts w:hint="default" w:ascii="Times New Roman" w:hAnsi="Times New Roman" w:eastAsia="宋体" w:cs="Times New Roman"/>
          <w:color w:val="auto"/>
          <w:sz w:val="24"/>
          <w:szCs w:val="24"/>
          <w:highlight w:val="none"/>
        </w:rPr>
        <w:t>根据可研设计阶段方案比较结果</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尾矿库</w:t>
      </w:r>
      <w:r>
        <w:rPr>
          <w:rFonts w:hint="default" w:ascii="Times New Roman" w:hAnsi="Times New Roman" w:eastAsia="宋体" w:cs="Times New Roman"/>
          <w:color w:val="auto"/>
          <w:sz w:val="24"/>
          <w:szCs w:val="24"/>
          <w:highlight w:val="none"/>
          <w:lang w:val="en-GB"/>
        </w:rPr>
        <w:t>回水系统采用新建泵站泵送回水。尾矿坝南侧坝肩标高14</w:t>
      </w:r>
      <w:r>
        <w:rPr>
          <w:rFonts w:hint="default" w:ascii="Times New Roman" w:hAnsi="Times New Roman" w:eastAsia="宋体" w:cs="Times New Roman"/>
          <w:color w:val="auto"/>
          <w:sz w:val="24"/>
          <w:szCs w:val="24"/>
          <w:highlight w:val="none"/>
        </w:rPr>
        <w:t>45</w:t>
      </w:r>
      <w:r>
        <w:rPr>
          <w:rFonts w:hint="default" w:ascii="Times New Roman" w:hAnsi="Times New Roman" w:eastAsia="宋体" w:cs="Times New Roman"/>
          <w:color w:val="auto"/>
          <w:sz w:val="24"/>
          <w:szCs w:val="24"/>
          <w:highlight w:val="none"/>
          <w:lang w:val="en-GB"/>
        </w:rPr>
        <w:t>m平台新建回水池及回水泵站</w:t>
      </w:r>
      <w:r>
        <w:rPr>
          <w:rFonts w:hint="default" w:ascii="Times New Roman" w:hAnsi="Times New Roman" w:eastAsia="宋体" w:cs="Times New Roman"/>
          <w:color w:val="auto"/>
          <w:sz w:val="24"/>
          <w:szCs w:val="24"/>
          <w:highlight w:val="none"/>
          <w:lang w:val="en-GB" w:eastAsia="zh-CN"/>
        </w:rPr>
        <w:t>，</w:t>
      </w:r>
      <w:r>
        <w:rPr>
          <w:rFonts w:hint="default" w:ascii="Times New Roman" w:hAnsi="Times New Roman" w:eastAsia="宋体" w:cs="Times New Roman"/>
          <w:color w:val="auto"/>
          <w:sz w:val="24"/>
          <w:szCs w:val="24"/>
          <w:highlight w:val="none"/>
          <w:lang w:val="en-GB"/>
        </w:rPr>
        <w:t>尾矿</w:t>
      </w:r>
      <w:r>
        <w:rPr>
          <w:rFonts w:hint="default" w:ascii="Times New Roman" w:hAnsi="Times New Roman" w:eastAsia="宋体" w:cs="Times New Roman"/>
          <w:color w:val="auto"/>
          <w:sz w:val="24"/>
          <w:szCs w:val="24"/>
          <w:highlight w:val="none"/>
        </w:rPr>
        <w:t>回</w:t>
      </w:r>
      <w:r>
        <w:rPr>
          <w:rFonts w:hint="default" w:ascii="Times New Roman" w:hAnsi="Times New Roman" w:eastAsia="宋体" w:cs="Times New Roman"/>
          <w:color w:val="auto"/>
          <w:sz w:val="24"/>
          <w:szCs w:val="24"/>
          <w:highlight w:val="none"/>
          <w:lang w:val="en-GB"/>
        </w:rPr>
        <w:t>水</w:t>
      </w:r>
      <w:r>
        <w:rPr>
          <w:rFonts w:hint="default" w:ascii="Times New Roman" w:hAnsi="Times New Roman" w:eastAsia="宋体" w:cs="Times New Roman"/>
          <w:color w:val="auto"/>
          <w:sz w:val="24"/>
          <w:szCs w:val="24"/>
          <w:highlight w:val="none"/>
        </w:rPr>
        <w:t>先</w:t>
      </w:r>
      <w:r>
        <w:rPr>
          <w:rFonts w:hint="default" w:ascii="Times New Roman" w:hAnsi="Times New Roman" w:eastAsia="宋体" w:cs="Times New Roman"/>
          <w:color w:val="auto"/>
          <w:sz w:val="24"/>
          <w:szCs w:val="24"/>
          <w:highlight w:val="none"/>
          <w:lang w:val="en-GB"/>
        </w:rPr>
        <w:t>自流至新建回水池</w:t>
      </w:r>
      <w:r>
        <w:rPr>
          <w:rFonts w:hint="default" w:ascii="Times New Roman" w:hAnsi="Times New Roman" w:eastAsia="宋体" w:cs="Times New Roman"/>
          <w:color w:val="auto"/>
          <w:sz w:val="24"/>
          <w:szCs w:val="24"/>
          <w:highlight w:val="none"/>
          <w:lang w:val="en-GB" w:eastAsia="zh-CN"/>
        </w:rPr>
        <w:t>，</w:t>
      </w:r>
      <w:r>
        <w:rPr>
          <w:rFonts w:hint="default" w:ascii="Times New Roman" w:hAnsi="Times New Roman" w:eastAsia="宋体" w:cs="Times New Roman"/>
          <w:color w:val="auto"/>
          <w:sz w:val="24"/>
          <w:szCs w:val="24"/>
          <w:highlight w:val="none"/>
        </w:rPr>
        <w:t>再</w:t>
      </w:r>
      <w:r>
        <w:rPr>
          <w:rFonts w:hint="default" w:ascii="Times New Roman" w:hAnsi="Times New Roman" w:eastAsia="宋体" w:cs="Times New Roman"/>
          <w:color w:val="auto"/>
          <w:sz w:val="24"/>
          <w:szCs w:val="24"/>
          <w:highlight w:val="none"/>
          <w:lang w:val="en-GB"/>
        </w:rPr>
        <w:t>通过新建回水泵站泵送至选矿厂</w:t>
      </w:r>
      <w:r>
        <w:rPr>
          <w:rFonts w:hint="default" w:ascii="Times New Roman" w:hAnsi="Times New Roman" w:eastAsia="宋体" w:cs="Times New Roman"/>
          <w:color w:val="auto"/>
          <w:sz w:val="24"/>
          <w:szCs w:val="24"/>
          <w:highlight w:val="none"/>
        </w:rPr>
        <w:t>现有</w:t>
      </w:r>
      <w:r>
        <w:rPr>
          <w:rFonts w:hint="default" w:ascii="Times New Roman" w:hAnsi="Times New Roman" w:eastAsia="宋体" w:cs="Times New Roman"/>
          <w:color w:val="auto"/>
          <w:sz w:val="24"/>
          <w:szCs w:val="24"/>
          <w:highlight w:val="none"/>
          <w:lang w:val="en-GB"/>
        </w:rPr>
        <w:t>高位水池。</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outlineLvl w:val="1"/>
        <w:rPr>
          <w:rFonts w:hint="default" w:ascii="Times New Roman" w:hAnsi="Times New Roman" w:eastAsia="宋体" w:cs="Times New Roman"/>
          <w:color w:val="auto"/>
          <w:sz w:val="24"/>
          <w:szCs w:val="24"/>
          <w:highlight w:val="none"/>
        </w:rPr>
      </w:pPr>
      <w:bookmarkStart w:id="470" w:name="_Toc6504"/>
      <w:bookmarkStart w:id="471" w:name="_Toc27748"/>
      <w:r>
        <w:rPr>
          <w:rFonts w:hint="default" w:ascii="Times New Roman" w:hAnsi="Times New Roman" w:eastAsia="宋体" w:cs="Times New Roman"/>
          <w:color w:val="auto"/>
          <w:sz w:val="24"/>
          <w:szCs w:val="24"/>
          <w:highlight w:val="none"/>
        </w:rPr>
        <w:t>1）尾矿回水泵站</w:t>
      </w:r>
      <w:bookmarkEnd w:id="470"/>
      <w:bookmarkEnd w:id="471"/>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color w:val="auto"/>
          <w:sz w:val="24"/>
          <w:szCs w:val="24"/>
          <w:highlight w:val="none"/>
        </w:rPr>
        <w:t>新建1座半地下式尾矿库回水泵站</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平面尺寸</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15m×13.5m</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地上部分高5m；地下部分深4m。配套1座1000m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尾矿回水池</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储存2h尾矿回水量。泵站内设1组尾矿回水泵</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将尾矿回水输送至选厂高位水池。泵站主要设备见下表</w:t>
      </w:r>
      <w:r>
        <w:rPr>
          <w:rFonts w:hint="default"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14</w:t>
      </w:r>
      <w:r>
        <w:rPr>
          <w:rFonts w:hint="default" w:ascii="Times New Roman" w:hAnsi="Times New Roman" w:eastAsia="宋体" w:cs="Times New Roman"/>
          <w:color w:val="auto"/>
          <w:sz w:val="24"/>
          <w:szCs w:val="24"/>
          <w:highlight w:val="none"/>
        </w:rPr>
        <w:t>。</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2" w:firstLineChars="20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b/>
          <w:bCs/>
          <w:color w:val="auto"/>
          <w:sz w:val="24"/>
          <w:szCs w:val="24"/>
          <w:highlight w:val="none"/>
        </w:rPr>
        <w:t>表</w:t>
      </w:r>
      <w:r>
        <w:rPr>
          <w:rFonts w:hint="default" w:ascii="Times New Roman" w:hAnsi="Times New Roman" w:eastAsia="宋体" w:cs="Times New Roman"/>
          <w:b/>
          <w:bCs/>
          <w:color w:val="auto"/>
          <w:sz w:val="24"/>
          <w:szCs w:val="24"/>
          <w:highlight w:val="none"/>
          <w:lang w:val="en-US" w:eastAsia="zh-CN"/>
        </w:rPr>
        <w:t>2</w:t>
      </w:r>
      <w:r>
        <w:rPr>
          <w:rFonts w:hint="default" w:ascii="Times New Roman" w:hAnsi="Times New Roman" w:eastAsia="宋体" w:cs="Times New Roman"/>
          <w:b/>
          <w:bCs/>
          <w:color w:val="auto"/>
          <w:sz w:val="24"/>
          <w:szCs w:val="24"/>
          <w:highlight w:val="none"/>
        </w:rPr>
        <w:t>-</w:t>
      </w:r>
      <w:r>
        <w:rPr>
          <w:rFonts w:hint="default" w:ascii="Times New Roman" w:hAnsi="Times New Roman" w:eastAsia="宋体" w:cs="Times New Roman"/>
          <w:b/>
          <w:bCs/>
          <w:color w:val="auto"/>
          <w:sz w:val="24"/>
          <w:szCs w:val="24"/>
          <w:highlight w:val="none"/>
          <w:lang w:val="en-US" w:eastAsia="zh-CN"/>
        </w:rPr>
        <w:t>14</w:t>
      </w:r>
      <w:r>
        <w:rPr>
          <w:rFonts w:hint="default" w:ascii="Times New Roman" w:hAnsi="Times New Roman" w:eastAsia="宋体" w:cs="Times New Roman"/>
          <w:b/>
          <w:bCs/>
          <w:color w:val="auto"/>
          <w:sz w:val="24"/>
          <w:szCs w:val="24"/>
          <w:highlight w:val="none"/>
        </w:rPr>
        <w:t>尾矿回水泵站主要设备表</w:t>
      </w:r>
    </w:p>
    <w:tbl>
      <w:tblPr>
        <w:tblStyle w:val="54"/>
        <w:tblW w:w="833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12"/>
        <w:gridCol w:w="1885"/>
        <w:gridCol w:w="2717"/>
        <w:gridCol w:w="636"/>
        <w:gridCol w:w="636"/>
        <w:gridCol w:w="19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12" w:type="dxa"/>
            <w:tcBorders>
              <w:top w:val="single" w:color="auto" w:sz="4" w:space="0"/>
              <w:left w:val="single" w:color="auto" w:sz="4" w:space="0"/>
              <w:bottom w:val="single" w:color="auto" w:sz="4" w:space="0"/>
              <w:right w:val="single" w:color="auto" w:sz="4" w:space="0"/>
            </w:tcBorders>
            <w:noWrap w:val="0"/>
            <w:vAlign w:val="bottom"/>
          </w:tcPr>
          <w:p>
            <w:pPr>
              <w:pageBreakBefore w:val="0"/>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序号</w:t>
            </w:r>
          </w:p>
        </w:tc>
        <w:tc>
          <w:tcPr>
            <w:tcW w:w="1885" w:type="dxa"/>
            <w:tcBorders>
              <w:top w:val="single" w:color="auto" w:sz="4" w:space="0"/>
              <w:left w:val="single" w:color="auto" w:sz="4" w:space="0"/>
              <w:bottom w:val="single" w:color="auto" w:sz="4" w:space="0"/>
              <w:right w:val="single" w:color="auto" w:sz="4" w:space="0"/>
            </w:tcBorders>
            <w:noWrap w:val="0"/>
            <w:vAlign w:val="bottom"/>
          </w:tcPr>
          <w:p>
            <w:pPr>
              <w:pageBreakBefore w:val="0"/>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名称</w:t>
            </w:r>
          </w:p>
        </w:tc>
        <w:tc>
          <w:tcPr>
            <w:tcW w:w="2717"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型号及规格</w:t>
            </w:r>
          </w:p>
        </w:tc>
        <w:tc>
          <w:tcPr>
            <w:tcW w:w="636" w:type="dxa"/>
            <w:tcBorders>
              <w:top w:val="single" w:color="auto" w:sz="4" w:space="0"/>
              <w:left w:val="single" w:color="auto" w:sz="4" w:space="0"/>
              <w:bottom w:val="single" w:color="auto" w:sz="4" w:space="0"/>
              <w:right w:val="single" w:color="auto" w:sz="4" w:space="0"/>
            </w:tcBorders>
            <w:noWrap w:val="0"/>
            <w:vAlign w:val="bottom"/>
          </w:tcPr>
          <w:p>
            <w:pPr>
              <w:pageBreakBefore w:val="0"/>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单位</w:t>
            </w:r>
          </w:p>
        </w:tc>
        <w:tc>
          <w:tcPr>
            <w:tcW w:w="636" w:type="dxa"/>
            <w:tcBorders>
              <w:top w:val="single" w:color="auto" w:sz="4" w:space="0"/>
              <w:left w:val="single" w:color="auto" w:sz="4" w:space="0"/>
              <w:bottom w:val="single" w:color="auto" w:sz="4" w:space="0"/>
              <w:right w:val="single" w:color="auto" w:sz="4" w:space="0"/>
            </w:tcBorders>
            <w:noWrap w:val="0"/>
            <w:vAlign w:val="bottom"/>
          </w:tcPr>
          <w:p>
            <w:pPr>
              <w:pageBreakBefore w:val="0"/>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数量</w:t>
            </w:r>
          </w:p>
        </w:tc>
        <w:tc>
          <w:tcPr>
            <w:tcW w:w="1950" w:type="dxa"/>
            <w:tcBorders>
              <w:top w:val="single" w:color="auto" w:sz="4" w:space="0"/>
              <w:left w:val="single" w:color="auto" w:sz="4" w:space="0"/>
              <w:bottom w:val="single" w:color="auto" w:sz="4" w:space="0"/>
              <w:right w:val="single" w:color="auto" w:sz="4" w:space="0"/>
            </w:tcBorders>
            <w:noWrap w:val="0"/>
            <w:vAlign w:val="bottom"/>
          </w:tcPr>
          <w:p>
            <w:pPr>
              <w:pageBreakBefore w:val="0"/>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12"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1885"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kern w:val="0"/>
                <w:highlight w:val="none"/>
              </w:rPr>
              <w:t>尾矿回水泵</w:t>
            </w:r>
          </w:p>
        </w:tc>
        <w:tc>
          <w:tcPr>
            <w:tcW w:w="2717"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型号</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DFSS300-13N/4A</w:t>
            </w:r>
          </w:p>
          <w:p>
            <w:pPr>
              <w:pageBreakBefore w:val="0"/>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Q=550m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/h</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H=32m</w:t>
            </w:r>
          </w:p>
          <w:p>
            <w:pPr>
              <w:pageBreakBefore w:val="0"/>
              <w:wordWrap/>
              <w:bidi w:val="0"/>
              <w:spacing w:line="240" w:lineRule="auto"/>
              <w:ind w:left="0" w:leftChars="0" w:right="0" w:right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N=75kW</w:t>
            </w:r>
          </w:p>
        </w:tc>
        <w:tc>
          <w:tcPr>
            <w:tcW w:w="636"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台</w:t>
            </w:r>
          </w:p>
        </w:tc>
        <w:tc>
          <w:tcPr>
            <w:tcW w:w="636"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w:t>
            </w:r>
          </w:p>
        </w:tc>
        <w:tc>
          <w:tcPr>
            <w:tcW w:w="1950"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1用1备</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变频电机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12"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w:t>
            </w:r>
          </w:p>
        </w:tc>
        <w:tc>
          <w:tcPr>
            <w:tcW w:w="1885"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highlight w:val="none"/>
              </w:rPr>
              <w:t>潜污泵</w:t>
            </w:r>
          </w:p>
        </w:tc>
        <w:tc>
          <w:tcPr>
            <w:tcW w:w="2717"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50WQ11101</w:t>
            </w:r>
          </w:p>
          <w:p>
            <w:pPr>
              <w:pageBreakBefore w:val="0"/>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Q=18m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/h</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H=15m</w:t>
            </w:r>
          </w:p>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highlight w:val="none"/>
              </w:rPr>
              <w:t>N=1.5kW</w:t>
            </w:r>
          </w:p>
        </w:tc>
        <w:tc>
          <w:tcPr>
            <w:tcW w:w="636"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highlight w:val="none"/>
              </w:rPr>
              <w:t>台</w:t>
            </w:r>
          </w:p>
        </w:tc>
        <w:tc>
          <w:tcPr>
            <w:tcW w:w="636"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highlight w:val="none"/>
              </w:rPr>
              <w:t>2</w:t>
            </w:r>
          </w:p>
        </w:tc>
        <w:tc>
          <w:tcPr>
            <w:tcW w:w="1950"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1用1备</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配控制箱</w:t>
            </w:r>
          </w:p>
          <w:p>
            <w:pPr>
              <w:pageBreakBefore w:val="0"/>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及液位计。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12"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w:t>
            </w:r>
          </w:p>
        </w:tc>
        <w:tc>
          <w:tcPr>
            <w:tcW w:w="1885"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电动单梁起重机</w:t>
            </w:r>
          </w:p>
        </w:tc>
        <w:tc>
          <w:tcPr>
            <w:tcW w:w="2717"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LDA-3</w:t>
            </w:r>
          </w:p>
          <w:p>
            <w:pPr>
              <w:pageBreakBefore w:val="0"/>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起重量3t</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起升高度12mN=5.7kW</w:t>
            </w:r>
          </w:p>
        </w:tc>
        <w:tc>
          <w:tcPr>
            <w:tcW w:w="636"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台</w:t>
            </w:r>
          </w:p>
        </w:tc>
        <w:tc>
          <w:tcPr>
            <w:tcW w:w="636"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1950"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highlight w:val="none"/>
              </w:rPr>
            </w:pPr>
          </w:p>
        </w:tc>
      </w:tr>
    </w:tbl>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outlineLvl w:val="1"/>
        <w:rPr>
          <w:rFonts w:hint="default" w:ascii="Times New Roman" w:hAnsi="Times New Roman" w:eastAsia="宋体" w:cs="Times New Roman"/>
          <w:color w:val="auto"/>
          <w:sz w:val="24"/>
          <w:szCs w:val="24"/>
          <w:highlight w:val="none"/>
        </w:rPr>
      </w:pPr>
      <w:bookmarkStart w:id="472" w:name="_Toc26290"/>
      <w:bookmarkStart w:id="473" w:name="_Toc30899"/>
      <w:r>
        <w:rPr>
          <w:rFonts w:hint="default" w:ascii="Times New Roman" w:hAnsi="Times New Roman" w:eastAsia="宋体" w:cs="Times New Roman"/>
          <w:color w:val="auto"/>
          <w:sz w:val="24"/>
          <w:szCs w:val="24"/>
          <w:highlight w:val="none"/>
        </w:rPr>
        <w:t>2）尾矿回水管道</w:t>
      </w:r>
      <w:bookmarkEnd w:id="472"/>
      <w:bookmarkEnd w:id="473"/>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尾矿回水管采用1条D377×9螺旋焊钢管</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回水泵站至选厂高位水池间管道管段长度约1.3km。尾矿回水管道埋地敷设</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中心埋深2.2m</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设置管沟或套管防止渗漏造成环境污染。</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textAlignment w:val="auto"/>
        <w:outlineLvl w:val="2"/>
        <w:rPr>
          <w:rFonts w:hint="default" w:ascii="Times New Roman" w:hAnsi="Times New Roman" w:eastAsia="宋体" w:cs="Times New Roman"/>
          <w:b/>
          <w:bCs/>
          <w:color w:val="auto"/>
          <w:sz w:val="24"/>
          <w:szCs w:val="24"/>
          <w:highlight w:val="none"/>
          <w:lang w:val="en-US" w:eastAsia="zh-CN"/>
        </w:rPr>
      </w:pPr>
      <w:bookmarkStart w:id="474" w:name="_Toc9110"/>
      <w:bookmarkStart w:id="475" w:name="_Toc29457"/>
      <w:r>
        <w:rPr>
          <w:rFonts w:hint="default" w:ascii="Times New Roman" w:hAnsi="Times New Roman" w:eastAsia="宋体" w:cs="Times New Roman"/>
          <w:b/>
          <w:bCs/>
          <w:color w:val="auto"/>
          <w:sz w:val="24"/>
          <w:szCs w:val="24"/>
          <w:highlight w:val="none"/>
          <w:lang w:val="en-US" w:eastAsia="zh-CN"/>
        </w:rPr>
        <w:t>2.3.3.10新建坝肩、坝面排水明沟</w:t>
      </w:r>
      <w:bookmarkEnd w:id="474"/>
      <w:bookmarkEnd w:id="475"/>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b/>
          <w:bCs/>
          <w:color w:val="auto"/>
          <w:sz w:val="24"/>
          <w:szCs w:val="24"/>
          <w:highlight w:val="none"/>
          <w:lang w:val="en-US" w:eastAsia="zh-CN"/>
        </w:rPr>
      </w:pPr>
      <w:bookmarkStart w:id="476" w:name="_Hlk75349640"/>
      <w:r>
        <w:rPr>
          <w:rFonts w:hint="default" w:ascii="Times New Roman" w:hAnsi="Times New Roman" w:eastAsia="宋体" w:cs="Times New Roman"/>
          <w:color w:val="auto"/>
          <w:sz w:val="24"/>
          <w:szCs w:val="24"/>
          <w:highlight w:val="none"/>
        </w:rPr>
        <w:t>在加高过程中</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在两侧坝肩与山坡结合处设置排水沟</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过水断面尺寸1.0m（宽）×1.2m（深）。在尾矿坝外坝坡上设置竖、纵向坝面排水沟。竖向排水沟垂直坝轴线方向间隔50m设一道</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过水断面尺寸0.8m（宽）×1.0m（深）；纵向排水沟平行坝轴线方向每隔5m高差布设一道</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过水断面尺寸0.6m（宽）×0.8m（深）。坝面排水沟均采用C25钢筋混凝土结构</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侧壁和底板厚均为0.15m</w:t>
      </w:r>
      <w:bookmarkEnd w:id="476"/>
      <w:r>
        <w:rPr>
          <w:rFonts w:hint="default" w:ascii="Times New Roman" w:hAnsi="Times New Roman" w:eastAsia="宋体" w:cs="Times New Roman"/>
          <w:color w:val="auto"/>
          <w:sz w:val="24"/>
          <w:szCs w:val="24"/>
          <w:highlight w:val="none"/>
          <w:lang w:eastAsia="zh-CN"/>
        </w:rPr>
        <w:t>。</w:t>
      </w:r>
    </w:p>
    <w:bookmarkEnd w:id="434"/>
    <w:p>
      <w:pPr>
        <w:pageBreakBefore w:val="0"/>
        <w:widowControl w:val="0"/>
        <w:kinsoku/>
        <w:wordWrap/>
        <w:overflowPunct/>
        <w:topLinePunct w:val="0"/>
        <w:autoSpaceDE/>
        <w:autoSpaceDN/>
        <w:bidi w:val="0"/>
        <w:spacing w:line="360" w:lineRule="auto"/>
        <w:ind w:left="0" w:leftChars="0" w:right="0" w:rightChars="0"/>
        <w:textAlignment w:val="auto"/>
        <w:outlineLvl w:val="2"/>
        <w:rPr>
          <w:rFonts w:hint="default" w:ascii="Times New Roman" w:hAnsi="Times New Roman" w:eastAsia="宋体" w:cs="Times New Roman"/>
          <w:b/>
          <w:bCs/>
          <w:color w:val="auto"/>
          <w:sz w:val="24"/>
          <w:szCs w:val="24"/>
          <w:highlight w:val="none"/>
          <w:lang w:eastAsia="zh-CN"/>
        </w:rPr>
      </w:pPr>
      <w:bookmarkStart w:id="477" w:name="_Toc9044"/>
      <w:bookmarkStart w:id="478" w:name="_Toc12619"/>
      <w:bookmarkStart w:id="479" w:name="_Hlk75349669"/>
      <w:r>
        <w:rPr>
          <w:rFonts w:hint="default" w:ascii="Times New Roman" w:hAnsi="Times New Roman" w:eastAsia="宋体" w:cs="Times New Roman"/>
          <w:b/>
          <w:bCs/>
          <w:color w:val="auto"/>
          <w:sz w:val="24"/>
          <w:szCs w:val="24"/>
          <w:highlight w:val="none"/>
          <w:lang w:val="en-US" w:eastAsia="zh-CN"/>
        </w:rPr>
        <w:t>2.3.3.11</w:t>
      </w:r>
      <w:r>
        <w:rPr>
          <w:rFonts w:hint="default" w:ascii="Times New Roman" w:hAnsi="Times New Roman" w:eastAsia="宋体" w:cs="Times New Roman"/>
          <w:b/>
          <w:bCs/>
          <w:color w:val="auto"/>
          <w:sz w:val="24"/>
          <w:szCs w:val="24"/>
          <w:highlight w:val="none"/>
        </w:rPr>
        <w:t>排渗</w:t>
      </w:r>
      <w:r>
        <w:rPr>
          <w:rFonts w:hint="default" w:ascii="Times New Roman" w:hAnsi="Times New Roman" w:eastAsia="宋体" w:cs="Times New Roman"/>
          <w:b/>
          <w:bCs/>
          <w:color w:val="auto"/>
          <w:sz w:val="24"/>
          <w:szCs w:val="24"/>
          <w:highlight w:val="none"/>
          <w:lang w:eastAsia="zh-CN"/>
        </w:rPr>
        <w:t>设施</w:t>
      </w:r>
      <w:bookmarkEnd w:id="477"/>
      <w:bookmarkEnd w:id="478"/>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textAlignment w:val="auto"/>
        <w:outlineLvl w:val="0"/>
        <w:rPr>
          <w:rFonts w:hint="default" w:ascii="Times New Roman" w:hAnsi="Times New Roman" w:eastAsia="宋体" w:cs="Times New Roman"/>
          <w:color w:val="auto"/>
          <w:sz w:val="24"/>
          <w:szCs w:val="24"/>
          <w:highlight w:val="none"/>
          <w:lang w:eastAsia="zh-CN"/>
        </w:rPr>
      </w:pPr>
      <w:bookmarkStart w:id="480" w:name="_Toc21193"/>
      <w:bookmarkStart w:id="481" w:name="_Toc3342"/>
      <w:bookmarkStart w:id="482" w:name="_Hlk80178170"/>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lang w:eastAsia="zh-CN"/>
        </w:rPr>
        <w:t>）排渗井</w:t>
      </w:r>
      <w:bookmarkEnd w:id="480"/>
      <w:bookmarkEnd w:id="481"/>
    </w:p>
    <w:p>
      <w:pPr>
        <w:keepNext w:val="0"/>
        <w:keepLines w:val="0"/>
        <w:pageBreakBefore w:val="0"/>
        <w:widowControl/>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lang w:val="en-US" w:eastAsia="zh-CN"/>
        </w:rPr>
      </w:pPr>
      <w:bookmarkStart w:id="483" w:name="_Hlk138927906"/>
      <w:bookmarkStart w:id="484" w:name="_Hlk139285829"/>
      <w:r>
        <w:rPr>
          <w:rFonts w:hint="default" w:ascii="Times New Roman" w:hAnsi="Times New Roman" w:eastAsia="宋体" w:cs="Times New Roman"/>
          <w:color w:val="auto"/>
          <w:sz w:val="24"/>
          <w:szCs w:val="24"/>
          <w:highlight w:val="none"/>
        </w:rPr>
        <w:t>排渗井</w:t>
      </w:r>
      <w:r>
        <w:rPr>
          <w:rFonts w:hint="default" w:ascii="Times New Roman" w:hAnsi="Times New Roman" w:eastAsia="宋体" w:cs="Times New Roman"/>
          <w:color w:val="auto"/>
          <w:sz w:val="24"/>
          <w:szCs w:val="24"/>
          <w:highlight w:val="none"/>
          <w:lang w:val="en-US" w:eastAsia="zh-CN"/>
        </w:rPr>
        <w:t>收集坝体内渗水。</w:t>
      </w:r>
    </w:p>
    <w:p>
      <w:pPr>
        <w:keepNext w:val="0"/>
        <w:keepLines w:val="0"/>
        <w:pageBreakBefore w:val="0"/>
        <w:widowControl/>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在堆积坝第五级子坝标高1417m设5眼排渗井</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平行于坝轴线方向排列布置</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排渗井间距45m</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外径600mm</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内径400mm；排渗井应向下延伸至基岩</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井深约52m；</w:t>
      </w:r>
      <w:bookmarkEnd w:id="483"/>
      <w:r>
        <w:rPr>
          <w:rFonts w:hint="default" w:ascii="Times New Roman" w:hAnsi="Times New Roman" w:eastAsia="宋体" w:cs="Times New Roman"/>
          <w:color w:val="auto"/>
          <w:sz w:val="24"/>
          <w:szCs w:val="24"/>
          <w:highlight w:val="none"/>
        </w:rPr>
        <w:t>排渗井内渗水由水泵抽出</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导入下游</w:t>
      </w:r>
      <w:r>
        <w:rPr>
          <w:rFonts w:hint="default" w:ascii="Times New Roman" w:hAnsi="Times New Roman" w:eastAsia="宋体" w:cs="Times New Roman"/>
          <w:color w:val="auto"/>
          <w:sz w:val="24"/>
          <w:szCs w:val="24"/>
          <w:highlight w:val="none"/>
          <w:lang w:eastAsia="zh-CN"/>
        </w:rPr>
        <w:t>回水池</w:t>
      </w:r>
      <w:r>
        <w:rPr>
          <w:rFonts w:hint="default" w:ascii="Times New Roman" w:hAnsi="Times New Roman" w:eastAsia="宋体" w:cs="Times New Roman"/>
          <w:color w:val="auto"/>
          <w:sz w:val="24"/>
          <w:szCs w:val="24"/>
          <w:highlight w:val="none"/>
        </w:rPr>
        <w:t>。基建期布设1号、3号和5号排渗井</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尾矿库运行期若浸润线埋深接近预警值</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及时布设2号及4号排渗井。</w:t>
      </w:r>
      <w:bookmarkEnd w:id="484"/>
      <w:r>
        <w:rPr>
          <w:rFonts w:hint="default" w:ascii="Times New Roman" w:hAnsi="Times New Roman" w:eastAsia="宋体" w:cs="Times New Roman"/>
          <w:color w:val="auto"/>
          <w:sz w:val="24"/>
          <w:szCs w:val="24"/>
          <w:highlight w:val="none"/>
        </w:rPr>
        <w:t>排渗井平面布置图见图</w:t>
      </w:r>
      <w:r>
        <w:rPr>
          <w:rFonts w:hint="default"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rPr>
        <w:t>。</w:t>
      </w:r>
    </w:p>
    <w:p>
      <w:pPr>
        <w:keepNext w:val="0"/>
        <w:keepLines w:val="0"/>
        <w:pageBreakBefore w:val="0"/>
        <w:widowControl/>
        <w:kinsoku/>
        <w:wordWrap/>
        <w:overflowPunct/>
        <w:topLinePunct w:val="0"/>
        <w:autoSpaceDE/>
        <w:autoSpaceDN/>
        <w:bidi w:val="0"/>
        <w:spacing w:line="360" w:lineRule="auto"/>
        <w:ind w:left="0" w:leftChars="0" w:right="0" w:rightChars="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drawing>
          <wp:inline distT="0" distB="0" distL="114300" distR="114300">
            <wp:extent cx="4591050" cy="3575050"/>
            <wp:effectExtent l="0" t="0" r="0" b="6350"/>
            <wp:docPr id="1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8"/>
                    <pic:cNvPicPr>
                      <a:picLocks noChangeAspect="1"/>
                    </pic:cNvPicPr>
                  </pic:nvPicPr>
                  <pic:blipFill>
                    <a:blip r:embed="rId37"/>
                    <a:stretch>
                      <a:fillRect/>
                    </a:stretch>
                  </pic:blipFill>
                  <pic:spPr>
                    <a:xfrm>
                      <a:off x="0" y="0"/>
                      <a:ext cx="4591050" cy="3575050"/>
                    </a:xfrm>
                    <a:prstGeom prst="rect">
                      <a:avLst/>
                    </a:prstGeom>
                    <a:noFill/>
                    <a:ln>
                      <a:noFill/>
                    </a:ln>
                  </pic:spPr>
                </pic:pic>
              </a:graphicData>
            </a:graphic>
          </wp:inline>
        </w:drawing>
      </w:r>
    </w:p>
    <w:p>
      <w:pPr>
        <w:keepNext w:val="0"/>
        <w:keepLines w:val="0"/>
        <w:pageBreakBefore w:val="0"/>
        <w:widowControl/>
        <w:kinsoku/>
        <w:wordWrap/>
        <w:overflowPunct/>
        <w:topLinePunct w:val="0"/>
        <w:autoSpaceDE/>
        <w:autoSpaceDN/>
        <w:bidi w:val="0"/>
        <w:spacing w:line="360" w:lineRule="auto"/>
        <w:ind w:left="0" w:leftChars="0" w:right="0" w:rightChars="0" w:firstLine="482" w:firstLineChars="200"/>
        <w:jc w:val="center"/>
        <w:textAlignment w:val="auto"/>
        <w:rPr>
          <w:rFonts w:hint="default" w:ascii="Times New Roman" w:hAnsi="Times New Roman" w:eastAsia="宋体" w:cs="Times New Roman"/>
          <w:b/>
          <w:color w:val="auto"/>
          <w:kern w:val="0"/>
          <w:sz w:val="24"/>
          <w:szCs w:val="24"/>
          <w:highlight w:val="none"/>
        </w:rPr>
      </w:pPr>
      <w:r>
        <w:rPr>
          <w:rFonts w:hint="default" w:ascii="Times New Roman" w:hAnsi="Times New Roman" w:eastAsia="宋体" w:cs="Times New Roman"/>
          <w:b/>
          <w:color w:val="auto"/>
          <w:kern w:val="0"/>
          <w:sz w:val="24"/>
          <w:szCs w:val="24"/>
          <w:highlight w:val="none"/>
        </w:rPr>
        <w:t>图</w:t>
      </w:r>
      <w:r>
        <w:rPr>
          <w:rFonts w:hint="default" w:ascii="Times New Roman" w:hAnsi="Times New Roman" w:eastAsia="宋体" w:cs="Times New Roman"/>
          <w:b/>
          <w:color w:val="auto"/>
          <w:kern w:val="0"/>
          <w:sz w:val="24"/>
          <w:szCs w:val="24"/>
          <w:highlight w:val="none"/>
          <w:lang w:val="en-US" w:eastAsia="zh-CN"/>
        </w:rPr>
        <w:t>2</w:t>
      </w:r>
      <w:r>
        <w:rPr>
          <w:rFonts w:hint="default" w:ascii="Times New Roman" w:hAnsi="Times New Roman" w:eastAsia="宋体" w:cs="Times New Roman"/>
          <w:b/>
          <w:color w:val="auto"/>
          <w:kern w:val="0"/>
          <w:sz w:val="24"/>
          <w:szCs w:val="24"/>
          <w:highlight w:val="none"/>
        </w:rPr>
        <w:t>-</w:t>
      </w:r>
      <w:r>
        <w:rPr>
          <w:rFonts w:hint="default" w:ascii="Times New Roman" w:hAnsi="Times New Roman" w:eastAsia="宋体" w:cs="Times New Roman"/>
          <w:b/>
          <w:color w:val="auto"/>
          <w:kern w:val="0"/>
          <w:sz w:val="24"/>
          <w:szCs w:val="24"/>
          <w:highlight w:val="none"/>
          <w:lang w:val="en-US" w:eastAsia="zh-CN"/>
        </w:rPr>
        <w:t>3</w:t>
      </w:r>
      <w:r>
        <w:rPr>
          <w:rFonts w:hint="default" w:ascii="Times New Roman" w:hAnsi="Times New Roman" w:eastAsia="宋体" w:cs="Times New Roman"/>
          <w:b/>
          <w:color w:val="auto"/>
          <w:kern w:val="0"/>
          <w:sz w:val="24"/>
          <w:szCs w:val="24"/>
          <w:highlight w:val="none"/>
        </w:rPr>
        <w:t>排渗井平面布置图</w:t>
      </w:r>
    </w:p>
    <w:p>
      <w:pPr>
        <w:keepNext w:val="0"/>
        <w:keepLines w:val="0"/>
        <w:pageBreakBefore w:val="0"/>
        <w:widowControl/>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排渗井井壁由内向外依次为工程内径400mm塑料管（PVC）、80目滤网3～5层、滤料、原状土；由上至下为井口管、滤水管、沉沙管；井壁外侧滤料层厚100mm</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滤料采用级配为20</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50mm粗砂；排渗井要求采用C10防水水泥浇筑盖或木头盖封底；滤水管接缝处采用特质PVC管接头和胶水连接</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排渗井施工中不得采用泥浆护壁；排渗井成井后</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应高于地面500mm</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井口应用盖板封闭</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井口周围应铺设碎石或浇筑混凝土</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厚度不宜小于500mm。</w:t>
      </w:r>
    </w:p>
    <w:p>
      <w:pPr>
        <w:keepNext w:val="0"/>
        <w:keepLines w:val="0"/>
        <w:pageBreakBefore w:val="0"/>
        <w:widowControl/>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PVC管材料质量要求如下</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壁厚11.7mm</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同一截面壁厚偏差≤14%；纵向回缩率≤5%；抗压强度≥0.8MPa；抗拉强度≥40MPa；维卡软化温度≥90℃；内外壁光滑平整</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不允许有气泡、裂口和明显的痕纹、凹陷、色泽不均匀及分解变色线。</w:t>
      </w:r>
    </w:p>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排渗井内渗水由水泵抽出</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导入下游</w:t>
      </w:r>
      <w:r>
        <w:rPr>
          <w:rFonts w:hint="default" w:ascii="Times New Roman" w:hAnsi="Times New Roman" w:eastAsia="宋体" w:cs="Times New Roman"/>
          <w:color w:val="auto"/>
          <w:kern w:val="0"/>
          <w:sz w:val="24"/>
          <w:szCs w:val="24"/>
          <w:highlight w:val="none"/>
          <w:lang w:eastAsia="zh-CN"/>
        </w:rPr>
        <w:t>回水池</w:t>
      </w:r>
      <w:r>
        <w:rPr>
          <w:rFonts w:hint="default" w:ascii="Times New Roman" w:hAnsi="Times New Roman" w:eastAsia="宋体" w:cs="Times New Roman"/>
          <w:color w:val="auto"/>
          <w:kern w:val="0"/>
          <w:sz w:val="24"/>
          <w:szCs w:val="24"/>
          <w:highlight w:val="none"/>
        </w:rPr>
        <w:t>。潜水泵电机型号100QJ6-50/13-1.5</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扬程50m</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流量6m</w:t>
      </w:r>
      <w:r>
        <w:rPr>
          <w:rFonts w:hint="default" w:ascii="Times New Roman" w:hAnsi="Times New Roman" w:eastAsia="宋体" w:cs="Times New Roman"/>
          <w:color w:val="auto"/>
          <w:kern w:val="0"/>
          <w:sz w:val="24"/>
          <w:szCs w:val="24"/>
          <w:highlight w:val="none"/>
          <w:vertAlign w:val="superscript"/>
        </w:rPr>
        <w:t>3</w:t>
      </w:r>
      <w:r>
        <w:rPr>
          <w:rFonts w:hint="default" w:ascii="Times New Roman" w:hAnsi="Times New Roman" w:eastAsia="宋体" w:cs="Times New Roman"/>
          <w:color w:val="auto"/>
          <w:kern w:val="0"/>
          <w:sz w:val="24"/>
          <w:szCs w:val="24"/>
          <w:highlight w:val="none"/>
        </w:rPr>
        <w:t>/h。管井内设自动化排水系统</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由液位控制器对井内水位进行控制</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液位变送器控制箱</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其型号为1100A-55-X12/P-A</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液位变送器</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其型号CVW11-L25-B25-A1-B-A控制最低水位应高于滤水管封底2.5m</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最高水位应低于井口标高2.5m。</w:t>
      </w:r>
    </w:p>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排渗井可采用冲击、回转正（反）循环钻进工艺成孔</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采用冲击、回转钻进成孔工艺时</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应符合现行</w:t>
      </w:r>
      <w:r>
        <w:rPr>
          <w:rFonts w:hint="default" w:ascii="Times New Roman" w:hAnsi="Times New Roman" w:eastAsia="宋体" w:cs="Times New Roman"/>
          <w:color w:val="auto"/>
          <w:kern w:val="0"/>
          <w:sz w:val="24"/>
          <w:szCs w:val="24"/>
          <w:highlight w:val="none"/>
          <w:lang w:eastAsia="zh-CN"/>
        </w:rPr>
        <w:t>行业标准</w:t>
      </w:r>
      <w:r>
        <w:rPr>
          <w:rFonts w:hint="default" w:ascii="Times New Roman" w:hAnsi="Times New Roman" w:eastAsia="宋体" w:cs="Times New Roman"/>
          <w:color w:val="auto"/>
          <w:kern w:val="0"/>
          <w:sz w:val="24"/>
          <w:szCs w:val="24"/>
          <w:highlight w:val="none"/>
        </w:rPr>
        <w:t>《供水水文地质钻探与管井操作规程》GJJ/T13的有关规定。</w:t>
      </w:r>
    </w:p>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安装井管前应校核孔径、孔深和孔斜</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孔径不得小于设计井径。井管外观应符合下列规定：</w:t>
      </w:r>
    </w:p>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1）井管应无残缺、断裂和弯曲等缺陷；</w:t>
      </w:r>
    </w:p>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2）井管的上、下口平面应垂直于井管轴线。</w:t>
      </w:r>
    </w:p>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井管的安装应符合下列规定：</w:t>
      </w:r>
    </w:p>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1）下管方法应根据管材强度和起重设备能力选定</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可选用悬吊下管法和托盘下管法；</w:t>
      </w:r>
    </w:p>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2）井管应对正接值</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封闭严密</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连接强度应满足下管安全和成井质量要求；</w:t>
      </w:r>
    </w:p>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3）管井外设有滤料</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应设置扶正器；</w:t>
      </w:r>
    </w:p>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4）管井底部应采取封堵措施。</w:t>
      </w:r>
    </w:p>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滤料填充应保证连续均衡并应将所填滤料留样备查。</w:t>
      </w:r>
    </w:p>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管井施工允许偏差</w:t>
      </w:r>
      <w:r>
        <w:rPr>
          <w:rFonts w:hint="default" w:ascii="Times New Roman" w:hAnsi="Times New Roman" w:eastAsia="宋体" w:cs="Times New Roman"/>
          <w:color w:val="auto"/>
          <w:kern w:val="0"/>
          <w:sz w:val="24"/>
          <w:szCs w:val="24"/>
          <w:highlight w:val="none"/>
          <w:lang w:eastAsia="zh-CN"/>
        </w:rPr>
        <w:t>应</w:t>
      </w:r>
      <w:r>
        <w:rPr>
          <w:rFonts w:hint="default" w:ascii="Times New Roman" w:hAnsi="Times New Roman" w:eastAsia="宋体" w:cs="Times New Roman"/>
          <w:color w:val="auto"/>
          <w:kern w:val="0"/>
          <w:sz w:val="24"/>
          <w:szCs w:val="24"/>
          <w:highlight w:val="none"/>
        </w:rPr>
        <w:t>符合表5-</w:t>
      </w:r>
      <w:r>
        <w:rPr>
          <w:rFonts w:hint="default" w:ascii="Times New Roman" w:hAnsi="Times New Roman" w:eastAsia="宋体" w:cs="Times New Roman"/>
          <w:color w:val="auto"/>
          <w:kern w:val="0"/>
          <w:sz w:val="24"/>
          <w:szCs w:val="24"/>
          <w:highlight w:val="none"/>
          <w:lang w:val="en-US" w:eastAsia="zh-CN"/>
        </w:rPr>
        <w:t>15</w:t>
      </w:r>
      <w:r>
        <w:rPr>
          <w:rFonts w:hint="default" w:ascii="Times New Roman" w:hAnsi="Times New Roman" w:eastAsia="宋体" w:cs="Times New Roman"/>
          <w:color w:val="auto"/>
          <w:kern w:val="0"/>
          <w:sz w:val="24"/>
          <w:szCs w:val="24"/>
          <w:highlight w:val="none"/>
        </w:rPr>
        <w:t>的要求。</w:t>
      </w:r>
    </w:p>
    <w:p>
      <w:pPr>
        <w:keepNext w:val="0"/>
        <w:keepLines w:val="0"/>
        <w:pageBreakBefore w:val="0"/>
        <w:widowControl/>
        <w:kinsoku/>
        <w:wordWrap/>
        <w:overflowPunct/>
        <w:topLinePunct w:val="0"/>
        <w:autoSpaceDE/>
        <w:autoSpaceDN/>
        <w:bidi w:val="0"/>
        <w:adjustRightInd/>
        <w:snapToGrid/>
        <w:spacing w:line="360" w:lineRule="auto"/>
        <w:ind w:left="0" w:leftChars="0" w:right="0" w:rightChars="0" w:firstLine="482" w:firstLineChars="200"/>
        <w:jc w:val="center"/>
        <w:textAlignment w:val="auto"/>
        <w:rPr>
          <w:rFonts w:hint="default" w:ascii="Times New Roman" w:hAnsi="Times New Roman" w:eastAsia="宋体" w:cs="Times New Roman"/>
          <w:b/>
          <w:color w:val="auto"/>
          <w:kern w:val="0"/>
          <w:sz w:val="24"/>
          <w:szCs w:val="24"/>
          <w:highlight w:val="none"/>
        </w:rPr>
      </w:pPr>
      <w:r>
        <w:rPr>
          <w:rFonts w:hint="default" w:ascii="Times New Roman" w:hAnsi="Times New Roman" w:eastAsia="宋体" w:cs="Times New Roman"/>
          <w:b/>
          <w:color w:val="auto"/>
          <w:kern w:val="0"/>
          <w:sz w:val="24"/>
          <w:szCs w:val="24"/>
          <w:highlight w:val="none"/>
        </w:rPr>
        <w:t>表5-</w:t>
      </w:r>
      <w:r>
        <w:rPr>
          <w:rFonts w:hint="default" w:ascii="Times New Roman" w:hAnsi="Times New Roman" w:eastAsia="宋体" w:cs="Times New Roman"/>
          <w:b/>
          <w:color w:val="auto"/>
          <w:kern w:val="0"/>
          <w:sz w:val="24"/>
          <w:szCs w:val="24"/>
          <w:highlight w:val="none"/>
          <w:lang w:val="en-US" w:eastAsia="zh-CN"/>
        </w:rPr>
        <w:t>15</w:t>
      </w:r>
      <w:r>
        <w:rPr>
          <w:rFonts w:hint="default" w:ascii="Times New Roman" w:hAnsi="Times New Roman" w:eastAsia="宋体" w:cs="Times New Roman"/>
          <w:b/>
          <w:color w:val="auto"/>
          <w:kern w:val="0"/>
          <w:sz w:val="24"/>
          <w:szCs w:val="24"/>
          <w:highlight w:val="none"/>
        </w:rPr>
        <w:t>管井施工允许偏差</w:t>
      </w:r>
    </w:p>
    <w:tbl>
      <w:tblPr>
        <w:tblStyle w:val="54"/>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2833"/>
        <w:gridCol w:w="2851"/>
        <w:gridCol w:w="283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2887" w:type="dxa"/>
            <w:noWrap w:val="0"/>
            <w:vAlign w:val="top"/>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项目</w:t>
            </w:r>
          </w:p>
        </w:tc>
        <w:tc>
          <w:tcPr>
            <w:tcW w:w="2888" w:type="dxa"/>
            <w:noWrap w:val="0"/>
            <w:vAlign w:val="top"/>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允许偏差</w:t>
            </w:r>
          </w:p>
        </w:tc>
        <w:tc>
          <w:tcPr>
            <w:tcW w:w="2888" w:type="dxa"/>
            <w:noWrap w:val="0"/>
            <w:vAlign w:val="top"/>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检验方法</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2887" w:type="dxa"/>
            <w:noWrap w:val="0"/>
            <w:vAlign w:val="top"/>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过滤管段下置深度</w:t>
            </w:r>
          </w:p>
        </w:tc>
        <w:tc>
          <w:tcPr>
            <w:tcW w:w="2888" w:type="dxa"/>
            <w:noWrap w:val="0"/>
            <w:vAlign w:val="top"/>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±300mm</w:t>
            </w:r>
          </w:p>
        </w:tc>
        <w:tc>
          <w:tcPr>
            <w:tcW w:w="2888" w:type="dxa"/>
            <w:noWrap w:val="0"/>
            <w:vAlign w:val="top"/>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钢尺测量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2887" w:type="dxa"/>
            <w:noWrap w:val="0"/>
            <w:vAlign w:val="top"/>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管井中心垂直度</w:t>
            </w:r>
          </w:p>
        </w:tc>
        <w:tc>
          <w:tcPr>
            <w:tcW w:w="2888" w:type="dxa"/>
            <w:noWrap w:val="0"/>
            <w:vAlign w:val="top"/>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w:t>
            </w:r>
          </w:p>
        </w:tc>
        <w:tc>
          <w:tcPr>
            <w:tcW w:w="2888" w:type="dxa"/>
            <w:noWrap w:val="0"/>
            <w:vAlign w:val="top"/>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仪器测量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2887" w:type="dxa"/>
            <w:noWrap w:val="0"/>
            <w:vAlign w:val="top"/>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井位</w:t>
            </w:r>
          </w:p>
        </w:tc>
        <w:tc>
          <w:tcPr>
            <w:tcW w:w="2888" w:type="dxa"/>
            <w:noWrap w:val="0"/>
            <w:vAlign w:val="top"/>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±d/2mm</w:t>
            </w:r>
          </w:p>
        </w:tc>
        <w:tc>
          <w:tcPr>
            <w:tcW w:w="2888" w:type="dxa"/>
            <w:noWrap w:val="0"/>
            <w:vAlign w:val="top"/>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仪器测量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2887" w:type="dxa"/>
            <w:noWrap w:val="0"/>
            <w:vAlign w:val="top"/>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井深</w:t>
            </w:r>
          </w:p>
        </w:tc>
        <w:tc>
          <w:tcPr>
            <w:tcW w:w="2888" w:type="dxa"/>
            <w:noWrap w:val="0"/>
            <w:vAlign w:val="top"/>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+500mm</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-100mm</w:t>
            </w:r>
          </w:p>
        </w:tc>
        <w:tc>
          <w:tcPr>
            <w:tcW w:w="2888" w:type="dxa"/>
            <w:noWrap w:val="0"/>
            <w:vAlign w:val="top"/>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钢尺测量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2887" w:type="dxa"/>
            <w:noWrap w:val="0"/>
            <w:vAlign w:val="top"/>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井径</w:t>
            </w:r>
          </w:p>
        </w:tc>
        <w:tc>
          <w:tcPr>
            <w:tcW w:w="2888" w:type="dxa"/>
            <w:noWrap w:val="0"/>
            <w:vAlign w:val="top"/>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±20mm</w:t>
            </w:r>
          </w:p>
        </w:tc>
        <w:tc>
          <w:tcPr>
            <w:tcW w:w="2888" w:type="dxa"/>
            <w:noWrap w:val="0"/>
            <w:vAlign w:val="top"/>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钢尺测量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40" w:hRule="atLeast"/>
        </w:trPr>
        <w:tc>
          <w:tcPr>
            <w:tcW w:w="2887" w:type="dxa"/>
            <w:noWrap w:val="0"/>
            <w:vAlign w:val="top"/>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滤水管段开孔率</w:t>
            </w:r>
          </w:p>
        </w:tc>
        <w:tc>
          <w:tcPr>
            <w:tcW w:w="2888" w:type="dxa"/>
            <w:noWrap w:val="0"/>
            <w:vAlign w:val="top"/>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±10%</w:t>
            </w:r>
          </w:p>
        </w:tc>
        <w:tc>
          <w:tcPr>
            <w:tcW w:w="2888" w:type="dxa"/>
            <w:noWrap w:val="0"/>
            <w:vAlign w:val="top"/>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钢尺测量、计算</w:t>
            </w:r>
          </w:p>
        </w:tc>
      </w:tr>
    </w:tbl>
    <w:p>
      <w:pPr>
        <w:pageBreakBefore w:val="0"/>
        <w:widowControl/>
        <w:wordWrap/>
        <w:bidi w:val="0"/>
        <w:spacing w:line="360" w:lineRule="auto"/>
        <w:ind w:left="0" w:leftChars="0" w:right="0" w:rightChars="0"/>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注</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d为管井直径</w:t>
      </w:r>
    </w:p>
    <w:p>
      <w:pPr>
        <w:pageBreakBefore w:val="0"/>
        <w:widowControl/>
        <w:wordWrap/>
        <w:bidi w:val="0"/>
        <w:spacing w:line="360" w:lineRule="auto"/>
        <w:ind w:left="0" w:leftChars="0" w:right="0" w:rightChars="0" w:firstLine="600" w:firstLineChars="25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排渗井吊装施工及维修所需设备见表5-</w:t>
      </w:r>
      <w:r>
        <w:rPr>
          <w:rFonts w:hint="default" w:ascii="Times New Roman" w:hAnsi="Times New Roman" w:eastAsia="宋体" w:cs="Times New Roman"/>
          <w:color w:val="auto"/>
          <w:sz w:val="24"/>
          <w:szCs w:val="24"/>
          <w:highlight w:val="none"/>
          <w:lang w:val="en-US" w:eastAsia="zh-CN"/>
        </w:rPr>
        <w:t>16</w:t>
      </w:r>
      <w:r>
        <w:rPr>
          <w:rFonts w:hint="default" w:ascii="Times New Roman" w:hAnsi="Times New Roman" w:eastAsia="宋体" w:cs="Times New Roman"/>
          <w:color w:val="auto"/>
          <w:sz w:val="24"/>
          <w:szCs w:val="24"/>
          <w:highlight w:val="none"/>
        </w:rPr>
        <w:t>。</w:t>
      </w:r>
    </w:p>
    <w:p>
      <w:pPr>
        <w:pageBreakBefore w:val="0"/>
        <w:widowControl/>
        <w:wordWrap/>
        <w:bidi w:val="0"/>
        <w:spacing w:line="360" w:lineRule="auto"/>
        <w:ind w:left="0" w:leftChars="0" w:right="0" w:rightChars="0"/>
        <w:jc w:val="center"/>
        <w:rPr>
          <w:rFonts w:hint="default" w:ascii="Times New Roman" w:hAnsi="Times New Roman" w:eastAsia="宋体" w:cs="Times New Roman"/>
          <w:b/>
          <w:color w:val="auto"/>
          <w:kern w:val="0"/>
          <w:sz w:val="24"/>
          <w:szCs w:val="24"/>
          <w:highlight w:val="none"/>
        </w:rPr>
      </w:pPr>
      <w:r>
        <w:rPr>
          <w:rFonts w:hint="default" w:ascii="Times New Roman" w:hAnsi="Times New Roman" w:eastAsia="宋体" w:cs="Times New Roman"/>
          <w:b/>
          <w:color w:val="auto"/>
          <w:kern w:val="0"/>
          <w:sz w:val="24"/>
          <w:szCs w:val="24"/>
          <w:highlight w:val="none"/>
        </w:rPr>
        <w:t>表5-</w:t>
      </w:r>
      <w:r>
        <w:rPr>
          <w:rFonts w:hint="default" w:ascii="Times New Roman" w:hAnsi="Times New Roman" w:eastAsia="宋体" w:cs="Times New Roman"/>
          <w:b/>
          <w:color w:val="auto"/>
          <w:kern w:val="0"/>
          <w:sz w:val="24"/>
          <w:szCs w:val="24"/>
          <w:highlight w:val="none"/>
          <w:lang w:val="en-US" w:eastAsia="zh-CN"/>
        </w:rPr>
        <w:t>16</w:t>
      </w:r>
      <w:r>
        <w:rPr>
          <w:rFonts w:hint="default" w:ascii="Times New Roman" w:hAnsi="Times New Roman" w:eastAsia="宋体" w:cs="Times New Roman"/>
          <w:b/>
          <w:color w:val="auto"/>
          <w:kern w:val="0"/>
          <w:sz w:val="24"/>
          <w:szCs w:val="24"/>
          <w:highlight w:val="none"/>
        </w:rPr>
        <w:t>排渗井施工及维修设备</w:t>
      </w:r>
    </w:p>
    <w:tbl>
      <w:tblPr>
        <w:tblStyle w:val="54"/>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4259"/>
        <w:gridCol w:w="426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4331" w:type="dxa"/>
            <w:noWrap w:val="0"/>
            <w:vAlign w:val="top"/>
          </w:tcPr>
          <w:p>
            <w:pPr>
              <w:pageBreakBefore w:val="0"/>
              <w:widowControl/>
              <w:wordWrap/>
              <w:bidi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阶段</w:t>
            </w:r>
          </w:p>
        </w:tc>
        <w:tc>
          <w:tcPr>
            <w:tcW w:w="4332" w:type="dxa"/>
            <w:noWrap w:val="0"/>
            <w:vAlign w:val="top"/>
          </w:tcPr>
          <w:p>
            <w:pPr>
              <w:pageBreakBefore w:val="0"/>
              <w:widowControl/>
              <w:wordWrap/>
              <w:bidi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设备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4331" w:type="dxa"/>
            <w:noWrap w:val="0"/>
            <w:vAlign w:val="top"/>
          </w:tcPr>
          <w:p>
            <w:pPr>
              <w:pageBreakBefore w:val="0"/>
              <w:widowControl/>
              <w:wordWrap/>
              <w:bidi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吊装施工</w:t>
            </w:r>
          </w:p>
        </w:tc>
        <w:tc>
          <w:tcPr>
            <w:tcW w:w="4332" w:type="dxa"/>
            <w:noWrap w:val="0"/>
            <w:vAlign w:val="top"/>
          </w:tcPr>
          <w:p>
            <w:pPr>
              <w:pageBreakBefore w:val="0"/>
              <w:widowControl/>
              <w:wordWrap/>
              <w:bidi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三脚架、吊车、导链等</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4331" w:type="dxa"/>
            <w:noWrap w:val="0"/>
            <w:vAlign w:val="top"/>
          </w:tcPr>
          <w:p>
            <w:pPr>
              <w:pageBreakBefore w:val="0"/>
              <w:widowControl/>
              <w:wordWrap/>
              <w:bidi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维修</w:t>
            </w:r>
          </w:p>
        </w:tc>
        <w:tc>
          <w:tcPr>
            <w:tcW w:w="4332" w:type="dxa"/>
            <w:noWrap w:val="0"/>
            <w:vAlign w:val="top"/>
          </w:tcPr>
          <w:p>
            <w:pPr>
              <w:pageBreakBefore w:val="0"/>
              <w:widowControl/>
              <w:wordWrap/>
              <w:bidi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空压机、污水泵、风管</w:t>
            </w:r>
          </w:p>
        </w:tc>
      </w:tr>
    </w:tbl>
    <w:p>
      <w:pPr>
        <w:keepNext w:val="0"/>
        <w:keepLines w:val="0"/>
        <w:pageBreakBefore w:val="0"/>
        <w:widowControl/>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运行期间细泥化的尾矿砂有可能会堵塞排渗井的滤网</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如出现此类情况抽水量会降低</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对排渗降低浸润线会有影响</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应对</w:t>
      </w:r>
      <w:r>
        <w:rPr>
          <w:rFonts w:hint="default" w:ascii="Times New Roman" w:hAnsi="Times New Roman" w:eastAsia="宋体" w:cs="Times New Roman"/>
          <w:color w:val="auto"/>
          <w:kern w:val="0"/>
          <w:sz w:val="24"/>
          <w:szCs w:val="24"/>
          <w:highlight w:val="none"/>
          <w:lang w:eastAsia="zh-CN"/>
        </w:rPr>
        <w:t>溢流井</w:t>
      </w:r>
      <w:r>
        <w:rPr>
          <w:rFonts w:hint="default" w:ascii="Times New Roman" w:hAnsi="Times New Roman" w:eastAsia="宋体" w:cs="Times New Roman"/>
          <w:color w:val="auto"/>
          <w:kern w:val="0"/>
          <w:sz w:val="24"/>
          <w:szCs w:val="24"/>
          <w:highlight w:val="none"/>
        </w:rPr>
        <w:t>出水量进行监测。出水量监测点应设在单个排渗井出水口处</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每日测量不应少于一次。</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kern w:val="0"/>
          <w:sz w:val="24"/>
          <w:szCs w:val="24"/>
          <w:highlight w:val="none"/>
        </w:rPr>
        <w:t>排渗井使用过程中要定期观察使用情况</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若出现细泥淤堵滤网造成抽水量降低</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应及时进行洗井</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并根据洗井情况确定是否</w:t>
      </w:r>
      <w:r>
        <w:rPr>
          <w:rFonts w:hint="default" w:ascii="Times New Roman" w:hAnsi="Times New Roman" w:eastAsia="宋体" w:cs="Times New Roman"/>
          <w:color w:val="auto"/>
          <w:kern w:val="0"/>
          <w:sz w:val="24"/>
          <w:szCs w:val="24"/>
          <w:highlight w:val="none"/>
          <w:lang w:eastAsia="zh-CN"/>
        </w:rPr>
        <w:t>需要</w:t>
      </w:r>
      <w:r>
        <w:rPr>
          <w:rFonts w:hint="default" w:ascii="Times New Roman" w:hAnsi="Times New Roman" w:eastAsia="宋体" w:cs="Times New Roman"/>
          <w:color w:val="auto"/>
          <w:kern w:val="0"/>
          <w:sz w:val="24"/>
          <w:szCs w:val="24"/>
          <w:highlight w:val="none"/>
        </w:rPr>
        <w:t>增加新的排渗井</w:t>
      </w:r>
      <w:r>
        <w:rPr>
          <w:rFonts w:hint="default" w:ascii="Times New Roman" w:hAnsi="Times New Roman" w:eastAsia="宋体" w:cs="Times New Roman"/>
          <w:color w:val="auto"/>
          <w:kern w:val="0"/>
          <w:sz w:val="24"/>
          <w:szCs w:val="24"/>
          <w:highlight w:val="none"/>
          <w:lang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textAlignment w:val="auto"/>
        <w:outlineLvl w:val="0"/>
        <w:rPr>
          <w:rFonts w:hint="default" w:ascii="Times New Roman" w:hAnsi="Times New Roman" w:eastAsia="宋体" w:cs="Times New Roman"/>
          <w:color w:val="auto"/>
          <w:sz w:val="24"/>
          <w:szCs w:val="24"/>
          <w:highlight w:val="none"/>
          <w:lang w:eastAsia="zh-CN"/>
        </w:rPr>
      </w:pPr>
      <w:bookmarkStart w:id="485" w:name="_Toc659"/>
      <w:bookmarkStart w:id="486" w:name="_Toc6945"/>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lang w:eastAsia="zh-CN"/>
        </w:rPr>
        <w:t>）排渗盲沟</w:t>
      </w:r>
      <w:bookmarkEnd w:id="485"/>
      <w:bookmarkEnd w:id="486"/>
    </w:p>
    <w:p>
      <w:pPr>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为有效控制后期坝体内浸润线埋深</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现状标高以上的堆积坝还需继续设置水平排渗盲沟。在尾矿坝1464m标高以上每隔10m高差分别设置一层排渗盲沟。排渗盲沟呈梯形断面</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底宽2.5m</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顶宽1m</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高度1.5m。排渗盲沟采用D=30</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50mm级配卵石填充</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外包一层300g/m</w:t>
      </w:r>
      <w:r>
        <w:rPr>
          <w:rFonts w:hint="default" w:ascii="Times New Roman" w:hAnsi="Times New Roman" w:eastAsia="宋体" w:cs="Times New Roman"/>
          <w:color w:val="auto"/>
          <w:sz w:val="24"/>
          <w:szCs w:val="24"/>
          <w:highlight w:val="none"/>
          <w:vertAlign w:val="superscript"/>
        </w:rPr>
        <w:t>2</w:t>
      </w:r>
      <w:r>
        <w:rPr>
          <w:rFonts w:hint="default" w:ascii="Times New Roman" w:hAnsi="Times New Roman" w:eastAsia="宋体" w:cs="Times New Roman"/>
          <w:color w:val="auto"/>
          <w:sz w:val="24"/>
          <w:szCs w:val="24"/>
          <w:highlight w:val="none"/>
        </w:rPr>
        <w:t>土工布作为反滤层</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并用dn110PE管作导流管</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将排渗盲沟的渗水排出坝体。排渗盲沟顶部覆盖1.0m厚d≥1mm尾砂；dn110PE管垂直坝轴线均匀布置</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间距30m</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接入坝面排水沟。排渗盲沟导流管须提前埋设</w:t>
      </w:r>
      <w:r>
        <w:rPr>
          <w:rFonts w:hint="default" w:ascii="Times New Roman" w:hAnsi="Times New Roman" w:eastAsia="宋体" w:cs="Times New Roman"/>
          <w:color w:val="auto"/>
          <w:sz w:val="24"/>
          <w:szCs w:val="24"/>
          <w:highlight w:val="none"/>
          <w:lang w:eastAsia="zh-CN"/>
        </w:rPr>
        <w:t>。</w:t>
      </w:r>
    </w:p>
    <w:bookmarkEnd w:id="482"/>
    <w:p>
      <w:pPr>
        <w:pageBreakBefore w:val="0"/>
        <w:widowControl w:val="0"/>
        <w:kinsoku/>
        <w:wordWrap/>
        <w:overflowPunct/>
        <w:topLinePunct w:val="0"/>
        <w:autoSpaceDE/>
        <w:autoSpaceDN/>
        <w:bidi w:val="0"/>
        <w:spacing w:line="360" w:lineRule="auto"/>
        <w:ind w:left="0" w:leftChars="0" w:right="0" w:rightChars="0"/>
        <w:textAlignment w:val="auto"/>
        <w:outlineLvl w:val="1"/>
        <w:rPr>
          <w:rFonts w:hint="default" w:ascii="Times New Roman" w:hAnsi="Times New Roman" w:eastAsia="宋体" w:cs="Times New Roman"/>
          <w:b/>
          <w:bCs/>
          <w:color w:val="auto"/>
          <w:sz w:val="24"/>
          <w:szCs w:val="24"/>
          <w:highlight w:val="none"/>
        </w:rPr>
      </w:pPr>
      <w:bookmarkStart w:id="487" w:name="_Toc7876"/>
      <w:bookmarkStart w:id="488" w:name="_Toc6694"/>
      <w:r>
        <w:rPr>
          <w:rFonts w:hint="default" w:ascii="Times New Roman" w:hAnsi="Times New Roman" w:eastAsia="宋体" w:cs="Times New Roman"/>
          <w:b/>
          <w:bCs/>
          <w:color w:val="auto"/>
          <w:sz w:val="24"/>
          <w:szCs w:val="24"/>
          <w:highlight w:val="none"/>
          <w:lang w:val="en-US" w:eastAsia="zh-CN"/>
        </w:rPr>
        <w:t>2.3.3.12</w:t>
      </w:r>
      <w:r>
        <w:rPr>
          <w:rFonts w:hint="default" w:ascii="Times New Roman" w:hAnsi="Times New Roman" w:eastAsia="宋体" w:cs="Times New Roman"/>
          <w:b/>
          <w:bCs/>
          <w:color w:val="auto"/>
          <w:sz w:val="24"/>
          <w:szCs w:val="24"/>
          <w:highlight w:val="none"/>
          <w:lang w:eastAsia="zh-CN"/>
        </w:rPr>
        <w:t>防渗</w:t>
      </w:r>
      <w:r>
        <w:rPr>
          <w:rFonts w:hint="default" w:ascii="Times New Roman" w:hAnsi="Times New Roman" w:eastAsia="宋体" w:cs="Times New Roman"/>
          <w:b/>
          <w:bCs/>
          <w:color w:val="auto"/>
          <w:sz w:val="24"/>
          <w:szCs w:val="24"/>
          <w:highlight w:val="none"/>
        </w:rPr>
        <w:t>设施</w:t>
      </w:r>
      <w:bookmarkEnd w:id="487"/>
      <w:bookmarkEnd w:id="488"/>
    </w:p>
    <w:p>
      <w:pPr>
        <w:keepNext w:val="0"/>
        <w:keepLines w:val="0"/>
        <w:pageBreakBefore w:val="0"/>
        <w:widowControl w:val="0"/>
        <w:kinsoku/>
        <w:wordWrap/>
        <w:overflowPunct/>
        <w:topLinePunct w:val="0"/>
        <w:autoSpaceDE/>
        <w:autoSpaceDN/>
        <w:bidi w:val="0"/>
        <w:spacing w:line="360" w:lineRule="auto"/>
        <w:ind w:left="0" w:leftChars="0" w:right="0" w:rightChars="0" w:firstLine="480" w:firstLineChars="200"/>
        <w:jc w:val="left"/>
        <w:textAlignment w:val="auto"/>
        <w:rPr>
          <w:rFonts w:hint="default" w:ascii="Times New Roman" w:hAnsi="Times New Roman" w:eastAsia="宋体" w:cs="Times New Roman"/>
          <w:color w:val="auto"/>
          <w:sz w:val="24"/>
          <w:szCs w:val="24"/>
          <w:highlight w:val="none"/>
          <w:lang w:val="en-US" w:eastAsia="zh-CN"/>
        </w:rPr>
      </w:pPr>
      <w:bookmarkStart w:id="489" w:name="_Hlk80178212"/>
      <w:bookmarkStart w:id="490" w:name="_Hlk78192621"/>
      <w:r>
        <w:rPr>
          <w:rFonts w:hint="default" w:ascii="Times New Roman" w:hAnsi="Times New Roman" w:eastAsia="宋体" w:cs="Times New Roman"/>
          <w:color w:val="auto"/>
          <w:sz w:val="24"/>
          <w:szCs w:val="24"/>
          <w:highlight w:val="none"/>
          <w:lang w:val="en-US" w:eastAsia="zh-CN"/>
        </w:rPr>
        <w:t>本次尾矿库加高扩容项目防渗工程包括两部分内容：（1）尾矿库现有库区防渗依托现有防渗措施；（2）紧邻现有尾矿库南侧新增占地上新建尾矿库区防渗措施。</w:t>
      </w:r>
    </w:p>
    <w:p>
      <w:pPr>
        <w:pageBreakBefore w:val="0"/>
        <w:widowControl w:val="0"/>
        <w:kinsoku/>
        <w:wordWrap/>
        <w:overflowPunct/>
        <w:topLinePunct w:val="0"/>
        <w:autoSpaceDE/>
        <w:autoSpaceDN/>
        <w:bidi w:val="0"/>
        <w:snapToGrid w:val="0"/>
        <w:spacing w:line="360" w:lineRule="auto"/>
        <w:ind w:left="0" w:leftChars="0" w:right="0" w:rightChars="0" w:firstLine="482" w:firstLineChars="200"/>
        <w:jc w:val="both"/>
        <w:outlineLvl w:val="0"/>
        <w:rPr>
          <w:rFonts w:hint="default" w:ascii="Times New Roman" w:hAnsi="Times New Roman" w:eastAsia="宋体" w:cs="Times New Roman"/>
          <w:b/>
          <w:bCs/>
          <w:color w:val="auto"/>
          <w:sz w:val="24"/>
          <w:szCs w:val="24"/>
          <w:highlight w:val="none"/>
          <w:lang w:val="en-US" w:eastAsia="zh-CN"/>
        </w:rPr>
      </w:pPr>
      <w:bookmarkStart w:id="491" w:name="_Toc5237"/>
      <w:bookmarkStart w:id="492" w:name="_Toc31301"/>
      <w:r>
        <w:rPr>
          <w:rFonts w:hint="default" w:ascii="Times New Roman" w:hAnsi="Times New Roman" w:eastAsia="宋体" w:cs="Times New Roman"/>
          <w:b/>
          <w:bCs/>
          <w:color w:val="auto"/>
          <w:sz w:val="24"/>
          <w:szCs w:val="24"/>
          <w:highlight w:val="none"/>
          <w:lang w:val="en-US" w:eastAsia="zh-CN"/>
        </w:rPr>
        <w:t>（1）现有尾矿库区防渗如下：</w:t>
      </w:r>
      <w:bookmarkEnd w:id="491"/>
      <w:bookmarkEnd w:id="492"/>
    </w:p>
    <w:p>
      <w:pPr>
        <w:keepNext w:val="0"/>
        <w:keepLines w:val="0"/>
        <w:pageBreakBefore w:val="0"/>
        <w:widowControl w:val="0"/>
        <w:kinsoku/>
        <w:wordWrap/>
        <w:overflowPunct/>
        <w:topLinePunct w:val="0"/>
        <w:autoSpaceDE/>
        <w:autoSpaceDN/>
        <w:bidi w:val="0"/>
        <w:spacing w:line="360" w:lineRule="auto"/>
        <w:ind w:left="0" w:leftChars="0" w:right="0" w:rightChars="0" w:firstLine="480" w:firstLineChars="200"/>
        <w:jc w:val="left"/>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根据《监理报告》可知：现有</w:t>
      </w:r>
      <w:r>
        <w:rPr>
          <w:rFonts w:hint="default" w:ascii="Times New Roman" w:hAnsi="Times New Roman" w:eastAsia="宋体" w:cs="Times New Roman"/>
          <w:color w:val="auto"/>
          <w:sz w:val="24"/>
          <w:szCs w:val="24"/>
          <w:highlight w:val="none"/>
          <w:lang w:eastAsia="zh-CN"/>
        </w:rPr>
        <w:t>尾矿库库底和边坡同样做防渗层，铺设300mm厚级配沙砾石过渡层，300mm厚粘土层（渗透系数不大于10</w:t>
      </w:r>
      <w:r>
        <w:rPr>
          <w:rFonts w:hint="default" w:ascii="Times New Roman" w:hAnsi="Times New Roman" w:eastAsia="宋体" w:cs="Times New Roman"/>
          <w:color w:val="auto"/>
          <w:sz w:val="24"/>
          <w:szCs w:val="24"/>
          <w:highlight w:val="none"/>
          <w:vertAlign w:val="superscript"/>
          <w:lang w:eastAsia="zh-CN"/>
        </w:rPr>
        <w:t>-7</w:t>
      </w:r>
      <w:r>
        <w:rPr>
          <w:rFonts w:hint="default" w:ascii="Times New Roman" w:hAnsi="Times New Roman" w:eastAsia="宋体" w:cs="Times New Roman"/>
          <w:color w:val="auto"/>
          <w:sz w:val="24"/>
          <w:szCs w:val="24"/>
          <w:highlight w:val="none"/>
          <w:lang w:eastAsia="zh-CN"/>
        </w:rPr>
        <w:t>cm/s），1.5mmHDPE土工膜，300mm厚细砂保护层，300mm砂砾石保护层（粒径4-6cm）；初期坝坝体上游坡</w:t>
      </w:r>
      <w:r>
        <w:rPr>
          <w:rFonts w:hint="default" w:ascii="Times New Roman" w:hAnsi="Times New Roman" w:eastAsia="宋体" w:cs="Times New Roman"/>
          <w:color w:val="auto"/>
          <w:sz w:val="24"/>
          <w:szCs w:val="24"/>
          <w:highlight w:val="none"/>
          <w:lang w:val="en-US" w:eastAsia="zh-CN"/>
        </w:rPr>
        <w:t>铺设400mm厚粗砂垫层，然后铺设</w:t>
      </w:r>
      <w:r>
        <w:rPr>
          <w:rFonts w:hint="default" w:ascii="Times New Roman" w:hAnsi="Times New Roman" w:eastAsia="宋体" w:cs="Times New Roman"/>
          <w:color w:val="auto"/>
          <w:sz w:val="24"/>
          <w:szCs w:val="24"/>
          <w:highlight w:val="none"/>
          <w:lang w:eastAsia="zh-CN"/>
        </w:rPr>
        <w:t>500g/m</w:t>
      </w:r>
      <w:r>
        <w:rPr>
          <w:rFonts w:hint="default" w:ascii="Times New Roman" w:hAnsi="Times New Roman" w:eastAsia="宋体" w:cs="Times New Roman"/>
          <w:color w:val="auto"/>
          <w:sz w:val="24"/>
          <w:szCs w:val="24"/>
          <w:highlight w:val="none"/>
          <w:vertAlign w:val="superscript"/>
          <w:lang w:eastAsia="zh-CN"/>
        </w:rPr>
        <w:t>2</w:t>
      </w:r>
      <w:r>
        <w:rPr>
          <w:rFonts w:hint="default" w:ascii="Times New Roman" w:hAnsi="Times New Roman" w:eastAsia="宋体" w:cs="Times New Roman"/>
          <w:color w:val="auto"/>
          <w:sz w:val="24"/>
          <w:szCs w:val="24"/>
          <w:highlight w:val="none"/>
          <w:lang w:val="en-US" w:eastAsia="zh-CN"/>
        </w:rPr>
        <w:t>加筋土工布，最上面铺500mm厚天然砂砾石保护层。</w:t>
      </w:r>
    </w:p>
    <w:p>
      <w:pPr>
        <w:keepNext w:val="0"/>
        <w:keepLines w:val="0"/>
        <w:pageBreakBefore w:val="0"/>
        <w:widowControl w:val="0"/>
        <w:kinsoku/>
        <w:wordWrap/>
        <w:overflowPunct/>
        <w:topLinePunct w:val="0"/>
        <w:autoSpaceDE/>
        <w:autoSpaceDN/>
        <w:bidi w:val="0"/>
        <w:spacing w:line="360" w:lineRule="auto"/>
        <w:ind w:left="0" w:leftChars="0" w:right="0" w:rightChars="0" w:firstLine="480" w:firstLineChars="200"/>
        <w:jc w:val="left"/>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color w:val="auto"/>
          <w:sz w:val="24"/>
          <w:szCs w:val="24"/>
          <w:highlight w:val="none"/>
        </w:rPr>
        <w:t>2017年8月23日原巴彦淖尔市环境保护局以《内蒙古自治区乌拉特前旗西沙德盖钼业有限责任公司10000t/d钼矿采选扩建尾矿库工程竣工环境保护验收意见》（巴环验〔2017〕28号）</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尾矿库做防渗处理，满足Ⅱ类场要求运行和管理</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同意现有尾矿库通过竣工环境保护验收</w:t>
      </w:r>
      <w:r>
        <w:rPr>
          <w:rFonts w:hint="default" w:ascii="Times New Roman" w:hAnsi="Times New Roman" w:eastAsia="宋体" w:cs="Times New Roman"/>
          <w:color w:val="auto"/>
          <w:sz w:val="24"/>
          <w:szCs w:val="24"/>
          <w:highlight w:val="none"/>
          <w:lang w:eastAsia="zh-CN"/>
        </w:rPr>
        <w:t>。</w:t>
      </w:r>
    </w:p>
    <w:p>
      <w:pPr>
        <w:keepNext w:val="0"/>
        <w:keepLines w:val="0"/>
        <w:pageBreakBefore w:val="0"/>
        <w:widowControl w:val="0"/>
        <w:kinsoku/>
        <w:wordWrap/>
        <w:overflowPunct/>
        <w:topLinePunct w:val="0"/>
        <w:autoSpaceDE/>
        <w:autoSpaceDN/>
        <w:bidi w:val="0"/>
        <w:spacing w:line="360" w:lineRule="auto"/>
        <w:ind w:left="0" w:leftChars="0" w:right="0" w:rightChars="0" w:firstLine="482" w:firstLineChars="200"/>
        <w:jc w:val="left"/>
        <w:textAlignment w:val="auto"/>
        <w:outlineLvl w:val="0"/>
        <w:rPr>
          <w:rFonts w:hint="default" w:ascii="Times New Roman" w:hAnsi="Times New Roman" w:eastAsia="宋体" w:cs="Times New Roman"/>
          <w:b/>
          <w:bCs/>
          <w:color w:val="auto"/>
          <w:sz w:val="24"/>
          <w:szCs w:val="24"/>
          <w:highlight w:val="none"/>
          <w:lang w:val="en-US" w:eastAsia="zh-CN"/>
        </w:rPr>
      </w:pPr>
      <w:bookmarkStart w:id="493" w:name="_Toc21076"/>
      <w:bookmarkStart w:id="494" w:name="_Toc21252"/>
      <w:r>
        <w:rPr>
          <w:rFonts w:hint="default" w:ascii="Times New Roman" w:hAnsi="Times New Roman" w:eastAsia="宋体" w:cs="Times New Roman"/>
          <w:b/>
          <w:bCs/>
          <w:color w:val="auto"/>
          <w:sz w:val="24"/>
          <w:szCs w:val="24"/>
          <w:highlight w:val="none"/>
          <w:lang w:val="en-US" w:eastAsia="zh-CN"/>
        </w:rPr>
        <w:t>（2）紧邻现有尾矿库南侧新增占地部分防渗设计如下：</w:t>
      </w:r>
      <w:bookmarkEnd w:id="493"/>
      <w:bookmarkEnd w:id="494"/>
    </w:p>
    <w:p>
      <w:pPr>
        <w:pageBreakBefore w:val="0"/>
        <w:wordWrap/>
        <w:bidi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根据《一般工业固体废物贮存和填埋污染控制标准》（GB18599-2020）的5.3条，</w:t>
      </w:r>
      <w:r>
        <w:rPr>
          <w:rFonts w:hint="default" w:ascii="Times New Roman" w:hAnsi="Times New Roman" w:eastAsia="宋体" w:cs="Times New Roman"/>
          <w:color w:val="auto"/>
          <w:sz w:val="24"/>
          <w:highlight w:val="none"/>
        </w:rPr>
        <w:fldChar w:fldCharType="begin"/>
      </w:r>
      <w:r>
        <w:rPr>
          <w:rFonts w:hint="default" w:ascii="Times New Roman" w:hAnsi="Times New Roman" w:eastAsia="宋体" w:cs="Times New Roman"/>
          <w:color w:val="auto"/>
          <w:sz w:val="24"/>
          <w:highlight w:val="none"/>
        </w:rPr>
        <w:instrText xml:space="preserve"> = 2 \* ROMAN </w:instrText>
      </w:r>
      <w:r>
        <w:rPr>
          <w:rFonts w:hint="default" w:ascii="Times New Roman" w:hAnsi="Times New Roman" w:eastAsia="宋体" w:cs="Times New Roman"/>
          <w:color w:val="auto"/>
          <w:sz w:val="24"/>
          <w:highlight w:val="none"/>
        </w:rPr>
        <w:fldChar w:fldCharType="separate"/>
      </w:r>
      <w:r>
        <w:rPr>
          <w:rFonts w:hint="default" w:ascii="Times New Roman" w:hAnsi="Times New Roman" w:eastAsia="宋体" w:cs="Times New Roman"/>
          <w:color w:val="auto"/>
          <w:sz w:val="24"/>
          <w:highlight w:val="none"/>
        </w:rPr>
        <w:t>II</w:t>
      </w:r>
      <w:r>
        <w:rPr>
          <w:rFonts w:hint="default" w:ascii="Times New Roman" w:hAnsi="Times New Roman" w:eastAsia="宋体" w:cs="Times New Roman"/>
          <w:color w:val="auto"/>
          <w:sz w:val="24"/>
          <w:highlight w:val="none"/>
        </w:rPr>
        <w:fldChar w:fldCharType="end"/>
      </w:r>
      <w:r>
        <w:rPr>
          <w:rFonts w:hint="default" w:ascii="Times New Roman" w:hAnsi="Times New Roman" w:eastAsia="宋体" w:cs="Times New Roman"/>
          <w:color w:val="auto"/>
          <w:sz w:val="24"/>
          <w:highlight w:val="none"/>
        </w:rPr>
        <w:t>类场应采用单人工复合衬层作为防渗衬层，并符合以下技术要求；</w:t>
      </w:r>
    </w:p>
    <w:p>
      <w:pPr>
        <w:pageBreakBefore w:val="0"/>
        <w:wordWrap/>
        <w:bidi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1）人工合成材料应采用高密度聚乙烯膜，厚度不小于1.5mm，并满足GB/T17643规定的技术指标要求。采用其他人工合成材料的，其防渗性能至少相当于1.5mm高密度聚乙烯膜的防渗性能。</w:t>
      </w:r>
    </w:p>
    <w:p>
      <w:pPr>
        <w:pageBreakBefore w:val="0"/>
        <w:wordWrap/>
        <w:bidi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2）粘土衬层厚度应不小于0.75m，且经压实、人工改性等措施处理后的饱和渗透系数应不大于1.0×10</w:t>
      </w:r>
      <w:r>
        <w:rPr>
          <w:rFonts w:hint="default" w:ascii="Times New Roman" w:hAnsi="Times New Roman" w:eastAsia="宋体" w:cs="Times New Roman"/>
          <w:color w:val="auto"/>
          <w:sz w:val="24"/>
          <w:highlight w:val="none"/>
          <w:vertAlign w:val="superscript"/>
        </w:rPr>
        <w:t>-7</w:t>
      </w:r>
      <w:r>
        <w:rPr>
          <w:rFonts w:hint="default" w:ascii="Times New Roman" w:hAnsi="Times New Roman" w:eastAsia="宋体" w:cs="Times New Roman"/>
          <w:color w:val="auto"/>
          <w:sz w:val="24"/>
          <w:highlight w:val="none"/>
        </w:rPr>
        <w:t>cm/s。使用其他粘土类防渗衬层材料时，应具有同等以上的隔水效力。</w:t>
      </w:r>
    </w:p>
    <w:p>
      <w:pPr>
        <w:pageBreakBefore w:val="0"/>
        <w:wordWrap/>
        <w:bidi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根据《一般工业固体废物贮存和填埋污染控制标准》（GB18599-2020）的附录A，单人工复合衬层系统说明，单人工复合衬层系统（HDPE土工膜+粘土）结构如图A.1所示，部分结构说明如下：</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A）渗滤液导排层：宜采用卵石，厚度不应小于30cm，卵石下可增设土工复合排水网；</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B）人工防渗衬层：采用HDPE土工膜时厚度不应小于1.5mm；</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C）粘土衬层：渗透系数不应大于1.0×10</w:t>
      </w:r>
      <w:r>
        <w:rPr>
          <w:rFonts w:hint="default" w:ascii="Times New Roman" w:hAnsi="Times New Roman" w:eastAsia="宋体" w:cs="Times New Roman"/>
          <w:color w:val="auto"/>
          <w:sz w:val="24"/>
          <w:highlight w:val="none"/>
          <w:vertAlign w:val="superscript"/>
        </w:rPr>
        <w:t>-7</w:t>
      </w:r>
      <w:r>
        <w:rPr>
          <w:rFonts w:hint="default" w:ascii="Times New Roman" w:hAnsi="Times New Roman" w:eastAsia="宋体" w:cs="Times New Roman"/>
          <w:color w:val="auto"/>
          <w:sz w:val="24"/>
          <w:highlight w:val="none"/>
        </w:rPr>
        <w:t>cm/s，厚度不宜小于75cm；</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D）保护层：可采用非织造土工布及保护粘土层；</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E）地下水导排层（可选）：采用卵（砾）石等石料</w:t>
      </w:r>
      <w:r>
        <w:rPr>
          <w:rFonts w:hint="default" w:ascii="Times New Roman" w:hAnsi="Times New Roman" w:eastAsia="宋体" w:cs="Times New Roman"/>
          <w:color w:val="auto"/>
          <w:sz w:val="24"/>
          <w:highlight w:val="none"/>
          <w:lang w:eastAsia="zh-CN"/>
        </w:rPr>
        <w:t>；</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F）基础层：具有承载填埋堆体负荷的天然岩土层或经过地基处理的稳定岩土层</w:t>
      </w:r>
      <w:r>
        <w:rPr>
          <w:rFonts w:hint="default" w:ascii="Times New Roman" w:hAnsi="Times New Roman" w:eastAsia="宋体" w:cs="Times New Roman"/>
          <w:color w:val="auto"/>
          <w:sz w:val="24"/>
          <w:highlight w:val="none"/>
          <w:lang w:eastAsia="zh-CN"/>
        </w:rPr>
        <w:t>。</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lang w:eastAsia="zh-CN"/>
        </w:rPr>
      </w:pP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lang w:eastAsia="zh-CN"/>
        </w:rPr>
      </w:pP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lang w:eastAsia="zh-CN"/>
        </w:rPr>
      </w:pP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lang w:eastAsia="zh-CN"/>
        </w:rPr>
      </w:pPr>
    </w:p>
    <w:p>
      <w:pPr>
        <w:pageBreakBefore w:val="0"/>
        <w:wordWrap/>
        <w:bidi w:val="0"/>
        <w:spacing w:line="360" w:lineRule="auto"/>
        <w:ind w:left="0" w:leftChars="0" w:right="0" w:rightChars="0"/>
        <w:rPr>
          <w:rFonts w:hint="default" w:ascii="Times New Roman" w:hAnsi="Times New Roman" w:eastAsia="宋体" w:cs="Times New Roman"/>
          <w:color w:val="auto"/>
          <w:highlight w:val="none"/>
        </w:rPr>
      </w:pPr>
    </w:p>
    <w:p>
      <w:pPr>
        <w:pageBreakBefore w:val="0"/>
        <w:wordWrap/>
        <w:bidi w:val="0"/>
        <w:spacing w:line="480" w:lineRule="exact"/>
        <w:ind w:left="0" w:leftChars="0" w:right="0" w:rightChars="0" w:firstLine="42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drawing>
          <wp:anchor distT="0" distB="0" distL="114300" distR="114300" simplePos="0" relativeHeight="251727872" behindDoc="0" locked="0" layoutInCell="1" allowOverlap="1">
            <wp:simplePos x="0" y="0"/>
            <wp:positionH relativeFrom="column">
              <wp:posOffset>1003300</wp:posOffset>
            </wp:positionH>
            <wp:positionV relativeFrom="paragraph">
              <wp:posOffset>144145</wp:posOffset>
            </wp:positionV>
            <wp:extent cx="3656965" cy="2292985"/>
            <wp:effectExtent l="0" t="0" r="635" b="12065"/>
            <wp:wrapNone/>
            <wp:docPr id="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
                    <pic:cNvPicPr>
                      <a:picLocks noChangeAspect="1"/>
                    </pic:cNvPicPr>
                  </pic:nvPicPr>
                  <pic:blipFill>
                    <a:blip r:embed="rId38"/>
                    <a:stretch>
                      <a:fillRect/>
                    </a:stretch>
                  </pic:blipFill>
                  <pic:spPr>
                    <a:xfrm>
                      <a:off x="0" y="0"/>
                      <a:ext cx="3656965" cy="2292985"/>
                    </a:xfrm>
                    <a:prstGeom prst="rect">
                      <a:avLst/>
                    </a:prstGeom>
                    <a:noFill/>
                    <a:ln>
                      <a:noFill/>
                    </a:ln>
                  </pic:spPr>
                </pic:pic>
              </a:graphicData>
            </a:graphic>
          </wp:anchor>
        </w:drawing>
      </w:r>
    </w:p>
    <w:p>
      <w:pPr>
        <w:pageBreakBefore w:val="0"/>
        <w:wordWrap/>
        <w:bidi w:val="0"/>
        <w:spacing w:line="480" w:lineRule="exact"/>
        <w:ind w:left="0" w:leftChars="0" w:right="0" w:rightChars="0" w:firstLine="420" w:firstLineChars="200"/>
        <w:rPr>
          <w:rFonts w:hint="default" w:ascii="Times New Roman" w:hAnsi="Times New Roman" w:eastAsia="宋体" w:cs="Times New Roman"/>
          <w:color w:val="auto"/>
          <w:highlight w:val="none"/>
        </w:rPr>
      </w:pPr>
    </w:p>
    <w:p>
      <w:pPr>
        <w:pageBreakBefore w:val="0"/>
        <w:wordWrap/>
        <w:bidi w:val="0"/>
        <w:spacing w:line="480" w:lineRule="exact"/>
        <w:ind w:left="0" w:leftChars="0" w:right="0" w:rightChars="0" w:firstLine="420" w:firstLineChars="200"/>
        <w:rPr>
          <w:rFonts w:hint="default" w:ascii="Times New Roman" w:hAnsi="Times New Roman" w:eastAsia="宋体" w:cs="Times New Roman"/>
          <w:color w:val="auto"/>
          <w:highlight w:val="none"/>
        </w:rPr>
      </w:pPr>
    </w:p>
    <w:p>
      <w:pPr>
        <w:pageBreakBefore w:val="0"/>
        <w:wordWrap/>
        <w:bidi w:val="0"/>
        <w:spacing w:line="480" w:lineRule="exact"/>
        <w:ind w:left="0" w:leftChars="0" w:right="0" w:rightChars="0" w:firstLine="420" w:firstLineChars="200"/>
        <w:rPr>
          <w:rFonts w:hint="default" w:ascii="Times New Roman" w:hAnsi="Times New Roman" w:eastAsia="宋体" w:cs="Times New Roman"/>
          <w:color w:val="auto"/>
          <w:highlight w:val="none"/>
        </w:rPr>
      </w:pPr>
    </w:p>
    <w:p>
      <w:pPr>
        <w:pageBreakBefore w:val="0"/>
        <w:wordWrap/>
        <w:bidi w:val="0"/>
        <w:spacing w:line="480" w:lineRule="exact"/>
        <w:ind w:left="0" w:leftChars="0" w:right="0" w:rightChars="0" w:firstLine="420" w:firstLineChars="200"/>
        <w:rPr>
          <w:rFonts w:hint="default" w:ascii="Times New Roman" w:hAnsi="Times New Roman" w:eastAsia="宋体" w:cs="Times New Roman"/>
          <w:color w:val="auto"/>
          <w:highlight w:val="none"/>
        </w:rPr>
      </w:pPr>
    </w:p>
    <w:p>
      <w:pPr>
        <w:pageBreakBefore w:val="0"/>
        <w:wordWrap/>
        <w:bidi w:val="0"/>
        <w:spacing w:line="480" w:lineRule="exact"/>
        <w:ind w:left="0" w:leftChars="0" w:right="0" w:rightChars="0" w:firstLine="420" w:firstLineChars="200"/>
        <w:rPr>
          <w:rFonts w:hint="default" w:ascii="Times New Roman" w:hAnsi="Times New Roman" w:eastAsia="宋体" w:cs="Times New Roman"/>
          <w:color w:val="auto"/>
          <w:highlight w:val="none"/>
        </w:rPr>
      </w:pPr>
    </w:p>
    <w:p>
      <w:pPr>
        <w:pageBreakBefore w:val="0"/>
        <w:wordWrap/>
        <w:bidi w:val="0"/>
        <w:spacing w:line="480" w:lineRule="exact"/>
        <w:ind w:left="0" w:leftChars="0" w:right="0" w:rightChars="0" w:firstLine="420" w:firstLineChars="200"/>
        <w:rPr>
          <w:rFonts w:hint="default" w:ascii="Times New Roman" w:hAnsi="Times New Roman" w:eastAsia="宋体" w:cs="Times New Roman"/>
          <w:color w:val="auto"/>
          <w:highlight w:val="none"/>
        </w:rPr>
      </w:pPr>
    </w:p>
    <w:p>
      <w:pPr>
        <w:pageBreakBefore w:val="0"/>
        <w:wordWrap/>
        <w:bidi w:val="0"/>
        <w:spacing w:line="480" w:lineRule="exact"/>
        <w:ind w:left="0" w:leftChars="0" w:right="0" w:rightChars="0" w:firstLine="422" w:firstLineChars="200"/>
        <w:jc w:val="center"/>
        <w:rPr>
          <w:rFonts w:hint="default" w:ascii="Times New Roman" w:hAnsi="Times New Roman" w:eastAsia="宋体" w:cs="Times New Roman"/>
          <w:b/>
          <w:color w:val="auto"/>
          <w:szCs w:val="21"/>
          <w:highlight w:val="none"/>
        </w:rPr>
      </w:pPr>
    </w:p>
    <w:p>
      <w:pPr>
        <w:pageBreakBefore w:val="0"/>
        <w:wordWrap/>
        <w:bidi w:val="0"/>
        <w:spacing w:line="480" w:lineRule="exact"/>
        <w:ind w:left="0" w:leftChars="0" w:right="0" w:rightChars="0" w:firstLine="422" w:firstLineChars="200"/>
        <w:jc w:val="center"/>
        <w:outlineLvl w:val="1"/>
        <w:rPr>
          <w:rFonts w:hint="default" w:ascii="Times New Roman" w:hAnsi="Times New Roman" w:eastAsia="宋体" w:cs="Times New Roman"/>
          <w:b/>
          <w:color w:val="auto"/>
          <w:szCs w:val="21"/>
          <w:highlight w:val="none"/>
        </w:rPr>
      </w:pPr>
      <w:bookmarkStart w:id="495" w:name="_Toc5149"/>
      <w:bookmarkStart w:id="496" w:name="_Toc23058"/>
      <w:r>
        <w:rPr>
          <w:rFonts w:hint="default" w:ascii="Times New Roman" w:hAnsi="Times New Roman" w:eastAsia="宋体" w:cs="Times New Roman"/>
          <w:b/>
          <w:color w:val="auto"/>
          <w:szCs w:val="21"/>
          <w:highlight w:val="none"/>
        </w:rPr>
        <w:t>图A.1单人工复合衬层系统示意图</w:t>
      </w:r>
      <w:bookmarkEnd w:id="495"/>
      <w:bookmarkEnd w:id="496"/>
    </w:p>
    <w:p>
      <w:pPr>
        <w:pageBreakBefore w:val="0"/>
        <w:wordWrap/>
        <w:bidi w:val="0"/>
        <w:spacing w:line="480" w:lineRule="exact"/>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综上，根据本项目设计资料，紧邻现有尾矿库南侧新增占地部分尾矿库库底和边坡采用单人工复合衬层作为防渗衬层，库底及侧壁防渗层结构按自下而上的顺序分别为基础层、粘土衬层、人工防渗衬层、保护层、渗滤液导排层。具体工程方案如下：</w:t>
      </w:r>
    </w:p>
    <w:p>
      <w:pPr>
        <w:pageBreakBefore w:val="0"/>
        <w:wordWrap/>
        <w:bidi w:val="0"/>
        <w:spacing w:line="480" w:lineRule="exact"/>
        <w:ind w:left="0" w:leftChars="0" w:right="0" w:rightChars="0" w:firstLine="480" w:firstLineChars="200"/>
        <w:outlineLvl w:val="1"/>
        <w:rPr>
          <w:rFonts w:hint="default" w:ascii="Times New Roman" w:hAnsi="Times New Roman" w:eastAsia="宋体" w:cs="Times New Roman"/>
          <w:color w:val="auto"/>
          <w:sz w:val="24"/>
          <w:highlight w:val="none"/>
          <w:lang w:eastAsia="zh-CN"/>
        </w:rPr>
      </w:pPr>
      <w:bookmarkStart w:id="497" w:name="_Toc26505"/>
      <w:bookmarkStart w:id="498" w:name="_Toc1903"/>
      <w:r>
        <w:rPr>
          <w:rFonts w:hint="default" w:ascii="Times New Roman" w:hAnsi="Times New Roman" w:eastAsia="宋体" w:cs="Times New Roman"/>
          <w:color w:val="auto"/>
          <w:sz w:val="24"/>
          <w:highlight w:val="none"/>
          <w:lang w:val="en-US" w:eastAsia="zh-CN"/>
        </w:rPr>
        <w:t>3</w:t>
      </w:r>
      <w:r>
        <w:rPr>
          <w:rFonts w:hint="default" w:ascii="Times New Roman" w:hAnsi="Times New Roman" w:eastAsia="宋体" w:cs="Times New Roman"/>
          <w:color w:val="auto"/>
          <w:sz w:val="24"/>
          <w:highlight w:val="none"/>
        </w:rPr>
        <w:t>）库区底部防渗层结构从下至上依次为</w:t>
      </w:r>
      <w:r>
        <w:rPr>
          <w:rFonts w:hint="default" w:ascii="Times New Roman" w:hAnsi="Times New Roman" w:eastAsia="宋体" w:cs="Times New Roman"/>
          <w:color w:val="auto"/>
          <w:sz w:val="24"/>
          <w:highlight w:val="none"/>
          <w:lang w:eastAsia="zh-CN"/>
        </w:rPr>
        <w:t>：</w:t>
      </w:r>
      <w:bookmarkEnd w:id="497"/>
      <w:bookmarkEnd w:id="498"/>
    </w:p>
    <w:p>
      <w:pPr>
        <w:pageBreakBefore w:val="0"/>
        <w:wordWrap/>
        <w:bidi w:val="0"/>
        <w:spacing w:line="480" w:lineRule="exact"/>
        <w:ind w:left="0" w:leftChars="0" w:right="0" w:rightChars="0" w:firstLine="480" w:firstLineChars="200"/>
        <w:outlineLvl w:val="2"/>
        <w:rPr>
          <w:rFonts w:hint="default" w:ascii="Times New Roman" w:hAnsi="Times New Roman" w:eastAsia="宋体" w:cs="Times New Roman"/>
          <w:color w:val="auto"/>
          <w:sz w:val="24"/>
          <w:highlight w:val="none"/>
        </w:rPr>
      </w:pPr>
      <w:bookmarkStart w:id="499" w:name="_Toc5056"/>
      <w:bookmarkStart w:id="500" w:name="_Toc17109"/>
      <w:r>
        <w:rPr>
          <w:rFonts w:hint="default" w:ascii="Times New Roman" w:hAnsi="Times New Roman" w:eastAsia="宋体" w:cs="Times New Roman"/>
          <w:color w:val="auto"/>
          <w:sz w:val="24"/>
          <w:highlight w:val="none"/>
        </w:rPr>
        <w:t>①压实后的基础层</w:t>
      </w:r>
      <w:bookmarkEnd w:id="499"/>
      <w:bookmarkEnd w:id="500"/>
    </w:p>
    <w:p>
      <w:pPr>
        <w:pageBreakBefore w:val="0"/>
        <w:wordWrap/>
        <w:bidi w:val="0"/>
        <w:spacing w:line="480" w:lineRule="exact"/>
        <w:ind w:left="0" w:leftChars="0" w:right="0" w:rightChars="0"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②粘土衬层厚度应不小于0.75m，且经压实、人工改性等措施处理后的饱和渗透系数应不大于1.0×10</w:t>
      </w:r>
      <w:r>
        <w:rPr>
          <w:rFonts w:hint="default" w:ascii="Times New Roman" w:hAnsi="Times New Roman" w:eastAsia="宋体" w:cs="Times New Roman"/>
          <w:color w:val="auto"/>
          <w:sz w:val="24"/>
          <w:highlight w:val="none"/>
          <w:vertAlign w:val="superscript"/>
        </w:rPr>
        <w:t>-7</w:t>
      </w:r>
      <w:r>
        <w:rPr>
          <w:rFonts w:hint="default" w:ascii="Times New Roman" w:hAnsi="Times New Roman" w:eastAsia="宋体" w:cs="Times New Roman"/>
          <w:color w:val="auto"/>
          <w:sz w:val="24"/>
          <w:highlight w:val="none"/>
        </w:rPr>
        <w:t>cm/s。使用其他粘土类防渗衬层材料时，应具有同等以上的隔水效力</w:t>
      </w:r>
      <w:r>
        <w:rPr>
          <w:rFonts w:hint="default" w:ascii="Times New Roman" w:hAnsi="Times New Roman" w:eastAsia="宋体" w:cs="Times New Roman"/>
          <w:color w:val="auto"/>
          <w:sz w:val="24"/>
          <w:highlight w:val="none"/>
          <w:lang w:eastAsia="zh-CN"/>
        </w:rPr>
        <w:t>；</w:t>
      </w:r>
    </w:p>
    <w:p>
      <w:pPr>
        <w:pageBreakBefore w:val="0"/>
        <w:wordWrap/>
        <w:bidi w:val="0"/>
        <w:spacing w:line="480" w:lineRule="exact"/>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③复合土工膜（两布一膜，1.5mm厚HDPE土工膜、400g/m2短纤非织造土工布保护层）</w:t>
      </w:r>
    </w:p>
    <w:p>
      <w:pPr>
        <w:pageBreakBefore w:val="0"/>
        <w:wordWrap/>
        <w:bidi w:val="0"/>
        <w:snapToGrid w:val="0"/>
        <w:spacing w:line="360" w:lineRule="auto"/>
        <w:ind w:left="0" w:leftChars="0" w:right="0" w:rightChars="0" w:firstLine="480" w:firstLineChars="200"/>
        <w:outlineLvl w:val="2"/>
        <w:rPr>
          <w:rFonts w:hint="default" w:ascii="Times New Roman" w:hAnsi="Times New Roman" w:eastAsia="宋体" w:cs="Times New Roman"/>
          <w:color w:val="auto"/>
          <w:sz w:val="24"/>
          <w:highlight w:val="none"/>
        </w:rPr>
      </w:pPr>
      <w:bookmarkStart w:id="501" w:name="_Toc4795"/>
      <w:bookmarkStart w:id="502" w:name="_Toc25860"/>
      <w:r>
        <w:rPr>
          <w:rFonts w:hint="default" w:ascii="Times New Roman" w:hAnsi="Times New Roman" w:eastAsia="宋体" w:cs="Times New Roman"/>
          <w:color w:val="auto"/>
          <w:sz w:val="24"/>
          <w:highlight w:val="none"/>
        </w:rPr>
        <w:t>④300mm砾石导排层</w:t>
      </w:r>
      <w:bookmarkEnd w:id="501"/>
      <w:bookmarkEnd w:id="502"/>
    </w:p>
    <w:p>
      <w:pPr>
        <w:pageBreakBefore w:val="0"/>
        <w:wordWrap/>
        <w:bidi w:val="0"/>
        <w:snapToGrid w:val="0"/>
        <w:spacing w:line="360" w:lineRule="auto"/>
        <w:ind w:left="0" w:leftChars="0" w:right="0" w:rightChars="0" w:firstLine="480" w:firstLineChars="200"/>
        <w:outlineLvl w:val="1"/>
        <w:rPr>
          <w:rFonts w:hint="default" w:ascii="Times New Roman" w:hAnsi="Times New Roman" w:eastAsia="宋体" w:cs="Times New Roman"/>
          <w:color w:val="auto"/>
          <w:sz w:val="24"/>
          <w:highlight w:val="none"/>
          <w:lang w:eastAsia="zh-CN"/>
        </w:rPr>
      </w:pPr>
      <w:bookmarkStart w:id="503" w:name="_Toc28644"/>
      <w:bookmarkStart w:id="504" w:name="_Toc1028"/>
      <w:r>
        <w:rPr>
          <w:rFonts w:hint="default" w:ascii="Times New Roman" w:hAnsi="Times New Roman" w:eastAsia="宋体" w:cs="Times New Roman"/>
          <w:color w:val="auto"/>
          <w:sz w:val="24"/>
          <w:highlight w:val="none"/>
          <w:lang w:val="en-US" w:eastAsia="zh-CN"/>
        </w:rPr>
        <w:t>4</w:t>
      </w:r>
      <w:r>
        <w:rPr>
          <w:rFonts w:hint="default" w:ascii="Times New Roman" w:hAnsi="Times New Roman" w:eastAsia="宋体" w:cs="Times New Roman"/>
          <w:color w:val="auto"/>
          <w:sz w:val="24"/>
          <w:highlight w:val="none"/>
        </w:rPr>
        <w:t>）边坡防渗层结构从下至上依次为</w:t>
      </w:r>
      <w:r>
        <w:rPr>
          <w:rFonts w:hint="default" w:ascii="Times New Roman" w:hAnsi="Times New Roman" w:eastAsia="宋体" w:cs="Times New Roman"/>
          <w:color w:val="auto"/>
          <w:sz w:val="24"/>
          <w:highlight w:val="none"/>
          <w:lang w:eastAsia="zh-CN"/>
        </w:rPr>
        <w:t>：</w:t>
      </w:r>
      <w:bookmarkEnd w:id="503"/>
      <w:bookmarkEnd w:id="504"/>
    </w:p>
    <w:p>
      <w:pPr>
        <w:pageBreakBefore w:val="0"/>
        <w:wordWrap/>
        <w:bidi w:val="0"/>
        <w:snapToGrid w:val="0"/>
        <w:spacing w:line="360" w:lineRule="auto"/>
        <w:ind w:left="0" w:leftChars="0" w:right="0" w:rightChars="0" w:firstLine="480" w:firstLineChars="200"/>
        <w:outlineLvl w:val="2"/>
        <w:rPr>
          <w:rFonts w:hint="default" w:ascii="Times New Roman" w:hAnsi="Times New Roman" w:eastAsia="宋体" w:cs="Times New Roman"/>
          <w:color w:val="auto"/>
          <w:sz w:val="24"/>
          <w:highlight w:val="none"/>
        </w:rPr>
      </w:pPr>
      <w:bookmarkStart w:id="505" w:name="_Toc20045"/>
      <w:bookmarkStart w:id="506" w:name="_Toc1258"/>
      <w:r>
        <w:rPr>
          <w:rFonts w:hint="default" w:ascii="Times New Roman" w:hAnsi="Times New Roman" w:eastAsia="宋体" w:cs="Times New Roman"/>
          <w:color w:val="auto"/>
          <w:sz w:val="24"/>
          <w:highlight w:val="none"/>
        </w:rPr>
        <w:t>①压实后的基础层</w:t>
      </w:r>
      <w:bookmarkEnd w:id="505"/>
      <w:bookmarkEnd w:id="506"/>
    </w:p>
    <w:p>
      <w:pPr>
        <w:pageBreakBefore w:val="0"/>
        <w:wordWrap/>
        <w:bidi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②粘土衬层厚度应不小于0.75m，且经压实、人工改性等措施处理后的饱和渗透系数应不大于1.0×10</w:t>
      </w:r>
      <w:r>
        <w:rPr>
          <w:rFonts w:hint="default" w:ascii="Times New Roman" w:hAnsi="Times New Roman" w:eastAsia="宋体" w:cs="Times New Roman"/>
          <w:color w:val="auto"/>
          <w:sz w:val="24"/>
          <w:highlight w:val="none"/>
          <w:vertAlign w:val="superscript"/>
        </w:rPr>
        <w:t>-7</w:t>
      </w:r>
      <w:r>
        <w:rPr>
          <w:rFonts w:hint="default" w:ascii="Times New Roman" w:hAnsi="Times New Roman" w:eastAsia="宋体" w:cs="Times New Roman"/>
          <w:color w:val="auto"/>
          <w:sz w:val="24"/>
          <w:highlight w:val="none"/>
        </w:rPr>
        <w:t>cm/s。使用其他粘土类防渗衬层材料时，应具有同等以上的隔水效力。</w:t>
      </w:r>
    </w:p>
    <w:p>
      <w:pPr>
        <w:pageBreakBefore w:val="0"/>
        <w:wordWrap/>
        <w:bidi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③防渗衬层复合土工膜（两布一膜，1.5mm厚HDPE土工膜、400g/m2短纤非织造土工布保护层）</w:t>
      </w:r>
    </w:p>
    <w:p>
      <w:pPr>
        <w:pageBreakBefore w:val="0"/>
        <w:widowControl w:val="0"/>
        <w:kinsoku/>
        <w:wordWrap/>
        <w:overflowPunct/>
        <w:topLinePunct w:val="0"/>
        <w:autoSpaceDE/>
        <w:autoSpaceDN/>
        <w:bidi w:val="0"/>
        <w:snapToGrid w:val="0"/>
        <w:spacing w:line="360" w:lineRule="auto"/>
        <w:ind w:left="0" w:leftChars="0" w:right="0" w:rightChars="0" w:firstLine="480" w:firstLineChars="200"/>
        <w:jc w:val="both"/>
        <w:outlineLvl w:val="2"/>
        <w:rPr>
          <w:rFonts w:hint="default" w:ascii="Times New Roman" w:hAnsi="Times New Roman" w:eastAsia="宋体" w:cs="Times New Roman"/>
          <w:color w:val="auto"/>
          <w:sz w:val="24"/>
          <w:szCs w:val="24"/>
          <w:highlight w:val="none"/>
          <w:lang w:val="en-US" w:eastAsia="zh-CN"/>
        </w:rPr>
      </w:pPr>
      <w:bookmarkStart w:id="507" w:name="_Toc4553"/>
      <w:bookmarkStart w:id="508" w:name="_Toc13129"/>
      <w:r>
        <w:rPr>
          <w:rFonts w:hint="default" w:ascii="Times New Roman" w:hAnsi="Times New Roman" w:eastAsia="宋体" w:cs="Times New Roman"/>
          <w:color w:val="auto"/>
          <w:sz w:val="24"/>
          <w:highlight w:val="none"/>
        </w:rPr>
        <w:t>④砂硕填充袋</w:t>
      </w:r>
      <w:bookmarkEnd w:id="507"/>
      <w:bookmarkEnd w:id="508"/>
    </w:p>
    <w:p>
      <w:pPr>
        <w:pageBreakBefore w:val="0"/>
        <w:widowControl w:val="0"/>
        <w:kinsoku/>
        <w:wordWrap/>
        <w:overflowPunct/>
        <w:topLinePunct w:val="0"/>
        <w:autoSpaceDE/>
        <w:autoSpaceDN/>
        <w:bidi w:val="0"/>
        <w:snapToGrid w:val="0"/>
        <w:spacing w:line="360" w:lineRule="auto"/>
        <w:ind w:left="0" w:leftChars="0" w:right="0" w:rightChars="0" w:firstLine="482" w:firstLineChars="200"/>
        <w:jc w:val="both"/>
        <w:outlineLvl w:val="0"/>
        <w:rPr>
          <w:rFonts w:hint="default" w:ascii="Times New Roman" w:hAnsi="Times New Roman" w:eastAsia="宋体" w:cs="Times New Roman"/>
          <w:b/>
          <w:bCs/>
          <w:color w:val="auto"/>
          <w:sz w:val="24"/>
          <w:szCs w:val="24"/>
          <w:highlight w:val="none"/>
          <w:lang w:val="en-US" w:eastAsia="zh-CN"/>
        </w:rPr>
      </w:pPr>
      <w:bookmarkStart w:id="509" w:name="_Toc18187"/>
      <w:bookmarkStart w:id="510" w:name="_Toc22464"/>
      <w:r>
        <w:rPr>
          <w:rFonts w:hint="default" w:ascii="Times New Roman" w:hAnsi="Times New Roman" w:eastAsia="宋体" w:cs="Times New Roman"/>
          <w:b/>
          <w:bCs/>
          <w:color w:val="auto"/>
          <w:sz w:val="24"/>
          <w:szCs w:val="24"/>
          <w:highlight w:val="none"/>
          <w:lang w:val="en-US" w:eastAsia="zh-CN"/>
        </w:rPr>
        <w:t>（3）坝体边坡防渗设计如下：</w:t>
      </w:r>
      <w:bookmarkEnd w:id="509"/>
      <w:bookmarkEnd w:id="510"/>
    </w:p>
    <w:p>
      <w:pPr>
        <w:pageBreakBefore w:val="0"/>
        <w:widowControl w:val="0"/>
        <w:kinsoku/>
        <w:wordWrap/>
        <w:overflowPunct/>
        <w:topLinePunct w:val="0"/>
        <w:autoSpaceDE/>
        <w:autoSpaceDN/>
        <w:bidi w:val="0"/>
        <w:snapToGrid w:val="0"/>
        <w:spacing w:line="360" w:lineRule="auto"/>
        <w:ind w:left="0" w:leftChars="0" w:right="0" w:rightChars="0" w:firstLine="480" w:firstLineChars="200"/>
        <w:jc w:val="both"/>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主坝、副坝等上游和坝顶防渗自上而下：堆石坝、200mm厚砂卵石垫层、铺设1.5mm厚光面HDPE土工膜、200mm厚砂卵石垫层、混凝土坡面，渗透系数小于1.0×10</w:t>
      </w:r>
      <w:r>
        <w:rPr>
          <w:rFonts w:hint="default" w:ascii="Times New Roman" w:hAnsi="Times New Roman" w:eastAsia="宋体" w:cs="Times New Roman"/>
          <w:color w:val="auto"/>
          <w:sz w:val="24"/>
          <w:szCs w:val="24"/>
          <w:highlight w:val="none"/>
          <w:vertAlign w:val="superscript"/>
          <w:lang w:val="en-US" w:eastAsia="zh-CN"/>
        </w:rPr>
        <w:t>-7</w:t>
      </w:r>
      <w:r>
        <w:rPr>
          <w:rFonts w:hint="default" w:ascii="Times New Roman" w:hAnsi="Times New Roman" w:eastAsia="宋体" w:cs="Times New Roman"/>
          <w:color w:val="auto"/>
          <w:sz w:val="24"/>
          <w:szCs w:val="24"/>
          <w:highlight w:val="none"/>
          <w:lang w:val="en-US" w:eastAsia="zh-CN"/>
        </w:rPr>
        <w:t>cm/s。</w:t>
      </w:r>
    </w:p>
    <w:p>
      <w:pPr>
        <w:pageBreakBefore w:val="0"/>
        <w:widowControl w:val="0"/>
        <w:kinsoku/>
        <w:wordWrap/>
        <w:overflowPunct/>
        <w:topLinePunct w:val="0"/>
        <w:autoSpaceDE/>
        <w:autoSpaceDN/>
        <w:bidi w:val="0"/>
        <w:snapToGrid w:val="0"/>
        <w:spacing w:line="360" w:lineRule="auto"/>
        <w:ind w:left="0" w:leftChars="0" w:right="0" w:rightChars="0" w:firstLine="482" w:firstLineChars="200"/>
        <w:jc w:val="both"/>
        <w:outlineLvl w:val="0"/>
        <w:rPr>
          <w:rFonts w:hint="default" w:ascii="Times New Roman" w:hAnsi="Times New Roman" w:eastAsia="宋体" w:cs="Times New Roman"/>
          <w:b/>
          <w:bCs/>
          <w:color w:val="auto"/>
          <w:sz w:val="24"/>
          <w:szCs w:val="24"/>
          <w:highlight w:val="none"/>
          <w:lang w:val="en-US" w:eastAsia="zh-CN"/>
        </w:rPr>
      </w:pPr>
      <w:bookmarkStart w:id="511" w:name="_Toc11851"/>
      <w:bookmarkStart w:id="512" w:name="_Toc14740"/>
      <w:r>
        <w:rPr>
          <w:rFonts w:hint="default" w:ascii="Times New Roman" w:hAnsi="Times New Roman" w:eastAsia="宋体" w:cs="Times New Roman"/>
          <w:b/>
          <w:bCs/>
          <w:color w:val="auto"/>
          <w:sz w:val="24"/>
          <w:szCs w:val="24"/>
          <w:highlight w:val="none"/>
          <w:lang w:val="en-US" w:eastAsia="zh-CN"/>
        </w:rPr>
        <w:t>（4）防渗工程施工方案如下：</w:t>
      </w:r>
      <w:bookmarkEnd w:id="511"/>
      <w:bookmarkEnd w:id="512"/>
    </w:p>
    <w:p>
      <w:pPr>
        <w:pageBreakBefore w:val="0"/>
        <w:widowControl w:val="0"/>
        <w:kinsoku/>
        <w:wordWrap/>
        <w:overflowPunct/>
        <w:topLinePunct w:val="0"/>
        <w:autoSpaceDE/>
        <w:autoSpaceDN/>
        <w:bidi w:val="0"/>
        <w:snapToGrid w:val="0"/>
        <w:spacing w:line="360" w:lineRule="auto"/>
        <w:ind w:left="0" w:leftChars="0" w:right="0" w:rightChars="0" w:firstLine="480" w:firstLineChars="200"/>
        <w:jc w:val="both"/>
        <w:outlineLvl w:val="1"/>
        <w:rPr>
          <w:rFonts w:hint="default" w:ascii="Times New Roman" w:hAnsi="Times New Roman" w:eastAsia="宋体" w:cs="Times New Roman"/>
          <w:color w:val="auto"/>
          <w:sz w:val="24"/>
          <w:szCs w:val="24"/>
          <w:highlight w:val="none"/>
          <w:lang w:val="en-US" w:eastAsia="zh-CN"/>
        </w:rPr>
      </w:pPr>
      <w:bookmarkStart w:id="513" w:name="_Toc31032"/>
      <w:bookmarkStart w:id="514" w:name="_Toc25674"/>
      <w:r>
        <w:rPr>
          <w:rFonts w:hint="default" w:ascii="Times New Roman" w:hAnsi="Times New Roman" w:eastAsia="宋体" w:cs="Times New Roman"/>
          <w:color w:val="auto"/>
          <w:sz w:val="24"/>
          <w:szCs w:val="24"/>
          <w:highlight w:val="none"/>
          <w:lang w:val="en-US" w:eastAsia="zh-CN"/>
        </w:rPr>
        <w:t>1）基地及边坡整平、削坡方案</w:t>
      </w:r>
      <w:bookmarkEnd w:id="513"/>
      <w:bookmarkEnd w:id="514"/>
    </w:p>
    <w:p>
      <w:pPr>
        <w:pageBreakBefore w:val="0"/>
        <w:widowControl w:val="0"/>
        <w:kinsoku/>
        <w:wordWrap/>
        <w:overflowPunct/>
        <w:topLinePunct w:val="0"/>
        <w:autoSpaceDE/>
        <w:autoSpaceDN/>
        <w:bidi w:val="0"/>
        <w:snapToGrid w:val="0"/>
        <w:spacing w:line="360" w:lineRule="auto"/>
        <w:ind w:left="0" w:leftChars="0" w:right="0" w:rightChars="0" w:firstLine="480" w:firstLineChars="200"/>
        <w:jc w:val="both"/>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清理库底及边坡浮土及杂草、树木，按库底及边坡整平及坡度要求进行施工，对边坡陡峭和地形急剧变化地带，清理后边坡坡度不大于1:2。</w:t>
      </w:r>
    </w:p>
    <w:p>
      <w:pPr>
        <w:pageBreakBefore w:val="0"/>
        <w:widowControl w:val="0"/>
        <w:kinsoku/>
        <w:wordWrap/>
        <w:overflowPunct/>
        <w:topLinePunct w:val="0"/>
        <w:autoSpaceDE/>
        <w:autoSpaceDN/>
        <w:bidi w:val="0"/>
        <w:snapToGrid w:val="0"/>
        <w:spacing w:line="360" w:lineRule="auto"/>
        <w:ind w:left="0" w:leftChars="0" w:right="0" w:rightChars="0" w:firstLine="480" w:firstLineChars="200"/>
        <w:jc w:val="both"/>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清理完毕后进行碾压、整平进行找坡，坡向下游的比降不得小于2%，底部防渗层两侧向中央坡度不小于2%。底部基础层压实度不小于0.93，边坡基础层压实度不小于0.90。</w:t>
      </w:r>
    </w:p>
    <w:p>
      <w:pPr>
        <w:pageBreakBefore w:val="0"/>
        <w:widowControl w:val="0"/>
        <w:kinsoku/>
        <w:wordWrap/>
        <w:overflowPunct/>
        <w:topLinePunct w:val="0"/>
        <w:autoSpaceDE/>
        <w:autoSpaceDN/>
        <w:bidi w:val="0"/>
        <w:snapToGrid w:val="0"/>
        <w:spacing w:line="360" w:lineRule="auto"/>
        <w:ind w:left="0" w:leftChars="0" w:right="0" w:rightChars="0" w:firstLine="480" w:firstLineChars="200"/>
        <w:jc w:val="both"/>
        <w:outlineLvl w:val="1"/>
        <w:rPr>
          <w:rFonts w:hint="default" w:ascii="Times New Roman" w:hAnsi="Times New Roman" w:eastAsia="宋体" w:cs="Times New Roman"/>
          <w:color w:val="auto"/>
          <w:sz w:val="24"/>
          <w:szCs w:val="24"/>
          <w:highlight w:val="none"/>
          <w:lang w:val="en-US" w:eastAsia="zh-CN"/>
        </w:rPr>
      </w:pPr>
      <w:bookmarkStart w:id="515" w:name="_Toc21120"/>
      <w:bookmarkStart w:id="516" w:name="_Toc15516"/>
      <w:r>
        <w:rPr>
          <w:rFonts w:hint="default" w:ascii="Times New Roman" w:hAnsi="Times New Roman" w:eastAsia="宋体" w:cs="Times New Roman"/>
          <w:color w:val="auto"/>
          <w:sz w:val="24"/>
          <w:szCs w:val="24"/>
          <w:highlight w:val="none"/>
          <w:lang w:val="en-US" w:eastAsia="zh-CN"/>
        </w:rPr>
        <w:t>2）防渗系统铺设</w:t>
      </w:r>
      <w:bookmarkEnd w:id="515"/>
      <w:bookmarkEnd w:id="516"/>
    </w:p>
    <w:p>
      <w:pPr>
        <w:pageBreakBefore w:val="0"/>
        <w:widowControl w:val="0"/>
        <w:kinsoku/>
        <w:wordWrap/>
        <w:overflowPunct/>
        <w:topLinePunct w:val="0"/>
        <w:autoSpaceDE/>
        <w:autoSpaceDN/>
        <w:bidi w:val="0"/>
        <w:snapToGrid w:val="0"/>
        <w:spacing w:line="360" w:lineRule="auto"/>
        <w:ind w:left="0" w:leftChars="0" w:right="0" w:rightChars="0" w:firstLine="480" w:firstLineChars="200"/>
        <w:jc w:val="both"/>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为防止地基不均匀沉降而破坏防渗层，在工程施工时应采取如下的工程措施：一是在新增尾矿库整平后应按照设计要求对库底进行碾压夯实；二是在铺设防渗膜时应松铺，在铺设一段长度后应适当回折一部分，以减小地基不均匀沉降对防渗膜的影响。</w:t>
      </w:r>
    </w:p>
    <w:p>
      <w:pPr>
        <w:pageBreakBefore w:val="0"/>
        <w:widowControl w:val="0"/>
        <w:kinsoku/>
        <w:wordWrap/>
        <w:overflowPunct/>
        <w:topLinePunct w:val="0"/>
        <w:autoSpaceDE/>
        <w:autoSpaceDN/>
        <w:bidi w:val="0"/>
        <w:snapToGrid w:val="0"/>
        <w:spacing w:line="360" w:lineRule="auto"/>
        <w:ind w:left="0" w:leftChars="0" w:right="0" w:rightChars="0" w:firstLine="480" w:firstLineChars="200"/>
        <w:jc w:val="both"/>
        <w:outlineLvl w:val="1"/>
        <w:rPr>
          <w:rFonts w:hint="default" w:ascii="Times New Roman" w:hAnsi="Times New Roman" w:eastAsia="宋体" w:cs="Times New Roman"/>
          <w:color w:val="auto"/>
          <w:sz w:val="24"/>
          <w:szCs w:val="24"/>
          <w:highlight w:val="none"/>
          <w:lang w:val="en-US" w:eastAsia="zh-CN"/>
        </w:rPr>
      </w:pPr>
      <w:bookmarkStart w:id="517" w:name="_Toc3878"/>
      <w:bookmarkStart w:id="518" w:name="_Toc9277"/>
      <w:r>
        <w:rPr>
          <w:rFonts w:hint="default" w:ascii="Times New Roman" w:hAnsi="Times New Roman" w:eastAsia="宋体" w:cs="Times New Roman"/>
          <w:color w:val="auto"/>
          <w:sz w:val="24"/>
          <w:szCs w:val="24"/>
          <w:highlight w:val="none"/>
          <w:lang w:val="en-US" w:eastAsia="zh-CN"/>
        </w:rPr>
        <w:t>3）防渗系统锚固</w:t>
      </w:r>
      <w:bookmarkEnd w:id="517"/>
      <w:bookmarkEnd w:id="518"/>
    </w:p>
    <w:p>
      <w:pPr>
        <w:pageBreakBefore w:val="0"/>
        <w:widowControl w:val="0"/>
        <w:kinsoku/>
        <w:wordWrap/>
        <w:overflowPunct/>
        <w:topLinePunct w:val="0"/>
        <w:autoSpaceDE/>
        <w:autoSpaceDN/>
        <w:bidi w:val="0"/>
        <w:snapToGrid w:val="0"/>
        <w:spacing w:line="360" w:lineRule="auto"/>
        <w:ind w:left="0" w:leftChars="0" w:right="0" w:rightChars="0" w:firstLine="480" w:firstLineChars="200"/>
        <w:jc w:val="both"/>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为保证侧壁防渗膜的铺设质量，防止防渗膜在自重作用下自然滑落及由于边坡太高给施工带来的不便，在本工程施工时应采取如下的工程措施：一是新增尾矿库场地整平时，在边坡坡脚、坡顶及每5m或者10m高差的位置平整锚固平台，并设置锚固沟，用于防渗膜的锚固；二是在铺设防渗膜时应松铺，以便防渗膜有一定伸缩量。</w:t>
      </w:r>
    </w:p>
    <w:p>
      <w:pPr>
        <w:pageBreakBefore w:val="0"/>
        <w:widowControl w:val="0"/>
        <w:kinsoku/>
        <w:wordWrap/>
        <w:overflowPunct/>
        <w:topLinePunct w:val="0"/>
        <w:autoSpaceDE/>
        <w:autoSpaceDN/>
        <w:bidi w:val="0"/>
        <w:snapToGrid w:val="0"/>
        <w:spacing w:line="360" w:lineRule="auto"/>
        <w:ind w:left="0" w:leftChars="0" w:right="0" w:rightChars="0" w:firstLine="482" w:firstLineChars="200"/>
        <w:jc w:val="both"/>
        <w:outlineLvl w:val="0"/>
        <w:rPr>
          <w:rFonts w:hint="default" w:ascii="Times New Roman" w:hAnsi="Times New Roman" w:eastAsia="宋体" w:cs="Times New Roman"/>
          <w:b/>
          <w:bCs/>
          <w:color w:val="auto"/>
          <w:sz w:val="24"/>
          <w:szCs w:val="24"/>
          <w:highlight w:val="none"/>
          <w:lang w:eastAsia="zh-CN"/>
        </w:rPr>
      </w:pPr>
      <w:bookmarkStart w:id="519" w:name="_Toc25528"/>
      <w:bookmarkStart w:id="520" w:name="_Toc26039"/>
      <w:r>
        <w:rPr>
          <w:rFonts w:hint="default" w:ascii="Times New Roman" w:hAnsi="Times New Roman" w:eastAsia="宋体" w:cs="Times New Roman"/>
          <w:b/>
          <w:bCs/>
          <w:color w:val="auto"/>
          <w:sz w:val="24"/>
          <w:szCs w:val="24"/>
          <w:highlight w:val="none"/>
          <w:lang w:eastAsia="zh-CN"/>
        </w:rPr>
        <w:t>（</w:t>
      </w:r>
      <w:r>
        <w:rPr>
          <w:rFonts w:hint="default" w:ascii="Times New Roman" w:hAnsi="Times New Roman" w:eastAsia="宋体" w:cs="Times New Roman"/>
          <w:b/>
          <w:bCs/>
          <w:color w:val="auto"/>
          <w:sz w:val="24"/>
          <w:szCs w:val="24"/>
          <w:highlight w:val="none"/>
          <w:lang w:val="en-US" w:eastAsia="zh-CN"/>
        </w:rPr>
        <w:t>5</w:t>
      </w:r>
      <w:r>
        <w:rPr>
          <w:rFonts w:hint="default" w:ascii="Times New Roman" w:hAnsi="Times New Roman" w:eastAsia="宋体" w:cs="Times New Roman"/>
          <w:b/>
          <w:bCs/>
          <w:color w:val="auto"/>
          <w:sz w:val="24"/>
          <w:szCs w:val="24"/>
          <w:highlight w:val="none"/>
          <w:lang w:eastAsia="zh-CN"/>
        </w:rPr>
        <w:t>）填埋库区防渗系统建基面技术要求</w:t>
      </w:r>
      <w:bookmarkEnd w:id="519"/>
      <w:bookmarkEnd w:id="520"/>
    </w:p>
    <w:p>
      <w:pPr>
        <w:pageBreakBefore w:val="0"/>
        <w:widowControl w:val="0"/>
        <w:kinsoku/>
        <w:wordWrap/>
        <w:overflowPunct/>
        <w:topLinePunct w:val="0"/>
        <w:autoSpaceDE/>
        <w:autoSpaceDN/>
        <w:bidi w:val="0"/>
        <w:snapToGrid w:val="0"/>
        <w:spacing w:line="360" w:lineRule="auto"/>
        <w:ind w:left="0" w:leftChars="0" w:right="0" w:rightChars="0" w:firstLine="480" w:firstLineChars="200"/>
        <w:jc w:val="both"/>
        <w:outlineLvl w:val="1"/>
        <w:rPr>
          <w:rFonts w:hint="default" w:ascii="Times New Roman" w:hAnsi="Times New Roman" w:eastAsia="宋体" w:cs="Times New Roman"/>
          <w:color w:val="auto"/>
          <w:sz w:val="24"/>
          <w:szCs w:val="24"/>
          <w:highlight w:val="none"/>
          <w:lang w:eastAsia="zh-CN"/>
        </w:rPr>
      </w:pPr>
      <w:bookmarkStart w:id="521" w:name="_Toc5480"/>
      <w:bookmarkStart w:id="522" w:name="_Toc24290"/>
      <w:r>
        <w:rPr>
          <w:rFonts w:hint="default" w:ascii="Times New Roman" w:hAnsi="Times New Roman" w:eastAsia="宋体" w:cs="Times New Roman"/>
          <w:color w:val="auto"/>
          <w:sz w:val="24"/>
          <w:szCs w:val="24"/>
          <w:highlight w:val="none"/>
          <w:lang w:eastAsia="zh-CN"/>
        </w:rPr>
        <w:t>1）基础面应满足场地整平要求。</w:t>
      </w:r>
      <w:bookmarkEnd w:id="521"/>
      <w:bookmarkEnd w:id="522"/>
    </w:p>
    <w:p>
      <w:pPr>
        <w:pageBreakBefore w:val="0"/>
        <w:widowControl w:val="0"/>
        <w:kinsoku/>
        <w:wordWrap/>
        <w:overflowPunct/>
        <w:topLinePunct w:val="0"/>
        <w:autoSpaceDE/>
        <w:autoSpaceDN/>
        <w:bidi w:val="0"/>
        <w:snapToGrid w:val="0"/>
        <w:spacing w:line="360" w:lineRule="auto"/>
        <w:ind w:left="0" w:leftChars="0" w:right="0" w:rightChars="0" w:firstLine="480" w:firstLineChars="200"/>
        <w:jc w:val="both"/>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2）填埋库区底应清理平整，并夯实紧密、平整，尤其填方处应清除杂草、杂物及表层虚土。清理完的场地若见植物深根应人工拔除。</w:t>
      </w:r>
    </w:p>
    <w:p>
      <w:pPr>
        <w:pageBreakBefore w:val="0"/>
        <w:widowControl w:val="0"/>
        <w:kinsoku/>
        <w:wordWrap/>
        <w:overflowPunct/>
        <w:topLinePunct w:val="0"/>
        <w:autoSpaceDE/>
        <w:autoSpaceDN/>
        <w:bidi w:val="0"/>
        <w:snapToGrid w:val="0"/>
        <w:spacing w:line="360" w:lineRule="auto"/>
        <w:ind w:left="0" w:leftChars="0" w:right="0" w:rightChars="0" w:firstLine="480" w:firstLineChars="200"/>
        <w:jc w:val="both"/>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lang w:eastAsia="zh-CN"/>
        </w:rPr>
        <w:t>）对出现的棱角较大的岩石区域土工膜铺设前，应先将岩石区处理平整和清洗干净，然后用水泥砂浆抹面处理，厚度不小于3cm。水泥砂浆抹面处理。</w:t>
      </w:r>
    </w:p>
    <w:p>
      <w:pPr>
        <w:pageBreakBefore w:val="0"/>
        <w:widowControl w:val="0"/>
        <w:kinsoku/>
        <w:wordWrap/>
        <w:overflowPunct/>
        <w:topLinePunct w:val="0"/>
        <w:autoSpaceDE/>
        <w:autoSpaceDN/>
        <w:bidi w:val="0"/>
        <w:snapToGrid w:val="0"/>
        <w:spacing w:line="360" w:lineRule="auto"/>
        <w:ind w:left="0" w:leftChars="0" w:right="0" w:rightChars="0" w:firstLine="480" w:firstLineChars="200"/>
        <w:jc w:val="both"/>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4）当防渗系统分期铺设时，边坡修整不能一次性达到高程，要欠挖0.5m。对未铺设防渗系统的土质边坡需要护坡处理，护坡做法采用方格型浆砌片石骨架内铺草皮护坡。</w:t>
      </w:r>
    </w:p>
    <w:p>
      <w:pPr>
        <w:pageBreakBefore w:val="0"/>
        <w:widowControl w:val="0"/>
        <w:kinsoku/>
        <w:wordWrap/>
        <w:overflowPunct/>
        <w:topLinePunct w:val="0"/>
        <w:autoSpaceDE/>
        <w:autoSpaceDN/>
        <w:bidi w:val="0"/>
        <w:snapToGrid w:val="0"/>
        <w:spacing w:line="360" w:lineRule="auto"/>
        <w:ind w:left="0" w:leftChars="0" w:right="0" w:rightChars="0" w:firstLine="480" w:firstLineChars="200"/>
        <w:jc w:val="both"/>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5）填埋库区土建基础面施工完毕后需要经过质检部门验收后，才可进行防渗材料的铺设施工。</w:t>
      </w:r>
    </w:p>
    <w:p>
      <w:pPr>
        <w:pageBreakBefore w:val="0"/>
        <w:widowControl w:val="0"/>
        <w:kinsoku/>
        <w:wordWrap/>
        <w:overflowPunct/>
        <w:topLinePunct w:val="0"/>
        <w:autoSpaceDE/>
        <w:autoSpaceDN/>
        <w:bidi w:val="0"/>
        <w:snapToGrid w:val="0"/>
        <w:spacing w:line="360" w:lineRule="auto"/>
        <w:ind w:left="0" w:leftChars="0" w:right="0" w:rightChars="0" w:firstLine="482" w:firstLineChars="200"/>
        <w:jc w:val="both"/>
        <w:outlineLvl w:val="0"/>
        <w:rPr>
          <w:rFonts w:hint="default" w:ascii="Times New Roman" w:hAnsi="Times New Roman" w:eastAsia="宋体" w:cs="Times New Roman"/>
          <w:b/>
          <w:bCs/>
          <w:color w:val="auto"/>
          <w:sz w:val="24"/>
          <w:szCs w:val="24"/>
          <w:highlight w:val="none"/>
          <w:lang w:eastAsia="zh-CN"/>
        </w:rPr>
      </w:pPr>
      <w:bookmarkStart w:id="523" w:name="_Toc21082"/>
      <w:bookmarkStart w:id="524" w:name="_Toc31110"/>
      <w:r>
        <w:rPr>
          <w:rFonts w:hint="default" w:ascii="Times New Roman" w:hAnsi="Times New Roman" w:eastAsia="宋体" w:cs="Times New Roman"/>
          <w:b/>
          <w:bCs/>
          <w:color w:val="auto"/>
          <w:sz w:val="24"/>
          <w:szCs w:val="24"/>
          <w:highlight w:val="none"/>
          <w:lang w:eastAsia="zh-CN"/>
        </w:rPr>
        <w:t>（</w:t>
      </w:r>
      <w:r>
        <w:rPr>
          <w:rFonts w:hint="default" w:ascii="Times New Roman" w:hAnsi="Times New Roman" w:eastAsia="宋体" w:cs="Times New Roman"/>
          <w:b/>
          <w:bCs/>
          <w:color w:val="auto"/>
          <w:sz w:val="24"/>
          <w:szCs w:val="24"/>
          <w:highlight w:val="none"/>
          <w:lang w:val="en-US" w:eastAsia="zh-CN"/>
        </w:rPr>
        <w:t>6</w:t>
      </w:r>
      <w:r>
        <w:rPr>
          <w:rFonts w:hint="default" w:ascii="Times New Roman" w:hAnsi="Times New Roman" w:eastAsia="宋体" w:cs="Times New Roman"/>
          <w:b/>
          <w:bCs/>
          <w:color w:val="auto"/>
          <w:sz w:val="24"/>
          <w:szCs w:val="24"/>
          <w:highlight w:val="none"/>
          <w:lang w:eastAsia="zh-CN"/>
        </w:rPr>
        <w:t>）HDPE土工膜铺设技术要求</w:t>
      </w:r>
      <w:bookmarkEnd w:id="523"/>
      <w:bookmarkEnd w:id="524"/>
    </w:p>
    <w:p>
      <w:pPr>
        <w:pageBreakBefore w:val="0"/>
        <w:widowControl w:val="0"/>
        <w:kinsoku/>
        <w:wordWrap/>
        <w:overflowPunct/>
        <w:topLinePunct w:val="0"/>
        <w:autoSpaceDE/>
        <w:autoSpaceDN/>
        <w:bidi w:val="0"/>
        <w:snapToGrid w:val="0"/>
        <w:spacing w:line="360" w:lineRule="auto"/>
        <w:ind w:left="0" w:leftChars="0" w:right="0" w:rightChars="0" w:firstLine="480" w:firstLineChars="200"/>
        <w:jc w:val="both"/>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1）HDPE土工膜铺设以前应请监理工程师共同对现场条件进行全面确认，保证填埋库区的基础表面平整，没有凹凸不平现象，无尖刺颗粒，无可能破坏HDPE土工膜的各种硬杂物存在，并对防渗材料的质量（各项性能指标，表面是否有气泡、孔洞、皱纹、破损等）进行严格检查，确认无误后方可进行铺设。</w:t>
      </w:r>
    </w:p>
    <w:p>
      <w:pPr>
        <w:pageBreakBefore w:val="0"/>
        <w:widowControl w:val="0"/>
        <w:kinsoku/>
        <w:wordWrap/>
        <w:overflowPunct/>
        <w:topLinePunct w:val="0"/>
        <w:autoSpaceDE/>
        <w:autoSpaceDN/>
        <w:bidi w:val="0"/>
        <w:snapToGrid w:val="0"/>
        <w:spacing w:line="360" w:lineRule="auto"/>
        <w:ind w:left="0" w:leftChars="0" w:right="0" w:rightChars="0" w:firstLine="480" w:firstLineChars="200"/>
        <w:jc w:val="both"/>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不允许工膜表面有损害土工膜的油渍、燃料或喷溅化学物或化学斑点（3）如在雨天施工，必须有可行的措施，并得到监理方和业主代表的确认后，才可进行施工。</w:t>
      </w:r>
    </w:p>
    <w:p>
      <w:pPr>
        <w:pageBreakBefore w:val="0"/>
        <w:widowControl w:val="0"/>
        <w:kinsoku/>
        <w:wordWrap/>
        <w:overflowPunct/>
        <w:topLinePunct w:val="0"/>
        <w:autoSpaceDE/>
        <w:autoSpaceDN/>
        <w:bidi w:val="0"/>
        <w:snapToGrid w:val="0"/>
        <w:spacing w:line="360" w:lineRule="auto"/>
        <w:ind w:left="0" w:leftChars="0" w:right="0" w:rightChars="0" w:firstLine="480" w:firstLineChars="200"/>
        <w:jc w:val="both"/>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lang w:eastAsia="zh-CN"/>
        </w:rPr>
        <w:t>）每一片土工膜都需在铺设的当天进行焊接；并采取适当的保护措施以防止雨水进入下面的地表。</w:t>
      </w:r>
    </w:p>
    <w:p>
      <w:pPr>
        <w:pageBreakBefore w:val="0"/>
        <w:widowControl w:val="0"/>
        <w:kinsoku/>
        <w:wordWrap/>
        <w:overflowPunct/>
        <w:topLinePunct w:val="0"/>
        <w:autoSpaceDE/>
        <w:autoSpaceDN/>
        <w:bidi w:val="0"/>
        <w:snapToGrid w:val="0"/>
        <w:spacing w:line="360" w:lineRule="auto"/>
        <w:ind w:left="0" w:leftChars="0" w:right="0" w:rightChars="0" w:firstLine="480" w:firstLineChars="200"/>
        <w:jc w:val="both"/>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lang w:eastAsia="zh-CN"/>
        </w:rPr>
        <w:t>）铺设的土工膜须干燥和整洁，避免土工膜产生皱纹和褶痕。</w:t>
      </w:r>
    </w:p>
    <w:p>
      <w:pPr>
        <w:pageBreakBefore w:val="0"/>
        <w:widowControl w:val="0"/>
        <w:kinsoku/>
        <w:wordWrap/>
        <w:overflowPunct/>
        <w:topLinePunct w:val="0"/>
        <w:autoSpaceDE/>
        <w:autoSpaceDN/>
        <w:bidi w:val="0"/>
        <w:snapToGrid w:val="0"/>
        <w:spacing w:line="360" w:lineRule="auto"/>
        <w:ind w:left="0" w:leftChars="0" w:right="0" w:rightChars="0" w:firstLine="480" w:firstLineChars="200"/>
        <w:jc w:val="both"/>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val="en-US" w:eastAsia="zh-CN"/>
        </w:rPr>
        <w:t>4</w:t>
      </w:r>
      <w:r>
        <w:rPr>
          <w:rFonts w:hint="default" w:ascii="Times New Roman" w:hAnsi="Times New Roman" w:eastAsia="宋体" w:cs="Times New Roman"/>
          <w:color w:val="auto"/>
          <w:sz w:val="24"/>
          <w:szCs w:val="24"/>
          <w:highlight w:val="none"/>
          <w:lang w:eastAsia="zh-CN"/>
        </w:rPr>
        <w:t>）土工膜的表面不允许未经认可的设备进行施工。</w:t>
      </w:r>
    </w:p>
    <w:p>
      <w:pPr>
        <w:pageBreakBefore w:val="0"/>
        <w:widowControl w:val="0"/>
        <w:kinsoku/>
        <w:wordWrap/>
        <w:overflowPunct/>
        <w:topLinePunct w:val="0"/>
        <w:autoSpaceDE/>
        <w:autoSpaceDN/>
        <w:bidi w:val="0"/>
        <w:snapToGrid w:val="0"/>
        <w:spacing w:line="360" w:lineRule="auto"/>
        <w:ind w:left="0" w:leftChars="0" w:right="0" w:rightChars="0" w:firstLine="480" w:firstLineChars="200"/>
        <w:jc w:val="both"/>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lang w:eastAsia="zh-CN"/>
        </w:rPr>
        <w:t>）施工中只可使用经准许的工具箱或工具袋。对膜可能产生损伤的设备和工具不可以放置在土工膜的表面。</w:t>
      </w:r>
    </w:p>
    <w:p>
      <w:pPr>
        <w:pageBreakBefore w:val="0"/>
        <w:widowControl w:val="0"/>
        <w:kinsoku/>
        <w:wordWrap/>
        <w:overflowPunct/>
        <w:topLinePunct w:val="0"/>
        <w:autoSpaceDE/>
        <w:autoSpaceDN/>
        <w:bidi w:val="0"/>
        <w:snapToGrid w:val="0"/>
        <w:spacing w:line="360" w:lineRule="auto"/>
        <w:ind w:left="0" w:leftChars="0" w:right="0" w:rightChars="0" w:firstLine="480" w:firstLineChars="200"/>
        <w:jc w:val="both"/>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val="en-US" w:eastAsia="zh-CN"/>
        </w:rPr>
        <w:t>6</w:t>
      </w:r>
      <w:r>
        <w:rPr>
          <w:rFonts w:hint="default" w:ascii="Times New Roman" w:hAnsi="Times New Roman" w:eastAsia="宋体" w:cs="Times New Roman"/>
          <w:color w:val="auto"/>
          <w:sz w:val="24"/>
          <w:szCs w:val="24"/>
          <w:highlight w:val="none"/>
          <w:lang w:eastAsia="zh-CN"/>
        </w:rPr>
        <w:t>）工作鞋须为软底平底无跟的工作鞋，大头鞋或鞋底、鞋跟有铁掌的鞋不允许进入。</w:t>
      </w:r>
    </w:p>
    <w:p>
      <w:pPr>
        <w:pageBreakBefore w:val="0"/>
        <w:widowControl w:val="0"/>
        <w:kinsoku/>
        <w:wordWrap/>
        <w:overflowPunct/>
        <w:topLinePunct w:val="0"/>
        <w:autoSpaceDE/>
        <w:autoSpaceDN/>
        <w:bidi w:val="0"/>
        <w:snapToGrid w:val="0"/>
        <w:spacing w:line="360" w:lineRule="auto"/>
        <w:ind w:left="0" w:leftChars="0" w:right="0" w:rightChars="0" w:firstLine="480" w:firstLineChars="200"/>
        <w:jc w:val="both"/>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val="en-US" w:eastAsia="zh-CN"/>
        </w:rPr>
        <w:t>7</w:t>
      </w:r>
      <w:r>
        <w:rPr>
          <w:rFonts w:hint="default" w:ascii="Times New Roman" w:hAnsi="Times New Roman" w:eastAsia="宋体" w:cs="Times New Roman"/>
          <w:color w:val="auto"/>
          <w:sz w:val="24"/>
          <w:szCs w:val="24"/>
          <w:highlight w:val="none"/>
          <w:lang w:eastAsia="zh-CN"/>
        </w:rPr>
        <w:t>）铺设后的土工膜在进行调整位置的不能损坏安装好的土工膜。</w:t>
      </w:r>
    </w:p>
    <w:p>
      <w:pPr>
        <w:pageBreakBefore w:val="0"/>
        <w:widowControl w:val="0"/>
        <w:kinsoku/>
        <w:wordWrap/>
        <w:overflowPunct/>
        <w:topLinePunct w:val="0"/>
        <w:autoSpaceDE/>
        <w:autoSpaceDN/>
        <w:bidi w:val="0"/>
        <w:snapToGrid w:val="0"/>
        <w:spacing w:line="360" w:lineRule="auto"/>
        <w:ind w:left="0" w:leftChars="0" w:right="0" w:rightChars="0" w:firstLine="480" w:firstLineChars="200"/>
        <w:jc w:val="both"/>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val="en-US" w:eastAsia="zh-CN"/>
        </w:rPr>
        <w:t>8</w:t>
      </w:r>
      <w:r>
        <w:rPr>
          <w:rFonts w:hint="default" w:ascii="Times New Roman" w:hAnsi="Times New Roman" w:eastAsia="宋体" w:cs="Times New Roman"/>
          <w:color w:val="auto"/>
          <w:sz w:val="24"/>
          <w:szCs w:val="24"/>
          <w:highlight w:val="none"/>
          <w:lang w:eastAsia="zh-CN"/>
        </w:rPr>
        <w:t>）拉运土工膜时只能使用经准许使用的专用夹子。</w:t>
      </w:r>
    </w:p>
    <w:p>
      <w:pPr>
        <w:pageBreakBefore w:val="0"/>
        <w:widowControl w:val="0"/>
        <w:kinsoku/>
        <w:wordWrap/>
        <w:overflowPunct/>
        <w:topLinePunct w:val="0"/>
        <w:autoSpaceDE/>
        <w:autoSpaceDN/>
        <w:bidi w:val="0"/>
        <w:snapToGrid w:val="0"/>
        <w:spacing w:line="360" w:lineRule="auto"/>
        <w:ind w:left="0" w:leftChars="0" w:right="0" w:rightChars="0" w:firstLine="480" w:firstLineChars="200"/>
        <w:jc w:val="both"/>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val="en-US" w:eastAsia="zh-CN"/>
        </w:rPr>
        <w:t>9</w:t>
      </w:r>
      <w:r>
        <w:rPr>
          <w:rFonts w:hint="default" w:ascii="Times New Roman" w:hAnsi="Times New Roman" w:eastAsia="宋体" w:cs="Times New Roman"/>
          <w:color w:val="auto"/>
          <w:sz w:val="24"/>
          <w:szCs w:val="24"/>
          <w:highlight w:val="none"/>
          <w:lang w:eastAsia="zh-CN"/>
        </w:rPr>
        <w:t>）必须避免土工膜卷材因运输或储存过程的高温可能导致的“粘连”现象。</w:t>
      </w:r>
    </w:p>
    <w:p>
      <w:pPr>
        <w:pageBreakBefore w:val="0"/>
        <w:widowControl w:val="0"/>
        <w:kinsoku/>
        <w:wordWrap/>
        <w:overflowPunct/>
        <w:topLinePunct w:val="0"/>
        <w:autoSpaceDE/>
        <w:autoSpaceDN/>
        <w:bidi w:val="0"/>
        <w:snapToGrid w:val="0"/>
        <w:spacing w:line="360" w:lineRule="auto"/>
        <w:ind w:left="0" w:leftChars="0" w:right="0" w:rightChars="0" w:firstLine="480" w:firstLineChars="200"/>
        <w:jc w:val="both"/>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1</w:t>
      </w:r>
      <w:r>
        <w:rPr>
          <w:rFonts w:hint="default" w:ascii="Times New Roman" w:hAnsi="Times New Roman" w:eastAsia="宋体" w:cs="Times New Roman"/>
          <w:color w:val="auto"/>
          <w:sz w:val="24"/>
          <w:szCs w:val="24"/>
          <w:highlight w:val="none"/>
          <w:lang w:val="en-US" w:eastAsia="zh-CN"/>
        </w:rPr>
        <w:t>0</w:t>
      </w:r>
      <w:r>
        <w:rPr>
          <w:rFonts w:hint="default" w:ascii="Times New Roman" w:hAnsi="Times New Roman" w:eastAsia="宋体" w:cs="Times New Roman"/>
          <w:color w:val="auto"/>
          <w:sz w:val="24"/>
          <w:szCs w:val="24"/>
          <w:highlight w:val="none"/>
          <w:lang w:eastAsia="zh-CN"/>
        </w:rPr>
        <w:t>）在铺设的土工膜上禁止吸烟。铺设土工膜的区域内禁止使用火柴、打火机和化学溶剂或类似的物品。</w:t>
      </w:r>
    </w:p>
    <w:p>
      <w:pPr>
        <w:pageBreakBefore w:val="0"/>
        <w:widowControl w:val="0"/>
        <w:kinsoku/>
        <w:wordWrap/>
        <w:overflowPunct/>
        <w:topLinePunct w:val="0"/>
        <w:autoSpaceDE/>
        <w:autoSpaceDN/>
        <w:bidi w:val="0"/>
        <w:snapToGrid w:val="0"/>
        <w:spacing w:line="360" w:lineRule="auto"/>
        <w:ind w:left="0" w:leftChars="0" w:right="0" w:rightChars="0" w:firstLine="480" w:firstLineChars="200"/>
        <w:jc w:val="both"/>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1</w:t>
      </w:r>
      <w:r>
        <w:rPr>
          <w:rFonts w:hint="default" w:ascii="Times New Roman" w:hAnsi="Times New Roman" w:eastAsia="宋体"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lang w:eastAsia="zh-CN"/>
        </w:rPr>
        <w:t>）所有土工膜表面的压力测试孔必须清楚地作上标记，并用土工膜补修或用挤出焊接。</w:t>
      </w:r>
    </w:p>
    <w:p>
      <w:pPr>
        <w:pageBreakBefore w:val="0"/>
        <w:widowControl w:val="0"/>
        <w:kinsoku/>
        <w:wordWrap/>
        <w:overflowPunct/>
        <w:topLinePunct w:val="0"/>
        <w:autoSpaceDE/>
        <w:autoSpaceDN/>
        <w:bidi w:val="0"/>
        <w:snapToGrid w:val="0"/>
        <w:spacing w:line="360" w:lineRule="auto"/>
        <w:ind w:left="0" w:leftChars="0" w:right="0" w:rightChars="0" w:firstLine="480" w:firstLineChars="200"/>
        <w:jc w:val="both"/>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1</w:t>
      </w:r>
      <w:r>
        <w:rPr>
          <w:rFonts w:hint="default"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lang w:eastAsia="zh-CN"/>
        </w:rPr>
        <w:t>）禁止由于高温造成的未使用过的挤出焊条（粒）与防渗膜和任何其他土工织物层粘连。</w:t>
      </w:r>
    </w:p>
    <w:p>
      <w:pPr>
        <w:pageBreakBefore w:val="0"/>
        <w:widowControl w:val="0"/>
        <w:kinsoku/>
        <w:wordWrap/>
        <w:overflowPunct/>
        <w:topLinePunct w:val="0"/>
        <w:autoSpaceDE/>
        <w:autoSpaceDN/>
        <w:bidi w:val="0"/>
        <w:snapToGrid w:val="0"/>
        <w:spacing w:line="360" w:lineRule="auto"/>
        <w:ind w:left="0" w:leftChars="0" w:right="0" w:rightChars="0" w:firstLine="480" w:firstLineChars="200"/>
        <w:jc w:val="both"/>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施工中需有足够的临时压载物（砂袋或废轮胎）以防止铺设的土工膜被大风吹起。在大风的情况下，土工膜须被临时锚固，并暂停安装工作。</w:t>
      </w:r>
    </w:p>
    <w:p>
      <w:pPr>
        <w:pageBreakBefore w:val="0"/>
        <w:widowControl w:val="0"/>
        <w:kinsoku/>
        <w:wordWrap/>
        <w:overflowPunct/>
        <w:topLinePunct w:val="0"/>
        <w:autoSpaceDE/>
        <w:autoSpaceDN/>
        <w:bidi w:val="0"/>
        <w:snapToGrid w:val="0"/>
        <w:spacing w:line="360" w:lineRule="auto"/>
        <w:ind w:left="0" w:leftChars="0" w:right="0" w:rightChars="0" w:firstLine="480" w:firstLineChars="200"/>
        <w:jc w:val="both"/>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1</w:t>
      </w:r>
      <w:r>
        <w:rPr>
          <w:rFonts w:hint="default" w:ascii="Times New Roman" w:hAnsi="Times New Roman" w:eastAsia="宋体"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lang w:eastAsia="zh-CN"/>
        </w:rPr>
        <w:t>）所有有关施工质量保证方面的数据，包括土工膜的铺设、焊接、修补和测试等须有清晰的、完整的记录。</w:t>
      </w:r>
    </w:p>
    <w:p>
      <w:pPr>
        <w:pageBreakBefore w:val="0"/>
        <w:widowControl w:val="0"/>
        <w:kinsoku/>
        <w:wordWrap/>
        <w:overflowPunct/>
        <w:topLinePunct w:val="0"/>
        <w:autoSpaceDE/>
        <w:autoSpaceDN/>
        <w:bidi w:val="0"/>
        <w:snapToGrid w:val="0"/>
        <w:spacing w:line="360" w:lineRule="auto"/>
        <w:ind w:left="0" w:leftChars="0" w:right="0" w:rightChars="0" w:firstLine="482" w:firstLineChars="200"/>
        <w:jc w:val="both"/>
        <w:outlineLvl w:val="0"/>
        <w:rPr>
          <w:rFonts w:hint="default" w:ascii="Times New Roman" w:hAnsi="Times New Roman" w:eastAsia="宋体" w:cs="Times New Roman"/>
          <w:b/>
          <w:bCs/>
          <w:color w:val="auto"/>
          <w:sz w:val="24"/>
          <w:szCs w:val="24"/>
          <w:highlight w:val="none"/>
          <w:lang w:eastAsia="zh-CN"/>
        </w:rPr>
      </w:pPr>
      <w:bookmarkStart w:id="525" w:name="_Toc17636"/>
      <w:bookmarkStart w:id="526" w:name="_Toc6753"/>
      <w:r>
        <w:rPr>
          <w:rFonts w:hint="default" w:ascii="Times New Roman" w:hAnsi="Times New Roman" w:eastAsia="宋体" w:cs="Times New Roman"/>
          <w:b/>
          <w:bCs/>
          <w:color w:val="auto"/>
          <w:sz w:val="24"/>
          <w:szCs w:val="24"/>
          <w:highlight w:val="none"/>
          <w:lang w:eastAsia="zh-CN"/>
        </w:rPr>
        <w:t>（</w:t>
      </w:r>
      <w:r>
        <w:rPr>
          <w:rFonts w:hint="default" w:ascii="Times New Roman" w:hAnsi="Times New Roman" w:eastAsia="宋体" w:cs="Times New Roman"/>
          <w:b/>
          <w:bCs/>
          <w:color w:val="auto"/>
          <w:sz w:val="24"/>
          <w:szCs w:val="24"/>
          <w:highlight w:val="none"/>
          <w:lang w:val="en-US" w:eastAsia="zh-CN"/>
        </w:rPr>
        <w:t>7</w:t>
      </w:r>
      <w:r>
        <w:rPr>
          <w:rFonts w:hint="default" w:ascii="Times New Roman" w:hAnsi="Times New Roman" w:eastAsia="宋体" w:cs="Times New Roman"/>
          <w:b/>
          <w:bCs/>
          <w:color w:val="auto"/>
          <w:sz w:val="24"/>
          <w:szCs w:val="24"/>
          <w:highlight w:val="none"/>
          <w:lang w:eastAsia="zh-CN"/>
        </w:rPr>
        <w:t>）HDPE土工膜焊接技术要求</w:t>
      </w:r>
      <w:bookmarkEnd w:id="525"/>
      <w:bookmarkEnd w:id="526"/>
    </w:p>
    <w:p>
      <w:pPr>
        <w:pageBreakBefore w:val="0"/>
        <w:widowControl w:val="0"/>
        <w:kinsoku/>
        <w:wordWrap/>
        <w:overflowPunct/>
        <w:topLinePunct w:val="0"/>
        <w:autoSpaceDE/>
        <w:autoSpaceDN/>
        <w:bidi w:val="0"/>
        <w:snapToGrid w:val="0"/>
        <w:spacing w:line="360" w:lineRule="auto"/>
        <w:ind w:left="0" w:leftChars="0" w:right="0" w:rightChars="0" w:firstLine="480" w:firstLineChars="200"/>
        <w:jc w:val="both"/>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1）在土工膜防渗膜铺设之前，土工膜安装单位须提供土工膜的铺设和焊接平面布置图。焊接要求如下：</w:t>
      </w:r>
    </w:p>
    <w:p>
      <w:pPr>
        <w:pageBreakBefore w:val="0"/>
        <w:widowControl w:val="0"/>
        <w:kinsoku/>
        <w:wordWrap/>
        <w:overflowPunct/>
        <w:topLinePunct w:val="0"/>
        <w:autoSpaceDE/>
        <w:autoSpaceDN/>
        <w:bidi w:val="0"/>
        <w:snapToGrid w:val="0"/>
        <w:spacing w:line="360" w:lineRule="auto"/>
        <w:ind w:left="0" w:leftChars="0" w:right="0" w:rightChars="0" w:firstLine="480" w:firstLineChars="200"/>
        <w:jc w:val="both"/>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（a）接缝应与坡面线平行；</w:t>
      </w:r>
    </w:p>
    <w:p>
      <w:pPr>
        <w:pageBreakBefore w:val="0"/>
        <w:widowControl w:val="0"/>
        <w:kinsoku/>
        <w:wordWrap/>
        <w:overflowPunct/>
        <w:topLinePunct w:val="0"/>
        <w:autoSpaceDE/>
        <w:autoSpaceDN/>
        <w:bidi w:val="0"/>
        <w:snapToGrid w:val="0"/>
        <w:spacing w:line="360" w:lineRule="auto"/>
        <w:ind w:left="0" w:leftChars="0" w:right="0" w:rightChars="0" w:firstLine="480" w:firstLineChars="200"/>
        <w:jc w:val="both"/>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（b）在场底的水平接缝与坡脚的距离必须大于1.5m；</w:t>
      </w:r>
    </w:p>
    <w:p>
      <w:pPr>
        <w:pageBreakBefore w:val="0"/>
        <w:widowControl w:val="0"/>
        <w:kinsoku/>
        <w:wordWrap/>
        <w:overflowPunct/>
        <w:topLinePunct w:val="0"/>
        <w:autoSpaceDE/>
        <w:autoSpaceDN/>
        <w:bidi w:val="0"/>
        <w:snapToGrid w:val="0"/>
        <w:spacing w:line="360" w:lineRule="auto"/>
        <w:ind w:left="0" w:leftChars="0" w:right="0" w:rightChars="0" w:firstLine="480" w:firstLineChars="200"/>
        <w:jc w:val="both"/>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（c）焊缝与坡脚表面应整齐、美观，不得有裂纹、气孔、漏焊或跳焊现象；</w:t>
      </w:r>
    </w:p>
    <w:p>
      <w:pPr>
        <w:pageBreakBefore w:val="0"/>
        <w:widowControl w:val="0"/>
        <w:kinsoku/>
        <w:wordWrap/>
        <w:overflowPunct/>
        <w:topLinePunct w:val="0"/>
        <w:autoSpaceDE/>
        <w:autoSpaceDN/>
        <w:bidi w:val="0"/>
        <w:snapToGrid w:val="0"/>
        <w:spacing w:line="360" w:lineRule="auto"/>
        <w:ind w:left="0" w:leftChars="0" w:right="0" w:rightChars="0" w:firstLine="480" w:firstLineChars="200"/>
        <w:jc w:val="both"/>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（d）对双轨熔焊焊接，焊缝的搭接宽度为100mm；对于挤出焊，焊缝的搭接宽度为75mm。</w:t>
      </w:r>
    </w:p>
    <w:p>
      <w:pPr>
        <w:pageBreakBefore w:val="0"/>
        <w:widowControl w:val="0"/>
        <w:kinsoku/>
        <w:wordWrap/>
        <w:overflowPunct/>
        <w:topLinePunct w:val="0"/>
        <w:autoSpaceDE/>
        <w:autoSpaceDN/>
        <w:bidi w:val="0"/>
        <w:snapToGrid w:val="0"/>
        <w:spacing w:line="360" w:lineRule="auto"/>
        <w:ind w:left="0" w:leftChars="0" w:right="0" w:rightChars="0" w:firstLine="480" w:firstLineChars="200"/>
        <w:jc w:val="both"/>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2）对双轨焊接，土工膜在两道焊缝之间形成的封闭空间应进行气压检漏测试。</w:t>
      </w:r>
    </w:p>
    <w:p>
      <w:pPr>
        <w:pageBreakBefore w:val="0"/>
        <w:widowControl w:val="0"/>
        <w:kinsoku/>
        <w:wordWrap/>
        <w:overflowPunct/>
        <w:topLinePunct w:val="0"/>
        <w:autoSpaceDE/>
        <w:autoSpaceDN/>
        <w:bidi w:val="0"/>
        <w:snapToGrid w:val="0"/>
        <w:spacing w:line="360" w:lineRule="auto"/>
        <w:ind w:left="0" w:leftChars="0" w:right="0" w:rightChars="0" w:firstLine="480" w:firstLineChars="200"/>
        <w:jc w:val="both"/>
        <w:outlineLvl w:val="1"/>
        <w:rPr>
          <w:rFonts w:hint="default" w:ascii="Times New Roman" w:hAnsi="Times New Roman" w:eastAsia="宋体" w:cs="Times New Roman"/>
          <w:color w:val="auto"/>
          <w:sz w:val="24"/>
          <w:szCs w:val="24"/>
          <w:highlight w:val="none"/>
          <w:lang w:eastAsia="zh-CN"/>
        </w:rPr>
      </w:pPr>
      <w:bookmarkStart w:id="527" w:name="_Toc2256"/>
      <w:bookmarkStart w:id="528" w:name="_Toc26095"/>
      <w:r>
        <w:rPr>
          <w:rFonts w:hint="default" w:ascii="Times New Roman" w:hAnsi="Times New Roman" w:eastAsia="宋体" w:cs="Times New Roman"/>
          <w:color w:val="auto"/>
          <w:sz w:val="24"/>
          <w:szCs w:val="24"/>
          <w:highlight w:val="none"/>
          <w:lang w:eastAsia="zh-CN"/>
        </w:rPr>
        <w:t>3）挤出焊接后，应采用真空测试或电火花测试。</w:t>
      </w:r>
      <w:bookmarkEnd w:id="527"/>
      <w:bookmarkEnd w:id="528"/>
    </w:p>
    <w:p>
      <w:pPr>
        <w:pageBreakBefore w:val="0"/>
        <w:widowControl w:val="0"/>
        <w:kinsoku/>
        <w:wordWrap/>
        <w:overflowPunct/>
        <w:topLinePunct w:val="0"/>
        <w:autoSpaceDE/>
        <w:autoSpaceDN/>
        <w:bidi w:val="0"/>
        <w:snapToGrid w:val="0"/>
        <w:spacing w:line="360" w:lineRule="auto"/>
        <w:ind w:left="0" w:leftChars="0" w:right="0" w:rightChars="0" w:firstLine="480" w:firstLineChars="200"/>
        <w:jc w:val="both"/>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4）土工膜焊接后，应按每台焊机每150m焊缝长度取样一次的频率对焊缝取样对焊缝强度测试。</w:t>
      </w:r>
    </w:p>
    <w:p>
      <w:pPr>
        <w:pageBreakBefore w:val="0"/>
        <w:widowControl w:val="0"/>
        <w:kinsoku/>
        <w:wordWrap/>
        <w:overflowPunct/>
        <w:topLinePunct w:val="0"/>
        <w:autoSpaceDE/>
        <w:autoSpaceDN/>
        <w:bidi w:val="0"/>
        <w:snapToGrid w:val="0"/>
        <w:spacing w:line="360" w:lineRule="auto"/>
        <w:ind w:left="0" w:leftChars="0" w:right="0" w:rightChars="0" w:firstLine="480" w:firstLineChars="200"/>
        <w:jc w:val="both"/>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5）在焊接设备焊接的试样未通过试焊检查或监理工程师确认之前，不得开始正式焊接。</w:t>
      </w:r>
    </w:p>
    <w:p>
      <w:pPr>
        <w:pageBreakBefore w:val="0"/>
        <w:widowControl w:val="0"/>
        <w:kinsoku/>
        <w:wordWrap/>
        <w:overflowPunct/>
        <w:topLinePunct w:val="0"/>
        <w:autoSpaceDE/>
        <w:autoSpaceDN/>
        <w:bidi w:val="0"/>
        <w:snapToGrid w:val="0"/>
        <w:spacing w:line="360" w:lineRule="auto"/>
        <w:ind w:left="0" w:leftChars="0" w:right="0" w:rightChars="0" w:firstLine="480" w:firstLineChars="200"/>
        <w:jc w:val="both"/>
        <w:outlineLvl w:val="1"/>
        <w:rPr>
          <w:rFonts w:hint="default" w:ascii="Times New Roman" w:hAnsi="Times New Roman" w:eastAsia="宋体" w:cs="Times New Roman"/>
          <w:color w:val="auto"/>
          <w:sz w:val="24"/>
          <w:szCs w:val="24"/>
          <w:highlight w:val="none"/>
          <w:lang w:eastAsia="zh-CN"/>
        </w:rPr>
      </w:pPr>
      <w:bookmarkStart w:id="529" w:name="_Toc25441"/>
      <w:bookmarkStart w:id="530" w:name="_Toc14229"/>
      <w:r>
        <w:rPr>
          <w:rFonts w:hint="default" w:ascii="Times New Roman" w:hAnsi="Times New Roman" w:eastAsia="宋体" w:cs="Times New Roman"/>
          <w:color w:val="auto"/>
          <w:sz w:val="24"/>
          <w:szCs w:val="24"/>
          <w:highlight w:val="none"/>
          <w:lang w:eastAsia="zh-CN"/>
        </w:rPr>
        <w:t>6）焊接前必须将土工膜表面的灰尘，污物等异物清洁干净。</w:t>
      </w:r>
      <w:bookmarkEnd w:id="529"/>
      <w:bookmarkEnd w:id="530"/>
    </w:p>
    <w:p>
      <w:pPr>
        <w:pageBreakBefore w:val="0"/>
        <w:widowControl w:val="0"/>
        <w:kinsoku/>
        <w:wordWrap/>
        <w:overflowPunct/>
        <w:topLinePunct w:val="0"/>
        <w:autoSpaceDE/>
        <w:autoSpaceDN/>
        <w:bidi w:val="0"/>
        <w:snapToGrid w:val="0"/>
        <w:spacing w:line="360" w:lineRule="auto"/>
        <w:ind w:left="0" w:leftChars="0" w:right="0" w:rightChars="0" w:firstLine="480" w:firstLineChars="200"/>
        <w:jc w:val="both"/>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val="en-US" w:eastAsia="zh-CN"/>
        </w:rPr>
        <w:t>7</w:t>
      </w:r>
      <w:r>
        <w:rPr>
          <w:rFonts w:hint="default" w:ascii="Times New Roman" w:hAnsi="Times New Roman" w:eastAsia="宋体" w:cs="Times New Roman"/>
          <w:color w:val="auto"/>
          <w:sz w:val="24"/>
          <w:szCs w:val="24"/>
          <w:highlight w:val="none"/>
          <w:lang w:eastAsia="zh-CN"/>
        </w:rPr>
        <w:t>）若环境温度低于5度或高于40度时，施工单位应提供与规定温度范围内同等焊接质量的截面证明，并请监理工程确认后，方可进行施工。</w:t>
      </w:r>
    </w:p>
    <w:p>
      <w:pPr>
        <w:pageBreakBefore w:val="0"/>
        <w:widowControl w:val="0"/>
        <w:kinsoku/>
        <w:wordWrap/>
        <w:overflowPunct/>
        <w:topLinePunct w:val="0"/>
        <w:autoSpaceDE/>
        <w:autoSpaceDN/>
        <w:bidi w:val="0"/>
        <w:snapToGrid w:val="0"/>
        <w:spacing w:line="360" w:lineRule="auto"/>
        <w:ind w:left="0" w:leftChars="0" w:right="0" w:rightChars="0" w:firstLine="480" w:firstLineChars="200"/>
        <w:jc w:val="both"/>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8）焊接形式一般采用双焊缝搭焊，挤出式焊接仅用在修复（修补、覆盖）且熔焊设备达不到的地方。</w:t>
      </w:r>
    </w:p>
    <w:p>
      <w:pPr>
        <w:pageBreakBefore w:val="0"/>
        <w:widowControl w:val="0"/>
        <w:kinsoku/>
        <w:wordWrap/>
        <w:overflowPunct/>
        <w:topLinePunct w:val="0"/>
        <w:autoSpaceDE/>
        <w:autoSpaceDN/>
        <w:bidi w:val="0"/>
        <w:snapToGrid w:val="0"/>
        <w:spacing w:line="360" w:lineRule="auto"/>
        <w:ind w:left="0" w:leftChars="0" w:right="0" w:rightChars="0" w:firstLine="480" w:firstLineChars="200"/>
        <w:jc w:val="both"/>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9）焊缝的联结强度应大于母材强度。</w:t>
      </w:r>
    </w:p>
    <w:p>
      <w:pPr>
        <w:pageBreakBefore w:val="0"/>
        <w:widowControl w:val="0"/>
        <w:kinsoku/>
        <w:wordWrap/>
        <w:overflowPunct/>
        <w:topLinePunct w:val="0"/>
        <w:autoSpaceDE/>
        <w:autoSpaceDN/>
        <w:bidi w:val="0"/>
        <w:snapToGrid w:val="0"/>
        <w:spacing w:line="360" w:lineRule="auto"/>
        <w:ind w:left="0" w:leftChars="0" w:right="0" w:rightChars="0" w:firstLine="480" w:firstLineChars="200"/>
        <w:jc w:val="both"/>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10）施工现场应具备足够焊接施工设备，确保焊接施工连续进行。</w:t>
      </w:r>
    </w:p>
    <w:p>
      <w:pPr>
        <w:pageBreakBefore w:val="0"/>
        <w:widowControl w:val="0"/>
        <w:kinsoku/>
        <w:wordWrap/>
        <w:overflowPunct/>
        <w:topLinePunct w:val="0"/>
        <w:autoSpaceDE/>
        <w:autoSpaceDN/>
        <w:bidi w:val="0"/>
        <w:snapToGrid w:val="0"/>
        <w:spacing w:line="360" w:lineRule="auto"/>
        <w:ind w:left="0" w:leftChars="0" w:right="0" w:rightChars="0" w:firstLine="480" w:firstLineChars="200"/>
        <w:jc w:val="both"/>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11）施工现场应设有检测实验室，并配备有必要的检测设备，且现场检测应对土工膜焊缝进行目检、压力试验、真空试验和破坏性测试。</w:t>
      </w:r>
    </w:p>
    <w:p>
      <w:pPr>
        <w:pageBreakBefore w:val="0"/>
        <w:widowControl w:val="0"/>
        <w:kinsoku/>
        <w:wordWrap/>
        <w:overflowPunct/>
        <w:topLinePunct w:val="0"/>
        <w:autoSpaceDE/>
        <w:autoSpaceDN/>
        <w:bidi w:val="0"/>
        <w:snapToGrid w:val="0"/>
        <w:spacing w:line="360" w:lineRule="auto"/>
        <w:ind w:left="0" w:leftChars="0" w:right="0" w:rightChars="0" w:firstLine="482" w:firstLineChars="200"/>
        <w:jc w:val="both"/>
        <w:outlineLvl w:val="0"/>
        <w:rPr>
          <w:rFonts w:hint="default" w:ascii="Times New Roman" w:hAnsi="Times New Roman" w:eastAsia="宋体" w:cs="Times New Roman"/>
          <w:b/>
          <w:bCs/>
          <w:color w:val="auto"/>
          <w:sz w:val="24"/>
          <w:szCs w:val="24"/>
          <w:highlight w:val="none"/>
          <w:lang w:eastAsia="zh-CN"/>
        </w:rPr>
      </w:pPr>
      <w:bookmarkStart w:id="531" w:name="_Toc13795"/>
      <w:bookmarkStart w:id="532" w:name="_Toc10658"/>
      <w:r>
        <w:rPr>
          <w:rFonts w:hint="default" w:ascii="Times New Roman" w:hAnsi="Times New Roman" w:eastAsia="宋体" w:cs="Times New Roman"/>
          <w:b/>
          <w:bCs/>
          <w:color w:val="auto"/>
          <w:sz w:val="24"/>
          <w:szCs w:val="24"/>
          <w:highlight w:val="none"/>
          <w:lang w:eastAsia="zh-CN"/>
        </w:rPr>
        <w:t>（</w:t>
      </w:r>
      <w:r>
        <w:rPr>
          <w:rFonts w:hint="default" w:ascii="Times New Roman" w:hAnsi="Times New Roman" w:eastAsia="宋体" w:cs="Times New Roman"/>
          <w:b/>
          <w:bCs/>
          <w:color w:val="auto"/>
          <w:sz w:val="24"/>
          <w:szCs w:val="24"/>
          <w:highlight w:val="none"/>
          <w:lang w:val="en-US" w:eastAsia="zh-CN"/>
        </w:rPr>
        <w:t>8</w:t>
      </w:r>
      <w:r>
        <w:rPr>
          <w:rFonts w:hint="default" w:ascii="Times New Roman" w:hAnsi="Times New Roman" w:eastAsia="宋体" w:cs="Times New Roman"/>
          <w:b/>
          <w:bCs/>
          <w:color w:val="auto"/>
          <w:sz w:val="24"/>
          <w:szCs w:val="24"/>
          <w:highlight w:val="none"/>
          <w:lang w:eastAsia="zh-CN"/>
        </w:rPr>
        <w:t>）无纺土工布铺设技术要求</w:t>
      </w:r>
      <w:bookmarkEnd w:id="531"/>
      <w:bookmarkEnd w:id="532"/>
    </w:p>
    <w:p>
      <w:pPr>
        <w:pageBreakBefore w:val="0"/>
        <w:widowControl w:val="0"/>
        <w:kinsoku/>
        <w:wordWrap/>
        <w:overflowPunct/>
        <w:topLinePunct w:val="0"/>
        <w:autoSpaceDE/>
        <w:autoSpaceDN/>
        <w:bidi w:val="0"/>
        <w:snapToGrid w:val="0"/>
        <w:spacing w:line="360" w:lineRule="auto"/>
        <w:ind w:left="0" w:leftChars="0" w:right="0" w:rightChars="0" w:firstLine="480" w:firstLineChars="200"/>
        <w:jc w:val="both"/>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1）在长丝土工布铺设之前，安装单位须提供长丝土工布的铺设和连接平面图。</w:t>
      </w:r>
    </w:p>
    <w:p>
      <w:pPr>
        <w:pageBreakBefore w:val="0"/>
        <w:widowControl w:val="0"/>
        <w:kinsoku/>
        <w:wordWrap/>
        <w:overflowPunct/>
        <w:topLinePunct w:val="0"/>
        <w:autoSpaceDE/>
        <w:autoSpaceDN/>
        <w:bidi w:val="0"/>
        <w:snapToGrid w:val="0"/>
        <w:spacing w:line="360" w:lineRule="auto"/>
        <w:ind w:left="0" w:leftChars="0" w:right="0" w:rightChars="0" w:firstLine="480" w:firstLineChars="200"/>
        <w:jc w:val="both"/>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2）土工布间的接缝须与坡面线平行，在场底的水平接缝与坡脚的距离必须大于1.5</w:t>
      </w:r>
      <w:r>
        <w:rPr>
          <w:rFonts w:hint="default" w:ascii="Times New Roman" w:hAnsi="Times New Roman" w:eastAsia="宋体" w:cs="Times New Roman"/>
          <w:color w:val="auto"/>
          <w:sz w:val="24"/>
          <w:szCs w:val="24"/>
          <w:highlight w:val="none"/>
          <w:lang w:val="en-US" w:eastAsia="zh-CN"/>
        </w:rPr>
        <w:t>m</w:t>
      </w:r>
      <w:r>
        <w:rPr>
          <w:rFonts w:hint="default" w:ascii="Times New Roman" w:hAnsi="Times New Roman" w:eastAsia="宋体" w:cs="Times New Roman"/>
          <w:color w:val="auto"/>
          <w:sz w:val="24"/>
          <w:szCs w:val="24"/>
          <w:highlight w:val="none"/>
          <w:lang w:eastAsia="zh-CN"/>
        </w:rPr>
        <w:t>。</w:t>
      </w:r>
    </w:p>
    <w:p>
      <w:pPr>
        <w:pageBreakBefore w:val="0"/>
        <w:widowControl w:val="0"/>
        <w:kinsoku/>
        <w:wordWrap/>
        <w:overflowPunct/>
        <w:topLinePunct w:val="0"/>
        <w:autoSpaceDE/>
        <w:autoSpaceDN/>
        <w:bidi w:val="0"/>
        <w:snapToGrid w:val="0"/>
        <w:spacing w:line="360" w:lineRule="auto"/>
        <w:ind w:left="0" w:leftChars="0" w:right="0" w:rightChars="0" w:firstLine="480" w:firstLineChars="200"/>
        <w:jc w:val="both"/>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3）采用缝合连接时，土工布的重叠宽度为100mm。</w:t>
      </w:r>
    </w:p>
    <w:p>
      <w:pPr>
        <w:pageBreakBefore w:val="0"/>
        <w:widowControl w:val="0"/>
        <w:kinsoku/>
        <w:wordWrap/>
        <w:overflowPunct/>
        <w:topLinePunct w:val="0"/>
        <w:autoSpaceDE/>
        <w:autoSpaceDN/>
        <w:bidi w:val="0"/>
        <w:snapToGrid w:val="0"/>
        <w:spacing w:line="360" w:lineRule="auto"/>
        <w:ind w:left="0" w:leftChars="0" w:right="0" w:rightChars="0" w:firstLine="480" w:firstLineChars="200"/>
        <w:jc w:val="both"/>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4）土工布的铺设应按以下要求进行：</w:t>
      </w:r>
    </w:p>
    <w:p>
      <w:pPr>
        <w:pageBreakBefore w:val="0"/>
        <w:widowControl w:val="0"/>
        <w:kinsoku/>
        <w:wordWrap/>
        <w:overflowPunct/>
        <w:topLinePunct w:val="0"/>
        <w:autoSpaceDE/>
        <w:autoSpaceDN/>
        <w:bidi w:val="0"/>
        <w:snapToGrid w:val="0"/>
        <w:spacing w:line="360" w:lineRule="auto"/>
        <w:ind w:left="0" w:leftChars="0" w:right="0" w:rightChars="0" w:firstLine="480" w:firstLineChars="200"/>
        <w:jc w:val="both"/>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a.在坡面上对长丝土工布的一端进行锚固然后将卷材顺坡面放下，以保证土工布保持拉紧的状态；</w:t>
      </w:r>
    </w:p>
    <w:p>
      <w:pPr>
        <w:pageBreakBefore w:val="0"/>
        <w:widowControl w:val="0"/>
        <w:kinsoku/>
        <w:wordWrap/>
        <w:overflowPunct/>
        <w:topLinePunct w:val="0"/>
        <w:autoSpaceDE/>
        <w:autoSpaceDN/>
        <w:bidi w:val="0"/>
        <w:snapToGrid w:val="0"/>
        <w:spacing w:line="360" w:lineRule="auto"/>
        <w:ind w:left="0" w:leftChars="0" w:right="0" w:rightChars="0" w:firstLine="480" w:firstLineChars="200"/>
        <w:jc w:val="both"/>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b.所有的长丝土工布都须用沙袋压住，</w:t>
      </w:r>
    </w:p>
    <w:p>
      <w:pPr>
        <w:pageBreakBefore w:val="0"/>
        <w:widowControl w:val="0"/>
        <w:kinsoku/>
        <w:wordWrap/>
        <w:overflowPunct/>
        <w:topLinePunct w:val="0"/>
        <w:autoSpaceDE/>
        <w:autoSpaceDN/>
        <w:bidi w:val="0"/>
        <w:snapToGrid w:val="0"/>
        <w:spacing w:line="360" w:lineRule="auto"/>
        <w:ind w:left="0" w:leftChars="0" w:right="0" w:rightChars="0" w:firstLine="480" w:firstLineChars="200"/>
        <w:jc w:val="both"/>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val="en-US" w:eastAsia="zh-CN"/>
        </w:rPr>
        <w:t>c.</w:t>
      </w:r>
      <w:r>
        <w:rPr>
          <w:rFonts w:hint="default" w:ascii="Times New Roman" w:hAnsi="Times New Roman" w:eastAsia="宋体" w:cs="Times New Roman"/>
          <w:color w:val="auto"/>
          <w:sz w:val="24"/>
          <w:szCs w:val="24"/>
          <w:highlight w:val="none"/>
          <w:lang w:eastAsia="zh-CN"/>
        </w:rPr>
        <w:t>长丝土工布只能用土工布刀进行切割（钩刀），如在场地内切割，对其他材料须采取保护措施，以防止由于切割长丝土工布而对其造成损坏；</w:t>
      </w:r>
    </w:p>
    <w:p>
      <w:pPr>
        <w:pageBreakBefore w:val="0"/>
        <w:widowControl w:val="0"/>
        <w:kinsoku/>
        <w:wordWrap/>
        <w:overflowPunct/>
        <w:topLinePunct w:val="0"/>
        <w:autoSpaceDE/>
        <w:autoSpaceDN/>
        <w:bidi w:val="0"/>
        <w:snapToGrid w:val="0"/>
        <w:spacing w:line="360" w:lineRule="auto"/>
        <w:ind w:left="0" w:leftChars="0" w:right="0" w:rightChars="0" w:firstLine="480" w:firstLineChars="200"/>
        <w:jc w:val="both"/>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d.在铺设长丝土工布的同时，安装单位须采取一切必要措施以防止对下面防渗材料造成破坏；</w:t>
      </w:r>
    </w:p>
    <w:p>
      <w:pPr>
        <w:pageBreakBefore w:val="0"/>
        <w:widowControl w:val="0"/>
        <w:kinsoku/>
        <w:wordWrap/>
        <w:overflowPunct/>
        <w:topLinePunct w:val="0"/>
        <w:autoSpaceDE/>
        <w:autoSpaceDN/>
        <w:bidi w:val="0"/>
        <w:snapToGrid w:val="0"/>
        <w:spacing w:line="360" w:lineRule="auto"/>
        <w:ind w:left="0" w:leftChars="0" w:right="0" w:rightChars="0" w:firstLine="480" w:firstLineChars="200"/>
        <w:jc w:val="both"/>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e.在铺设长丝土工布时，必须注意不要让石头、大量尘土或水分等有可能破坏土工布、有可能阻塞排水渠或有可能接下来的连接带来困难的物质进入土工布或土工布下面；</w:t>
      </w:r>
    </w:p>
    <w:p>
      <w:pPr>
        <w:pageBreakBefore w:val="0"/>
        <w:widowControl w:val="0"/>
        <w:kinsoku/>
        <w:wordWrap/>
        <w:overflowPunct/>
        <w:topLinePunct w:val="0"/>
        <w:autoSpaceDE/>
        <w:autoSpaceDN/>
        <w:bidi w:val="0"/>
        <w:snapToGrid w:val="0"/>
        <w:spacing w:line="360" w:lineRule="auto"/>
        <w:ind w:left="0" w:leftChars="0" w:right="0" w:rightChars="0" w:firstLine="480" w:firstLineChars="200"/>
        <w:jc w:val="both"/>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f.安装结束后，对所有长丝土工布表面进行目测以确定所有损坏的地方做上标记并进行修补。</w:t>
      </w:r>
    </w:p>
    <w:p>
      <w:pPr>
        <w:pageBreakBefore w:val="0"/>
        <w:widowControl w:val="0"/>
        <w:kinsoku/>
        <w:wordWrap/>
        <w:overflowPunct/>
        <w:topLinePunct w:val="0"/>
        <w:autoSpaceDE/>
        <w:autoSpaceDN/>
        <w:bidi w:val="0"/>
        <w:snapToGrid w:val="0"/>
        <w:spacing w:line="360" w:lineRule="auto"/>
        <w:ind w:left="0" w:leftChars="0" w:right="0" w:rightChars="0" w:firstLine="480" w:firstLineChars="200"/>
        <w:jc w:val="both"/>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5）结果采用缝合连接，缝合必须采用双缝合。缝合线须采用与长丝土工布材质相同或超过的材料，缝合线为防化学腐蚀和紫外线的材质。</w:t>
      </w:r>
    </w:p>
    <w:p>
      <w:pPr>
        <w:pageBreakBefore w:val="0"/>
        <w:widowControl w:val="0"/>
        <w:kinsoku/>
        <w:wordWrap/>
        <w:overflowPunct/>
        <w:topLinePunct w:val="0"/>
        <w:autoSpaceDE/>
        <w:autoSpaceDN/>
        <w:bidi w:val="0"/>
        <w:snapToGrid w:val="0"/>
        <w:spacing w:line="360" w:lineRule="auto"/>
        <w:ind w:left="0" w:leftChars="0" w:right="0" w:rightChars="0" w:firstLine="480" w:firstLineChars="200"/>
        <w:jc w:val="both"/>
        <w:outlineLvl w:val="1"/>
        <w:rPr>
          <w:rFonts w:hint="default" w:ascii="Times New Roman" w:hAnsi="Times New Roman" w:eastAsia="宋体" w:cs="Times New Roman"/>
          <w:color w:val="auto"/>
          <w:sz w:val="24"/>
          <w:szCs w:val="24"/>
          <w:highlight w:val="none"/>
          <w:lang w:eastAsia="zh-CN"/>
        </w:rPr>
      </w:pPr>
      <w:bookmarkStart w:id="533" w:name="_Toc21166"/>
      <w:bookmarkStart w:id="534" w:name="_Toc22572"/>
      <w:r>
        <w:rPr>
          <w:rFonts w:hint="default" w:ascii="Times New Roman" w:hAnsi="Times New Roman" w:eastAsia="宋体" w:cs="Times New Roman"/>
          <w:color w:val="auto"/>
          <w:sz w:val="24"/>
          <w:szCs w:val="24"/>
          <w:highlight w:val="none"/>
          <w:lang w:eastAsia="zh-CN"/>
        </w:rPr>
        <w:t>6）应确保没有泥土或砾石覆盖层中的砾石进入长丝土工布中间。</w:t>
      </w:r>
      <w:bookmarkEnd w:id="533"/>
      <w:bookmarkEnd w:id="534"/>
    </w:p>
    <w:p>
      <w:pPr>
        <w:pageBreakBefore w:val="0"/>
        <w:widowControl w:val="0"/>
        <w:kinsoku/>
        <w:wordWrap/>
        <w:overflowPunct/>
        <w:topLinePunct w:val="0"/>
        <w:autoSpaceDE/>
        <w:autoSpaceDN/>
        <w:bidi w:val="0"/>
        <w:snapToGrid w:val="0"/>
        <w:spacing w:line="360" w:lineRule="auto"/>
        <w:ind w:left="0" w:leftChars="0" w:right="0" w:rightChars="0" w:firstLine="480" w:firstLineChars="200"/>
        <w:jc w:val="both"/>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7）损坏和修补（在缝合接合处，如果跳针的距离小于100</w:t>
      </w:r>
      <w:r>
        <w:rPr>
          <w:rFonts w:hint="default" w:ascii="Times New Roman" w:hAnsi="Times New Roman" w:eastAsia="宋体" w:cs="Times New Roman"/>
          <w:color w:val="auto"/>
          <w:sz w:val="24"/>
          <w:szCs w:val="24"/>
          <w:highlight w:val="none"/>
          <w:lang w:val="en-US" w:eastAsia="zh-CN"/>
        </w:rPr>
        <w:t>mm</w:t>
      </w:r>
      <w:r>
        <w:rPr>
          <w:rFonts w:hint="default" w:ascii="Times New Roman" w:hAnsi="Times New Roman" w:eastAsia="宋体" w:cs="Times New Roman"/>
          <w:color w:val="auto"/>
          <w:sz w:val="24"/>
          <w:szCs w:val="24"/>
          <w:highlight w:val="none"/>
          <w:lang w:eastAsia="zh-CN"/>
        </w:rPr>
        <w:t>，接缝须按下列程序进行修补）</w:t>
      </w:r>
    </w:p>
    <w:p>
      <w:pPr>
        <w:pageBreakBefore w:val="0"/>
        <w:widowControl w:val="0"/>
        <w:kinsoku/>
        <w:wordWrap/>
        <w:overflowPunct/>
        <w:topLinePunct w:val="0"/>
        <w:autoSpaceDE/>
        <w:autoSpaceDN/>
        <w:bidi w:val="0"/>
        <w:snapToGrid w:val="0"/>
        <w:spacing w:line="360" w:lineRule="auto"/>
        <w:ind w:left="0" w:leftChars="0" w:right="0" w:rightChars="0" w:firstLine="480" w:firstLineChars="200"/>
        <w:jc w:val="both"/>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a.缝合线之上接缝的内侧须用热粘方式接合，宽度须为缝合线两侧各不少于150毫米。</w:t>
      </w:r>
    </w:p>
    <w:p>
      <w:pPr>
        <w:pageBreakBefore w:val="0"/>
        <w:widowControl w:val="0"/>
        <w:kinsoku/>
        <w:wordWrap/>
        <w:overflowPunct/>
        <w:topLinePunct w:val="0"/>
        <w:autoSpaceDE/>
        <w:autoSpaceDN/>
        <w:bidi w:val="0"/>
        <w:snapToGrid w:val="0"/>
        <w:spacing w:line="360" w:lineRule="auto"/>
        <w:ind w:left="0" w:leftChars="0" w:right="0" w:rightChars="0" w:firstLine="480" w:firstLineChars="200"/>
        <w:jc w:val="both"/>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b.接合缝须折平，然后将其用热粘与相邻的长丝土工布连接。</w:t>
      </w:r>
    </w:p>
    <w:p>
      <w:pPr>
        <w:pageBreakBefore w:val="0"/>
        <w:widowControl w:val="0"/>
        <w:kinsoku/>
        <w:wordWrap/>
        <w:overflowPunct/>
        <w:topLinePunct w:val="0"/>
        <w:autoSpaceDE/>
        <w:autoSpaceDN/>
        <w:bidi w:val="0"/>
        <w:snapToGrid w:val="0"/>
        <w:spacing w:line="360" w:lineRule="auto"/>
        <w:ind w:left="0" w:leftChars="0" w:right="0" w:rightChars="0" w:firstLine="480" w:firstLineChars="200"/>
        <w:jc w:val="both"/>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c.在缝合接合处，如果跳针的距离大于100</w:t>
      </w:r>
      <w:r>
        <w:rPr>
          <w:rFonts w:hint="default" w:ascii="Times New Roman" w:hAnsi="Times New Roman" w:eastAsia="宋体" w:cs="Times New Roman"/>
          <w:color w:val="auto"/>
          <w:sz w:val="24"/>
          <w:szCs w:val="24"/>
          <w:highlight w:val="none"/>
          <w:lang w:val="en-US" w:eastAsia="zh-CN"/>
        </w:rPr>
        <w:t>mm</w:t>
      </w:r>
      <w:r>
        <w:rPr>
          <w:rFonts w:hint="default" w:ascii="Times New Roman" w:hAnsi="Times New Roman" w:eastAsia="宋体" w:cs="Times New Roman"/>
          <w:color w:val="auto"/>
          <w:sz w:val="24"/>
          <w:szCs w:val="24"/>
          <w:highlight w:val="none"/>
          <w:lang w:eastAsia="zh-CN"/>
        </w:rPr>
        <w:t>，须进行重新缝合修补，并确保跳针末端已经重新缝合。</w:t>
      </w:r>
    </w:p>
    <w:p>
      <w:pPr>
        <w:pageBreakBefore w:val="0"/>
        <w:widowControl w:val="0"/>
        <w:kinsoku/>
        <w:wordWrap/>
        <w:overflowPunct/>
        <w:topLinePunct w:val="0"/>
        <w:autoSpaceDE/>
        <w:autoSpaceDN/>
        <w:bidi w:val="0"/>
        <w:snapToGrid w:val="0"/>
        <w:spacing w:line="360" w:lineRule="auto"/>
        <w:ind w:left="0" w:leftChars="0" w:right="0" w:rightChars="0" w:firstLine="480" w:firstLineChars="200"/>
        <w:jc w:val="both"/>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val="en-US" w:eastAsia="zh-CN"/>
        </w:rPr>
        <w:t>d.</w:t>
      </w:r>
      <w:r>
        <w:rPr>
          <w:rFonts w:hint="default" w:ascii="Times New Roman" w:hAnsi="Times New Roman" w:eastAsia="宋体" w:cs="Times New Roman"/>
          <w:color w:val="auto"/>
          <w:sz w:val="24"/>
          <w:szCs w:val="24"/>
          <w:highlight w:val="none"/>
          <w:lang w:eastAsia="zh-CN"/>
        </w:rPr>
        <w:t>在所有地区，除了岩石斜坡地段，漏洞或撕裂部分须用同一材质的长丝土工布补丁进行修补缝合。在岩石坡面上，漏洞或撕裂部分需用同材质长丝土工布补丁并采用热粘缝合进行修补。</w:t>
      </w:r>
    </w:p>
    <w:p>
      <w:pPr>
        <w:pageBreakBefore w:val="0"/>
        <w:widowControl w:val="0"/>
        <w:kinsoku/>
        <w:wordWrap/>
        <w:overflowPunct/>
        <w:topLinePunct w:val="0"/>
        <w:autoSpaceDE/>
        <w:autoSpaceDN/>
        <w:bidi w:val="0"/>
        <w:snapToGrid w:val="0"/>
        <w:spacing w:line="360" w:lineRule="auto"/>
        <w:ind w:left="0" w:leftChars="0" w:right="0" w:rightChars="0" w:firstLine="480" w:firstLineChars="200"/>
        <w:jc w:val="both"/>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e.在填埋场底部，如果裂口长度超过卷材宽度的10%，损坏的部分须被切除掉，然后采用上述方式把两部分长丝土工布连接起来。</w:t>
      </w:r>
    </w:p>
    <w:p>
      <w:pPr>
        <w:pageBreakBefore w:val="0"/>
        <w:widowControl w:val="0"/>
        <w:kinsoku/>
        <w:wordWrap/>
        <w:overflowPunct/>
        <w:topLinePunct w:val="0"/>
        <w:autoSpaceDE/>
        <w:autoSpaceDN/>
        <w:bidi w:val="0"/>
        <w:snapToGrid w:val="0"/>
        <w:spacing w:line="360" w:lineRule="auto"/>
        <w:ind w:left="0" w:leftChars="0" w:right="0" w:rightChars="0" w:firstLine="480" w:firstLineChars="200"/>
        <w:jc w:val="both"/>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f.应注意将土工布材质之间的任何有可能刺穿土工布的物体清理掉。</w:t>
      </w:r>
    </w:p>
    <w:p>
      <w:pPr>
        <w:pageBreakBefore w:val="0"/>
        <w:widowControl w:val="0"/>
        <w:kinsoku/>
        <w:wordWrap/>
        <w:overflowPunct/>
        <w:topLinePunct w:val="0"/>
        <w:autoSpaceDE/>
        <w:autoSpaceDN/>
        <w:bidi w:val="0"/>
        <w:snapToGrid w:val="0"/>
        <w:spacing w:line="360" w:lineRule="auto"/>
        <w:ind w:left="0" w:leftChars="0" w:right="0" w:rightChars="0" w:firstLine="482" w:firstLineChars="200"/>
        <w:jc w:val="both"/>
        <w:outlineLvl w:val="0"/>
        <w:rPr>
          <w:rFonts w:hint="default" w:ascii="Times New Roman" w:hAnsi="Times New Roman" w:eastAsia="宋体" w:cs="Times New Roman"/>
          <w:b/>
          <w:bCs/>
          <w:color w:val="auto"/>
          <w:sz w:val="24"/>
          <w:szCs w:val="24"/>
          <w:highlight w:val="none"/>
          <w:lang w:eastAsia="zh-CN"/>
        </w:rPr>
      </w:pPr>
      <w:bookmarkStart w:id="535" w:name="_Toc32099"/>
      <w:bookmarkStart w:id="536" w:name="_Toc8851"/>
      <w:r>
        <w:rPr>
          <w:rFonts w:hint="default" w:ascii="Times New Roman" w:hAnsi="Times New Roman" w:eastAsia="宋体" w:cs="Times New Roman"/>
          <w:b/>
          <w:bCs/>
          <w:color w:val="auto"/>
          <w:sz w:val="24"/>
          <w:szCs w:val="24"/>
          <w:highlight w:val="none"/>
          <w:lang w:eastAsia="zh-CN"/>
        </w:rPr>
        <w:t>（</w:t>
      </w:r>
      <w:r>
        <w:rPr>
          <w:rFonts w:hint="default" w:ascii="Times New Roman" w:hAnsi="Times New Roman" w:eastAsia="宋体" w:cs="Times New Roman"/>
          <w:b/>
          <w:bCs/>
          <w:color w:val="auto"/>
          <w:sz w:val="24"/>
          <w:szCs w:val="24"/>
          <w:highlight w:val="none"/>
          <w:lang w:val="en-US" w:eastAsia="zh-CN"/>
        </w:rPr>
        <w:t>9</w:t>
      </w:r>
      <w:r>
        <w:rPr>
          <w:rFonts w:hint="default" w:ascii="Times New Roman" w:hAnsi="Times New Roman" w:eastAsia="宋体" w:cs="Times New Roman"/>
          <w:b/>
          <w:bCs/>
          <w:color w:val="auto"/>
          <w:sz w:val="24"/>
          <w:szCs w:val="24"/>
          <w:highlight w:val="none"/>
          <w:lang w:eastAsia="zh-CN"/>
        </w:rPr>
        <w:t>）边坡处保护层要求</w:t>
      </w:r>
      <w:bookmarkEnd w:id="535"/>
      <w:bookmarkEnd w:id="536"/>
    </w:p>
    <w:p>
      <w:pPr>
        <w:pageBreakBefore w:val="0"/>
        <w:widowControl w:val="0"/>
        <w:kinsoku/>
        <w:wordWrap/>
        <w:overflowPunct/>
        <w:topLinePunct w:val="0"/>
        <w:autoSpaceDE/>
        <w:autoSpaceDN/>
        <w:bidi w:val="0"/>
        <w:snapToGrid w:val="0"/>
        <w:spacing w:line="360" w:lineRule="auto"/>
        <w:ind w:left="0" w:leftChars="0" w:right="0" w:rightChars="0" w:firstLine="480" w:firstLineChars="200"/>
        <w:jc w:val="both"/>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eastAsia="zh-CN"/>
        </w:rPr>
        <w:t>防渗透材料之上的保护层为土或砂砾填充袋，采用土袋时袋子为抗老化编织袋</w:t>
      </w:r>
      <w:r>
        <w:rPr>
          <w:rFonts w:hint="default" w:ascii="Times New Roman" w:hAnsi="Times New Roman" w:eastAsia="宋体" w:cs="Times New Roman"/>
          <w:color w:val="auto"/>
          <w:sz w:val="24"/>
          <w:szCs w:val="24"/>
          <w:highlight w:val="none"/>
          <w:lang w:val="en-US" w:eastAsia="zh-CN"/>
        </w:rPr>
        <w:t>。</w:t>
      </w:r>
    </w:p>
    <w:p>
      <w:pPr>
        <w:pageBreakBefore w:val="0"/>
        <w:widowControl w:val="0"/>
        <w:kinsoku/>
        <w:wordWrap/>
        <w:overflowPunct/>
        <w:topLinePunct w:val="0"/>
        <w:autoSpaceDE/>
        <w:autoSpaceDN/>
        <w:bidi w:val="0"/>
        <w:snapToGrid w:val="0"/>
        <w:spacing w:line="360" w:lineRule="auto"/>
        <w:ind w:left="0" w:leftChars="0" w:right="0" w:rightChars="0" w:firstLine="480" w:firstLineChars="200"/>
        <w:jc w:val="both"/>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highlight w:val="none"/>
          <w:lang w:val="en-US" w:eastAsia="zh-CN"/>
        </w:rPr>
        <w:t>综上，扩建尾矿库新建占地区域应达到</w:t>
      </w:r>
      <w:r>
        <w:rPr>
          <w:rFonts w:hint="default" w:ascii="Times New Roman" w:hAnsi="Times New Roman" w:eastAsia="宋体" w:cs="Times New Roman"/>
          <w:color w:val="auto"/>
          <w:sz w:val="24"/>
          <w:highlight w:val="none"/>
        </w:rPr>
        <w:t>《一般工业固体废物贮存和填埋污染控制标准》（GB18599-2020）</w:t>
      </w:r>
      <w:r>
        <w:rPr>
          <w:rFonts w:hint="default" w:ascii="Times New Roman" w:hAnsi="Times New Roman" w:eastAsia="宋体" w:cs="Times New Roman"/>
          <w:color w:val="auto"/>
          <w:sz w:val="24"/>
          <w:highlight w:val="none"/>
        </w:rPr>
        <w:fldChar w:fldCharType="begin"/>
      </w:r>
      <w:r>
        <w:rPr>
          <w:rFonts w:hint="default" w:ascii="Times New Roman" w:hAnsi="Times New Roman" w:eastAsia="宋体" w:cs="Times New Roman"/>
          <w:color w:val="auto"/>
          <w:sz w:val="24"/>
          <w:highlight w:val="none"/>
        </w:rPr>
        <w:instrText xml:space="preserve"> = 2 \* ROMAN </w:instrText>
      </w:r>
      <w:r>
        <w:rPr>
          <w:rFonts w:hint="default" w:ascii="Times New Roman" w:hAnsi="Times New Roman" w:eastAsia="宋体" w:cs="Times New Roman"/>
          <w:color w:val="auto"/>
          <w:sz w:val="24"/>
          <w:highlight w:val="none"/>
        </w:rPr>
        <w:fldChar w:fldCharType="separate"/>
      </w:r>
      <w:r>
        <w:rPr>
          <w:rFonts w:hint="default" w:ascii="Times New Roman" w:hAnsi="Times New Roman" w:eastAsia="宋体" w:cs="Times New Roman"/>
          <w:color w:val="auto"/>
          <w:sz w:val="24"/>
          <w:highlight w:val="none"/>
        </w:rPr>
        <w:t>II</w:t>
      </w:r>
      <w:r>
        <w:rPr>
          <w:rFonts w:hint="default" w:ascii="Times New Roman" w:hAnsi="Times New Roman" w:eastAsia="宋体" w:cs="Times New Roman"/>
          <w:color w:val="auto"/>
          <w:sz w:val="24"/>
          <w:highlight w:val="none"/>
        </w:rPr>
        <w:fldChar w:fldCharType="end"/>
      </w:r>
      <w:r>
        <w:rPr>
          <w:rFonts w:hint="default" w:ascii="Times New Roman" w:hAnsi="Times New Roman" w:eastAsia="宋体" w:cs="Times New Roman"/>
          <w:color w:val="auto"/>
          <w:sz w:val="24"/>
          <w:highlight w:val="none"/>
        </w:rPr>
        <w:t>类场</w:t>
      </w:r>
      <w:r>
        <w:rPr>
          <w:rFonts w:hint="default" w:ascii="Times New Roman" w:hAnsi="Times New Roman" w:eastAsia="宋体" w:cs="Times New Roman"/>
          <w:color w:val="auto"/>
          <w:sz w:val="24"/>
          <w:highlight w:val="none"/>
          <w:lang w:val="en-US" w:eastAsia="zh-CN"/>
        </w:rPr>
        <w:t>要求</w:t>
      </w:r>
      <w:r>
        <w:rPr>
          <w:rFonts w:hint="default" w:ascii="Times New Roman" w:hAnsi="Times New Roman" w:eastAsia="宋体" w:cs="Times New Roman"/>
          <w:color w:val="auto"/>
          <w:sz w:val="24"/>
          <w:szCs w:val="24"/>
          <w:highlight w:val="none"/>
          <w:lang w:eastAsia="zh-CN"/>
        </w:rPr>
        <w:t>。</w:t>
      </w:r>
    </w:p>
    <w:p>
      <w:pPr>
        <w:pageBreakBefore w:val="0"/>
        <w:widowControl w:val="0"/>
        <w:kinsoku/>
        <w:wordWrap/>
        <w:overflowPunct/>
        <w:topLinePunct w:val="0"/>
        <w:autoSpaceDE/>
        <w:autoSpaceDN/>
        <w:bidi w:val="0"/>
        <w:spacing w:line="360" w:lineRule="auto"/>
        <w:ind w:left="0" w:leftChars="0" w:right="0" w:rightChars="0"/>
        <w:textAlignment w:val="auto"/>
        <w:outlineLvl w:val="1"/>
        <w:rPr>
          <w:rFonts w:hint="default" w:ascii="Times New Roman" w:hAnsi="Times New Roman" w:eastAsia="宋体" w:cs="Times New Roman"/>
          <w:b/>
          <w:bCs/>
          <w:color w:val="auto"/>
          <w:sz w:val="24"/>
          <w:szCs w:val="24"/>
          <w:highlight w:val="none"/>
          <w:lang w:val="en-US" w:eastAsia="zh-CN"/>
        </w:rPr>
      </w:pPr>
      <w:bookmarkStart w:id="537" w:name="_Toc29582"/>
      <w:bookmarkStart w:id="538" w:name="_Toc24937"/>
      <w:bookmarkStart w:id="539" w:name="_Toc139446968"/>
      <w:r>
        <w:rPr>
          <w:rFonts w:hint="default" w:ascii="Times New Roman" w:hAnsi="Times New Roman" w:eastAsia="宋体" w:cs="Times New Roman"/>
          <w:b/>
          <w:bCs/>
          <w:color w:val="auto"/>
          <w:sz w:val="24"/>
          <w:szCs w:val="24"/>
          <w:highlight w:val="none"/>
          <w:lang w:val="en-US" w:eastAsia="zh-CN"/>
        </w:rPr>
        <w:t>2.3.3.13新建观测设施</w:t>
      </w:r>
      <w:bookmarkEnd w:id="537"/>
      <w:bookmarkEnd w:id="538"/>
      <w:bookmarkEnd w:id="539"/>
    </w:p>
    <w:p>
      <w:pPr>
        <w:keepNext w:val="0"/>
        <w:keepLines w:val="0"/>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根据《尾矿库安全监测技术规范》（AQ2030-2010）、《尾矿库安全监督管理规定》（国家安全生产监督管理总局令第38号）及《尾矿库安全规程》（GB39496-2020）规定</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尾矿库应设置人工安全监测和在线安全监测相结合的安全监测设施。</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outlineLvl w:val="0"/>
        <w:rPr>
          <w:rFonts w:hint="default" w:ascii="Times New Roman" w:hAnsi="Times New Roman" w:eastAsia="宋体" w:cs="Times New Roman"/>
          <w:color w:val="auto"/>
          <w:sz w:val="24"/>
          <w:szCs w:val="32"/>
          <w:highlight w:val="none"/>
        </w:rPr>
      </w:pPr>
      <w:bookmarkStart w:id="540" w:name="_Toc25663"/>
      <w:bookmarkStart w:id="541" w:name="_Toc18398"/>
      <w:r>
        <w:rPr>
          <w:rFonts w:hint="default"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lang w:val="en-US" w:eastAsia="zh-CN"/>
        </w:rPr>
        <w:t>1</w:t>
      </w:r>
      <w:r>
        <w:rPr>
          <w:rFonts w:hint="default"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rPr>
        <w:t>人工观测设施</w:t>
      </w:r>
      <w:bookmarkEnd w:id="540"/>
      <w:bookmarkEnd w:id="541"/>
    </w:p>
    <w:p>
      <w:pPr>
        <w:keepNext w:val="0"/>
        <w:keepLines w:val="0"/>
        <w:pageBreakBefore w:val="0"/>
        <w:widowControl w:val="0"/>
        <w:kinsoku/>
        <w:wordWrap/>
        <w:overflowPunct/>
        <w:topLinePunct w:val="0"/>
        <w:autoSpaceDE/>
        <w:autoSpaceDN/>
        <w:bidi w:val="0"/>
        <w:spacing w:line="360" w:lineRule="auto"/>
        <w:ind w:left="0" w:leftChars="0" w:right="0" w:rightChars="0" w:firstLine="480" w:firstLineChars="200"/>
        <w:textAlignment w:val="auto"/>
        <w:outlineLvl w:val="1"/>
        <w:rPr>
          <w:rFonts w:hint="default" w:ascii="Times New Roman" w:hAnsi="Times New Roman" w:eastAsia="宋体" w:cs="Times New Roman"/>
          <w:color w:val="auto"/>
          <w:sz w:val="24"/>
          <w:szCs w:val="24"/>
          <w:highlight w:val="none"/>
        </w:rPr>
      </w:pPr>
      <w:bookmarkStart w:id="542" w:name="_Toc19124"/>
      <w:bookmarkStart w:id="543" w:name="_Toc24601"/>
      <w:r>
        <w:rPr>
          <w:rFonts w:hint="default" w:ascii="Times New Roman" w:hAnsi="Times New Roman" w:eastAsia="宋体" w:cs="Times New Roman"/>
          <w:color w:val="auto"/>
          <w:sz w:val="24"/>
          <w:szCs w:val="24"/>
          <w:highlight w:val="none"/>
        </w:rPr>
        <w:t>1）位移观测设施</w:t>
      </w:r>
      <w:bookmarkEnd w:id="542"/>
      <w:bookmarkEnd w:id="543"/>
    </w:p>
    <w:p>
      <w:pPr>
        <w:keepNext w:val="0"/>
        <w:keepLines w:val="0"/>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根据该库的现状情况</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3号副坝坝顶平台布设1个</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堆积坝标高1474m平台布设6个</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最终堆积坝标高1495m平台布设6个</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共布设13个位移监测点</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在山体无变形处结合实际地形布置3个观测基点。</w:t>
      </w:r>
    </w:p>
    <w:p>
      <w:pPr>
        <w:keepNext w:val="0"/>
        <w:keepLines w:val="0"/>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通过水平位移观测、垂直沉降观测</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了解掌握尾矿坝的安全状态。工作基点安设在不受坝的变形影响</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不受外来机械破坏及便于观测的地方</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其高程宜接近观测点的高程。</w:t>
      </w:r>
    </w:p>
    <w:p>
      <w:pPr>
        <w:keepNext w:val="0"/>
        <w:keepLines w:val="0"/>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测点和基点的结构必须坚固可靠</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且不易变形。测点和土基上基点的底座埋入土层的深度不小于1.0m</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且应深入冰冻层以下0.5m。</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textAlignment w:val="auto"/>
        <w:outlineLvl w:val="1"/>
        <w:rPr>
          <w:rFonts w:hint="default" w:ascii="Times New Roman" w:hAnsi="Times New Roman" w:eastAsia="宋体" w:cs="Times New Roman"/>
          <w:color w:val="auto"/>
          <w:sz w:val="24"/>
          <w:szCs w:val="24"/>
          <w:highlight w:val="none"/>
        </w:rPr>
      </w:pPr>
      <w:bookmarkStart w:id="544" w:name="_Toc871"/>
      <w:bookmarkStart w:id="545" w:name="_Toc27398"/>
      <w:r>
        <w:rPr>
          <w:rFonts w:hint="default" w:ascii="Times New Roman" w:hAnsi="Times New Roman" w:eastAsia="宋体" w:cs="Times New Roman"/>
          <w:color w:val="auto"/>
          <w:sz w:val="24"/>
          <w:szCs w:val="24"/>
          <w:highlight w:val="none"/>
        </w:rPr>
        <w:t>2）浸润线观测设施</w:t>
      </w:r>
      <w:bookmarkEnd w:id="544"/>
      <w:bookmarkEnd w:id="545"/>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根据尾矿库现有浸润线观测孔布设情况</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尾矿坝上垂直于坝轴线方向设置7个浸润线观测断面</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观测点分别布设在1464m及1484m平台</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共布设浸润线观测点12个。</w:t>
      </w:r>
    </w:p>
    <w:p>
      <w:pPr>
        <w:keepNext w:val="0"/>
        <w:keepLines w:val="0"/>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浸润线观测孔深度17m</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采用DN100mm工程塑料管</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下半部分为花管包土工布。浸润线观测孔埋设时应确保管壁与尾砂结合良好和不因施工遭受破坏。</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textAlignment w:val="auto"/>
        <w:outlineLvl w:val="1"/>
        <w:rPr>
          <w:rFonts w:hint="default" w:ascii="Times New Roman" w:hAnsi="Times New Roman" w:eastAsia="宋体" w:cs="Times New Roman"/>
          <w:color w:val="auto"/>
          <w:sz w:val="24"/>
          <w:szCs w:val="24"/>
          <w:highlight w:val="none"/>
          <w:lang w:val="en-GB"/>
        </w:rPr>
      </w:pPr>
      <w:bookmarkStart w:id="546" w:name="_Toc27666"/>
      <w:bookmarkStart w:id="547" w:name="_Toc5127"/>
      <w:r>
        <w:rPr>
          <w:rFonts w:hint="default" w:ascii="Times New Roman" w:hAnsi="Times New Roman" w:eastAsia="宋体" w:cs="Times New Roman"/>
          <w:color w:val="auto"/>
          <w:sz w:val="24"/>
          <w:szCs w:val="24"/>
          <w:highlight w:val="none"/>
          <w:lang w:val="en-GB"/>
        </w:rPr>
        <w:t>3）库水位及雨量监测设施</w:t>
      </w:r>
      <w:bookmarkEnd w:id="546"/>
      <w:bookmarkEnd w:id="547"/>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lang w:val="en-GB"/>
        </w:rPr>
      </w:pPr>
      <w:r>
        <w:rPr>
          <w:rFonts w:hint="default" w:ascii="Times New Roman" w:hAnsi="Times New Roman" w:eastAsia="宋体" w:cs="Times New Roman"/>
          <w:color w:val="auto"/>
          <w:sz w:val="24"/>
          <w:szCs w:val="24"/>
          <w:highlight w:val="none"/>
          <w:lang w:val="en-GB"/>
        </w:rPr>
        <w:t>在</w:t>
      </w:r>
      <w:r>
        <w:rPr>
          <w:rFonts w:hint="default" w:ascii="Times New Roman" w:hAnsi="Times New Roman" w:eastAsia="宋体" w:cs="Times New Roman"/>
          <w:color w:val="auto"/>
          <w:sz w:val="24"/>
          <w:szCs w:val="24"/>
          <w:highlight w:val="none"/>
          <w:lang w:val="en-GB" w:eastAsia="zh-CN"/>
        </w:rPr>
        <w:t>溢流井</w:t>
      </w:r>
      <w:r>
        <w:rPr>
          <w:rFonts w:hint="default" w:ascii="Times New Roman" w:hAnsi="Times New Roman" w:eastAsia="宋体" w:cs="Times New Roman"/>
          <w:color w:val="auto"/>
          <w:sz w:val="24"/>
          <w:szCs w:val="24"/>
          <w:highlight w:val="none"/>
          <w:lang w:val="en-GB"/>
        </w:rPr>
        <w:t>朝向滩顶的外壁上</w:t>
      </w:r>
      <w:r>
        <w:rPr>
          <w:rFonts w:hint="default" w:ascii="Times New Roman" w:hAnsi="Times New Roman" w:eastAsia="宋体" w:cs="Times New Roman"/>
          <w:color w:val="auto"/>
          <w:sz w:val="24"/>
          <w:szCs w:val="24"/>
          <w:highlight w:val="none"/>
          <w:lang w:val="en-GB" w:eastAsia="zh-CN"/>
        </w:rPr>
        <w:t>，</w:t>
      </w:r>
      <w:r>
        <w:rPr>
          <w:rFonts w:hint="default" w:ascii="Times New Roman" w:hAnsi="Times New Roman" w:eastAsia="宋体" w:cs="Times New Roman"/>
          <w:color w:val="auto"/>
          <w:sz w:val="24"/>
          <w:szCs w:val="24"/>
          <w:highlight w:val="none"/>
          <w:lang w:val="en-GB"/>
        </w:rPr>
        <w:t>设置库水位观测水尺。在值班室设置雨量计对降雨量进行监测。</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outlineLvl w:val="0"/>
        <w:rPr>
          <w:rFonts w:hint="default" w:ascii="Times New Roman" w:hAnsi="Times New Roman" w:eastAsia="宋体" w:cs="Times New Roman"/>
          <w:color w:val="auto"/>
          <w:sz w:val="24"/>
          <w:szCs w:val="32"/>
          <w:highlight w:val="none"/>
        </w:rPr>
      </w:pPr>
      <w:bookmarkStart w:id="548" w:name="_Toc28008"/>
      <w:bookmarkStart w:id="549" w:name="_Toc30001"/>
      <w:r>
        <w:rPr>
          <w:rFonts w:hint="default"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lang w:val="en-US" w:eastAsia="zh-CN"/>
        </w:rPr>
        <w:t>2</w:t>
      </w:r>
      <w:r>
        <w:rPr>
          <w:rFonts w:hint="default"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rPr>
        <w:t>在线监测系统</w:t>
      </w:r>
      <w:bookmarkEnd w:id="548"/>
      <w:bookmarkEnd w:id="549"/>
    </w:p>
    <w:p>
      <w:pPr>
        <w:keepNext w:val="0"/>
        <w:keepLines w:val="0"/>
        <w:pageBreakBefore w:val="0"/>
        <w:widowControl w:val="0"/>
        <w:kinsoku/>
        <w:wordWrap/>
        <w:overflowPunct/>
        <w:topLinePunct w:val="0"/>
        <w:autoSpaceDE/>
        <w:autoSpaceDN/>
        <w:bidi w:val="0"/>
        <w:spacing w:line="360" w:lineRule="auto"/>
        <w:ind w:left="0" w:leftChars="0" w:right="0" w:rightChars="0" w:firstLine="480" w:firstLineChars="200"/>
        <w:textAlignment w:val="auto"/>
        <w:outlineLvl w:val="1"/>
        <w:rPr>
          <w:rFonts w:hint="default" w:ascii="Times New Roman" w:hAnsi="Times New Roman" w:eastAsia="宋体" w:cs="Times New Roman"/>
          <w:color w:val="auto"/>
          <w:sz w:val="24"/>
          <w:szCs w:val="24"/>
          <w:highlight w:val="none"/>
        </w:rPr>
      </w:pPr>
      <w:bookmarkStart w:id="550" w:name="_Toc3842"/>
      <w:bookmarkStart w:id="551" w:name="_Toc24103"/>
      <w:r>
        <w:rPr>
          <w:rFonts w:hint="default" w:ascii="Times New Roman" w:hAnsi="Times New Roman" w:eastAsia="宋体" w:cs="Times New Roman"/>
          <w:color w:val="auto"/>
          <w:sz w:val="24"/>
          <w:szCs w:val="24"/>
          <w:highlight w:val="none"/>
        </w:rPr>
        <w:t>1）监测点布置</w:t>
      </w:r>
      <w:bookmarkEnd w:id="550"/>
      <w:bookmarkEnd w:id="551"/>
    </w:p>
    <w:p>
      <w:pPr>
        <w:keepNext w:val="0"/>
        <w:keepLines w:val="0"/>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①在线位移监测布置</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根据该库的现状情况</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3号副坝坝顶平台布设1个</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最终堆积坝标高1495m平台布设6个</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共布设7个位移监测点</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在尾矿库无变形处布设工作基点</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共3个。在线位移监测点紧邻人工位移监测设施布设</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相互校核。</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textAlignment w:val="auto"/>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②内部位移监测布置</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在堆积坝标高1474m平台及1495m平台各布设1个内部位移监测点</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内部位移监测点附近设置一个监测分站</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内部设置一台数采</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通道数量与传感器数量相匹配</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共2台采集仪。</w:t>
      </w:r>
    </w:p>
    <w:p>
      <w:pPr>
        <w:keepNext w:val="0"/>
        <w:keepLines w:val="0"/>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③在线浸润线监测布置</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根据尾矿库现有浸润线观测孔布设情况</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尾矿坝上垂直于坝轴线方向设置7个浸润线观测断面</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观测点分别布设在1464m及1484m平台</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共布设浸润线观测点12个。</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textAlignment w:val="auto"/>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sz w:val="24"/>
          <w:szCs w:val="24"/>
          <w:highlight w:val="none"/>
        </w:rPr>
        <w:t>④</w:t>
      </w:r>
      <w:r>
        <w:rPr>
          <w:rFonts w:hint="default" w:ascii="Times New Roman" w:hAnsi="Times New Roman" w:eastAsia="宋体" w:cs="Times New Roman"/>
          <w:color w:val="auto"/>
          <w:kern w:val="0"/>
          <w:sz w:val="24"/>
          <w:szCs w:val="24"/>
          <w:highlight w:val="none"/>
        </w:rPr>
        <w:t>现状滩顶沿坝体轴线方向布置3个高程监测设施</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在距滩顶50m处和距滩顶100m处分别设3个监测设施</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形成3条干滩监测横剖面。监测设备采用超声波液位计</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供电采用太阳能供电</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数据传输采用无线通信方式</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后期滩面升高时整体调整监测设备位置。</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textAlignment w:val="auto"/>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通过液位计测量出的高程</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根据干滩长度计算出沉积滩坡度。</w:t>
      </w:r>
    </w:p>
    <w:p>
      <w:pPr>
        <w:keepNext w:val="0"/>
        <w:keepLines w:val="0"/>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⑤在线库水位监测布置</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在尾矿库</w:t>
      </w:r>
      <w:r>
        <w:rPr>
          <w:rFonts w:hint="default" w:ascii="Times New Roman" w:hAnsi="Times New Roman" w:eastAsia="宋体" w:cs="Times New Roman"/>
          <w:color w:val="auto"/>
          <w:sz w:val="24"/>
          <w:szCs w:val="24"/>
          <w:highlight w:val="none"/>
          <w:lang w:eastAsia="zh-CN"/>
        </w:rPr>
        <w:t>溢流井</w:t>
      </w:r>
      <w:r>
        <w:rPr>
          <w:rFonts w:hint="default" w:ascii="Times New Roman" w:hAnsi="Times New Roman" w:eastAsia="宋体" w:cs="Times New Roman"/>
          <w:color w:val="auto"/>
          <w:sz w:val="24"/>
          <w:szCs w:val="24"/>
          <w:highlight w:val="none"/>
        </w:rPr>
        <w:t>外壁上</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共设1个监测点。随着库水位的上升</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及时将水位监测设施向上移动</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保证监测的连续性。库水位监测设备供应与安装单位必须按设计的正常运行水位、设计洪水位及洪水上升幅度进行调试。</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⑥在线降雨量监测布置</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将雨量计安装于尾矿库的监控室或者值班室的顶部</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预先将雨量计安装底座用</w:t>
      </w:r>
      <w:r>
        <w:rPr>
          <w:rFonts w:hint="default" w:ascii="Times New Roman" w:hAnsi="Times New Roman" w:eastAsia="宋体" w:cs="Times New Roman"/>
          <w:color w:val="auto"/>
          <w:sz w:val="24"/>
          <w:szCs w:val="24"/>
          <w:highlight w:val="none"/>
          <w:lang w:eastAsia="zh-CN"/>
        </w:rPr>
        <w:t>混凝土浇筑</w:t>
      </w:r>
      <w:r>
        <w:rPr>
          <w:rFonts w:hint="default" w:ascii="Times New Roman" w:hAnsi="Times New Roman" w:eastAsia="宋体" w:cs="Times New Roman"/>
          <w:color w:val="auto"/>
          <w:sz w:val="24"/>
          <w:szCs w:val="24"/>
          <w:highlight w:val="none"/>
        </w:rPr>
        <w:t>好</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保证雨量计上方45°的仰角范围内无遮挡物。</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lang w:val="en-GB"/>
        </w:rPr>
      </w:pPr>
      <w:r>
        <w:rPr>
          <w:rFonts w:hint="default" w:ascii="Times New Roman" w:hAnsi="Times New Roman" w:eastAsia="宋体" w:cs="Times New Roman"/>
          <w:color w:val="auto"/>
          <w:sz w:val="24"/>
          <w:szCs w:val="24"/>
          <w:highlight w:val="none"/>
        </w:rPr>
        <w:t>⑦</w:t>
      </w:r>
      <w:r>
        <w:rPr>
          <w:rFonts w:hint="default" w:ascii="Times New Roman" w:hAnsi="Times New Roman" w:eastAsia="宋体" w:cs="Times New Roman"/>
          <w:color w:val="auto"/>
          <w:sz w:val="24"/>
          <w:szCs w:val="24"/>
          <w:highlight w:val="none"/>
          <w:lang w:eastAsia="zh-CN"/>
        </w:rPr>
        <w:t>视频监控</w:t>
      </w:r>
      <w:r>
        <w:rPr>
          <w:rFonts w:hint="default" w:ascii="Times New Roman" w:hAnsi="Times New Roman" w:eastAsia="宋体" w:cs="Times New Roman"/>
          <w:color w:val="auto"/>
          <w:sz w:val="24"/>
          <w:szCs w:val="24"/>
          <w:highlight w:val="none"/>
        </w:rPr>
        <w:t>布置</w:t>
      </w:r>
      <w:r>
        <w:rPr>
          <w:rFonts w:hint="default" w:ascii="Times New Roman" w:hAnsi="Times New Roman" w:eastAsia="宋体" w:cs="Times New Roman"/>
          <w:color w:val="auto"/>
          <w:sz w:val="24"/>
          <w:szCs w:val="24"/>
          <w:highlight w:val="none"/>
          <w:lang w:eastAsia="zh-CN"/>
        </w:rPr>
        <w:t>：视频监控</w:t>
      </w:r>
      <w:r>
        <w:rPr>
          <w:rFonts w:hint="default" w:ascii="Times New Roman" w:hAnsi="Times New Roman" w:eastAsia="宋体" w:cs="Times New Roman"/>
          <w:color w:val="auto"/>
          <w:sz w:val="24"/>
          <w:szCs w:val="24"/>
          <w:highlight w:val="none"/>
        </w:rPr>
        <w:t>共布设7台</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视频</w:t>
      </w:r>
      <w:r>
        <w:rPr>
          <w:rFonts w:hint="default" w:ascii="Times New Roman" w:hAnsi="Times New Roman" w:eastAsia="宋体" w:cs="Times New Roman"/>
          <w:color w:val="auto"/>
          <w:sz w:val="24"/>
          <w:szCs w:val="24"/>
          <w:highlight w:val="none"/>
          <w:lang w:val="en-GB"/>
        </w:rPr>
        <w:t>摄像装置采用球型或枪型摄像头</w:t>
      </w:r>
      <w:r>
        <w:rPr>
          <w:rFonts w:hint="default" w:ascii="Times New Roman" w:hAnsi="Times New Roman" w:eastAsia="宋体" w:cs="Times New Roman"/>
          <w:color w:val="auto"/>
          <w:sz w:val="24"/>
          <w:szCs w:val="24"/>
          <w:highlight w:val="none"/>
          <w:lang w:val="en-GB" w:eastAsia="zh-CN"/>
        </w:rPr>
        <w:t>，</w:t>
      </w:r>
      <w:r>
        <w:rPr>
          <w:rFonts w:hint="default" w:ascii="Times New Roman" w:hAnsi="Times New Roman" w:eastAsia="宋体" w:cs="Times New Roman"/>
          <w:color w:val="auto"/>
          <w:kern w:val="0"/>
          <w:sz w:val="24"/>
          <w:szCs w:val="24"/>
          <w:highlight w:val="none"/>
        </w:rPr>
        <w:t>初期坝坝顶、</w:t>
      </w:r>
      <w:r>
        <w:rPr>
          <w:rFonts w:hint="default" w:ascii="Times New Roman" w:hAnsi="Times New Roman" w:eastAsia="宋体" w:cs="Times New Roman"/>
          <w:color w:val="auto"/>
          <w:sz w:val="24"/>
          <w:szCs w:val="24"/>
          <w:highlight w:val="none"/>
        </w:rPr>
        <w:t>尾矿坝外坝坡两侧、</w:t>
      </w:r>
      <w:r>
        <w:rPr>
          <w:rFonts w:hint="default" w:ascii="Times New Roman" w:hAnsi="Times New Roman" w:eastAsia="宋体" w:cs="Times New Roman"/>
          <w:color w:val="auto"/>
          <w:sz w:val="24"/>
          <w:szCs w:val="24"/>
          <w:highlight w:val="none"/>
          <w:lang w:eastAsia="zh-CN"/>
        </w:rPr>
        <w:t>溢流井</w:t>
      </w:r>
      <w:r>
        <w:rPr>
          <w:rFonts w:hint="default" w:ascii="Times New Roman" w:hAnsi="Times New Roman" w:eastAsia="宋体" w:cs="Times New Roman"/>
          <w:color w:val="auto"/>
          <w:sz w:val="24"/>
          <w:szCs w:val="24"/>
          <w:highlight w:val="none"/>
        </w:rPr>
        <w:t>进水口、排水系统出水口、值班室等位置</w:t>
      </w:r>
      <w:r>
        <w:rPr>
          <w:rFonts w:hint="default" w:ascii="Times New Roman" w:hAnsi="Times New Roman" w:eastAsia="宋体" w:cs="Times New Roman"/>
          <w:color w:val="auto"/>
          <w:sz w:val="24"/>
          <w:szCs w:val="24"/>
          <w:highlight w:val="none"/>
          <w:lang w:val="en-GB"/>
        </w:rPr>
        <w:t>安装</w:t>
      </w:r>
      <w:r>
        <w:rPr>
          <w:rFonts w:hint="default" w:ascii="Times New Roman" w:hAnsi="Times New Roman" w:eastAsia="宋体" w:cs="Times New Roman"/>
          <w:color w:val="auto"/>
          <w:sz w:val="24"/>
          <w:szCs w:val="24"/>
          <w:highlight w:val="none"/>
          <w:lang w:val="en-GB" w:eastAsia="zh-CN"/>
        </w:rPr>
        <w:t>，</w:t>
      </w:r>
      <w:r>
        <w:rPr>
          <w:rFonts w:hint="default" w:ascii="Times New Roman" w:hAnsi="Times New Roman" w:eastAsia="宋体" w:cs="Times New Roman"/>
          <w:color w:val="auto"/>
          <w:sz w:val="24"/>
          <w:szCs w:val="24"/>
          <w:highlight w:val="none"/>
          <w:lang w:val="en-GB"/>
        </w:rPr>
        <w:t>可配夜用照明灯</w:t>
      </w:r>
      <w:r>
        <w:rPr>
          <w:rFonts w:hint="default" w:ascii="Times New Roman" w:hAnsi="Times New Roman" w:eastAsia="宋体" w:cs="Times New Roman"/>
          <w:color w:val="auto"/>
          <w:sz w:val="24"/>
          <w:szCs w:val="24"/>
          <w:highlight w:val="none"/>
          <w:lang w:val="en-GB" w:eastAsia="zh-CN"/>
        </w:rPr>
        <w:t>，</w:t>
      </w:r>
      <w:r>
        <w:rPr>
          <w:rFonts w:hint="default" w:ascii="Times New Roman" w:hAnsi="Times New Roman" w:eastAsia="宋体" w:cs="Times New Roman"/>
          <w:color w:val="auto"/>
          <w:sz w:val="24"/>
          <w:szCs w:val="24"/>
          <w:highlight w:val="none"/>
          <w:lang w:val="en-GB"/>
        </w:rPr>
        <w:t>用于监测各坝段实时运行情况。通讯方式可选择有线光纤、互联宽带、4G网或无线网桥</w:t>
      </w:r>
      <w:r>
        <w:rPr>
          <w:rFonts w:hint="default" w:ascii="Times New Roman" w:hAnsi="Times New Roman" w:eastAsia="宋体" w:cs="Times New Roman"/>
          <w:color w:val="auto"/>
          <w:sz w:val="24"/>
          <w:szCs w:val="24"/>
          <w:highlight w:val="none"/>
          <w:lang w:val="en-GB" w:eastAsia="zh-CN"/>
        </w:rPr>
        <w:t>，</w:t>
      </w:r>
      <w:r>
        <w:rPr>
          <w:rFonts w:hint="default" w:ascii="Times New Roman" w:hAnsi="Times New Roman" w:eastAsia="宋体" w:cs="Times New Roman"/>
          <w:color w:val="auto"/>
          <w:sz w:val="24"/>
          <w:szCs w:val="24"/>
          <w:highlight w:val="none"/>
          <w:lang w:val="en-GB"/>
        </w:rPr>
        <w:t>中心计算机安装监控软件</w:t>
      </w:r>
      <w:r>
        <w:rPr>
          <w:rFonts w:hint="default" w:ascii="Times New Roman" w:hAnsi="Times New Roman" w:eastAsia="宋体" w:cs="Times New Roman"/>
          <w:color w:val="auto"/>
          <w:sz w:val="24"/>
          <w:szCs w:val="24"/>
          <w:highlight w:val="none"/>
          <w:lang w:val="en-GB" w:eastAsia="zh-CN"/>
        </w:rPr>
        <w:t>，</w:t>
      </w:r>
      <w:r>
        <w:rPr>
          <w:rFonts w:hint="default" w:ascii="Times New Roman" w:hAnsi="Times New Roman" w:eastAsia="宋体" w:cs="Times New Roman"/>
          <w:color w:val="auto"/>
          <w:sz w:val="24"/>
          <w:szCs w:val="24"/>
          <w:highlight w:val="none"/>
          <w:lang w:val="en-GB"/>
        </w:rPr>
        <w:t>可手动控制云台方向。</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textAlignment w:val="auto"/>
        <w:outlineLvl w:val="2"/>
        <w:rPr>
          <w:rFonts w:hint="default" w:ascii="Times New Roman" w:hAnsi="Times New Roman" w:eastAsia="宋体" w:cs="Times New Roman"/>
          <w:color w:val="auto"/>
          <w:sz w:val="24"/>
          <w:szCs w:val="24"/>
          <w:highlight w:val="none"/>
          <w:lang w:val="en-GB"/>
        </w:rPr>
      </w:pPr>
      <w:bookmarkStart w:id="552" w:name="_Toc26395"/>
      <w:bookmarkStart w:id="553" w:name="_Toc26194"/>
      <w:r>
        <w:rPr>
          <w:rFonts w:hint="default" w:ascii="Times New Roman" w:hAnsi="Times New Roman" w:eastAsia="宋体" w:cs="Times New Roman"/>
          <w:color w:val="auto"/>
          <w:sz w:val="24"/>
          <w:szCs w:val="24"/>
          <w:highlight w:val="none"/>
          <w:lang w:val="en-GB"/>
        </w:rPr>
        <w:t>⑧水质监测</w:t>
      </w:r>
      <w:bookmarkEnd w:id="552"/>
      <w:bookmarkEnd w:id="553"/>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lang w:val="en-GB"/>
        </w:rPr>
      </w:pPr>
      <w:r>
        <w:rPr>
          <w:rFonts w:hint="default" w:ascii="Times New Roman" w:hAnsi="Times New Roman" w:eastAsia="宋体" w:cs="Times New Roman"/>
          <w:color w:val="auto"/>
          <w:sz w:val="24"/>
          <w:szCs w:val="24"/>
          <w:highlight w:val="none"/>
          <w:lang w:val="en-GB"/>
        </w:rPr>
        <w:t>在防渗坝上、下游各设1个水质监测孔</w:t>
      </w:r>
      <w:r>
        <w:rPr>
          <w:rFonts w:hint="default" w:ascii="Times New Roman" w:hAnsi="Times New Roman" w:eastAsia="宋体" w:cs="Times New Roman"/>
          <w:color w:val="auto"/>
          <w:sz w:val="24"/>
          <w:szCs w:val="24"/>
          <w:highlight w:val="none"/>
          <w:lang w:val="en-GB" w:eastAsia="zh-CN"/>
        </w:rPr>
        <w:t>，</w:t>
      </w:r>
      <w:r>
        <w:rPr>
          <w:rFonts w:hint="default" w:ascii="Times New Roman" w:hAnsi="Times New Roman" w:eastAsia="宋体" w:cs="Times New Roman"/>
          <w:color w:val="auto"/>
          <w:sz w:val="24"/>
          <w:szCs w:val="24"/>
          <w:highlight w:val="none"/>
          <w:lang w:val="en-GB"/>
        </w:rPr>
        <w:t>共计2个。</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lang w:val="en-GB"/>
        </w:rPr>
      </w:pPr>
      <w:r>
        <w:rPr>
          <w:rFonts w:hint="default" w:ascii="Times New Roman" w:hAnsi="Times New Roman" w:eastAsia="宋体" w:cs="Times New Roman"/>
          <w:color w:val="auto"/>
          <w:sz w:val="24"/>
          <w:szCs w:val="24"/>
          <w:highlight w:val="none"/>
          <w:lang w:val="en-GB"/>
        </w:rPr>
        <w:t>尾矿库其他在线监测设施利旧原有设备及线路。</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outlineLvl w:val="1"/>
        <w:rPr>
          <w:rFonts w:hint="default" w:ascii="Times New Roman" w:hAnsi="Times New Roman" w:eastAsia="宋体" w:cs="Times New Roman"/>
          <w:color w:val="auto"/>
          <w:sz w:val="24"/>
          <w:szCs w:val="32"/>
          <w:highlight w:val="none"/>
        </w:rPr>
      </w:pPr>
      <w:bookmarkStart w:id="554" w:name="_Toc7180"/>
      <w:bookmarkStart w:id="555" w:name="_Toc20058"/>
      <w:r>
        <w:rPr>
          <w:rFonts w:hint="default" w:ascii="Times New Roman" w:hAnsi="Times New Roman" w:eastAsia="宋体" w:cs="Times New Roman"/>
          <w:color w:val="auto"/>
          <w:sz w:val="24"/>
          <w:szCs w:val="32"/>
          <w:highlight w:val="none"/>
          <w:lang w:val="en-US" w:eastAsia="zh-CN"/>
        </w:rPr>
        <w:t>2</w:t>
      </w:r>
      <w:r>
        <w:rPr>
          <w:rFonts w:hint="default"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rPr>
        <w:t>监测设备</w:t>
      </w:r>
      <w:bookmarkEnd w:id="554"/>
      <w:bookmarkEnd w:id="555"/>
    </w:p>
    <w:p>
      <w:pPr>
        <w:keepNext w:val="0"/>
        <w:keepLines w:val="0"/>
        <w:pageBreakBefore w:val="0"/>
        <w:widowControl w:val="0"/>
        <w:kinsoku/>
        <w:wordWrap/>
        <w:overflowPunct/>
        <w:topLinePunct w:val="0"/>
        <w:autoSpaceDE/>
        <w:autoSpaceDN/>
        <w:bidi w:val="0"/>
        <w:spacing w:line="360" w:lineRule="auto"/>
        <w:ind w:left="0" w:leftChars="0" w:right="0" w:rightChars="0" w:firstLine="480" w:firstLineChars="200"/>
        <w:textAlignment w:val="auto"/>
        <w:outlineLvl w:val="2"/>
        <w:rPr>
          <w:rFonts w:hint="default" w:ascii="Times New Roman" w:hAnsi="Times New Roman" w:eastAsia="宋体" w:cs="Times New Roman"/>
          <w:color w:val="auto"/>
          <w:kern w:val="0"/>
          <w:sz w:val="24"/>
          <w:szCs w:val="24"/>
          <w:highlight w:val="none"/>
        </w:rPr>
      </w:pPr>
      <w:bookmarkStart w:id="556" w:name="_Toc5944"/>
      <w:bookmarkStart w:id="557" w:name="_Toc2575"/>
      <w:r>
        <w:rPr>
          <w:rFonts w:hint="default" w:ascii="Times New Roman" w:hAnsi="Times New Roman" w:eastAsia="宋体" w:cs="Times New Roman"/>
          <w:color w:val="auto"/>
          <w:kern w:val="0"/>
          <w:sz w:val="24"/>
          <w:szCs w:val="24"/>
          <w:highlight w:val="none"/>
        </w:rPr>
        <w:t>①表面位移监测设备</w:t>
      </w:r>
      <w:bookmarkEnd w:id="556"/>
      <w:bookmarkEnd w:id="557"/>
    </w:p>
    <w:p>
      <w:pPr>
        <w:keepNext w:val="0"/>
        <w:keepLines w:val="0"/>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表面位移监测采用GNSS技术</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尾矿库在线监测系统设8套GNSS监测设备</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监测设备技术参数设计见表</w:t>
      </w:r>
      <w:r>
        <w:rPr>
          <w:rFonts w:hint="default" w:ascii="Times New Roman" w:hAnsi="Times New Roman" w:eastAsia="宋体" w:cs="Times New Roman"/>
          <w:color w:val="auto"/>
          <w:kern w:val="0"/>
          <w:sz w:val="24"/>
          <w:szCs w:val="24"/>
          <w:highlight w:val="none"/>
          <w:lang w:val="en-US" w:eastAsia="zh-CN"/>
        </w:rPr>
        <w:t>2</w:t>
      </w:r>
      <w:r>
        <w:rPr>
          <w:rFonts w:hint="default" w:ascii="Times New Roman" w:hAnsi="Times New Roman" w:eastAsia="宋体" w:cs="Times New Roman"/>
          <w:color w:val="auto"/>
          <w:kern w:val="0"/>
          <w:sz w:val="24"/>
          <w:szCs w:val="24"/>
          <w:highlight w:val="none"/>
        </w:rPr>
        <w:t>-</w:t>
      </w:r>
      <w:r>
        <w:rPr>
          <w:rFonts w:hint="default" w:ascii="Times New Roman" w:hAnsi="Times New Roman" w:eastAsia="宋体" w:cs="Times New Roman"/>
          <w:color w:val="auto"/>
          <w:kern w:val="0"/>
          <w:sz w:val="24"/>
          <w:szCs w:val="24"/>
          <w:highlight w:val="none"/>
          <w:lang w:val="en-US" w:eastAsia="zh-CN"/>
        </w:rPr>
        <w:t>17</w:t>
      </w:r>
      <w:r>
        <w:rPr>
          <w:rFonts w:hint="default" w:ascii="Times New Roman" w:hAnsi="Times New Roman" w:eastAsia="宋体" w:cs="Times New Roman"/>
          <w:color w:val="auto"/>
          <w:kern w:val="0"/>
          <w:sz w:val="24"/>
          <w:szCs w:val="24"/>
          <w:highlight w:val="none"/>
        </w:rPr>
        <w:t>。</w:t>
      </w:r>
    </w:p>
    <w:p>
      <w:pPr>
        <w:keepNext w:val="0"/>
        <w:keepLines w:val="0"/>
        <w:pageBreakBefore w:val="0"/>
        <w:widowControl w:val="0"/>
        <w:kinsoku/>
        <w:wordWrap/>
        <w:overflowPunct/>
        <w:topLinePunct w:val="0"/>
        <w:autoSpaceDE/>
        <w:autoSpaceDN/>
        <w:bidi w:val="0"/>
        <w:spacing w:line="360" w:lineRule="auto"/>
        <w:ind w:left="0" w:leftChars="0" w:right="0" w:rightChars="0" w:firstLine="482" w:firstLineChars="200"/>
        <w:jc w:val="center"/>
        <w:textAlignment w:val="auto"/>
        <w:rPr>
          <w:rFonts w:hint="default" w:ascii="Times New Roman" w:hAnsi="Times New Roman" w:eastAsia="宋体" w:cs="Times New Roman"/>
          <w:b/>
          <w:color w:val="auto"/>
          <w:sz w:val="24"/>
          <w:szCs w:val="24"/>
          <w:highlight w:val="none"/>
          <w:lang w:val="en-GB"/>
        </w:rPr>
      </w:pPr>
      <w:r>
        <w:rPr>
          <w:rFonts w:hint="default" w:ascii="Times New Roman" w:hAnsi="Times New Roman" w:eastAsia="宋体" w:cs="Times New Roman"/>
          <w:b/>
          <w:color w:val="auto"/>
          <w:sz w:val="24"/>
          <w:szCs w:val="24"/>
          <w:highlight w:val="none"/>
        </w:rPr>
        <w:t>表</w:t>
      </w:r>
      <w:r>
        <w:rPr>
          <w:rFonts w:hint="default" w:ascii="Times New Roman" w:hAnsi="Times New Roman" w:eastAsia="宋体" w:cs="Times New Roman"/>
          <w:b/>
          <w:color w:val="auto"/>
          <w:sz w:val="24"/>
          <w:szCs w:val="24"/>
          <w:highlight w:val="none"/>
          <w:lang w:val="en-US" w:eastAsia="zh-CN"/>
        </w:rPr>
        <w:t>2-17</w:t>
      </w:r>
      <w:r>
        <w:rPr>
          <w:rFonts w:hint="default" w:ascii="Times New Roman" w:hAnsi="Times New Roman" w:eastAsia="宋体" w:cs="Times New Roman"/>
          <w:b/>
          <w:color w:val="auto"/>
          <w:sz w:val="24"/>
          <w:szCs w:val="24"/>
          <w:highlight w:val="none"/>
          <w:lang w:val="en-GB"/>
        </w:rPr>
        <w:t>GNSS技术参数表</w:t>
      </w:r>
    </w:p>
    <w:tbl>
      <w:tblPr>
        <w:tblStyle w:val="5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2114"/>
        <w:gridCol w:w="62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271" w:type="pct"/>
            <w:noWrap w:val="0"/>
            <w:vAlign w:val="center"/>
          </w:tcPr>
          <w:p>
            <w:pPr>
              <w:keepNext w:val="0"/>
              <w:keepLines w:val="0"/>
              <w:pageBreakBefore w:val="0"/>
              <w:widowControl/>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Cs w:val="21"/>
                <w:highlight w:val="none"/>
                <w:lang w:val="zh-CN" w:eastAsia="en-US" w:bidi="zh-CN"/>
              </w:rPr>
            </w:pPr>
            <w:r>
              <w:rPr>
                <w:rFonts w:hint="default" w:ascii="Times New Roman" w:hAnsi="Times New Roman" w:eastAsia="宋体" w:cs="Times New Roman"/>
                <w:color w:val="auto"/>
                <w:kern w:val="0"/>
                <w:szCs w:val="21"/>
                <w:highlight w:val="none"/>
                <w:lang w:val="zh-CN" w:eastAsia="en-US" w:bidi="zh-CN"/>
              </w:rPr>
              <w:t>设备名称</w:t>
            </w:r>
          </w:p>
        </w:tc>
        <w:tc>
          <w:tcPr>
            <w:tcW w:w="3729" w:type="pct"/>
            <w:noWrap w:val="0"/>
            <w:vAlign w:val="center"/>
          </w:tcPr>
          <w:p>
            <w:pPr>
              <w:keepNext w:val="0"/>
              <w:keepLines w:val="0"/>
              <w:pageBreakBefore w:val="0"/>
              <w:widowControl/>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Cs w:val="21"/>
                <w:highlight w:val="none"/>
                <w:lang w:val="zh-CN" w:eastAsia="en-US" w:bidi="zh-CN"/>
              </w:rPr>
            </w:pPr>
            <w:r>
              <w:rPr>
                <w:rFonts w:hint="default" w:ascii="Times New Roman" w:hAnsi="Times New Roman" w:eastAsia="宋体" w:cs="Times New Roman"/>
                <w:color w:val="auto"/>
                <w:kern w:val="0"/>
                <w:szCs w:val="21"/>
                <w:highlight w:val="none"/>
                <w:lang w:val="zh-CN" w:eastAsia="en-US" w:bidi="zh-CN"/>
              </w:rPr>
              <w:t>参数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271" w:type="pct"/>
            <w:noWrap w:val="0"/>
            <w:vAlign w:val="center"/>
          </w:tcPr>
          <w:p>
            <w:pPr>
              <w:keepNext w:val="0"/>
              <w:keepLines w:val="0"/>
              <w:pageBreakBefore w:val="0"/>
              <w:widowControl/>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Cs w:val="21"/>
                <w:highlight w:val="none"/>
                <w:lang w:val="zh-CN" w:eastAsia="en-US" w:bidi="zh-CN"/>
              </w:rPr>
            </w:pPr>
            <w:r>
              <w:rPr>
                <w:rFonts w:hint="default" w:ascii="Times New Roman" w:hAnsi="Times New Roman" w:eastAsia="宋体" w:cs="Times New Roman"/>
                <w:color w:val="auto"/>
                <w:kern w:val="0"/>
                <w:szCs w:val="21"/>
                <w:highlight w:val="none"/>
                <w:lang w:val="zh-CN" w:eastAsia="en-US" w:bidi="zh-CN"/>
              </w:rPr>
              <w:t>GNSS接收机</w:t>
            </w:r>
          </w:p>
        </w:tc>
        <w:tc>
          <w:tcPr>
            <w:tcW w:w="3729" w:type="pct"/>
            <w:noWrap w:val="0"/>
            <w:vAlign w:val="center"/>
          </w:tcPr>
          <w:p>
            <w:pPr>
              <w:keepNext w:val="0"/>
              <w:keepLines w:val="0"/>
              <w:pageBreakBefore w:val="0"/>
              <w:widowControl/>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Cs w:val="21"/>
                <w:highlight w:val="none"/>
                <w:lang w:val="zh-CN" w:bidi="zh-CN"/>
              </w:rPr>
            </w:pPr>
            <w:r>
              <w:rPr>
                <w:rFonts w:hint="default" w:ascii="Times New Roman" w:hAnsi="Times New Roman" w:eastAsia="宋体" w:cs="Times New Roman"/>
                <w:color w:val="auto"/>
                <w:kern w:val="0"/>
                <w:szCs w:val="21"/>
                <w:highlight w:val="none"/>
                <w:lang w:val="zh-CN" w:bidi="zh-CN"/>
              </w:rPr>
              <w:t>水平精度：±2.5mm+0.5pp</w:t>
            </w:r>
          </w:p>
          <w:p>
            <w:pPr>
              <w:keepNext w:val="0"/>
              <w:keepLines w:val="0"/>
              <w:pageBreakBefore w:val="0"/>
              <w:widowControl/>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Cs w:val="21"/>
                <w:highlight w:val="none"/>
                <w:lang w:val="zh-CN" w:bidi="zh-CN"/>
              </w:rPr>
            </w:pPr>
            <w:r>
              <w:rPr>
                <w:rFonts w:hint="default" w:ascii="Times New Roman" w:hAnsi="Times New Roman" w:eastAsia="宋体" w:cs="Times New Roman"/>
                <w:color w:val="auto"/>
                <w:kern w:val="0"/>
                <w:szCs w:val="21"/>
                <w:highlight w:val="none"/>
                <w:lang w:val="zh-CN" w:bidi="zh-CN"/>
              </w:rPr>
              <w:t>竖直精度：±5mm+0.5ppm</w:t>
            </w:r>
          </w:p>
          <w:p>
            <w:pPr>
              <w:keepNext w:val="0"/>
              <w:keepLines w:val="0"/>
              <w:pageBreakBefore w:val="0"/>
              <w:widowControl/>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Cs w:val="21"/>
                <w:highlight w:val="none"/>
                <w:lang w:val="zh-CN" w:bidi="zh-CN"/>
              </w:rPr>
            </w:pPr>
            <w:r>
              <w:rPr>
                <w:rFonts w:hint="default" w:ascii="Times New Roman" w:hAnsi="Times New Roman" w:eastAsia="宋体" w:cs="Times New Roman"/>
                <w:color w:val="auto"/>
                <w:kern w:val="0"/>
                <w:szCs w:val="21"/>
                <w:highlight w:val="none"/>
                <w:lang w:val="zh-CN" w:bidi="zh-CN"/>
              </w:rPr>
              <w:t>工作温度：–40ºC~+85ºC</w:t>
            </w:r>
          </w:p>
          <w:p>
            <w:pPr>
              <w:keepNext w:val="0"/>
              <w:keepLines w:val="0"/>
              <w:pageBreakBefore w:val="0"/>
              <w:widowControl/>
              <w:kinsoku/>
              <w:wordWrap/>
              <w:overflowPunct/>
              <w:topLinePunct w:val="0"/>
              <w:autoSpaceDE w:val="0"/>
              <w:autoSpaceDN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Cs w:val="21"/>
                <w:highlight w:val="none"/>
                <w:lang w:val="zh-CN" w:bidi="zh-CN"/>
              </w:rPr>
            </w:pPr>
            <w:r>
              <w:rPr>
                <w:rFonts w:hint="default" w:ascii="Times New Roman" w:hAnsi="Times New Roman" w:eastAsia="宋体" w:cs="Times New Roman"/>
                <w:color w:val="auto"/>
                <w:kern w:val="0"/>
                <w:szCs w:val="21"/>
                <w:highlight w:val="none"/>
                <w:lang w:val="zh-CN" w:bidi="zh-CN"/>
              </w:rPr>
              <w:t>防护等级：IP68</w:t>
            </w:r>
          </w:p>
        </w:tc>
      </w:tr>
    </w:tbl>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lang w:val="en-GB"/>
        </w:rPr>
      </w:pPr>
      <w:r>
        <w:rPr>
          <w:rFonts w:hint="default" w:ascii="Times New Roman" w:hAnsi="Times New Roman" w:eastAsia="宋体" w:cs="Times New Roman"/>
          <w:color w:val="auto"/>
          <w:sz w:val="24"/>
          <w:szCs w:val="24"/>
          <w:highlight w:val="none"/>
          <w:lang w:val="en-GB"/>
        </w:rPr>
        <w:t>位移监测用统一的平面坐标及水平高程</w:t>
      </w:r>
      <w:r>
        <w:rPr>
          <w:rFonts w:hint="default" w:ascii="Times New Roman" w:hAnsi="Times New Roman" w:eastAsia="宋体" w:cs="Times New Roman"/>
          <w:color w:val="auto"/>
          <w:sz w:val="24"/>
          <w:szCs w:val="24"/>
          <w:highlight w:val="none"/>
          <w:lang w:val="en-GB" w:eastAsia="zh-CN"/>
        </w:rPr>
        <w:t>，</w:t>
      </w:r>
      <w:r>
        <w:rPr>
          <w:rFonts w:hint="default" w:ascii="Times New Roman" w:hAnsi="Times New Roman" w:eastAsia="宋体" w:cs="Times New Roman"/>
          <w:color w:val="auto"/>
          <w:sz w:val="24"/>
          <w:szCs w:val="24"/>
          <w:highlight w:val="none"/>
          <w:lang w:val="en-GB"/>
        </w:rPr>
        <w:t>设计、施工和运行诸阶段的控制网坐标系统保持坐标系统的一致性。GNSS设备采用太阳能供电</w:t>
      </w:r>
      <w:r>
        <w:rPr>
          <w:rFonts w:hint="default" w:ascii="Times New Roman" w:hAnsi="Times New Roman" w:eastAsia="宋体" w:cs="Times New Roman"/>
          <w:color w:val="auto"/>
          <w:sz w:val="24"/>
          <w:szCs w:val="24"/>
          <w:highlight w:val="none"/>
          <w:lang w:val="en-GB" w:eastAsia="zh-CN"/>
        </w:rPr>
        <w:t>，</w:t>
      </w:r>
      <w:r>
        <w:rPr>
          <w:rFonts w:hint="default" w:ascii="Times New Roman" w:hAnsi="Times New Roman" w:eastAsia="宋体" w:cs="Times New Roman"/>
          <w:color w:val="auto"/>
          <w:sz w:val="24"/>
          <w:szCs w:val="24"/>
          <w:highlight w:val="none"/>
          <w:lang w:val="en-GB"/>
        </w:rPr>
        <w:t>或架设线缆供电。</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textAlignment w:val="auto"/>
        <w:outlineLvl w:val="2"/>
        <w:rPr>
          <w:rFonts w:hint="default" w:ascii="Times New Roman" w:hAnsi="Times New Roman" w:eastAsia="宋体" w:cs="Times New Roman"/>
          <w:color w:val="auto"/>
          <w:sz w:val="24"/>
          <w:szCs w:val="24"/>
          <w:highlight w:val="none"/>
          <w:lang w:val="en-GB"/>
        </w:rPr>
      </w:pPr>
      <w:bookmarkStart w:id="558" w:name="_Toc28153"/>
      <w:bookmarkStart w:id="559" w:name="_Toc3046"/>
      <w:r>
        <w:rPr>
          <w:rFonts w:hint="default" w:ascii="Times New Roman" w:hAnsi="Times New Roman" w:eastAsia="宋体" w:cs="Times New Roman"/>
          <w:color w:val="auto"/>
          <w:sz w:val="24"/>
          <w:szCs w:val="24"/>
          <w:highlight w:val="none"/>
          <w:lang w:val="en-GB"/>
        </w:rPr>
        <w:t>②浸润线监测设备</w:t>
      </w:r>
      <w:bookmarkEnd w:id="558"/>
      <w:bookmarkEnd w:id="559"/>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lang w:val="en-GB"/>
        </w:rPr>
      </w:pPr>
      <w:r>
        <w:rPr>
          <w:rFonts w:hint="default" w:ascii="Times New Roman" w:hAnsi="Times New Roman" w:eastAsia="宋体" w:cs="Times New Roman"/>
          <w:color w:val="auto"/>
          <w:sz w:val="24"/>
          <w:szCs w:val="24"/>
          <w:highlight w:val="none"/>
          <w:lang w:val="en-GB"/>
        </w:rPr>
        <w:t>浸润线监测采用“测压管+渗压计”技术。浸润线监测设备技术参数设计见表</w:t>
      </w:r>
      <w:r>
        <w:rPr>
          <w:rFonts w:hint="default" w:ascii="Times New Roman" w:hAnsi="Times New Roman" w:eastAsia="宋体" w:cs="Times New Roman"/>
          <w:color w:val="auto"/>
          <w:sz w:val="24"/>
          <w:szCs w:val="24"/>
          <w:highlight w:val="none"/>
          <w:lang w:val="en-US" w:eastAsia="zh-CN"/>
        </w:rPr>
        <w:t>2-18</w:t>
      </w:r>
      <w:r>
        <w:rPr>
          <w:rFonts w:hint="default" w:ascii="Times New Roman" w:hAnsi="Times New Roman" w:eastAsia="宋体" w:cs="Times New Roman"/>
          <w:color w:val="auto"/>
          <w:sz w:val="24"/>
          <w:szCs w:val="24"/>
          <w:highlight w:val="none"/>
          <w:lang w:val="en-GB"/>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jc w:val="center"/>
        <w:textAlignment w:val="auto"/>
        <w:rPr>
          <w:rFonts w:hint="default" w:ascii="Times New Roman" w:hAnsi="Times New Roman" w:eastAsia="宋体" w:cs="Times New Roman"/>
          <w:b/>
          <w:color w:val="auto"/>
          <w:sz w:val="24"/>
          <w:szCs w:val="24"/>
          <w:highlight w:val="none"/>
          <w:lang w:val="en-GB"/>
        </w:rPr>
      </w:pPr>
      <w:r>
        <w:rPr>
          <w:rFonts w:hint="default" w:ascii="Times New Roman" w:hAnsi="Times New Roman" w:eastAsia="宋体" w:cs="Times New Roman"/>
          <w:b/>
          <w:color w:val="auto"/>
          <w:sz w:val="24"/>
          <w:szCs w:val="24"/>
          <w:highlight w:val="none"/>
          <w:lang w:val="en-US" w:eastAsia="zh-CN"/>
        </w:rPr>
        <w:t>表2-18</w:t>
      </w:r>
      <w:r>
        <w:rPr>
          <w:rFonts w:hint="default" w:ascii="Times New Roman" w:hAnsi="Times New Roman" w:eastAsia="宋体" w:cs="Times New Roman"/>
          <w:b/>
          <w:color w:val="auto"/>
          <w:sz w:val="24"/>
          <w:szCs w:val="24"/>
          <w:highlight w:val="none"/>
          <w:lang w:val="en-GB"/>
        </w:rPr>
        <w:t>浸润线监测设备技术参数表</w:t>
      </w:r>
    </w:p>
    <w:tbl>
      <w:tblPr>
        <w:tblStyle w:val="54"/>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342"/>
        <w:gridCol w:w="1347"/>
        <w:gridCol w:w="55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1346" w:type="dxa"/>
            <w:noWrap w:val="0"/>
            <w:vAlign w:val="center"/>
          </w:tcPr>
          <w:p>
            <w:pPr>
              <w:pageBreakBefore w:val="0"/>
              <w:widowControl/>
              <w:wordWrap/>
              <w:autoSpaceDE w:val="0"/>
              <w:autoSpaceDN w:val="0"/>
              <w:bidi w:val="0"/>
              <w:spacing w:line="240" w:lineRule="auto"/>
              <w:ind w:left="0" w:leftChars="0" w:right="0" w:rightChars="0"/>
              <w:jc w:val="center"/>
              <w:rPr>
                <w:rFonts w:hint="default" w:ascii="Times New Roman" w:hAnsi="Times New Roman" w:eastAsia="宋体" w:cs="Times New Roman"/>
                <w:color w:val="auto"/>
                <w:kern w:val="0"/>
                <w:szCs w:val="21"/>
                <w:highlight w:val="none"/>
                <w:lang w:val="zh-CN" w:bidi="zh-CN"/>
              </w:rPr>
            </w:pPr>
            <w:r>
              <w:rPr>
                <w:rFonts w:hint="default" w:ascii="Times New Roman" w:hAnsi="Times New Roman" w:eastAsia="宋体" w:cs="Times New Roman"/>
                <w:color w:val="auto"/>
                <w:kern w:val="0"/>
                <w:szCs w:val="21"/>
                <w:highlight w:val="none"/>
                <w:lang w:val="zh-CN" w:bidi="zh-CN"/>
              </w:rPr>
              <w:t>序号</w:t>
            </w:r>
          </w:p>
        </w:tc>
        <w:tc>
          <w:tcPr>
            <w:tcW w:w="1351" w:type="dxa"/>
            <w:noWrap w:val="0"/>
            <w:vAlign w:val="center"/>
          </w:tcPr>
          <w:p>
            <w:pPr>
              <w:pageBreakBefore w:val="0"/>
              <w:widowControl/>
              <w:wordWrap/>
              <w:autoSpaceDE w:val="0"/>
              <w:autoSpaceDN w:val="0"/>
              <w:bidi w:val="0"/>
              <w:spacing w:line="240" w:lineRule="auto"/>
              <w:ind w:left="0" w:leftChars="0" w:right="0" w:rightChars="0"/>
              <w:jc w:val="left"/>
              <w:rPr>
                <w:rFonts w:hint="default" w:ascii="Times New Roman" w:hAnsi="Times New Roman" w:eastAsia="宋体" w:cs="Times New Roman"/>
                <w:color w:val="auto"/>
                <w:kern w:val="0"/>
                <w:szCs w:val="21"/>
                <w:highlight w:val="none"/>
                <w:lang w:val="zh-CN" w:bidi="zh-CN"/>
              </w:rPr>
            </w:pPr>
            <w:r>
              <w:rPr>
                <w:rFonts w:hint="default" w:ascii="Times New Roman" w:hAnsi="Times New Roman" w:eastAsia="宋体" w:cs="Times New Roman"/>
                <w:color w:val="auto"/>
                <w:kern w:val="0"/>
                <w:szCs w:val="21"/>
                <w:highlight w:val="none"/>
                <w:lang w:val="zh-CN" w:bidi="zh-CN"/>
              </w:rPr>
              <w:t>设备名称</w:t>
            </w:r>
          </w:p>
        </w:tc>
        <w:tc>
          <w:tcPr>
            <w:tcW w:w="5604" w:type="dxa"/>
            <w:noWrap w:val="0"/>
            <w:vAlign w:val="center"/>
          </w:tcPr>
          <w:p>
            <w:pPr>
              <w:pageBreakBefore w:val="0"/>
              <w:widowControl/>
              <w:wordWrap/>
              <w:autoSpaceDE w:val="0"/>
              <w:autoSpaceDN w:val="0"/>
              <w:bidi w:val="0"/>
              <w:spacing w:line="240" w:lineRule="auto"/>
              <w:ind w:left="0" w:leftChars="0" w:right="0" w:rightChars="0"/>
              <w:jc w:val="center"/>
              <w:rPr>
                <w:rFonts w:hint="default" w:ascii="Times New Roman" w:hAnsi="Times New Roman" w:eastAsia="宋体" w:cs="Times New Roman"/>
                <w:color w:val="auto"/>
                <w:kern w:val="0"/>
                <w:szCs w:val="21"/>
                <w:highlight w:val="none"/>
                <w:lang w:val="zh-CN" w:bidi="zh-CN"/>
              </w:rPr>
            </w:pPr>
            <w:r>
              <w:rPr>
                <w:rFonts w:hint="default" w:ascii="Times New Roman" w:hAnsi="Times New Roman" w:eastAsia="宋体" w:cs="Times New Roman"/>
                <w:color w:val="auto"/>
                <w:kern w:val="0"/>
                <w:szCs w:val="21"/>
                <w:highlight w:val="none"/>
                <w:lang w:val="zh-CN" w:bidi="zh-CN"/>
              </w:rPr>
              <w:t>参数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1346" w:type="dxa"/>
            <w:noWrap w:val="0"/>
            <w:vAlign w:val="center"/>
          </w:tcPr>
          <w:p>
            <w:pPr>
              <w:pageBreakBefore w:val="0"/>
              <w:widowControl/>
              <w:wordWrap/>
              <w:autoSpaceDE w:val="0"/>
              <w:autoSpaceDN w:val="0"/>
              <w:bidi w:val="0"/>
              <w:spacing w:line="240" w:lineRule="auto"/>
              <w:ind w:left="0" w:leftChars="0" w:right="0" w:rightChars="0"/>
              <w:jc w:val="center"/>
              <w:rPr>
                <w:rFonts w:hint="default" w:ascii="Times New Roman" w:hAnsi="Times New Roman" w:eastAsia="宋体" w:cs="Times New Roman"/>
                <w:color w:val="auto"/>
                <w:kern w:val="0"/>
                <w:szCs w:val="21"/>
                <w:highlight w:val="none"/>
                <w:lang w:val="zh-CN" w:bidi="zh-CN"/>
              </w:rPr>
            </w:pPr>
            <w:r>
              <w:rPr>
                <w:rFonts w:hint="default" w:ascii="Times New Roman" w:hAnsi="Times New Roman" w:eastAsia="宋体" w:cs="Times New Roman"/>
                <w:color w:val="auto"/>
                <w:kern w:val="0"/>
                <w:szCs w:val="21"/>
                <w:highlight w:val="none"/>
                <w:lang w:val="zh-CN" w:bidi="zh-CN"/>
              </w:rPr>
              <w:t>1</w:t>
            </w:r>
          </w:p>
        </w:tc>
        <w:tc>
          <w:tcPr>
            <w:tcW w:w="1351" w:type="dxa"/>
            <w:noWrap w:val="0"/>
            <w:vAlign w:val="center"/>
          </w:tcPr>
          <w:p>
            <w:pPr>
              <w:pageBreakBefore w:val="0"/>
              <w:widowControl/>
              <w:wordWrap/>
              <w:autoSpaceDE w:val="0"/>
              <w:autoSpaceDN w:val="0"/>
              <w:bidi w:val="0"/>
              <w:spacing w:line="240" w:lineRule="auto"/>
              <w:ind w:left="0" w:leftChars="0" w:right="0" w:rightChars="0"/>
              <w:jc w:val="left"/>
              <w:rPr>
                <w:rFonts w:hint="default" w:ascii="Times New Roman" w:hAnsi="Times New Roman" w:eastAsia="宋体" w:cs="Times New Roman"/>
                <w:color w:val="auto"/>
                <w:kern w:val="0"/>
                <w:szCs w:val="21"/>
                <w:highlight w:val="none"/>
                <w:lang w:val="zh-CN" w:bidi="zh-CN"/>
              </w:rPr>
            </w:pPr>
            <w:r>
              <w:rPr>
                <w:rFonts w:hint="default" w:ascii="Times New Roman" w:hAnsi="Times New Roman" w:eastAsia="宋体" w:cs="Times New Roman"/>
                <w:color w:val="auto"/>
                <w:kern w:val="0"/>
                <w:szCs w:val="21"/>
                <w:highlight w:val="none"/>
                <w:lang w:val="zh-CN" w:bidi="zh-CN"/>
              </w:rPr>
              <w:t>振弦式采集仪</w:t>
            </w:r>
          </w:p>
        </w:tc>
        <w:tc>
          <w:tcPr>
            <w:tcW w:w="5604" w:type="dxa"/>
            <w:noWrap w:val="0"/>
            <w:vAlign w:val="center"/>
          </w:tcPr>
          <w:p>
            <w:pPr>
              <w:pageBreakBefore w:val="0"/>
              <w:widowControl/>
              <w:wordWrap/>
              <w:autoSpaceDE w:val="0"/>
              <w:autoSpaceDN w:val="0"/>
              <w:bidi w:val="0"/>
              <w:spacing w:line="240" w:lineRule="auto"/>
              <w:ind w:left="0" w:leftChars="0" w:right="0" w:rightChars="0"/>
              <w:jc w:val="left"/>
              <w:rPr>
                <w:rFonts w:hint="default" w:ascii="Times New Roman" w:hAnsi="Times New Roman" w:eastAsia="宋体" w:cs="Times New Roman"/>
                <w:color w:val="auto"/>
                <w:kern w:val="0"/>
                <w:szCs w:val="21"/>
                <w:highlight w:val="none"/>
                <w:lang w:val="zh-CN" w:bidi="zh-CN"/>
              </w:rPr>
            </w:pPr>
            <w:r>
              <w:rPr>
                <w:rFonts w:hint="default" w:ascii="Times New Roman" w:hAnsi="Times New Roman" w:eastAsia="宋体" w:cs="Times New Roman"/>
                <w:color w:val="auto"/>
                <w:kern w:val="0"/>
                <w:szCs w:val="21"/>
                <w:highlight w:val="none"/>
                <w:lang w:val="zh-CN" w:bidi="zh-CN"/>
              </w:rPr>
              <w:t>通道数量：不少于3通道</w:t>
            </w:r>
          </w:p>
          <w:p>
            <w:pPr>
              <w:pageBreakBefore w:val="0"/>
              <w:widowControl/>
              <w:wordWrap/>
              <w:autoSpaceDE w:val="0"/>
              <w:autoSpaceDN w:val="0"/>
              <w:bidi w:val="0"/>
              <w:spacing w:line="240" w:lineRule="auto"/>
              <w:ind w:left="0" w:leftChars="0" w:right="0" w:rightChars="0"/>
              <w:jc w:val="left"/>
              <w:rPr>
                <w:rFonts w:hint="default" w:ascii="Times New Roman" w:hAnsi="Times New Roman" w:eastAsia="宋体" w:cs="Times New Roman"/>
                <w:color w:val="auto"/>
                <w:kern w:val="0"/>
                <w:szCs w:val="21"/>
                <w:highlight w:val="none"/>
                <w:lang w:val="zh-CN" w:bidi="zh-CN"/>
              </w:rPr>
            </w:pPr>
            <w:r>
              <w:rPr>
                <w:rFonts w:hint="default" w:ascii="Times New Roman" w:hAnsi="Times New Roman" w:eastAsia="宋体" w:cs="Times New Roman"/>
                <w:color w:val="auto"/>
                <w:kern w:val="0"/>
                <w:szCs w:val="21"/>
                <w:highlight w:val="none"/>
                <w:lang w:val="zh-CN" w:bidi="zh-CN"/>
              </w:rPr>
              <w:t>通讯方式：GPRS/3G/4G无线通讯或485有线通讯供电方式：内置锂电池直流供电，可充电</w:t>
            </w:r>
          </w:p>
          <w:p>
            <w:pPr>
              <w:pageBreakBefore w:val="0"/>
              <w:widowControl/>
              <w:wordWrap/>
              <w:autoSpaceDE w:val="0"/>
              <w:autoSpaceDN w:val="0"/>
              <w:bidi w:val="0"/>
              <w:spacing w:line="240" w:lineRule="auto"/>
              <w:ind w:left="0" w:leftChars="0" w:right="0" w:rightChars="0"/>
              <w:jc w:val="left"/>
              <w:rPr>
                <w:rFonts w:hint="default" w:ascii="Times New Roman" w:hAnsi="Times New Roman" w:eastAsia="宋体" w:cs="Times New Roman"/>
                <w:color w:val="auto"/>
                <w:kern w:val="0"/>
                <w:szCs w:val="21"/>
                <w:highlight w:val="none"/>
                <w:lang w:val="zh-CN" w:bidi="zh-CN"/>
              </w:rPr>
            </w:pPr>
            <w:r>
              <w:rPr>
                <w:rFonts w:hint="default" w:ascii="Times New Roman" w:hAnsi="Times New Roman" w:eastAsia="宋体" w:cs="Times New Roman"/>
                <w:color w:val="auto"/>
                <w:kern w:val="0"/>
                <w:szCs w:val="21"/>
                <w:highlight w:val="none"/>
                <w:lang w:val="zh-CN" w:bidi="zh-CN"/>
              </w:rPr>
              <w:t>电源保护：防雷保护，防反接保护</w:t>
            </w:r>
          </w:p>
          <w:p>
            <w:pPr>
              <w:pageBreakBefore w:val="0"/>
              <w:widowControl/>
              <w:wordWrap/>
              <w:autoSpaceDE w:val="0"/>
              <w:autoSpaceDN w:val="0"/>
              <w:bidi w:val="0"/>
              <w:spacing w:line="240" w:lineRule="auto"/>
              <w:ind w:left="0" w:leftChars="0" w:right="0" w:rightChars="0"/>
              <w:jc w:val="left"/>
              <w:rPr>
                <w:rFonts w:hint="default" w:ascii="Times New Roman" w:hAnsi="Times New Roman" w:eastAsia="宋体" w:cs="Times New Roman"/>
                <w:color w:val="auto"/>
                <w:kern w:val="0"/>
                <w:szCs w:val="21"/>
                <w:highlight w:val="none"/>
                <w:lang w:val="zh-CN" w:bidi="zh-CN"/>
              </w:rPr>
            </w:pPr>
            <w:r>
              <w:rPr>
                <w:rFonts w:hint="default" w:ascii="Times New Roman" w:hAnsi="Times New Roman" w:eastAsia="宋体" w:cs="Times New Roman"/>
                <w:color w:val="auto"/>
                <w:kern w:val="0"/>
                <w:szCs w:val="21"/>
                <w:highlight w:val="none"/>
                <w:lang w:val="zh-CN" w:bidi="zh-CN"/>
              </w:rPr>
              <w:t>工作环境：温度范围-20℃~60℃，湿度范围0~90%</w:t>
            </w:r>
          </w:p>
          <w:p>
            <w:pPr>
              <w:pageBreakBefore w:val="0"/>
              <w:widowControl/>
              <w:wordWrap/>
              <w:autoSpaceDE w:val="0"/>
              <w:autoSpaceDN w:val="0"/>
              <w:bidi w:val="0"/>
              <w:spacing w:line="240" w:lineRule="auto"/>
              <w:ind w:left="0" w:leftChars="0" w:right="0" w:rightChars="0"/>
              <w:jc w:val="left"/>
              <w:rPr>
                <w:rFonts w:hint="default" w:ascii="Times New Roman" w:hAnsi="Times New Roman" w:eastAsia="宋体" w:cs="Times New Roman"/>
                <w:color w:val="auto"/>
                <w:kern w:val="0"/>
                <w:szCs w:val="21"/>
                <w:highlight w:val="none"/>
                <w:lang w:val="zh-CN" w:bidi="zh-CN"/>
              </w:rPr>
            </w:pPr>
            <w:r>
              <w:rPr>
                <w:rFonts w:hint="default" w:ascii="Times New Roman" w:hAnsi="Times New Roman" w:eastAsia="宋体" w:cs="Times New Roman"/>
                <w:color w:val="auto"/>
                <w:kern w:val="0"/>
                <w:szCs w:val="21"/>
                <w:highlight w:val="none"/>
                <w:lang w:val="zh-CN" w:bidi="zh-CN"/>
              </w:rPr>
              <w:t>数据存储空间：&gt;1年数据保存时间：&gt;1年</w:t>
            </w:r>
          </w:p>
          <w:p>
            <w:pPr>
              <w:pageBreakBefore w:val="0"/>
              <w:widowControl/>
              <w:wordWrap/>
              <w:autoSpaceDE w:val="0"/>
              <w:autoSpaceDN w:val="0"/>
              <w:bidi w:val="0"/>
              <w:spacing w:line="240" w:lineRule="auto"/>
              <w:ind w:left="0" w:leftChars="0" w:right="0" w:rightChars="0"/>
              <w:jc w:val="left"/>
              <w:rPr>
                <w:rFonts w:hint="default" w:ascii="Times New Roman" w:hAnsi="Times New Roman" w:eastAsia="宋体" w:cs="Times New Roman"/>
                <w:color w:val="auto"/>
                <w:kern w:val="0"/>
                <w:szCs w:val="21"/>
                <w:highlight w:val="none"/>
                <w:lang w:val="zh-CN" w:bidi="zh-CN"/>
              </w:rPr>
            </w:pPr>
            <w:r>
              <w:rPr>
                <w:rFonts w:hint="default" w:ascii="Times New Roman" w:hAnsi="Times New Roman" w:eastAsia="宋体" w:cs="Times New Roman"/>
                <w:color w:val="auto"/>
                <w:kern w:val="0"/>
                <w:szCs w:val="21"/>
                <w:highlight w:val="none"/>
                <w:lang w:val="zh-CN" w:bidi="zh-CN"/>
              </w:rPr>
              <w:t>频率测量误差（振弦传感器</w:t>
            </w:r>
            <w:r>
              <w:rPr>
                <w:rFonts w:hint="default" w:ascii="Times New Roman" w:hAnsi="Times New Roman" w:eastAsia="宋体" w:cs="Times New Roman"/>
                <w:color w:val="auto"/>
                <w:spacing w:val="-120"/>
                <w:kern w:val="0"/>
                <w:szCs w:val="21"/>
                <w:highlight w:val="none"/>
                <w:lang w:val="zh-CN" w:bidi="zh-CN"/>
              </w:rPr>
              <w:t>）</w:t>
            </w:r>
            <w:r>
              <w:rPr>
                <w:rFonts w:hint="default" w:ascii="Times New Roman" w:hAnsi="Times New Roman" w:eastAsia="宋体" w:cs="Times New Roman"/>
                <w:color w:val="auto"/>
                <w:kern w:val="0"/>
                <w:szCs w:val="21"/>
                <w:highlight w:val="none"/>
                <w:lang w:val="zh-CN" w:bidi="zh-CN"/>
              </w:rPr>
              <w:t>：</w:t>
            </w:r>
            <w:r>
              <w:rPr>
                <w:rFonts w:hint="default" w:ascii="Times New Roman" w:hAnsi="Times New Roman" w:eastAsia="宋体" w:cs="Times New Roman"/>
                <w:color w:val="auto"/>
                <w:spacing w:val="-1"/>
                <w:kern w:val="0"/>
                <w:szCs w:val="21"/>
                <w:highlight w:val="none"/>
                <w:lang w:val="zh-CN" w:bidi="zh-CN"/>
              </w:rPr>
              <w:t>&lt;</w:t>
            </w:r>
            <w:r>
              <w:rPr>
                <w:rFonts w:hint="default" w:ascii="Times New Roman" w:hAnsi="Times New Roman" w:eastAsia="宋体" w:cs="Times New Roman"/>
                <w:color w:val="auto"/>
                <w:kern w:val="0"/>
                <w:szCs w:val="21"/>
                <w:highlight w:val="none"/>
                <w:lang w:val="zh-CN" w:bidi="zh-CN"/>
              </w:rPr>
              <w:t>0.5Hz</w:t>
            </w:r>
          </w:p>
          <w:p>
            <w:pPr>
              <w:pageBreakBefore w:val="0"/>
              <w:widowControl/>
              <w:wordWrap/>
              <w:autoSpaceDE w:val="0"/>
              <w:autoSpaceDN w:val="0"/>
              <w:bidi w:val="0"/>
              <w:spacing w:line="240" w:lineRule="auto"/>
              <w:ind w:left="0" w:leftChars="0" w:right="0" w:rightChars="0"/>
              <w:jc w:val="left"/>
              <w:rPr>
                <w:rFonts w:hint="default" w:ascii="Times New Roman" w:hAnsi="Times New Roman" w:eastAsia="宋体" w:cs="Times New Roman"/>
                <w:color w:val="auto"/>
                <w:kern w:val="0"/>
                <w:szCs w:val="21"/>
                <w:highlight w:val="none"/>
                <w:lang w:val="zh-CN" w:bidi="zh-CN"/>
              </w:rPr>
            </w:pPr>
            <w:r>
              <w:rPr>
                <w:rFonts w:hint="default" w:ascii="Times New Roman" w:hAnsi="Times New Roman" w:eastAsia="宋体" w:cs="Times New Roman"/>
                <w:color w:val="auto"/>
                <w:kern w:val="0"/>
                <w:szCs w:val="21"/>
                <w:highlight w:val="none"/>
                <w:lang w:val="zh-CN" w:bidi="zh-CN"/>
              </w:rPr>
              <w:t>温度测量误差（振弦传感器</w:t>
            </w:r>
            <w:r>
              <w:rPr>
                <w:rFonts w:hint="default" w:ascii="Times New Roman" w:hAnsi="Times New Roman" w:eastAsia="宋体" w:cs="Times New Roman"/>
                <w:color w:val="auto"/>
                <w:spacing w:val="-120"/>
                <w:kern w:val="0"/>
                <w:szCs w:val="21"/>
                <w:highlight w:val="none"/>
                <w:lang w:val="zh-CN" w:bidi="zh-CN"/>
              </w:rPr>
              <w:t>）</w:t>
            </w:r>
            <w:r>
              <w:rPr>
                <w:rFonts w:hint="default" w:ascii="Times New Roman" w:hAnsi="Times New Roman" w:eastAsia="宋体" w:cs="Times New Roman"/>
                <w:color w:val="auto"/>
                <w:kern w:val="0"/>
                <w:szCs w:val="21"/>
                <w:highlight w:val="none"/>
                <w:lang w:val="zh-CN" w:bidi="zh-CN"/>
              </w:rPr>
              <w:t>：</w:t>
            </w:r>
            <w:r>
              <w:rPr>
                <w:rFonts w:hint="default" w:ascii="Times New Roman" w:hAnsi="Times New Roman" w:eastAsia="宋体" w:cs="Times New Roman"/>
                <w:color w:val="auto"/>
                <w:spacing w:val="-1"/>
                <w:kern w:val="0"/>
                <w:szCs w:val="21"/>
                <w:highlight w:val="none"/>
                <w:lang w:val="zh-CN" w:bidi="zh-CN"/>
              </w:rPr>
              <w:t>&lt;</w:t>
            </w:r>
            <w:r>
              <w:rPr>
                <w:rFonts w:hint="default" w:ascii="Times New Roman" w:hAnsi="Times New Roman" w:eastAsia="宋体" w:cs="Times New Roman"/>
                <w:color w:val="auto"/>
                <w:kern w:val="0"/>
                <w:szCs w:val="21"/>
                <w:highlight w:val="none"/>
                <w:lang w:val="zh-CN" w:bidi="zh-CN"/>
              </w:rPr>
              <w:t>0.</w:t>
            </w:r>
            <w:r>
              <w:rPr>
                <w:rFonts w:hint="default" w:ascii="Times New Roman" w:hAnsi="Times New Roman" w:eastAsia="宋体" w:cs="Times New Roman"/>
                <w:color w:val="auto"/>
                <w:spacing w:val="3"/>
                <w:kern w:val="0"/>
                <w:szCs w:val="21"/>
                <w:highlight w:val="none"/>
                <w:lang w:val="zh-CN" w:bidi="zh-CN"/>
              </w:rPr>
              <w:t>3</w:t>
            </w:r>
            <w:r>
              <w:rPr>
                <w:rFonts w:hint="default" w:ascii="Times New Roman" w:hAnsi="Times New Roman" w:eastAsia="宋体" w:cs="Times New Roman"/>
                <w:color w:val="auto"/>
                <w:spacing w:val="-61"/>
                <w:kern w:val="0"/>
                <w:szCs w:val="21"/>
                <w:highlight w:val="none"/>
                <w:lang w:val="zh-CN" w:bidi="zh-CN"/>
              </w:rPr>
              <w:t>º</w:t>
            </w:r>
            <w:r>
              <w:rPr>
                <w:rFonts w:hint="default" w:ascii="Times New Roman" w:hAnsi="Times New Roman" w:eastAsia="宋体" w:cs="Times New Roman"/>
                <w:color w:val="auto"/>
                <w:kern w:val="0"/>
                <w:szCs w:val="21"/>
                <w:highlight w:val="none"/>
                <w:lang w:val="zh-CN" w:bidi="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346" w:type="dxa"/>
            <w:noWrap w:val="0"/>
            <w:vAlign w:val="center"/>
          </w:tcPr>
          <w:p>
            <w:pPr>
              <w:pageBreakBefore w:val="0"/>
              <w:widowControl/>
              <w:wordWrap/>
              <w:autoSpaceDE w:val="0"/>
              <w:autoSpaceDN w:val="0"/>
              <w:bidi w:val="0"/>
              <w:spacing w:line="240" w:lineRule="auto"/>
              <w:ind w:left="0" w:leftChars="0" w:right="0" w:rightChars="0"/>
              <w:jc w:val="center"/>
              <w:rPr>
                <w:rFonts w:hint="default" w:ascii="Times New Roman" w:hAnsi="Times New Roman" w:eastAsia="宋体" w:cs="Times New Roman"/>
                <w:color w:val="auto"/>
                <w:kern w:val="0"/>
                <w:szCs w:val="21"/>
                <w:highlight w:val="none"/>
                <w:lang w:val="zh-CN" w:bidi="zh-CN"/>
              </w:rPr>
            </w:pPr>
            <w:r>
              <w:rPr>
                <w:rFonts w:hint="default" w:ascii="Times New Roman" w:hAnsi="Times New Roman" w:eastAsia="宋体" w:cs="Times New Roman"/>
                <w:color w:val="auto"/>
                <w:kern w:val="0"/>
                <w:szCs w:val="21"/>
                <w:highlight w:val="none"/>
                <w:lang w:val="zh-CN" w:bidi="zh-CN"/>
              </w:rPr>
              <w:t>2</w:t>
            </w:r>
          </w:p>
        </w:tc>
        <w:tc>
          <w:tcPr>
            <w:tcW w:w="1351" w:type="dxa"/>
            <w:noWrap w:val="0"/>
            <w:vAlign w:val="center"/>
          </w:tcPr>
          <w:p>
            <w:pPr>
              <w:pageBreakBefore w:val="0"/>
              <w:widowControl/>
              <w:wordWrap/>
              <w:autoSpaceDE w:val="0"/>
              <w:autoSpaceDN w:val="0"/>
              <w:bidi w:val="0"/>
              <w:spacing w:line="240" w:lineRule="auto"/>
              <w:ind w:left="0" w:leftChars="0" w:right="0" w:rightChars="0"/>
              <w:jc w:val="left"/>
              <w:rPr>
                <w:rFonts w:hint="default" w:ascii="Times New Roman" w:hAnsi="Times New Roman" w:eastAsia="宋体" w:cs="Times New Roman"/>
                <w:color w:val="auto"/>
                <w:kern w:val="0"/>
                <w:szCs w:val="21"/>
                <w:highlight w:val="none"/>
                <w:lang w:val="zh-CN" w:bidi="zh-CN"/>
              </w:rPr>
            </w:pPr>
            <w:r>
              <w:rPr>
                <w:rFonts w:hint="default" w:ascii="Times New Roman" w:hAnsi="Times New Roman" w:eastAsia="宋体" w:cs="Times New Roman"/>
                <w:color w:val="auto"/>
                <w:kern w:val="0"/>
                <w:szCs w:val="21"/>
                <w:highlight w:val="none"/>
                <w:lang w:val="zh-CN" w:bidi="zh-CN"/>
              </w:rPr>
              <w:t>振弦式渗压计</w:t>
            </w:r>
          </w:p>
        </w:tc>
        <w:tc>
          <w:tcPr>
            <w:tcW w:w="5604" w:type="dxa"/>
            <w:noWrap w:val="0"/>
            <w:vAlign w:val="center"/>
          </w:tcPr>
          <w:p>
            <w:pPr>
              <w:pageBreakBefore w:val="0"/>
              <w:widowControl/>
              <w:wordWrap/>
              <w:autoSpaceDE w:val="0"/>
              <w:autoSpaceDN w:val="0"/>
              <w:bidi w:val="0"/>
              <w:spacing w:line="240" w:lineRule="auto"/>
              <w:ind w:left="0" w:leftChars="0" w:right="0" w:rightChars="0"/>
              <w:jc w:val="left"/>
              <w:rPr>
                <w:rFonts w:hint="default" w:ascii="Times New Roman" w:hAnsi="Times New Roman" w:eastAsia="宋体" w:cs="Times New Roman"/>
                <w:color w:val="auto"/>
                <w:kern w:val="0"/>
                <w:szCs w:val="21"/>
                <w:highlight w:val="none"/>
                <w:lang w:val="zh-CN" w:bidi="zh-CN"/>
              </w:rPr>
            </w:pPr>
            <w:r>
              <w:rPr>
                <w:rFonts w:hint="default" w:ascii="Times New Roman" w:hAnsi="Times New Roman" w:eastAsia="宋体" w:cs="Times New Roman"/>
                <w:color w:val="auto"/>
                <w:kern w:val="0"/>
                <w:szCs w:val="21"/>
                <w:highlight w:val="none"/>
                <w:lang w:val="zh-CN" w:bidi="zh-CN"/>
              </w:rPr>
              <w:t>测量范围：0～0.35MPa灵敏度：</w:t>
            </w:r>
          </w:p>
          <w:p>
            <w:pPr>
              <w:pageBreakBefore w:val="0"/>
              <w:widowControl/>
              <w:wordWrap/>
              <w:autoSpaceDE w:val="0"/>
              <w:autoSpaceDN w:val="0"/>
              <w:bidi w:val="0"/>
              <w:spacing w:line="240" w:lineRule="auto"/>
              <w:ind w:left="0" w:leftChars="0" w:right="0" w:rightChars="0"/>
              <w:jc w:val="left"/>
              <w:rPr>
                <w:rFonts w:hint="default" w:ascii="Times New Roman" w:hAnsi="Times New Roman" w:eastAsia="宋体" w:cs="Times New Roman"/>
                <w:color w:val="auto"/>
                <w:kern w:val="0"/>
                <w:szCs w:val="21"/>
                <w:highlight w:val="none"/>
                <w:lang w:val="zh-CN" w:bidi="zh-CN"/>
              </w:rPr>
            </w:pPr>
            <w:r>
              <w:rPr>
                <w:rFonts w:hint="default" w:ascii="Times New Roman" w:hAnsi="Times New Roman" w:eastAsia="宋体" w:cs="Times New Roman"/>
                <w:color w:val="auto"/>
                <w:kern w:val="0"/>
                <w:szCs w:val="21"/>
                <w:highlight w:val="none"/>
                <w:lang w:val="zh-CN" w:bidi="zh-CN"/>
              </w:rPr>
              <w:t>测量精度：≤0.1%F.S</w:t>
            </w:r>
          </w:p>
          <w:p>
            <w:pPr>
              <w:pageBreakBefore w:val="0"/>
              <w:widowControl/>
              <w:wordWrap/>
              <w:autoSpaceDE w:val="0"/>
              <w:autoSpaceDN w:val="0"/>
              <w:bidi w:val="0"/>
              <w:spacing w:line="240" w:lineRule="auto"/>
              <w:ind w:left="0" w:leftChars="0" w:right="0" w:rightChars="0"/>
              <w:jc w:val="left"/>
              <w:rPr>
                <w:rFonts w:hint="default" w:ascii="Times New Roman" w:hAnsi="Times New Roman" w:eastAsia="宋体" w:cs="Times New Roman"/>
                <w:color w:val="auto"/>
                <w:kern w:val="0"/>
                <w:szCs w:val="21"/>
                <w:highlight w:val="none"/>
                <w:lang w:val="zh-CN" w:bidi="zh-CN"/>
              </w:rPr>
            </w:pPr>
            <w:r>
              <w:rPr>
                <w:rFonts w:hint="default" w:ascii="Times New Roman" w:hAnsi="Times New Roman" w:eastAsia="宋体" w:cs="Times New Roman"/>
                <w:color w:val="auto"/>
                <w:kern w:val="0"/>
                <w:szCs w:val="21"/>
                <w:highlight w:val="none"/>
                <w:lang w:val="zh-CN" w:bidi="zh-CN"/>
              </w:rPr>
              <w:t>温度测量范围：-40～+80℃温度测量灵敏度：±0.1℃</w:t>
            </w:r>
          </w:p>
        </w:tc>
      </w:tr>
    </w:tbl>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textAlignment w:val="auto"/>
        <w:outlineLvl w:val="2"/>
        <w:rPr>
          <w:rFonts w:hint="default" w:ascii="Times New Roman" w:hAnsi="Times New Roman" w:eastAsia="宋体" w:cs="Times New Roman"/>
          <w:color w:val="auto"/>
          <w:sz w:val="24"/>
          <w:szCs w:val="24"/>
          <w:highlight w:val="none"/>
          <w:lang w:val="en-GB"/>
        </w:rPr>
      </w:pPr>
      <w:bookmarkStart w:id="560" w:name="_Toc4047"/>
      <w:bookmarkStart w:id="561" w:name="_Toc30317"/>
      <w:r>
        <w:rPr>
          <w:rFonts w:hint="default" w:ascii="Times New Roman" w:hAnsi="Times New Roman" w:eastAsia="宋体" w:cs="Times New Roman"/>
          <w:color w:val="auto"/>
          <w:sz w:val="24"/>
          <w:szCs w:val="24"/>
          <w:highlight w:val="none"/>
          <w:lang w:val="en-GB"/>
        </w:rPr>
        <w:t>③降雨量监测设备</w:t>
      </w:r>
      <w:bookmarkEnd w:id="560"/>
      <w:bookmarkEnd w:id="561"/>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lang w:val="en-GB"/>
        </w:rPr>
      </w:pPr>
      <w:r>
        <w:rPr>
          <w:rFonts w:hint="default" w:ascii="Times New Roman" w:hAnsi="Times New Roman" w:eastAsia="宋体" w:cs="Times New Roman"/>
          <w:color w:val="auto"/>
          <w:sz w:val="24"/>
          <w:szCs w:val="24"/>
          <w:highlight w:val="none"/>
          <w:lang w:val="en-GB"/>
        </w:rPr>
        <w:t>降雨量监测采用雨量计</w:t>
      </w:r>
      <w:r>
        <w:rPr>
          <w:rFonts w:hint="default" w:ascii="Times New Roman" w:hAnsi="Times New Roman" w:eastAsia="宋体" w:cs="Times New Roman"/>
          <w:color w:val="auto"/>
          <w:sz w:val="24"/>
          <w:szCs w:val="24"/>
          <w:highlight w:val="none"/>
          <w:lang w:val="en-GB" w:eastAsia="zh-CN"/>
        </w:rPr>
        <w:t>，</w:t>
      </w:r>
      <w:r>
        <w:rPr>
          <w:rFonts w:hint="default" w:ascii="Times New Roman" w:hAnsi="Times New Roman" w:eastAsia="宋体" w:cs="Times New Roman"/>
          <w:color w:val="auto"/>
          <w:sz w:val="24"/>
          <w:szCs w:val="24"/>
          <w:highlight w:val="none"/>
          <w:lang w:val="en-GB"/>
        </w:rPr>
        <w:t>采用翻斗式雨量计</w:t>
      </w:r>
      <w:r>
        <w:rPr>
          <w:rFonts w:hint="default" w:ascii="Times New Roman" w:hAnsi="Times New Roman" w:eastAsia="宋体" w:cs="Times New Roman"/>
          <w:color w:val="auto"/>
          <w:sz w:val="24"/>
          <w:szCs w:val="24"/>
          <w:highlight w:val="none"/>
          <w:lang w:val="en-GB" w:eastAsia="zh-CN"/>
        </w:rPr>
        <w:t>，</w:t>
      </w:r>
      <w:r>
        <w:rPr>
          <w:rFonts w:hint="default" w:ascii="Times New Roman" w:hAnsi="Times New Roman" w:eastAsia="宋体" w:cs="Times New Roman"/>
          <w:color w:val="auto"/>
          <w:sz w:val="24"/>
          <w:szCs w:val="24"/>
          <w:highlight w:val="none"/>
          <w:lang w:val="en-GB"/>
        </w:rPr>
        <w:t>技术参数设计表2-</w:t>
      </w:r>
      <w:r>
        <w:rPr>
          <w:rFonts w:hint="default" w:ascii="Times New Roman" w:hAnsi="Times New Roman" w:eastAsia="宋体" w:cs="Times New Roman"/>
          <w:color w:val="auto"/>
          <w:sz w:val="24"/>
          <w:szCs w:val="24"/>
          <w:highlight w:val="none"/>
          <w:lang w:val="en-US" w:eastAsia="zh-CN"/>
        </w:rPr>
        <w:t>19</w:t>
      </w:r>
      <w:r>
        <w:rPr>
          <w:rFonts w:hint="default" w:ascii="Times New Roman" w:hAnsi="Times New Roman" w:eastAsia="宋体" w:cs="Times New Roman"/>
          <w:color w:val="auto"/>
          <w:sz w:val="24"/>
          <w:szCs w:val="24"/>
          <w:highlight w:val="none"/>
          <w:lang w:val="en-GB"/>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jc w:val="center"/>
        <w:textAlignment w:val="auto"/>
        <w:rPr>
          <w:rFonts w:hint="default" w:ascii="Times New Roman" w:hAnsi="Times New Roman" w:eastAsia="宋体" w:cs="Times New Roman"/>
          <w:b/>
          <w:color w:val="auto"/>
          <w:sz w:val="24"/>
          <w:szCs w:val="24"/>
          <w:highlight w:val="none"/>
          <w:lang w:val="en-GB"/>
        </w:rPr>
      </w:pPr>
      <w:r>
        <w:rPr>
          <w:rFonts w:hint="default" w:ascii="Times New Roman" w:hAnsi="Times New Roman" w:eastAsia="宋体" w:cs="Times New Roman"/>
          <w:b/>
          <w:color w:val="auto"/>
          <w:sz w:val="24"/>
          <w:szCs w:val="24"/>
          <w:highlight w:val="none"/>
          <w:lang w:val="en-US" w:eastAsia="zh-CN"/>
        </w:rPr>
        <w:t>表2-19</w:t>
      </w:r>
      <w:r>
        <w:rPr>
          <w:rFonts w:hint="default" w:ascii="Times New Roman" w:hAnsi="Times New Roman" w:eastAsia="宋体" w:cs="Times New Roman"/>
          <w:b/>
          <w:color w:val="auto"/>
          <w:sz w:val="24"/>
          <w:szCs w:val="24"/>
          <w:highlight w:val="none"/>
          <w:lang w:val="en-GB"/>
        </w:rPr>
        <w:t>翻斗式雨量计技术参数表</w:t>
      </w:r>
    </w:p>
    <w:tbl>
      <w:tblPr>
        <w:tblStyle w:val="54"/>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765"/>
        <w:gridCol w:w="65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771" w:type="dxa"/>
            <w:noWrap w:val="0"/>
            <w:vAlign w:val="center"/>
          </w:tcPr>
          <w:p>
            <w:pPr>
              <w:pageBreakBefore w:val="0"/>
              <w:widowControl/>
              <w:wordWrap/>
              <w:autoSpaceDE w:val="0"/>
              <w:autoSpaceDN w:val="0"/>
              <w:bidi w:val="0"/>
              <w:spacing w:line="240" w:lineRule="auto"/>
              <w:ind w:left="0" w:leftChars="0" w:right="0" w:rightChars="0"/>
              <w:jc w:val="center"/>
              <w:rPr>
                <w:rFonts w:hint="default" w:ascii="Times New Roman" w:hAnsi="Times New Roman" w:eastAsia="宋体" w:cs="Times New Roman"/>
                <w:color w:val="auto"/>
                <w:kern w:val="0"/>
                <w:szCs w:val="21"/>
                <w:highlight w:val="none"/>
                <w:lang w:val="zh-CN" w:bidi="zh-CN"/>
              </w:rPr>
            </w:pPr>
            <w:r>
              <w:rPr>
                <w:rFonts w:hint="default" w:ascii="Times New Roman" w:hAnsi="Times New Roman" w:eastAsia="宋体" w:cs="Times New Roman"/>
                <w:color w:val="auto"/>
                <w:kern w:val="0"/>
                <w:szCs w:val="21"/>
                <w:highlight w:val="none"/>
                <w:lang w:val="zh-CN" w:bidi="zh-CN"/>
              </w:rPr>
              <w:t>设备名称</w:t>
            </w:r>
          </w:p>
        </w:tc>
        <w:tc>
          <w:tcPr>
            <w:tcW w:w="6532" w:type="dxa"/>
            <w:noWrap w:val="0"/>
            <w:vAlign w:val="center"/>
          </w:tcPr>
          <w:p>
            <w:pPr>
              <w:pageBreakBefore w:val="0"/>
              <w:widowControl/>
              <w:wordWrap/>
              <w:autoSpaceDE w:val="0"/>
              <w:autoSpaceDN w:val="0"/>
              <w:bidi w:val="0"/>
              <w:spacing w:line="240" w:lineRule="auto"/>
              <w:ind w:left="0" w:leftChars="0" w:right="0" w:rightChars="0"/>
              <w:jc w:val="center"/>
              <w:rPr>
                <w:rFonts w:hint="default" w:ascii="Times New Roman" w:hAnsi="Times New Roman" w:eastAsia="宋体" w:cs="Times New Roman"/>
                <w:color w:val="auto"/>
                <w:kern w:val="0"/>
                <w:szCs w:val="21"/>
                <w:highlight w:val="none"/>
                <w:lang w:val="zh-CN" w:bidi="zh-CN"/>
              </w:rPr>
            </w:pPr>
            <w:r>
              <w:rPr>
                <w:rFonts w:hint="default" w:ascii="Times New Roman" w:hAnsi="Times New Roman" w:eastAsia="宋体" w:cs="Times New Roman"/>
                <w:color w:val="auto"/>
                <w:kern w:val="0"/>
                <w:szCs w:val="21"/>
                <w:highlight w:val="none"/>
                <w:lang w:val="zh-CN" w:bidi="zh-CN"/>
              </w:rPr>
              <w:t>参数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771" w:type="dxa"/>
            <w:noWrap w:val="0"/>
            <w:vAlign w:val="center"/>
          </w:tcPr>
          <w:p>
            <w:pPr>
              <w:pageBreakBefore w:val="0"/>
              <w:widowControl/>
              <w:wordWrap/>
              <w:autoSpaceDE w:val="0"/>
              <w:autoSpaceDN w:val="0"/>
              <w:bidi w:val="0"/>
              <w:spacing w:line="240" w:lineRule="auto"/>
              <w:ind w:left="0" w:leftChars="0" w:right="0" w:rightChars="0"/>
              <w:jc w:val="center"/>
              <w:rPr>
                <w:rFonts w:hint="default" w:ascii="Times New Roman" w:hAnsi="Times New Roman" w:eastAsia="宋体" w:cs="Times New Roman"/>
                <w:color w:val="auto"/>
                <w:kern w:val="0"/>
                <w:szCs w:val="21"/>
                <w:highlight w:val="none"/>
                <w:lang w:val="zh-CN" w:bidi="zh-CN"/>
              </w:rPr>
            </w:pPr>
            <w:r>
              <w:rPr>
                <w:rFonts w:hint="default" w:ascii="Times New Roman" w:hAnsi="Times New Roman" w:eastAsia="宋体" w:cs="Times New Roman"/>
                <w:color w:val="auto"/>
                <w:kern w:val="0"/>
                <w:szCs w:val="21"/>
                <w:highlight w:val="none"/>
                <w:lang w:val="zh-CN" w:bidi="zh-CN"/>
              </w:rPr>
              <w:t>翻斗式雨量计</w:t>
            </w:r>
          </w:p>
        </w:tc>
        <w:tc>
          <w:tcPr>
            <w:tcW w:w="6532" w:type="dxa"/>
            <w:noWrap w:val="0"/>
            <w:vAlign w:val="center"/>
          </w:tcPr>
          <w:p>
            <w:pPr>
              <w:pageBreakBefore w:val="0"/>
              <w:widowControl/>
              <w:wordWrap/>
              <w:autoSpaceDE w:val="0"/>
              <w:autoSpaceDN w:val="0"/>
              <w:bidi w:val="0"/>
              <w:spacing w:line="240" w:lineRule="auto"/>
              <w:ind w:left="0" w:leftChars="0" w:right="0" w:rightChars="0"/>
              <w:jc w:val="center"/>
              <w:rPr>
                <w:rFonts w:hint="default" w:ascii="Times New Roman" w:hAnsi="Times New Roman" w:eastAsia="宋体" w:cs="Times New Roman"/>
                <w:color w:val="auto"/>
                <w:kern w:val="0"/>
                <w:szCs w:val="21"/>
                <w:highlight w:val="none"/>
                <w:lang w:val="zh-CN" w:bidi="zh-CN"/>
              </w:rPr>
            </w:pPr>
            <w:r>
              <w:rPr>
                <w:rFonts w:hint="default" w:ascii="Times New Roman" w:hAnsi="Times New Roman" w:eastAsia="宋体" w:cs="Times New Roman"/>
                <w:color w:val="auto"/>
                <w:kern w:val="0"/>
                <w:szCs w:val="21"/>
                <w:highlight w:val="none"/>
                <w:lang w:val="zh-CN" w:bidi="zh-CN"/>
              </w:rPr>
              <w:t>精度：0.1mm，量程0.01～4mm/min</w:t>
            </w:r>
          </w:p>
        </w:tc>
      </w:tr>
    </w:tbl>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outlineLvl w:val="2"/>
        <w:rPr>
          <w:rFonts w:hint="default" w:ascii="Times New Roman" w:hAnsi="Times New Roman" w:eastAsia="宋体" w:cs="Times New Roman"/>
          <w:color w:val="auto"/>
          <w:kern w:val="0"/>
          <w:sz w:val="24"/>
          <w:szCs w:val="24"/>
          <w:highlight w:val="none"/>
          <w:lang w:val="zh-CN"/>
        </w:rPr>
      </w:pPr>
      <w:bookmarkStart w:id="562" w:name="_Toc30963"/>
      <w:bookmarkStart w:id="563" w:name="_Toc11171"/>
      <w:r>
        <w:rPr>
          <w:rFonts w:hint="default" w:ascii="Times New Roman" w:hAnsi="Times New Roman" w:eastAsia="宋体" w:cs="Times New Roman"/>
          <w:color w:val="auto"/>
          <w:kern w:val="0"/>
          <w:sz w:val="24"/>
          <w:szCs w:val="24"/>
          <w:highlight w:val="none"/>
        </w:rPr>
        <w:t>④视频监控</w:t>
      </w:r>
      <w:bookmarkEnd w:id="562"/>
      <w:bookmarkEnd w:id="563"/>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视频监控采用摄像机红外网络摄像机</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大于200万像素</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150m红外照射距离</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防护等级IP68；工作温度</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-30℃-65℃</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支持智能抓拍。其设备参数见表2-</w:t>
      </w:r>
      <w:r>
        <w:rPr>
          <w:rFonts w:hint="default" w:ascii="Times New Roman" w:hAnsi="Times New Roman" w:eastAsia="宋体" w:cs="Times New Roman"/>
          <w:color w:val="auto"/>
          <w:kern w:val="0"/>
          <w:sz w:val="24"/>
          <w:szCs w:val="24"/>
          <w:highlight w:val="none"/>
          <w:lang w:val="en-US" w:eastAsia="zh-CN"/>
        </w:rPr>
        <w:t>20</w:t>
      </w:r>
      <w:r>
        <w:rPr>
          <w:rFonts w:hint="default" w:ascii="Times New Roman" w:hAnsi="Times New Roman" w:eastAsia="宋体" w:cs="Times New Roman"/>
          <w:color w:val="auto"/>
          <w:kern w:val="0"/>
          <w:sz w:val="24"/>
          <w:szCs w:val="24"/>
          <w:highlight w:val="none"/>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jc w:val="center"/>
        <w:textAlignment w:val="auto"/>
        <w:rPr>
          <w:rFonts w:hint="default" w:ascii="Times New Roman" w:hAnsi="Times New Roman" w:eastAsia="宋体" w:cs="Times New Roman"/>
          <w:b/>
          <w:color w:val="auto"/>
          <w:sz w:val="24"/>
          <w:szCs w:val="24"/>
          <w:highlight w:val="none"/>
          <w:lang w:val="en-GB"/>
        </w:rPr>
      </w:pPr>
      <w:r>
        <w:rPr>
          <w:rFonts w:hint="default" w:ascii="Times New Roman" w:hAnsi="Times New Roman" w:eastAsia="宋体" w:cs="Times New Roman"/>
          <w:b/>
          <w:color w:val="auto"/>
          <w:sz w:val="24"/>
          <w:szCs w:val="24"/>
          <w:highlight w:val="none"/>
          <w:lang w:val="en-US" w:eastAsia="zh-CN"/>
        </w:rPr>
        <w:t>表2-20</w:t>
      </w:r>
      <w:r>
        <w:rPr>
          <w:rFonts w:hint="default" w:ascii="Times New Roman" w:hAnsi="Times New Roman" w:eastAsia="宋体" w:cs="Times New Roman"/>
          <w:b/>
          <w:color w:val="auto"/>
          <w:sz w:val="24"/>
          <w:szCs w:val="24"/>
          <w:highlight w:val="none"/>
          <w:lang w:val="en-GB"/>
        </w:rPr>
        <w:t>摄像机参数</w:t>
      </w:r>
    </w:p>
    <w:tbl>
      <w:tblPr>
        <w:tblStyle w:val="5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45"/>
        <w:gridCol w:w="71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45" w:type="dxa"/>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作用距离</w:t>
            </w:r>
          </w:p>
        </w:tc>
        <w:tc>
          <w:tcPr>
            <w:tcW w:w="7118" w:type="dxa"/>
            <w:noWrap w:val="0"/>
            <w:vAlign w:val="center"/>
          </w:tcPr>
          <w:p>
            <w:pPr>
              <w:pageBreakBefore w:val="0"/>
              <w:widowControl/>
              <w:wordWrap/>
              <w:bidi w:val="0"/>
              <w:spacing w:line="240" w:lineRule="auto"/>
              <w:ind w:left="0" w:leftChars="0" w:right="0" w:rightChars="0"/>
              <w:jc w:val="left"/>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夜间&gt;150m</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昼间&gt;400m。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45" w:type="dxa"/>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成像器件</w:t>
            </w:r>
          </w:p>
        </w:tc>
        <w:tc>
          <w:tcPr>
            <w:tcW w:w="7118" w:type="dxa"/>
            <w:noWrap w:val="0"/>
            <w:vAlign w:val="center"/>
          </w:tcPr>
          <w:p>
            <w:pPr>
              <w:pageBreakBefore w:val="0"/>
              <w:widowControl/>
              <w:wordWrap/>
              <w:bidi w:val="0"/>
              <w:spacing w:line="240" w:lineRule="auto"/>
              <w:ind w:left="0" w:leftChars="0" w:right="0" w:rightChars="0"/>
              <w:jc w:val="left"/>
              <w:rPr>
                <w:rFonts w:hint="default" w:ascii="Times New Roman" w:hAnsi="Times New Roman" w:eastAsia="宋体" w:cs="Times New Roman"/>
                <w:color w:val="auto"/>
                <w:kern w:val="0"/>
                <w:szCs w:val="21"/>
                <w:highlight w:val="none"/>
                <w:lang w:eastAsia="zh-CN"/>
              </w:rPr>
            </w:pPr>
            <w:r>
              <w:rPr>
                <w:rFonts w:hint="default" w:ascii="Times New Roman" w:hAnsi="Times New Roman" w:eastAsia="宋体" w:cs="Times New Roman"/>
                <w:color w:val="auto"/>
                <w:kern w:val="0"/>
                <w:szCs w:val="21"/>
                <w:highlight w:val="none"/>
              </w:rPr>
              <w:t>超低照度一体机</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自动彩转黑</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最低照度0.07LUX。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45" w:type="dxa"/>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成像镜头</w:t>
            </w:r>
          </w:p>
        </w:tc>
        <w:tc>
          <w:tcPr>
            <w:tcW w:w="7118" w:type="dxa"/>
            <w:noWrap w:val="0"/>
            <w:vAlign w:val="center"/>
          </w:tcPr>
          <w:p>
            <w:pPr>
              <w:pageBreakBefore w:val="0"/>
              <w:widowControl/>
              <w:wordWrap/>
              <w:bidi w:val="0"/>
              <w:spacing w:line="240" w:lineRule="auto"/>
              <w:ind w:left="0" w:leftChars="0" w:right="0" w:rightChars="0"/>
              <w:jc w:val="left"/>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1、光学18倍变焦；</w:t>
            </w:r>
          </w:p>
          <w:p>
            <w:pPr>
              <w:pageBreakBefore w:val="0"/>
              <w:widowControl/>
              <w:wordWrap/>
              <w:bidi w:val="0"/>
              <w:spacing w:line="240" w:lineRule="auto"/>
              <w:ind w:left="0" w:leftChars="0" w:right="0" w:rightChars="0"/>
              <w:jc w:val="left"/>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2、f=4.1</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73.8mm；</w:t>
            </w:r>
          </w:p>
          <w:p>
            <w:pPr>
              <w:pageBreakBefore w:val="0"/>
              <w:widowControl/>
              <w:wordWrap/>
              <w:bidi w:val="0"/>
              <w:spacing w:line="240" w:lineRule="auto"/>
              <w:ind w:left="0" w:leftChars="0" w:right="0" w:rightChars="0"/>
              <w:jc w:val="left"/>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3、F1.4~F3.0；</w:t>
            </w:r>
          </w:p>
          <w:p>
            <w:pPr>
              <w:pageBreakBefore w:val="0"/>
              <w:widowControl/>
              <w:wordWrap/>
              <w:bidi w:val="0"/>
              <w:spacing w:line="240" w:lineRule="auto"/>
              <w:ind w:left="0" w:leftChars="0" w:right="0" w:rightChars="0"/>
              <w:jc w:val="left"/>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4、视场角2.8度</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48度。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45" w:type="dxa"/>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激光电源</w:t>
            </w:r>
          </w:p>
        </w:tc>
        <w:tc>
          <w:tcPr>
            <w:tcW w:w="7118" w:type="dxa"/>
            <w:noWrap w:val="0"/>
            <w:vAlign w:val="center"/>
          </w:tcPr>
          <w:p>
            <w:pPr>
              <w:pageBreakBefore w:val="0"/>
              <w:widowControl/>
              <w:wordWrap/>
              <w:bidi w:val="0"/>
              <w:spacing w:line="240" w:lineRule="auto"/>
              <w:ind w:left="0" w:leftChars="0" w:right="0" w:rightChars="0"/>
              <w:jc w:val="left"/>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1、两级电路驱动；</w:t>
            </w:r>
          </w:p>
          <w:p>
            <w:pPr>
              <w:pageBreakBefore w:val="0"/>
              <w:widowControl/>
              <w:wordWrap/>
              <w:bidi w:val="0"/>
              <w:spacing w:line="240" w:lineRule="auto"/>
              <w:ind w:left="0" w:leftChars="0" w:right="0" w:rightChars="0"/>
              <w:jc w:val="left"/>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2、恒压恒流；</w:t>
            </w:r>
          </w:p>
          <w:p>
            <w:pPr>
              <w:pageBreakBefore w:val="0"/>
              <w:widowControl/>
              <w:wordWrap/>
              <w:bidi w:val="0"/>
              <w:spacing w:line="240" w:lineRule="auto"/>
              <w:ind w:left="0" w:leftChars="0" w:right="0" w:rightChars="0"/>
              <w:jc w:val="left"/>
              <w:rPr>
                <w:rFonts w:hint="default" w:ascii="Times New Roman" w:hAnsi="Times New Roman" w:eastAsia="宋体" w:cs="Times New Roman"/>
                <w:color w:val="auto"/>
                <w:kern w:val="0"/>
                <w:szCs w:val="21"/>
                <w:highlight w:val="none"/>
                <w:lang w:eastAsia="zh-CN"/>
              </w:rPr>
            </w:pPr>
            <w:r>
              <w:rPr>
                <w:rFonts w:hint="default" w:ascii="Times New Roman" w:hAnsi="Times New Roman" w:eastAsia="宋体" w:cs="Times New Roman"/>
                <w:color w:val="auto"/>
                <w:kern w:val="0"/>
                <w:szCs w:val="21"/>
                <w:highlight w:val="none"/>
              </w:rPr>
              <w:t>3、1秒缓加电电路</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消除浪涌脉冲。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45" w:type="dxa"/>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激光镜头</w:t>
            </w:r>
          </w:p>
        </w:tc>
        <w:tc>
          <w:tcPr>
            <w:tcW w:w="7118" w:type="dxa"/>
            <w:noWrap w:val="0"/>
            <w:vAlign w:val="center"/>
          </w:tcPr>
          <w:p>
            <w:pPr>
              <w:pageBreakBefore w:val="0"/>
              <w:widowControl/>
              <w:wordWrap/>
              <w:bidi w:val="0"/>
              <w:spacing w:line="240" w:lineRule="auto"/>
              <w:ind w:left="0" w:leftChars="0" w:right="0" w:rightChars="0"/>
              <w:jc w:val="left"/>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1、30倍20mm激光摄远镜头；</w:t>
            </w:r>
          </w:p>
          <w:p>
            <w:pPr>
              <w:pageBreakBefore w:val="0"/>
              <w:widowControl/>
              <w:wordWrap/>
              <w:bidi w:val="0"/>
              <w:spacing w:line="240" w:lineRule="auto"/>
              <w:ind w:left="0" w:leftChars="0" w:right="0" w:rightChars="0"/>
              <w:jc w:val="left"/>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2、F值</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1.0；</w:t>
            </w:r>
          </w:p>
          <w:p>
            <w:pPr>
              <w:pageBreakBefore w:val="0"/>
              <w:widowControl/>
              <w:wordWrap/>
              <w:bidi w:val="0"/>
              <w:spacing w:line="240" w:lineRule="auto"/>
              <w:ind w:left="0" w:leftChars="0" w:right="0" w:rightChars="0"/>
              <w:jc w:val="left"/>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3、镀多层近红外增透膜</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激光耦合效率&gt;95%；</w:t>
            </w:r>
          </w:p>
          <w:p>
            <w:pPr>
              <w:pageBreakBefore w:val="0"/>
              <w:widowControl/>
              <w:wordWrap/>
              <w:bidi w:val="0"/>
              <w:spacing w:line="240" w:lineRule="auto"/>
              <w:ind w:left="0" w:leftChars="0" w:right="0" w:rightChars="0"/>
              <w:jc w:val="left"/>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4、预置位</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精密电位器电压反馈。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45" w:type="dxa"/>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激光光源</w:t>
            </w:r>
          </w:p>
        </w:tc>
        <w:tc>
          <w:tcPr>
            <w:tcW w:w="7118" w:type="dxa"/>
            <w:noWrap w:val="0"/>
            <w:vAlign w:val="center"/>
          </w:tcPr>
          <w:p>
            <w:pPr>
              <w:pageBreakBefore w:val="0"/>
              <w:widowControl/>
              <w:wordWrap/>
              <w:bidi w:val="0"/>
              <w:spacing w:line="240" w:lineRule="auto"/>
              <w:ind w:left="0" w:leftChars="0" w:right="0" w:rightChars="0"/>
              <w:jc w:val="left"/>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1、波长810nm；</w:t>
            </w:r>
          </w:p>
          <w:p>
            <w:pPr>
              <w:pageBreakBefore w:val="0"/>
              <w:widowControl/>
              <w:wordWrap/>
              <w:bidi w:val="0"/>
              <w:spacing w:line="240" w:lineRule="auto"/>
              <w:ind w:left="0" w:leftChars="0" w:right="0" w:rightChars="0"/>
              <w:jc w:val="left"/>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2、照明角度</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2~45度超大角度连续变化；</w:t>
            </w:r>
          </w:p>
          <w:p>
            <w:pPr>
              <w:pageBreakBefore w:val="0"/>
              <w:widowControl/>
              <w:wordWrap/>
              <w:bidi w:val="0"/>
              <w:spacing w:line="240" w:lineRule="auto"/>
              <w:ind w:left="0" w:leftChars="0" w:right="0" w:rightChars="0"/>
              <w:jc w:val="left"/>
              <w:rPr>
                <w:rFonts w:hint="default" w:ascii="Times New Roman" w:hAnsi="Times New Roman" w:eastAsia="宋体" w:cs="Times New Roman"/>
                <w:color w:val="auto"/>
                <w:kern w:val="0"/>
                <w:szCs w:val="21"/>
                <w:highlight w:val="none"/>
                <w:lang w:eastAsia="zh-CN"/>
              </w:rPr>
            </w:pPr>
            <w:r>
              <w:rPr>
                <w:rFonts w:hint="default" w:ascii="Times New Roman" w:hAnsi="Times New Roman" w:eastAsia="宋体" w:cs="Times New Roman"/>
                <w:color w:val="auto"/>
                <w:kern w:val="0"/>
                <w:szCs w:val="21"/>
                <w:highlight w:val="none"/>
              </w:rPr>
              <w:t>3、RML随机微透镜阵列匀光技术。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45" w:type="dxa"/>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云台参数</w:t>
            </w:r>
          </w:p>
        </w:tc>
        <w:tc>
          <w:tcPr>
            <w:tcW w:w="7118" w:type="dxa"/>
            <w:noWrap w:val="0"/>
            <w:vAlign w:val="center"/>
          </w:tcPr>
          <w:p>
            <w:pPr>
              <w:pageBreakBefore w:val="0"/>
              <w:widowControl/>
              <w:wordWrap/>
              <w:bidi w:val="0"/>
              <w:spacing w:line="240" w:lineRule="auto"/>
              <w:ind w:left="0" w:leftChars="0" w:right="0" w:rightChars="0"/>
              <w:jc w:val="left"/>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1、采用一体化集成智能设计；</w:t>
            </w:r>
          </w:p>
          <w:p>
            <w:pPr>
              <w:pageBreakBefore w:val="0"/>
              <w:widowControl/>
              <w:wordWrap/>
              <w:bidi w:val="0"/>
              <w:spacing w:line="240" w:lineRule="auto"/>
              <w:ind w:left="0" w:leftChars="0" w:right="0" w:rightChars="0"/>
              <w:jc w:val="left"/>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2、云台速度</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水平0~80°/s</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俯仰0°~60°/s；</w:t>
            </w:r>
          </w:p>
          <w:p>
            <w:pPr>
              <w:pageBreakBefore w:val="0"/>
              <w:widowControl/>
              <w:wordWrap/>
              <w:bidi w:val="0"/>
              <w:spacing w:line="240" w:lineRule="auto"/>
              <w:ind w:left="0" w:leftChars="0" w:right="0" w:rightChars="0"/>
              <w:jc w:val="left"/>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3、角度</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水平360度无限位连续旋转</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俯仰180度；</w:t>
            </w:r>
          </w:p>
          <w:p>
            <w:pPr>
              <w:pageBreakBefore w:val="0"/>
              <w:widowControl/>
              <w:wordWrap/>
              <w:bidi w:val="0"/>
              <w:spacing w:line="240" w:lineRule="auto"/>
              <w:ind w:left="0" w:leftChars="0" w:right="0" w:rightChars="0"/>
              <w:jc w:val="left"/>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4、128个预置位</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6条巡航轨迹</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30秒自学习功能；</w:t>
            </w:r>
          </w:p>
          <w:p>
            <w:pPr>
              <w:pageBreakBefore w:val="0"/>
              <w:widowControl/>
              <w:wordWrap/>
              <w:bidi w:val="0"/>
              <w:spacing w:line="240" w:lineRule="auto"/>
              <w:ind w:left="0" w:leftChars="0" w:right="0" w:rightChars="0"/>
              <w:jc w:val="left"/>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5、具有守望功能；</w:t>
            </w:r>
          </w:p>
          <w:p>
            <w:pPr>
              <w:pageBreakBefore w:val="0"/>
              <w:widowControl/>
              <w:wordWrap/>
              <w:bidi w:val="0"/>
              <w:spacing w:line="240" w:lineRule="auto"/>
              <w:ind w:left="0" w:leftChars="0" w:right="0" w:rightChars="0"/>
              <w:jc w:val="left"/>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6、集成2400~19200波特率PELCOD、P多协议控制。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45" w:type="dxa"/>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智能同步变焦</w:t>
            </w:r>
          </w:p>
        </w:tc>
        <w:tc>
          <w:tcPr>
            <w:tcW w:w="7118" w:type="dxa"/>
            <w:noWrap w:val="0"/>
            <w:vAlign w:val="center"/>
          </w:tcPr>
          <w:p>
            <w:pPr>
              <w:pageBreakBefore w:val="0"/>
              <w:widowControl/>
              <w:wordWrap/>
              <w:bidi w:val="0"/>
              <w:spacing w:line="240" w:lineRule="auto"/>
              <w:ind w:left="0" w:leftChars="0" w:right="0" w:rightChars="0"/>
              <w:jc w:val="left"/>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1、同步方式</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SSZ智能随动控制；</w:t>
            </w:r>
          </w:p>
          <w:p>
            <w:pPr>
              <w:pageBreakBefore w:val="0"/>
              <w:widowControl/>
              <w:wordWrap/>
              <w:bidi w:val="0"/>
              <w:spacing w:line="240" w:lineRule="auto"/>
              <w:ind w:left="0" w:leftChars="0" w:right="0" w:rightChars="0"/>
              <w:jc w:val="left"/>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2、可单独调节照明器角度。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45" w:type="dxa"/>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光轴微调机构</w:t>
            </w:r>
          </w:p>
        </w:tc>
        <w:tc>
          <w:tcPr>
            <w:tcW w:w="7118" w:type="dxa"/>
            <w:noWrap w:val="0"/>
            <w:vAlign w:val="center"/>
          </w:tcPr>
          <w:p>
            <w:pPr>
              <w:pageBreakBefore w:val="0"/>
              <w:widowControl/>
              <w:wordWrap/>
              <w:bidi w:val="0"/>
              <w:spacing w:line="240" w:lineRule="auto"/>
              <w:ind w:left="0" w:leftChars="0" w:right="0" w:rightChars="0"/>
              <w:jc w:val="left"/>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1、调节方式</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外部MMA微调机构</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预留窗口；</w:t>
            </w:r>
          </w:p>
          <w:p>
            <w:pPr>
              <w:pageBreakBefore w:val="0"/>
              <w:widowControl/>
              <w:wordWrap/>
              <w:bidi w:val="0"/>
              <w:spacing w:line="240" w:lineRule="auto"/>
              <w:ind w:left="0" w:leftChars="0" w:right="0" w:rightChars="0"/>
              <w:jc w:val="left"/>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2、调节精度</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0.02度。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45" w:type="dxa"/>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其他</w:t>
            </w:r>
          </w:p>
        </w:tc>
        <w:tc>
          <w:tcPr>
            <w:tcW w:w="7118" w:type="dxa"/>
            <w:noWrap w:val="0"/>
            <w:vAlign w:val="center"/>
          </w:tcPr>
          <w:p>
            <w:pPr>
              <w:pageBreakBefore w:val="0"/>
              <w:widowControl/>
              <w:wordWrap/>
              <w:bidi w:val="0"/>
              <w:spacing w:line="240" w:lineRule="auto"/>
              <w:ind w:left="0" w:leftChars="0" w:right="0" w:rightChars="0"/>
              <w:jc w:val="left"/>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1、OSD远程菜单设置；</w:t>
            </w:r>
          </w:p>
          <w:p>
            <w:pPr>
              <w:pageBreakBefore w:val="0"/>
              <w:widowControl/>
              <w:wordWrap/>
              <w:bidi w:val="0"/>
              <w:spacing w:line="240" w:lineRule="auto"/>
              <w:ind w:left="0" w:leftChars="0" w:right="0" w:rightChars="0"/>
              <w:jc w:val="left"/>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2、带雨刷</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可连续/一次刷；</w:t>
            </w:r>
          </w:p>
          <w:p>
            <w:pPr>
              <w:pageBreakBefore w:val="0"/>
              <w:widowControl/>
              <w:wordWrap/>
              <w:bidi w:val="0"/>
              <w:spacing w:line="240" w:lineRule="auto"/>
              <w:ind w:left="0" w:leftChars="0" w:right="0" w:rightChars="0"/>
              <w:jc w:val="left"/>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3、抗冲击</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20000公里无故障</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适合车载；</w:t>
            </w:r>
          </w:p>
          <w:p>
            <w:pPr>
              <w:pageBreakBefore w:val="0"/>
              <w:widowControl/>
              <w:wordWrap/>
              <w:bidi w:val="0"/>
              <w:spacing w:line="240" w:lineRule="auto"/>
              <w:ind w:left="0" w:leftChars="0" w:right="0" w:rightChars="0"/>
              <w:jc w:val="left"/>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4、防雷击</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接口电路特殊处理</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2000V防雷；</w:t>
            </w:r>
          </w:p>
          <w:p>
            <w:pPr>
              <w:pageBreakBefore w:val="0"/>
              <w:widowControl/>
              <w:wordWrap/>
              <w:bidi w:val="0"/>
              <w:spacing w:line="240" w:lineRule="auto"/>
              <w:ind w:left="0" w:leftChars="0" w:right="0" w:rightChars="0"/>
              <w:jc w:val="left"/>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5、工作温度</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-25℃~+55℃；</w:t>
            </w:r>
          </w:p>
          <w:p>
            <w:pPr>
              <w:pageBreakBefore w:val="0"/>
              <w:widowControl/>
              <w:wordWrap/>
              <w:bidi w:val="0"/>
              <w:spacing w:line="240" w:lineRule="auto"/>
              <w:ind w:left="0" w:leftChars="0" w:right="0" w:rightChars="0"/>
              <w:jc w:val="left"/>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6、储存温度</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-40℃~+65℃；</w:t>
            </w:r>
          </w:p>
          <w:p>
            <w:pPr>
              <w:pageBreakBefore w:val="0"/>
              <w:widowControl/>
              <w:wordWrap/>
              <w:bidi w:val="0"/>
              <w:spacing w:line="240" w:lineRule="auto"/>
              <w:ind w:left="0" w:leftChars="0" w:right="0" w:rightChars="0"/>
              <w:jc w:val="left"/>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7、防盐雾</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在</w:t>
            </w:r>
            <w:r>
              <w:rPr>
                <w:rFonts w:hint="default" w:ascii="Times New Roman" w:hAnsi="Times New Roman" w:eastAsia="宋体" w:cs="Times New Roman"/>
                <w:color w:val="auto"/>
                <w:kern w:val="0"/>
                <w:szCs w:val="21"/>
                <w:highlight w:val="none"/>
                <w:lang w:eastAsia="zh-CN"/>
              </w:rPr>
              <w:t>pH值</w:t>
            </w:r>
            <w:r>
              <w:rPr>
                <w:rFonts w:hint="default" w:ascii="Times New Roman" w:hAnsi="Times New Roman" w:eastAsia="宋体" w:cs="Times New Roman"/>
                <w:color w:val="auto"/>
                <w:kern w:val="0"/>
                <w:szCs w:val="21"/>
                <w:highlight w:val="none"/>
              </w:rPr>
              <w:t>6.5~7.2条件下</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连续喷雾48小时</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表面无变化。</w:t>
            </w:r>
          </w:p>
        </w:tc>
      </w:tr>
    </w:tbl>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outlineLvl w:val="1"/>
        <w:rPr>
          <w:rFonts w:hint="default" w:ascii="Times New Roman" w:hAnsi="Times New Roman" w:eastAsia="宋体" w:cs="Times New Roman"/>
          <w:color w:val="auto"/>
          <w:sz w:val="24"/>
          <w:szCs w:val="32"/>
          <w:highlight w:val="none"/>
        </w:rPr>
      </w:pPr>
      <w:bookmarkStart w:id="564" w:name="_Toc25027"/>
      <w:bookmarkStart w:id="565" w:name="_Toc7888"/>
      <w:r>
        <w:rPr>
          <w:rFonts w:hint="default" w:ascii="Times New Roman" w:hAnsi="Times New Roman" w:eastAsia="宋体" w:cs="Times New Roman"/>
          <w:color w:val="auto"/>
          <w:sz w:val="24"/>
          <w:szCs w:val="32"/>
          <w:highlight w:val="none"/>
          <w:lang w:val="en-US" w:eastAsia="zh-CN"/>
        </w:rPr>
        <w:t>3</w:t>
      </w:r>
      <w:r>
        <w:rPr>
          <w:rFonts w:hint="default"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rPr>
        <w:t>监测系统通信、供电、雷统</w:t>
      </w:r>
      <w:bookmarkEnd w:id="564"/>
      <w:bookmarkEnd w:id="565"/>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outlineLvl w:val="2"/>
        <w:rPr>
          <w:rFonts w:hint="default" w:ascii="Times New Roman" w:hAnsi="Times New Roman" w:eastAsia="宋体" w:cs="Times New Roman"/>
          <w:color w:val="auto"/>
          <w:kern w:val="0"/>
          <w:sz w:val="24"/>
          <w:szCs w:val="24"/>
          <w:highlight w:val="none"/>
        </w:rPr>
      </w:pPr>
      <w:bookmarkStart w:id="566" w:name="_Toc31048"/>
      <w:bookmarkStart w:id="567" w:name="_Toc18955"/>
      <w:r>
        <w:rPr>
          <w:rFonts w:hint="default" w:ascii="Times New Roman" w:hAnsi="Times New Roman" w:eastAsia="宋体" w:cs="Times New Roman"/>
          <w:color w:val="auto"/>
          <w:kern w:val="0"/>
          <w:sz w:val="24"/>
          <w:szCs w:val="24"/>
          <w:highlight w:val="none"/>
        </w:rPr>
        <w:t>①通信系统</w:t>
      </w:r>
      <w:bookmarkEnd w:id="566"/>
      <w:bookmarkEnd w:id="567"/>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尾矿库监测数据（表面位移、内部位移、降雨量、视频监控）传输采用DTU传输模块</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应用4G/5G</w:t>
      </w:r>
      <w:r>
        <w:rPr>
          <w:rFonts w:hint="default" w:ascii="Times New Roman" w:hAnsi="Times New Roman" w:eastAsia="宋体" w:cs="Times New Roman"/>
          <w:color w:val="auto"/>
          <w:kern w:val="0"/>
          <w:sz w:val="24"/>
          <w:szCs w:val="24"/>
          <w:highlight w:val="none"/>
          <w:lang w:eastAsia="zh-CN"/>
        </w:rPr>
        <w:t>网络</w:t>
      </w:r>
      <w:r>
        <w:rPr>
          <w:rFonts w:hint="default" w:ascii="Times New Roman" w:hAnsi="Times New Roman" w:eastAsia="宋体" w:cs="Times New Roman"/>
          <w:color w:val="auto"/>
          <w:kern w:val="0"/>
          <w:sz w:val="24"/>
          <w:szCs w:val="24"/>
          <w:highlight w:val="none"/>
        </w:rPr>
        <w:t>传输至部署在云平台上的综合采集系统</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并通过云平台进行网络发布</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企业尾矿库值班室与市级应急管理局通信利旧</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通过目前已建的通信系统。</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outlineLvl w:val="2"/>
        <w:rPr>
          <w:rFonts w:hint="default" w:ascii="Times New Roman" w:hAnsi="Times New Roman" w:eastAsia="宋体" w:cs="Times New Roman"/>
          <w:color w:val="auto"/>
          <w:kern w:val="0"/>
          <w:sz w:val="24"/>
          <w:szCs w:val="24"/>
          <w:highlight w:val="none"/>
        </w:rPr>
      </w:pPr>
      <w:bookmarkStart w:id="568" w:name="_Toc15032"/>
      <w:bookmarkStart w:id="569" w:name="_Toc18581"/>
      <w:r>
        <w:rPr>
          <w:rFonts w:hint="default" w:ascii="Times New Roman" w:hAnsi="Times New Roman" w:eastAsia="宋体" w:cs="Times New Roman"/>
          <w:color w:val="auto"/>
          <w:kern w:val="0"/>
          <w:sz w:val="24"/>
          <w:szCs w:val="24"/>
          <w:highlight w:val="none"/>
        </w:rPr>
        <w:t>②供电系统</w:t>
      </w:r>
      <w:bookmarkEnd w:id="568"/>
      <w:bookmarkEnd w:id="569"/>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在线监测系统各监测点（表面位移、内部位移、降雨量、视频监控）采用太阳能供电</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配备后备电池。</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尾矿库值班室和公司调度中心采用220V交流电源</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并配备1kVA的UPS不间断电源。</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outlineLvl w:val="2"/>
        <w:rPr>
          <w:rFonts w:hint="default" w:ascii="Times New Roman" w:hAnsi="Times New Roman" w:eastAsia="宋体" w:cs="Times New Roman"/>
          <w:color w:val="auto"/>
          <w:sz w:val="24"/>
          <w:szCs w:val="22"/>
          <w:highlight w:val="none"/>
        </w:rPr>
      </w:pPr>
      <w:bookmarkStart w:id="570" w:name="_Toc3715"/>
      <w:bookmarkStart w:id="571" w:name="_Toc30479"/>
      <w:r>
        <w:rPr>
          <w:rFonts w:hint="default" w:ascii="Times New Roman" w:hAnsi="Times New Roman" w:eastAsia="宋体" w:cs="Times New Roman"/>
          <w:color w:val="auto"/>
          <w:sz w:val="24"/>
          <w:szCs w:val="22"/>
          <w:highlight w:val="none"/>
        </w:rPr>
        <w:t>③防雷系统</w:t>
      </w:r>
      <w:bookmarkEnd w:id="570"/>
      <w:bookmarkEnd w:id="571"/>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尾矿库在线监测系统防雷设计以防雷、防浪涌基本技术为基础</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采用整体设计、分级防护原则进行设计</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从电源防护、设备防护、直击雷防护、接地网建设</w:t>
      </w:r>
      <w:r>
        <w:rPr>
          <w:rFonts w:hint="default" w:ascii="Times New Roman" w:hAnsi="Times New Roman" w:eastAsia="宋体" w:cs="Times New Roman"/>
          <w:color w:val="auto"/>
          <w:kern w:val="0"/>
          <w:sz w:val="24"/>
          <w:szCs w:val="24"/>
          <w:highlight w:val="none"/>
          <w:lang w:eastAsia="zh-CN"/>
        </w:rPr>
        <w:t>等</w:t>
      </w:r>
      <w:r>
        <w:rPr>
          <w:rFonts w:hint="default" w:ascii="Times New Roman" w:hAnsi="Times New Roman" w:eastAsia="宋体" w:cs="Times New Roman"/>
          <w:color w:val="auto"/>
          <w:kern w:val="0"/>
          <w:sz w:val="24"/>
          <w:szCs w:val="24"/>
          <w:highlight w:val="none"/>
        </w:rPr>
        <w:t>电位连接、线路防雷等全方位整体考虑系统的防雷、防浪涌方案。采用分级防护措施</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保证雷电及高电涌安全泄放或屏蔽。各监测点（表面位移、内部位移、降雨量、视频监控）以接闪、均压</w:t>
      </w:r>
      <w:r>
        <w:rPr>
          <w:rFonts w:hint="default" w:ascii="Times New Roman" w:hAnsi="Times New Roman" w:eastAsia="宋体" w:cs="Times New Roman"/>
          <w:color w:val="auto"/>
          <w:kern w:val="0"/>
          <w:sz w:val="24"/>
          <w:szCs w:val="24"/>
          <w:highlight w:val="none"/>
          <w:lang w:eastAsia="zh-CN"/>
        </w:rPr>
        <w:t>等</w:t>
      </w:r>
      <w:r>
        <w:rPr>
          <w:rFonts w:hint="default" w:ascii="Times New Roman" w:hAnsi="Times New Roman" w:eastAsia="宋体" w:cs="Times New Roman"/>
          <w:color w:val="auto"/>
          <w:kern w:val="0"/>
          <w:sz w:val="24"/>
          <w:szCs w:val="24"/>
          <w:highlight w:val="none"/>
        </w:rPr>
        <w:t>电位连接、接地、分流、屏蔽以及躲避等方法和技术为基础进行防雷和防浪涌。各监测点接地电阻不大于10Ω</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尾矿库值班室和公司调度中心接地电阻不大于4Ω。</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outlineLvl w:val="1"/>
        <w:rPr>
          <w:rFonts w:hint="default" w:ascii="Times New Roman" w:hAnsi="Times New Roman" w:eastAsia="宋体" w:cs="Times New Roman"/>
          <w:color w:val="auto"/>
          <w:sz w:val="24"/>
          <w:szCs w:val="32"/>
          <w:highlight w:val="none"/>
        </w:rPr>
      </w:pPr>
      <w:bookmarkStart w:id="572" w:name="_Toc29031"/>
      <w:bookmarkStart w:id="573" w:name="_Toc45014891"/>
      <w:bookmarkStart w:id="574" w:name="_Toc42852674"/>
      <w:bookmarkStart w:id="575" w:name="_Toc13856"/>
      <w:bookmarkStart w:id="576" w:name="_Toc41918518"/>
      <w:r>
        <w:rPr>
          <w:rFonts w:hint="default" w:ascii="Times New Roman" w:hAnsi="Times New Roman" w:eastAsia="宋体" w:cs="Times New Roman"/>
          <w:color w:val="auto"/>
          <w:sz w:val="24"/>
          <w:szCs w:val="32"/>
          <w:highlight w:val="none"/>
          <w:lang w:val="en-US" w:eastAsia="zh-CN"/>
        </w:rPr>
        <w:t>4</w:t>
      </w:r>
      <w:r>
        <w:rPr>
          <w:rFonts w:hint="default"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rPr>
        <w:t>预警阈值</w:t>
      </w:r>
      <w:bookmarkEnd w:id="572"/>
      <w:bookmarkEnd w:id="573"/>
      <w:bookmarkEnd w:id="574"/>
      <w:bookmarkEnd w:id="575"/>
      <w:bookmarkEnd w:id="576"/>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outlineLvl w:val="2"/>
        <w:rPr>
          <w:rFonts w:hint="default" w:ascii="Times New Roman" w:hAnsi="Times New Roman" w:eastAsia="宋体" w:cs="Times New Roman"/>
          <w:color w:val="auto"/>
          <w:sz w:val="24"/>
          <w:szCs w:val="22"/>
          <w:highlight w:val="none"/>
        </w:rPr>
      </w:pPr>
      <w:bookmarkStart w:id="577" w:name="_Toc32540"/>
      <w:bookmarkStart w:id="578" w:name="_Toc31267"/>
      <w:r>
        <w:rPr>
          <w:rFonts w:hint="default" w:ascii="Times New Roman" w:hAnsi="Times New Roman" w:eastAsia="宋体" w:cs="Times New Roman"/>
          <w:color w:val="auto"/>
          <w:sz w:val="24"/>
          <w:szCs w:val="22"/>
          <w:highlight w:val="none"/>
        </w:rPr>
        <w:t>①浸润线</w:t>
      </w:r>
      <w:bookmarkEnd w:id="577"/>
      <w:bookmarkEnd w:id="578"/>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sz w:val="24"/>
          <w:szCs w:val="22"/>
          <w:highlight w:val="none"/>
        </w:rPr>
      </w:pPr>
      <w:r>
        <w:rPr>
          <w:rFonts w:hint="default" w:ascii="Times New Roman" w:hAnsi="Times New Roman" w:eastAsia="宋体" w:cs="Times New Roman"/>
          <w:color w:val="auto"/>
          <w:sz w:val="24"/>
          <w:szCs w:val="22"/>
          <w:highlight w:val="none"/>
        </w:rPr>
        <w:t>设计通过试算</w:t>
      </w:r>
      <w:r>
        <w:rPr>
          <w:rFonts w:hint="default" w:ascii="Times New Roman" w:hAnsi="Times New Roman" w:eastAsia="宋体" w:cs="Times New Roman"/>
          <w:color w:val="auto"/>
          <w:sz w:val="24"/>
          <w:szCs w:val="22"/>
          <w:highlight w:val="none"/>
          <w:lang w:eastAsia="zh-CN"/>
        </w:rPr>
        <w:t>，</w:t>
      </w:r>
      <w:r>
        <w:rPr>
          <w:rFonts w:hint="default" w:ascii="Times New Roman" w:hAnsi="Times New Roman" w:eastAsia="宋体" w:cs="Times New Roman"/>
          <w:color w:val="auto"/>
          <w:sz w:val="24"/>
          <w:szCs w:val="22"/>
          <w:highlight w:val="none"/>
        </w:rPr>
        <w:t>确定坝体在不同标高运行时需要控制的浸润线最小埋深见表</w:t>
      </w:r>
      <w:r>
        <w:rPr>
          <w:rFonts w:hint="default" w:ascii="Times New Roman" w:hAnsi="Times New Roman" w:eastAsia="宋体" w:cs="Times New Roman"/>
          <w:color w:val="auto"/>
          <w:sz w:val="24"/>
          <w:szCs w:val="22"/>
          <w:highlight w:val="none"/>
          <w:lang w:val="en-US" w:eastAsia="zh-CN"/>
        </w:rPr>
        <w:t>2-21</w:t>
      </w:r>
      <w:r>
        <w:rPr>
          <w:rFonts w:hint="default" w:ascii="Times New Roman" w:hAnsi="Times New Roman" w:eastAsia="宋体" w:cs="Times New Roman"/>
          <w:color w:val="auto"/>
          <w:sz w:val="24"/>
          <w:szCs w:val="22"/>
          <w:highlight w:val="none"/>
        </w:rPr>
        <w:t>。浸润线埋深预警控制参数见表</w:t>
      </w:r>
      <w:r>
        <w:rPr>
          <w:rFonts w:hint="default" w:ascii="Times New Roman" w:hAnsi="Times New Roman" w:eastAsia="宋体" w:cs="Times New Roman"/>
          <w:color w:val="auto"/>
          <w:sz w:val="24"/>
          <w:szCs w:val="22"/>
          <w:highlight w:val="none"/>
          <w:lang w:val="en-US" w:eastAsia="zh-CN"/>
        </w:rPr>
        <w:t>2-22</w:t>
      </w:r>
      <w:r>
        <w:rPr>
          <w:rFonts w:hint="default" w:ascii="Times New Roman" w:hAnsi="Times New Roman" w:eastAsia="宋体" w:cs="Times New Roman"/>
          <w:color w:val="auto"/>
          <w:sz w:val="24"/>
          <w:szCs w:val="22"/>
          <w:highlight w:val="none"/>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jc w:val="center"/>
        <w:textAlignment w:val="auto"/>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表2-</w:t>
      </w:r>
      <w:r>
        <w:rPr>
          <w:rFonts w:hint="default" w:ascii="Times New Roman" w:hAnsi="Times New Roman" w:eastAsia="宋体" w:cs="Times New Roman"/>
          <w:b/>
          <w:color w:val="auto"/>
          <w:sz w:val="24"/>
          <w:szCs w:val="24"/>
          <w:highlight w:val="none"/>
          <w:lang w:val="en-US" w:eastAsia="zh-CN"/>
        </w:rPr>
        <w:t>21</w:t>
      </w:r>
      <w:r>
        <w:rPr>
          <w:rFonts w:hint="default" w:ascii="Times New Roman" w:hAnsi="Times New Roman" w:eastAsia="宋体" w:cs="Times New Roman"/>
          <w:b/>
          <w:color w:val="auto"/>
          <w:sz w:val="24"/>
          <w:szCs w:val="24"/>
          <w:highlight w:val="none"/>
        </w:rPr>
        <w:t>浸润线埋深控制参数表</w:t>
      </w:r>
    </w:p>
    <w:tbl>
      <w:tblPr>
        <w:tblStyle w:val="5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305"/>
        <w:gridCol w:w="1532"/>
        <w:gridCol w:w="922"/>
        <w:gridCol w:w="922"/>
        <w:gridCol w:w="922"/>
        <w:gridCol w:w="9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939" w:type="pct"/>
            <w:vMerge w:val="restart"/>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坝段</w:t>
            </w:r>
          </w:p>
        </w:tc>
        <w:tc>
          <w:tcPr>
            <w:tcW w:w="899" w:type="pct"/>
            <w:vMerge w:val="restart"/>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坝顶标高</w:t>
            </w:r>
          </w:p>
          <w:p>
            <w:pPr>
              <w:pageBreakBefore w:val="0"/>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（m）</w:t>
            </w:r>
          </w:p>
        </w:tc>
        <w:tc>
          <w:tcPr>
            <w:tcW w:w="2162" w:type="pct"/>
            <w:gridSpan w:val="4"/>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测点标高（m）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939" w:type="pct"/>
            <w:vMerge w:val="continue"/>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rPr>
            </w:pPr>
          </w:p>
        </w:tc>
        <w:tc>
          <w:tcPr>
            <w:tcW w:w="899" w:type="pct"/>
            <w:vMerge w:val="continue"/>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rPr>
            </w:pPr>
          </w:p>
        </w:tc>
        <w:tc>
          <w:tcPr>
            <w:tcW w:w="541" w:type="pct"/>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1422</w:t>
            </w:r>
          </w:p>
        </w:tc>
        <w:tc>
          <w:tcPr>
            <w:tcW w:w="541" w:type="pct"/>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1432</w:t>
            </w:r>
          </w:p>
        </w:tc>
        <w:tc>
          <w:tcPr>
            <w:tcW w:w="541" w:type="pct"/>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1464</w:t>
            </w:r>
          </w:p>
        </w:tc>
        <w:tc>
          <w:tcPr>
            <w:tcW w:w="540" w:type="pct"/>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1484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939" w:type="pct"/>
            <w:vMerge w:val="restart"/>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主坝</w:t>
            </w:r>
          </w:p>
        </w:tc>
        <w:tc>
          <w:tcPr>
            <w:tcW w:w="899" w:type="pct"/>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1465</w:t>
            </w:r>
          </w:p>
        </w:tc>
        <w:tc>
          <w:tcPr>
            <w:tcW w:w="541" w:type="pct"/>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8.0</w:t>
            </w:r>
          </w:p>
        </w:tc>
        <w:tc>
          <w:tcPr>
            <w:tcW w:w="541" w:type="pct"/>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8.0</w:t>
            </w:r>
          </w:p>
        </w:tc>
        <w:tc>
          <w:tcPr>
            <w:tcW w:w="541" w:type="pct"/>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540" w:type="pct"/>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939" w:type="pct"/>
            <w:vMerge w:val="continue"/>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rPr>
            </w:pPr>
          </w:p>
        </w:tc>
        <w:tc>
          <w:tcPr>
            <w:tcW w:w="899" w:type="pct"/>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1495</w:t>
            </w:r>
          </w:p>
        </w:tc>
        <w:tc>
          <w:tcPr>
            <w:tcW w:w="541" w:type="pct"/>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10.8</w:t>
            </w:r>
          </w:p>
        </w:tc>
        <w:tc>
          <w:tcPr>
            <w:tcW w:w="541" w:type="pct"/>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11.0</w:t>
            </w:r>
          </w:p>
        </w:tc>
        <w:tc>
          <w:tcPr>
            <w:tcW w:w="541" w:type="pct"/>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11.0</w:t>
            </w:r>
          </w:p>
        </w:tc>
        <w:tc>
          <w:tcPr>
            <w:tcW w:w="540" w:type="pct"/>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939" w:type="pct"/>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2号副坝北（S2、S8）</w:t>
            </w:r>
          </w:p>
        </w:tc>
        <w:tc>
          <w:tcPr>
            <w:tcW w:w="899" w:type="pct"/>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1495</w:t>
            </w:r>
          </w:p>
        </w:tc>
        <w:tc>
          <w:tcPr>
            <w:tcW w:w="541" w:type="pct"/>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w:t>
            </w:r>
          </w:p>
        </w:tc>
        <w:tc>
          <w:tcPr>
            <w:tcW w:w="541" w:type="pct"/>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541" w:type="pct"/>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8.0</w:t>
            </w:r>
          </w:p>
        </w:tc>
        <w:tc>
          <w:tcPr>
            <w:tcW w:w="540" w:type="pct"/>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939" w:type="pct"/>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2号副坝</w:t>
            </w:r>
          </w:p>
        </w:tc>
        <w:tc>
          <w:tcPr>
            <w:tcW w:w="899" w:type="pct"/>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1495</w:t>
            </w:r>
          </w:p>
        </w:tc>
        <w:tc>
          <w:tcPr>
            <w:tcW w:w="541" w:type="pct"/>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w:t>
            </w:r>
          </w:p>
        </w:tc>
        <w:tc>
          <w:tcPr>
            <w:tcW w:w="541" w:type="pct"/>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541" w:type="pct"/>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6.2</w:t>
            </w:r>
          </w:p>
        </w:tc>
        <w:tc>
          <w:tcPr>
            <w:tcW w:w="540" w:type="pct"/>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939" w:type="pct"/>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3号副坝</w:t>
            </w:r>
          </w:p>
        </w:tc>
        <w:tc>
          <w:tcPr>
            <w:tcW w:w="899" w:type="pct"/>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1495</w:t>
            </w:r>
          </w:p>
        </w:tc>
        <w:tc>
          <w:tcPr>
            <w:tcW w:w="541" w:type="pct"/>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w:t>
            </w:r>
          </w:p>
        </w:tc>
        <w:tc>
          <w:tcPr>
            <w:tcW w:w="541" w:type="pct"/>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541" w:type="pct"/>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540" w:type="pct"/>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7.5</w:t>
            </w:r>
          </w:p>
        </w:tc>
      </w:tr>
    </w:tbl>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jc w:val="center"/>
        <w:textAlignment w:val="auto"/>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表2-</w:t>
      </w:r>
      <w:r>
        <w:rPr>
          <w:rFonts w:hint="default" w:ascii="Times New Roman" w:hAnsi="Times New Roman" w:eastAsia="宋体" w:cs="Times New Roman"/>
          <w:b/>
          <w:color w:val="auto"/>
          <w:sz w:val="24"/>
          <w:szCs w:val="24"/>
          <w:highlight w:val="none"/>
          <w:lang w:val="en-US" w:eastAsia="zh-CN"/>
        </w:rPr>
        <w:t>22</w:t>
      </w:r>
      <w:r>
        <w:rPr>
          <w:rFonts w:hint="default" w:ascii="Times New Roman" w:hAnsi="Times New Roman" w:eastAsia="宋体" w:cs="Times New Roman"/>
          <w:b/>
          <w:color w:val="auto"/>
          <w:sz w:val="24"/>
          <w:szCs w:val="24"/>
          <w:highlight w:val="none"/>
        </w:rPr>
        <w:t>浸润线埋深预警值表</w:t>
      </w:r>
    </w:p>
    <w:tbl>
      <w:tblPr>
        <w:tblStyle w:val="54"/>
        <w:tblW w:w="5000" w:type="pct"/>
        <w:tblInd w:w="0" w:type="dxa"/>
        <w:tblLayout w:type="autofit"/>
        <w:tblCellMar>
          <w:top w:w="0" w:type="dxa"/>
          <w:left w:w="108" w:type="dxa"/>
          <w:bottom w:w="0" w:type="dxa"/>
          <w:right w:w="108" w:type="dxa"/>
        </w:tblCellMar>
      </w:tblPr>
      <w:tblGrid>
        <w:gridCol w:w="2138"/>
        <w:gridCol w:w="1447"/>
        <w:gridCol w:w="1447"/>
        <w:gridCol w:w="873"/>
        <w:gridCol w:w="873"/>
        <w:gridCol w:w="873"/>
        <w:gridCol w:w="871"/>
      </w:tblGrid>
      <w:tr>
        <w:tblPrEx>
          <w:tblCellMar>
            <w:top w:w="0" w:type="dxa"/>
            <w:left w:w="108" w:type="dxa"/>
            <w:bottom w:w="0" w:type="dxa"/>
            <w:right w:w="108" w:type="dxa"/>
          </w:tblCellMar>
        </w:tblPrEx>
        <w:trPr>
          <w:trHeight w:val="340" w:hRule="atLeast"/>
        </w:trPr>
        <w:tc>
          <w:tcPr>
            <w:tcW w:w="1255" w:type="pct"/>
            <w:vMerge w:val="restart"/>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坝段</w:t>
            </w:r>
          </w:p>
        </w:tc>
        <w:tc>
          <w:tcPr>
            <w:tcW w:w="849" w:type="pct"/>
            <w:vMerge w:val="restart"/>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坝顶标高</w:t>
            </w:r>
          </w:p>
          <w:p>
            <w:pPr>
              <w:pageBreakBefore w:val="0"/>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（m）</w:t>
            </w:r>
          </w:p>
        </w:tc>
        <w:tc>
          <w:tcPr>
            <w:tcW w:w="849" w:type="pct"/>
            <w:vMerge w:val="restart"/>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预警级别</w:t>
            </w:r>
          </w:p>
        </w:tc>
        <w:tc>
          <w:tcPr>
            <w:tcW w:w="2047" w:type="pct"/>
            <w:gridSpan w:val="4"/>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测点标高（m）</w:t>
            </w:r>
          </w:p>
        </w:tc>
      </w:tr>
      <w:tr>
        <w:tblPrEx>
          <w:tblCellMar>
            <w:top w:w="0" w:type="dxa"/>
            <w:left w:w="108" w:type="dxa"/>
            <w:bottom w:w="0" w:type="dxa"/>
            <w:right w:w="108" w:type="dxa"/>
          </w:tblCellMar>
        </w:tblPrEx>
        <w:trPr>
          <w:trHeight w:val="340" w:hRule="atLeast"/>
        </w:trPr>
        <w:tc>
          <w:tcPr>
            <w:tcW w:w="1255" w:type="pct"/>
            <w:vMerge w:val="continue"/>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p>
        </w:tc>
        <w:tc>
          <w:tcPr>
            <w:tcW w:w="849" w:type="pct"/>
            <w:vMerge w:val="continue"/>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p>
        </w:tc>
        <w:tc>
          <w:tcPr>
            <w:tcW w:w="849" w:type="pct"/>
            <w:vMerge w:val="continue"/>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p>
        </w:tc>
        <w:tc>
          <w:tcPr>
            <w:tcW w:w="512"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1422</w:t>
            </w:r>
          </w:p>
        </w:tc>
        <w:tc>
          <w:tcPr>
            <w:tcW w:w="512"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1432</w:t>
            </w:r>
          </w:p>
        </w:tc>
        <w:tc>
          <w:tcPr>
            <w:tcW w:w="512"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1464</w:t>
            </w:r>
          </w:p>
        </w:tc>
        <w:tc>
          <w:tcPr>
            <w:tcW w:w="511"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1484</w:t>
            </w:r>
          </w:p>
        </w:tc>
      </w:tr>
      <w:tr>
        <w:tblPrEx>
          <w:tblCellMar>
            <w:top w:w="0" w:type="dxa"/>
            <w:left w:w="108" w:type="dxa"/>
            <w:bottom w:w="0" w:type="dxa"/>
            <w:right w:w="108" w:type="dxa"/>
          </w:tblCellMar>
        </w:tblPrEx>
        <w:trPr>
          <w:trHeight w:val="340" w:hRule="atLeast"/>
        </w:trPr>
        <w:tc>
          <w:tcPr>
            <w:tcW w:w="1255" w:type="pct"/>
            <w:vMerge w:val="restart"/>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主坝</w:t>
            </w:r>
          </w:p>
        </w:tc>
        <w:tc>
          <w:tcPr>
            <w:tcW w:w="849" w:type="pct"/>
            <w:vMerge w:val="restart"/>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1465</w:t>
            </w:r>
          </w:p>
        </w:tc>
        <w:tc>
          <w:tcPr>
            <w:tcW w:w="849"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蓝色预警</w:t>
            </w:r>
          </w:p>
        </w:tc>
        <w:tc>
          <w:tcPr>
            <w:tcW w:w="512" w:type="pct"/>
            <w:tcBorders>
              <w:top w:val="single" w:color="auto" w:sz="4" w:space="0"/>
              <w:left w:val="single" w:color="auto" w:sz="4" w:space="0"/>
              <w:bottom w:val="single" w:color="auto" w:sz="4" w:space="0"/>
              <w:right w:val="single" w:color="auto" w:sz="4" w:space="0"/>
            </w:tcBorders>
            <w:shd w:val="clear" w:color="auto" w:fill="auto"/>
            <w:noWrap/>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lang w:eastAsia="zh-CN"/>
              </w:rPr>
            </w:pPr>
            <w:r>
              <w:rPr>
                <w:rFonts w:hint="default" w:ascii="Times New Roman" w:hAnsi="Times New Roman" w:eastAsia="宋体" w:cs="Times New Roman"/>
                <w:color w:val="auto"/>
                <w:kern w:val="0"/>
                <w:szCs w:val="21"/>
                <w:highlight w:val="none"/>
              </w:rPr>
              <w:t>9.0</w:t>
            </w:r>
          </w:p>
        </w:tc>
        <w:tc>
          <w:tcPr>
            <w:tcW w:w="512" w:type="pct"/>
            <w:tcBorders>
              <w:top w:val="single" w:color="auto" w:sz="4" w:space="0"/>
              <w:left w:val="single" w:color="auto" w:sz="4" w:space="0"/>
              <w:bottom w:val="single" w:color="auto" w:sz="4" w:space="0"/>
              <w:right w:val="single" w:color="auto" w:sz="4" w:space="0"/>
            </w:tcBorders>
            <w:shd w:val="clear" w:color="auto" w:fill="auto"/>
            <w:noWrap/>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lang w:eastAsia="zh-CN"/>
              </w:rPr>
            </w:pPr>
            <w:r>
              <w:rPr>
                <w:rFonts w:hint="default" w:ascii="Times New Roman" w:hAnsi="Times New Roman" w:eastAsia="宋体" w:cs="Times New Roman"/>
                <w:color w:val="auto"/>
                <w:kern w:val="0"/>
                <w:szCs w:val="21"/>
                <w:highlight w:val="none"/>
              </w:rPr>
              <w:t>9.0</w:t>
            </w:r>
          </w:p>
        </w:tc>
        <w:tc>
          <w:tcPr>
            <w:tcW w:w="512"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w:t>
            </w:r>
          </w:p>
        </w:tc>
        <w:tc>
          <w:tcPr>
            <w:tcW w:w="511"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w:t>
            </w:r>
          </w:p>
        </w:tc>
      </w:tr>
      <w:tr>
        <w:tblPrEx>
          <w:tblCellMar>
            <w:top w:w="0" w:type="dxa"/>
            <w:left w:w="108" w:type="dxa"/>
            <w:bottom w:w="0" w:type="dxa"/>
            <w:right w:w="108" w:type="dxa"/>
          </w:tblCellMar>
        </w:tblPrEx>
        <w:trPr>
          <w:trHeight w:val="340" w:hRule="atLeast"/>
        </w:trPr>
        <w:tc>
          <w:tcPr>
            <w:tcW w:w="1255" w:type="pct"/>
            <w:vMerge w:val="continue"/>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p>
        </w:tc>
        <w:tc>
          <w:tcPr>
            <w:tcW w:w="849" w:type="pct"/>
            <w:vMerge w:val="continue"/>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p>
        </w:tc>
        <w:tc>
          <w:tcPr>
            <w:tcW w:w="849"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黄色预警</w:t>
            </w:r>
          </w:p>
        </w:tc>
        <w:tc>
          <w:tcPr>
            <w:tcW w:w="512" w:type="pct"/>
            <w:tcBorders>
              <w:top w:val="single" w:color="auto" w:sz="4" w:space="0"/>
              <w:left w:val="single" w:color="auto" w:sz="4" w:space="0"/>
              <w:bottom w:val="single" w:color="auto" w:sz="4" w:space="0"/>
              <w:right w:val="single" w:color="auto" w:sz="4" w:space="0"/>
            </w:tcBorders>
            <w:shd w:val="clear" w:color="auto" w:fill="auto"/>
            <w:noWrap/>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lang w:eastAsia="zh-CN"/>
              </w:rPr>
            </w:pPr>
            <w:r>
              <w:rPr>
                <w:rFonts w:hint="default" w:ascii="Times New Roman" w:hAnsi="Times New Roman" w:eastAsia="宋体" w:cs="Times New Roman"/>
                <w:color w:val="auto"/>
                <w:kern w:val="0"/>
                <w:szCs w:val="21"/>
                <w:highlight w:val="none"/>
              </w:rPr>
              <w:t>8.9</w:t>
            </w:r>
          </w:p>
        </w:tc>
        <w:tc>
          <w:tcPr>
            <w:tcW w:w="512" w:type="pct"/>
            <w:tcBorders>
              <w:top w:val="single" w:color="auto" w:sz="4" w:space="0"/>
              <w:left w:val="single" w:color="auto" w:sz="4" w:space="0"/>
              <w:bottom w:val="single" w:color="auto" w:sz="4" w:space="0"/>
              <w:right w:val="single" w:color="auto" w:sz="4" w:space="0"/>
            </w:tcBorders>
            <w:shd w:val="clear" w:color="auto" w:fill="auto"/>
            <w:noWrap/>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lang w:eastAsia="zh-CN"/>
              </w:rPr>
            </w:pPr>
            <w:r>
              <w:rPr>
                <w:rFonts w:hint="default" w:ascii="Times New Roman" w:hAnsi="Times New Roman" w:eastAsia="宋体" w:cs="Times New Roman"/>
                <w:color w:val="auto"/>
                <w:kern w:val="0"/>
                <w:szCs w:val="21"/>
                <w:highlight w:val="none"/>
              </w:rPr>
              <w:t>8.9</w:t>
            </w:r>
          </w:p>
        </w:tc>
        <w:tc>
          <w:tcPr>
            <w:tcW w:w="512"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w:t>
            </w:r>
          </w:p>
        </w:tc>
        <w:tc>
          <w:tcPr>
            <w:tcW w:w="511"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w:t>
            </w:r>
          </w:p>
        </w:tc>
      </w:tr>
      <w:tr>
        <w:tblPrEx>
          <w:tblCellMar>
            <w:top w:w="0" w:type="dxa"/>
            <w:left w:w="108" w:type="dxa"/>
            <w:bottom w:w="0" w:type="dxa"/>
            <w:right w:w="108" w:type="dxa"/>
          </w:tblCellMar>
        </w:tblPrEx>
        <w:trPr>
          <w:trHeight w:val="340" w:hRule="atLeast"/>
        </w:trPr>
        <w:tc>
          <w:tcPr>
            <w:tcW w:w="1255" w:type="pct"/>
            <w:vMerge w:val="continue"/>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p>
        </w:tc>
        <w:tc>
          <w:tcPr>
            <w:tcW w:w="849" w:type="pct"/>
            <w:vMerge w:val="continue"/>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p>
        </w:tc>
        <w:tc>
          <w:tcPr>
            <w:tcW w:w="849"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橙色预警</w:t>
            </w:r>
          </w:p>
        </w:tc>
        <w:tc>
          <w:tcPr>
            <w:tcW w:w="512" w:type="pct"/>
            <w:tcBorders>
              <w:top w:val="single" w:color="auto" w:sz="4" w:space="0"/>
              <w:left w:val="single" w:color="auto" w:sz="4" w:space="0"/>
              <w:bottom w:val="single" w:color="auto" w:sz="4" w:space="0"/>
              <w:right w:val="single" w:color="auto" w:sz="4" w:space="0"/>
            </w:tcBorders>
            <w:shd w:val="clear" w:color="auto" w:fill="auto"/>
            <w:noWrap/>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lang w:eastAsia="zh-CN"/>
              </w:rPr>
            </w:pPr>
            <w:r>
              <w:rPr>
                <w:rFonts w:hint="default" w:ascii="Times New Roman" w:hAnsi="Times New Roman" w:eastAsia="宋体" w:cs="Times New Roman"/>
                <w:color w:val="auto"/>
                <w:kern w:val="0"/>
                <w:szCs w:val="21"/>
                <w:highlight w:val="none"/>
              </w:rPr>
              <w:t>8.8</w:t>
            </w:r>
          </w:p>
        </w:tc>
        <w:tc>
          <w:tcPr>
            <w:tcW w:w="512" w:type="pct"/>
            <w:tcBorders>
              <w:top w:val="single" w:color="auto" w:sz="4" w:space="0"/>
              <w:left w:val="single" w:color="auto" w:sz="4" w:space="0"/>
              <w:bottom w:val="single" w:color="auto" w:sz="4" w:space="0"/>
              <w:right w:val="single" w:color="auto" w:sz="4" w:space="0"/>
            </w:tcBorders>
            <w:shd w:val="clear" w:color="auto" w:fill="auto"/>
            <w:noWrap/>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lang w:eastAsia="zh-CN"/>
              </w:rPr>
            </w:pPr>
            <w:r>
              <w:rPr>
                <w:rFonts w:hint="default" w:ascii="Times New Roman" w:hAnsi="Times New Roman" w:eastAsia="宋体" w:cs="Times New Roman"/>
                <w:color w:val="auto"/>
                <w:kern w:val="0"/>
                <w:szCs w:val="21"/>
                <w:highlight w:val="none"/>
              </w:rPr>
              <w:t>8.8</w:t>
            </w:r>
          </w:p>
        </w:tc>
        <w:tc>
          <w:tcPr>
            <w:tcW w:w="512"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w:t>
            </w:r>
          </w:p>
        </w:tc>
        <w:tc>
          <w:tcPr>
            <w:tcW w:w="511"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w:t>
            </w:r>
          </w:p>
        </w:tc>
      </w:tr>
      <w:tr>
        <w:tblPrEx>
          <w:tblCellMar>
            <w:top w:w="0" w:type="dxa"/>
            <w:left w:w="108" w:type="dxa"/>
            <w:bottom w:w="0" w:type="dxa"/>
            <w:right w:w="108" w:type="dxa"/>
          </w:tblCellMar>
        </w:tblPrEx>
        <w:trPr>
          <w:trHeight w:val="340" w:hRule="atLeast"/>
        </w:trPr>
        <w:tc>
          <w:tcPr>
            <w:tcW w:w="1255" w:type="pct"/>
            <w:vMerge w:val="continue"/>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p>
        </w:tc>
        <w:tc>
          <w:tcPr>
            <w:tcW w:w="849" w:type="pct"/>
            <w:vMerge w:val="continue"/>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p>
        </w:tc>
        <w:tc>
          <w:tcPr>
            <w:tcW w:w="849"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红色预警</w:t>
            </w:r>
          </w:p>
        </w:tc>
        <w:tc>
          <w:tcPr>
            <w:tcW w:w="512"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8.0</w:t>
            </w:r>
          </w:p>
        </w:tc>
        <w:tc>
          <w:tcPr>
            <w:tcW w:w="512"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8.0</w:t>
            </w:r>
          </w:p>
        </w:tc>
        <w:tc>
          <w:tcPr>
            <w:tcW w:w="512"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w:t>
            </w:r>
          </w:p>
        </w:tc>
        <w:tc>
          <w:tcPr>
            <w:tcW w:w="511"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w:t>
            </w:r>
          </w:p>
        </w:tc>
      </w:tr>
      <w:tr>
        <w:tblPrEx>
          <w:tblCellMar>
            <w:top w:w="0" w:type="dxa"/>
            <w:left w:w="108" w:type="dxa"/>
            <w:bottom w:w="0" w:type="dxa"/>
            <w:right w:w="108" w:type="dxa"/>
          </w:tblCellMar>
        </w:tblPrEx>
        <w:trPr>
          <w:trHeight w:val="340" w:hRule="atLeast"/>
        </w:trPr>
        <w:tc>
          <w:tcPr>
            <w:tcW w:w="1255" w:type="pct"/>
            <w:vMerge w:val="continue"/>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p>
        </w:tc>
        <w:tc>
          <w:tcPr>
            <w:tcW w:w="849" w:type="pct"/>
            <w:vMerge w:val="restart"/>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1495</w:t>
            </w:r>
          </w:p>
        </w:tc>
        <w:tc>
          <w:tcPr>
            <w:tcW w:w="849"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蓝色预警</w:t>
            </w:r>
          </w:p>
        </w:tc>
        <w:tc>
          <w:tcPr>
            <w:tcW w:w="512" w:type="pct"/>
            <w:tcBorders>
              <w:top w:val="single" w:color="auto" w:sz="4" w:space="0"/>
              <w:left w:val="single" w:color="auto" w:sz="4" w:space="0"/>
              <w:bottom w:val="single" w:color="auto" w:sz="4" w:space="0"/>
              <w:right w:val="single" w:color="auto" w:sz="4" w:space="0"/>
            </w:tcBorders>
            <w:shd w:val="clear" w:color="auto" w:fill="auto"/>
            <w:noWrap/>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lang w:eastAsia="zh-CN"/>
              </w:rPr>
            </w:pPr>
            <w:r>
              <w:rPr>
                <w:rFonts w:hint="default" w:ascii="Times New Roman" w:hAnsi="Times New Roman" w:eastAsia="宋体" w:cs="Times New Roman"/>
                <w:color w:val="auto"/>
                <w:kern w:val="0"/>
                <w:szCs w:val="21"/>
                <w:highlight w:val="none"/>
              </w:rPr>
              <w:t>12.1</w:t>
            </w:r>
          </w:p>
        </w:tc>
        <w:tc>
          <w:tcPr>
            <w:tcW w:w="512" w:type="pct"/>
            <w:tcBorders>
              <w:top w:val="single" w:color="auto" w:sz="4" w:space="0"/>
              <w:left w:val="single" w:color="auto" w:sz="4" w:space="0"/>
              <w:bottom w:val="single" w:color="auto" w:sz="4" w:space="0"/>
              <w:right w:val="single" w:color="auto" w:sz="4" w:space="0"/>
            </w:tcBorders>
            <w:shd w:val="clear" w:color="auto" w:fill="auto"/>
            <w:noWrap/>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lang w:eastAsia="zh-CN"/>
              </w:rPr>
            </w:pPr>
            <w:r>
              <w:rPr>
                <w:rFonts w:hint="default" w:ascii="Times New Roman" w:hAnsi="Times New Roman" w:eastAsia="宋体" w:cs="Times New Roman"/>
                <w:color w:val="auto"/>
                <w:kern w:val="0"/>
                <w:szCs w:val="21"/>
                <w:highlight w:val="none"/>
              </w:rPr>
              <w:t>12.3</w:t>
            </w:r>
          </w:p>
        </w:tc>
        <w:tc>
          <w:tcPr>
            <w:tcW w:w="512" w:type="pct"/>
            <w:tcBorders>
              <w:top w:val="single" w:color="auto" w:sz="4" w:space="0"/>
              <w:left w:val="single" w:color="auto" w:sz="4" w:space="0"/>
              <w:bottom w:val="single" w:color="auto" w:sz="4" w:space="0"/>
              <w:right w:val="single" w:color="auto" w:sz="4" w:space="0"/>
            </w:tcBorders>
            <w:shd w:val="clear" w:color="auto" w:fill="auto"/>
            <w:noWrap/>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lang w:eastAsia="zh-CN"/>
              </w:rPr>
            </w:pPr>
            <w:r>
              <w:rPr>
                <w:rFonts w:hint="default" w:ascii="Times New Roman" w:hAnsi="Times New Roman" w:eastAsia="宋体" w:cs="Times New Roman"/>
                <w:color w:val="auto"/>
                <w:kern w:val="0"/>
                <w:szCs w:val="21"/>
                <w:highlight w:val="none"/>
              </w:rPr>
              <w:t>12.3</w:t>
            </w:r>
          </w:p>
        </w:tc>
        <w:tc>
          <w:tcPr>
            <w:tcW w:w="511" w:type="pct"/>
            <w:tcBorders>
              <w:top w:val="single" w:color="auto" w:sz="4" w:space="0"/>
              <w:left w:val="single" w:color="auto" w:sz="4" w:space="0"/>
              <w:bottom w:val="single" w:color="auto" w:sz="4" w:space="0"/>
              <w:right w:val="single" w:color="auto" w:sz="4" w:space="0"/>
            </w:tcBorders>
            <w:shd w:val="clear" w:color="auto" w:fill="auto"/>
            <w:noWrap/>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lang w:eastAsia="zh-CN"/>
              </w:rPr>
            </w:pPr>
            <w:r>
              <w:rPr>
                <w:rFonts w:hint="default" w:ascii="Times New Roman" w:hAnsi="Times New Roman" w:eastAsia="宋体" w:cs="Times New Roman"/>
                <w:color w:val="auto"/>
                <w:kern w:val="0"/>
                <w:szCs w:val="21"/>
                <w:highlight w:val="none"/>
              </w:rPr>
              <w:t>14.0</w:t>
            </w:r>
          </w:p>
        </w:tc>
      </w:tr>
      <w:tr>
        <w:tblPrEx>
          <w:tblCellMar>
            <w:top w:w="0" w:type="dxa"/>
            <w:left w:w="108" w:type="dxa"/>
            <w:bottom w:w="0" w:type="dxa"/>
            <w:right w:w="108" w:type="dxa"/>
          </w:tblCellMar>
        </w:tblPrEx>
        <w:trPr>
          <w:trHeight w:val="340" w:hRule="atLeast"/>
        </w:trPr>
        <w:tc>
          <w:tcPr>
            <w:tcW w:w="1255" w:type="pct"/>
            <w:vMerge w:val="continue"/>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p>
        </w:tc>
        <w:tc>
          <w:tcPr>
            <w:tcW w:w="849" w:type="pct"/>
            <w:vMerge w:val="continue"/>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p>
        </w:tc>
        <w:tc>
          <w:tcPr>
            <w:tcW w:w="849"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黄色预警</w:t>
            </w:r>
          </w:p>
        </w:tc>
        <w:tc>
          <w:tcPr>
            <w:tcW w:w="512" w:type="pct"/>
            <w:tcBorders>
              <w:top w:val="single" w:color="auto" w:sz="4" w:space="0"/>
              <w:left w:val="single" w:color="auto" w:sz="4" w:space="0"/>
              <w:bottom w:val="single" w:color="auto" w:sz="4" w:space="0"/>
              <w:right w:val="single" w:color="auto" w:sz="4" w:space="0"/>
            </w:tcBorders>
            <w:shd w:val="clear" w:color="auto" w:fill="auto"/>
            <w:noWrap/>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lang w:eastAsia="zh-CN"/>
              </w:rPr>
            </w:pPr>
            <w:r>
              <w:rPr>
                <w:rFonts w:hint="default" w:ascii="Times New Roman" w:hAnsi="Times New Roman" w:eastAsia="宋体" w:cs="Times New Roman"/>
                <w:color w:val="auto"/>
                <w:kern w:val="0"/>
                <w:szCs w:val="21"/>
                <w:highlight w:val="none"/>
              </w:rPr>
              <w:t>12.0</w:t>
            </w:r>
          </w:p>
        </w:tc>
        <w:tc>
          <w:tcPr>
            <w:tcW w:w="512" w:type="pct"/>
            <w:tcBorders>
              <w:top w:val="single" w:color="auto" w:sz="4" w:space="0"/>
              <w:left w:val="single" w:color="auto" w:sz="4" w:space="0"/>
              <w:bottom w:val="single" w:color="auto" w:sz="4" w:space="0"/>
              <w:right w:val="single" w:color="auto" w:sz="4" w:space="0"/>
            </w:tcBorders>
            <w:shd w:val="clear" w:color="auto" w:fill="auto"/>
            <w:noWrap/>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lang w:eastAsia="zh-CN"/>
              </w:rPr>
            </w:pPr>
            <w:r>
              <w:rPr>
                <w:rFonts w:hint="default" w:ascii="Times New Roman" w:hAnsi="Times New Roman" w:eastAsia="宋体" w:cs="Times New Roman"/>
                <w:color w:val="auto"/>
                <w:kern w:val="0"/>
                <w:szCs w:val="21"/>
                <w:highlight w:val="none"/>
              </w:rPr>
              <w:t>12.2</w:t>
            </w:r>
          </w:p>
        </w:tc>
        <w:tc>
          <w:tcPr>
            <w:tcW w:w="512" w:type="pct"/>
            <w:tcBorders>
              <w:top w:val="single" w:color="auto" w:sz="4" w:space="0"/>
              <w:left w:val="single" w:color="auto" w:sz="4" w:space="0"/>
              <w:bottom w:val="single" w:color="auto" w:sz="4" w:space="0"/>
              <w:right w:val="single" w:color="auto" w:sz="4" w:space="0"/>
            </w:tcBorders>
            <w:shd w:val="clear" w:color="auto" w:fill="auto"/>
            <w:noWrap/>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lang w:eastAsia="zh-CN"/>
              </w:rPr>
            </w:pPr>
            <w:r>
              <w:rPr>
                <w:rFonts w:hint="default" w:ascii="Times New Roman" w:hAnsi="Times New Roman" w:eastAsia="宋体" w:cs="Times New Roman"/>
                <w:color w:val="auto"/>
                <w:kern w:val="0"/>
                <w:szCs w:val="21"/>
                <w:highlight w:val="none"/>
              </w:rPr>
              <w:t>12.2</w:t>
            </w:r>
          </w:p>
        </w:tc>
        <w:tc>
          <w:tcPr>
            <w:tcW w:w="511" w:type="pct"/>
            <w:tcBorders>
              <w:top w:val="single" w:color="auto" w:sz="4" w:space="0"/>
              <w:left w:val="single" w:color="auto" w:sz="4" w:space="0"/>
              <w:bottom w:val="single" w:color="auto" w:sz="4" w:space="0"/>
              <w:right w:val="single" w:color="auto" w:sz="4" w:space="0"/>
            </w:tcBorders>
            <w:shd w:val="clear" w:color="auto" w:fill="auto"/>
            <w:noWrap/>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lang w:eastAsia="zh-CN"/>
              </w:rPr>
            </w:pPr>
            <w:r>
              <w:rPr>
                <w:rFonts w:hint="default" w:ascii="Times New Roman" w:hAnsi="Times New Roman" w:eastAsia="宋体" w:cs="Times New Roman"/>
                <w:color w:val="auto"/>
                <w:kern w:val="0"/>
                <w:szCs w:val="21"/>
                <w:highlight w:val="none"/>
              </w:rPr>
              <w:t>13.9</w:t>
            </w:r>
          </w:p>
        </w:tc>
      </w:tr>
      <w:tr>
        <w:tblPrEx>
          <w:tblCellMar>
            <w:top w:w="0" w:type="dxa"/>
            <w:left w:w="108" w:type="dxa"/>
            <w:bottom w:w="0" w:type="dxa"/>
            <w:right w:w="108" w:type="dxa"/>
          </w:tblCellMar>
        </w:tblPrEx>
        <w:trPr>
          <w:trHeight w:val="340" w:hRule="atLeast"/>
        </w:trPr>
        <w:tc>
          <w:tcPr>
            <w:tcW w:w="1255" w:type="pct"/>
            <w:vMerge w:val="continue"/>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p>
        </w:tc>
        <w:tc>
          <w:tcPr>
            <w:tcW w:w="849" w:type="pct"/>
            <w:vMerge w:val="continue"/>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p>
        </w:tc>
        <w:tc>
          <w:tcPr>
            <w:tcW w:w="849"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橙色预警</w:t>
            </w:r>
          </w:p>
        </w:tc>
        <w:tc>
          <w:tcPr>
            <w:tcW w:w="512" w:type="pct"/>
            <w:tcBorders>
              <w:top w:val="single" w:color="auto" w:sz="4" w:space="0"/>
              <w:left w:val="single" w:color="auto" w:sz="4" w:space="0"/>
              <w:bottom w:val="single" w:color="auto" w:sz="4" w:space="0"/>
              <w:right w:val="single" w:color="auto" w:sz="4" w:space="0"/>
            </w:tcBorders>
            <w:shd w:val="clear" w:color="auto" w:fill="auto"/>
            <w:noWrap/>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lang w:eastAsia="zh-CN"/>
              </w:rPr>
            </w:pPr>
            <w:r>
              <w:rPr>
                <w:rFonts w:hint="default" w:ascii="Times New Roman" w:hAnsi="Times New Roman" w:eastAsia="宋体" w:cs="Times New Roman"/>
                <w:color w:val="auto"/>
                <w:kern w:val="0"/>
                <w:szCs w:val="21"/>
                <w:highlight w:val="none"/>
              </w:rPr>
              <w:t>11.9</w:t>
            </w:r>
          </w:p>
        </w:tc>
        <w:tc>
          <w:tcPr>
            <w:tcW w:w="512" w:type="pct"/>
            <w:tcBorders>
              <w:top w:val="single" w:color="auto" w:sz="4" w:space="0"/>
              <w:left w:val="single" w:color="auto" w:sz="4" w:space="0"/>
              <w:bottom w:val="single" w:color="auto" w:sz="4" w:space="0"/>
              <w:right w:val="single" w:color="auto" w:sz="4" w:space="0"/>
            </w:tcBorders>
            <w:shd w:val="clear" w:color="auto" w:fill="auto"/>
            <w:noWrap/>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lang w:eastAsia="zh-CN"/>
              </w:rPr>
            </w:pPr>
            <w:r>
              <w:rPr>
                <w:rFonts w:hint="default" w:ascii="Times New Roman" w:hAnsi="Times New Roman" w:eastAsia="宋体" w:cs="Times New Roman"/>
                <w:color w:val="auto"/>
                <w:kern w:val="0"/>
                <w:szCs w:val="21"/>
                <w:highlight w:val="none"/>
              </w:rPr>
              <w:t>12.1</w:t>
            </w:r>
          </w:p>
        </w:tc>
        <w:tc>
          <w:tcPr>
            <w:tcW w:w="512" w:type="pct"/>
            <w:tcBorders>
              <w:top w:val="single" w:color="auto" w:sz="4" w:space="0"/>
              <w:left w:val="single" w:color="auto" w:sz="4" w:space="0"/>
              <w:bottom w:val="single" w:color="auto" w:sz="4" w:space="0"/>
              <w:right w:val="single" w:color="auto" w:sz="4" w:space="0"/>
            </w:tcBorders>
            <w:shd w:val="clear" w:color="auto" w:fill="auto"/>
            <w:noWrap/>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lang w:eastAsia="zh-CN"/>
              </w:rPr>
            </w:pPr>
            <w:r>
              <w:rPr>
                <w:rFonts w:hint="default" w:ascii="Times New Roman" w:hAnsi="Times New Roman" w:eastAsia="宋体" w:cs="Times New Roman"/>
                <w:color w:val="auto"/>
                <w:kern w:val="0"/>
                <w:szCs w:val="21"/>
                <w:highlight w:val="none"/>
              </w:rPr>
              <w:t>12.1</w:t>
            </w:r>
          </w:p>
        </w:tc>
        <w:tc>
          <w:tcPr>
            <w:tcW w:w="511" w:type="pct"/>
            <w:tcBorders>
              <w:top w:val="single" w:color="auto" w:sz="4" w:space="0"/>
              <w:left w:val="single" w:color="auto" w:sz="4" w:space="0"/>
              <w:bottom w:val="single" w:color="auto" w:sz="4" w:space="0"/>
              <w:right w:val="single" w:color="auto" w:sz="4" w:space="0"/>
            </w:tcBorders>
            <w:shd w:val="clear" w:color="auto" w:fill="auto"/>
            <w:noWrap/>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lang w:eastAsia="zh-CN"/>
              </w:rPr>
            </w:pPr>
            <w:r>
              <w:rPr>
                <w:rFonts w:hint="default" w:ascii="Times New Roman" w:hAnsi="Times New Roman" w:eastAsia="宋体" w:cs="Times New Roman"/>
                <w:color w:val="auto"/>
                <w:kern w:val="0"/>
                <w:szCs w:val="21"/>
                <w:highlight w:val="none"/>
              </w:rPr>
              <w:t>13.8</w:t>
            </w:r>
          </w:p>
        </w:tc>
      </w:tr>
      <w:tr>
        <w:tblPrEx>
          <w:tblCellMar>
            <w:top w:w="0" w:type="dxa"/>
            <w:left w:w="108" w:type="dxa"/>
            <w:bottom w:w="0" w:type="dxa"/>
            <w:right w:w="108" w:type="dxa"/>
          </w:tblCellMar>
        </w:tblPrEx>
        <w:trPr>
          <w:trHeight w:val="340" w:hRule="atLeast"/>
        </w:trPr>
        <w:tc>
          <w:tcPr>
            <w:tcW w:w="1255" w:type="pct"/>
            <w:vMerge w:val="continue"/>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p>
        </w:tc>
        <w:tc>
          <w:tcPr>
            <w:tcW w:w="849" w:type="pct"/>
            <w:vMerge w:val="continue"/>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p>
        </w:tc>
        <w:tc>
          <w:tcPr>
            <w:tcW w:w="849"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红色预警</w:t>
            </w:r>
          </w:p>
        </w:tc>
        <w:tc>
          <w:tcPr>
            <w:tcW w:w="512"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10.8</w:t>
            </w:r>
          </w:p>
        </w:tc>
        <w:tc>
          <w:tcPr>
            <w:tcW w:w="512"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11.0</w:t>
            </w:r>
          </w:p>
        </w:tc>
        <w:tc>
          <w:tcPr>
            <w:tcW w:w="512"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11.0</w:t>
            </w:r>
          </w:p>
        </w:tc>
        <w:tc>
          <w:tcPr>
            <w:tcW w:w="511"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12.5</w:t>
            </w:r>
          </w:p>
        </w:tc>
      </w:tr>
      <w:tr>
        <w:tblPrEx>
          <w:tblCellMar>
            <w:top w:w="0" w:type="dxa"/>
            <w:left w:w="108" w:type="dxa"/>
            <w:bottom w:w="0" w:type="dxa"/>
            <w:right w:w="108" w:type="dxa"/>
          </w:tblCellMar>
        </w:tblPrEx>
        <w:trPr>
          <w:trHeight w:val="340" w:hRule="atLeast"/>
        </w:trPr>
        <w:tc>
          <w:tcPr>
            <w:tcW w:w="1255" w:type="pct"/>
            <w:vMerge w:val="restart"/>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2号副坝北</w:t>
            </w:r>
          </w:p>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（S2、S8）</w:t>
            </w:r>
          </w:p>
        </w:tc>
        <w:tc>
          <w:tcPr>
            <w:tcW w:w="849" w:type="pct"/>
            <w:vMerge w:val="restart"/>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1495</w:t>
            </w:r>
          </w:p>
        </w:tc>
        <w:tc>
          <w:tcPr>
            <w:tcW w:w="849"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蓝色预警</w:t>
            </w:r>
          </w:p>
        </w:tc>
        <w:tc>
          <w:tcPr>
            <w:tcW w:w="512"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w:t>
            </w:r>
          </w:p>
        </w:tc>
        <w:tc>
          <w:tcPr>
            <w:tcW w:w="512"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w:t>
            </w:r>
          </w:p>
        </w:tc>
        <w:tc>
          <w:tcPr>
            <w:tcW w:w="512" w:type="pct"/>
            <w:tcBorders>
              <w:top w:val="single" w:color="auto" w:sz="4" w:space="0"/>
              <w:left w:val="single" w:color="auto" w:sz="4" w:space="0"/>
              <w:bottom w:val="single" w:color="auto" w:sz="4" w:space="0"/>
              <w:right w:val="single" w:color="auto" w:sz="4" w:space="0"/>
            </w:tcBorders>
            <w:shd w:val="clear" w:color="auto" w:fill="auto"/>
            <w:noWrap/>
            <w:vAlign w:val="top"/>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lang w:eastAsia="zh-CN"/>
              </w:rPr>
            </w:pPr>
            <w:r>
              <w:rPr>
                <w:rFonts w:hint="default" w:ascii="Times New Roman" w:hAnsi="Times New Roman" w:eastAsia="宋体" w:cs="Times New Roman"/>
                <w:color w:val="auto"/>
                <w:kern w:val="0"/>
                <w:szCs w:val="21"/>
                <w:highlight w:val="none"/>
              </w:rPr>
              <w:t>9.2</w:t>
            </w:r>
          </w:p>
        </w:tc>
        <w:tc>
          <w:tcPr>
            <w:tcW w:w="511" w:type="pct"/>
            <w:tcBorders>
              <w:top w:val="single" w:color="auto" w:sz="4" w:space="0"/>
              <w:left w:val="single" w:color="auto" w:sz="4" w:space="0"/>
              <w:bottom w:val="single" w:color="auto" w:sz="4" w:space="0"/>
              <w:right w:val="single" w:color="auto" w:sz="4" w:space="0"/>
            </w:tcBorders>
            <w:shd w:val="clear" w:color="auto" w:fill="auto"/>
            <w:noWrap/>
            <w:vAlign w:val="top"/>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lang w:eastAsia="zh-CN"/>
              </w:rPr>
            </w:pPr>
            <w:r>
              <w:rPr>
                <w:rFonts w:hint="default" w:ascii="Times New Roman" w:hAnsi="Times New Roman" w:eastAsia="宋体" w:cs="Times New Roman"/>
                <w:color w:val="auto"/>
                <w:kern w:val="0"/>
                <w:szCs w:val="21"/>
                <w:highlight w:val="none"/>
              </w:rPr>
              <w:t>12.5</w:t>
            </w:r>
          </w:p>
        </w:tc>
      </w:tr>
      <w:tr>
        <w:tblPrEx>
          <w:tblCellMar>
            <w:top w:w="0" w:type="dxa"/>
            <w:left w:w="108" w:type="dxa"/>
            <w:bottom w:w="0" w:type="dxa"/>
            <w:right w:w="108" w:type="dxa"/>
          </w:tblCellMar>
        </w:tblPrEx>
        <w:trPr>
          <w:trHeight w:val="340" w:hRule="atLeast"/>
        </w:trPr>
        <w:tc>
          <w:tcPr>
            <w:tcW w:w="1255" w:type="pct"/>
            <w:vMerge w:val="continue"/>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p>
        </w:tc>
        <w:tc>
          <w:tcPr>
            <w:tcW w:w="849" w:type="pct"/>
            <w:vMerge w:val="continue"/>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p>
        </w:tc>
        <w:tc>
          <w:tcPr>
            <w:tcW w:w="849"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黄色预警</w:t>
            </w:r>
          </w:p>
        </w:tc>
        <w:tc>
          <w:tcPr>
            <w:tcW w:w="512"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w:t>
            </w:r>
          </w:p>
        </w:tc>
        <w:tc>
          <w:tcPr>
            <w:tcW w:w="512"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w:t>
            </w:r>
          </w:p>
        </w:tc>
        <w:tc>
          <w:tcPr>
            <w:tcW w:w="512" w:type="pct"/>
            <w:tcBorders>
              <w:top w:val="single" w:color="auto" w:sz="4" w:space="0"/>
              <w:left w:val="single" w:color="auto" w:sz="4" w:space="0"/>
              <w:bottom w:val="single" w:color="auto" w:sz="4" w:space="0"/>
              <w:right w:val="single" w:color="auto" w:sz="4" w:space="0"/>
            </w:tcBorders>
            <w:shd w:val="clear" w:color="auto" w:fill="auto"/>
            <w:noWrap/>
            <w:vAlign w:val="top"/>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lang w:eastAsia="zh-CN"/>
              </w:rPr>
            </w:pPr>
            <w:r>
              <w:rPr>
                <w:rFonts w:hint="default" w:ascii="Times New Roman" w:hAnsi="Times New Roman" w:eastAsia="宋体" w:cs="Times New Roman"/>
                <w:color w:val="auto"/>
                <w:kern w:val="0"/>
                <w:szCs w:val="21"/>
                <w:highlight w:val="none"/>
              </w:rPr>
              <w:t>9.0</w:t>
            </w:r>
          </w:p>
        </w:tc>
        <w:tc>
          <w:tcPr>
            <w:tcW w:w="511" w:type="pct"/>
            <w:tcBorders>
              <w:top w:val="single" w:color="auto" w:sz="4" w:space="0"/>
              <w:left w:val="single" w:color="auto" w:sz="4" w:space="0"/>
              <w:bottom w:val="single" w:color="auto" w:sz="4" w:space="0"/>
              <w:right w:val="single" w:color="auto" w:sz="4" w:space="0"/>
            </w:tcBorders>
            <w:shd w:val="clear" w:color="auto" w:fill="auto"/>
            <w:noWrap/>
            <w:vAlign w:val="top"/>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lang w:eastAsia="zh-CN"/>
              </w:rPr>
            </w:pPr>
            <w:r>
              <w:rPr>
                <w:rFonts w:hint="default" w:ascii="Times New Roman" w:hAnsi="Times New Roman" w:eastAsia="宋体" w:cs="Times New Roman"/>
                <w:color w:val="auto"/>
                <w:kern w:val="0"/>
                <w:szCs w:val="21"/>
                <w:highlight w:val="none"/>
              </w:rPr>
              <w:t>12.3</w:t>
            </w:r>
          </w:p>
        </w:tc>
      </w:tr>
      <w:tr>
        <w:tblPrEx>
          <w:tblCellMar>
            <w:top w:w="0" w:type="dxa"/>
            <w:left w:w="108" w:type="dxa"/>
            <w:bottom w:w="0" w:type="dxa"/>
            <w:right w:w="108" w:type="dxa"/>
          </w:tblCellMar>
        </w:tblPrEx>
        <w:trPr>
          <w:trHeight w:val="340" w:hRule="atLeast"/>
        </w:trPr>
        <w:tc>
          <w:tcPr>
            <w:tcW w:w="1255" w:type="pct"/>
            <w:vMerge w:val="continue"/>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p>
        </w:tc>
        <w:tc>
          <w:tcPr>
            <w:tcW w:w="849" w:type="pct"/>
            <w:vMerge w:val="continue"/>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p>
        </w:tc>
        <w:tc>
          <w:tcPr>
            <w:tcW w:w="849"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橙色预警</w:t>
            </w:r>
          </w:p>
        </w:tc>
        <w:tc>
          <w:tcPr>
            <w:tcW w:w="512"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w:t>
            </w:r>
          </w:p>
        </w:tc>
        <w:tc>
          <w:tcPr>
            <w:tcW w:w="512"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w:t>
            </w:r>
          </w:p>
        </w:tc>
        <w:tc>
          <w:tcPr>
            <w:tcW w:w="512" w:type="pct"/>
            <w:tcBorders>
              <w:top w:val="single" w:color="auto" w:sz="4" w:space="0"/>
              <w:left w:val="single" w:color="auto" w:sz="4" w:space="0"/>
              <w:bottom w:val="single" w:color="auto" w:sz="4" w:space="0"/>
              <w:right w:val="single" w:color="auto" w:sz="4" w:space="0"/>
            </w:tcBorders>
            <w:shd w:val="clear" w:color="auto" w:fill="auto"/>
            <w:noWrap/>
            <w:vAlign w:val="top"/>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lang w:eastAsia="zh-CN"/>
              </w:rPr>
            </w:pPr>
            <w:r>
              <w:rPr>
                <w:rFonts w:hint="default" w:ascii="Times New Roman" w:hAnsi="Times New Roman" w:eastAsia="宋体" w:cs="Times New Roman"/>
                <w:color w:val="auto"/>
                <w:kern w:val="0"/>
                <w:szCs w:val="21"/>
                <w:highlight w:val="none"/>
              </w:rPr>
              <w:t>8.8</w:t>
            </w:r>
          </w:p>
        </w:tc>
        <w:tc>
          <w:tcPr>
            <w:tcW w:w="511" w:type="pct"/>
            <w:tcBorders>
              <w:top w:val="single" w:color="auto" w:sz="4" w:space="0"/>
              <w:left w:val="single" w:color="auto" w:sz="4" w:space="0"/>
              <w:bottom w:val="single" w:color="auto" w:sz="4" w:space="0"/>
              <w:right w:val="single" w:color="auto" w:sz="4" w:space="0"/>
            </w:tcBorders>
            <w:shd w:val="clear" w:color="auto" w:fill="auto"/>
            <w:noWrap/>
            <w:vAlign w:val="top"/>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lang w:eastAsia="zh-CN"/>
              </w:rPr>
            </w:pPr>
            <w:r>
              <w:rPr>
                <w:rFonts w:hint="default" w:ascii="Times New Roman" w:hAnsi="Times New Roman" w:eastAsia="宋体" w:cs="Times New Roman"/>
                <w:color w:val="auto"/>
                <w:kern w:val="0"/>
                <w:szCs w:val="21"/>
                <w:highlight w:val="none"/>
              </w:rPr>
              <w:t>12.1</w:t>
            </w:r>
          </w:p>
        </w:tc>
      </w:tr>
      <w:tr>
        <w:tblPrEx>
          <w:tblCellMar>
            <w:top w:w="0" w:type="dxa"/>
            <w:left w:w="108" w:type="dxa"/>
            <w:bottom w:w="0" w:type="dxa"/>
            <w:right w:w="108" w:type="dxa"/>
          </w:tblCellMar>
        </w:tblPrEx>
        <w:trPr>
          <w:trHeight w:val="340" w:hRule="atLeast"/>
        </w:trPr>
        <w:tc>
          <w:tcPr>
            <w:tcW w:w="1255" w:type="pct"/>
            <w:vMerge w:val="continue"/>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p>
        </w:tc>
        <w:tc>
          <w:tcPr>
            <w:tcW w:w="849" w:type="pct"/>
            <w:vMerge w:val="continue"/>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p>
        </w:tc>
        <w:tc>
          <w:tcPr>
            <w:tcW w:w="849"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红色预警</w:t>
            </w:r>
          </w:p>
        </w:tc>
        <w:tc>
          <w:tcPr>
            <w:tcW w:w="512"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w:t>
            </w:r>
          </w:p>
        </w:tc>
        <w:tc>
          <w:tcPr>
            <w:tcW w:w="512"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w:t>
            </w:r>
          </w:p>
        </w:tc>
        <w:tc>
          <w:tcPr>
            <w:tcW w:w="512" w:type="pct"/>
            <w:tcBorders>
              <w:top w:val="single" w:color="auto" w:sz="4" w:space="0"/>
              <w:left w:val="single" w:color="auto" w:sz="4" w:space="0"/>
              <w:bottom w:val="single" w:color="auto" w:sz="4" w:space="0"/>
              <w:right w:val="single" w:color="auto" w:sz="4" w:space="0"/>
            </w:tcBorders>
            <w:shd w:val="clear" w:color="auto" w:fill="auto"/>
            <w:noWrap w:val="0"/>
            <w:vAlign w:val="top"/>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8.0</w:t>
            </w:r>
          </w:p>
        </w:tc>
        <w:tc>
          <w:tcPr>
            <w:tcW w:w="511" w:type="pct"/>
            <w:tcBorders>
              <w:top w:val="single" w:color="auto" w:sz="4" w:space="0"/>
              <w:left w:val="single" w:color="auto" w:sz="4" w:space="0"/>
              <w:bottom w:val="single" w:color="auto" w:sz="4" w:space="0"/>
              <w:right w:val="single" w:color="auto" w:sz="4" w:space="0"/>
            </w:tcBorders>
            <w:shd w:val="clear" w:color="auto" w:fill="auto"/>
            <w:noWrap w:val="0"/>
            <w:vAlign w:val="top"/>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11.0</w:t>
            </w:r>
          </w:p>
        </w:tc>
      </w:tr>
      <w:tr>
        <w:tblPrEx>
          <w:tblCellMar>
            <w:top w:w="0" w:type="dxa"/>
            <w:left w:w="108" w:type="dxa"/>
            <w:bottom w:w="0" w:type="dxa"/>
            <w:right w:w="108" w:type="dxa"/>
          </w:tblCellMar>
        </w:tblPrEx>
        <w:trPr>
          <w:trHeight w:val="340" w:hRule="atLeast"/>
        </w:trPr>
        <w:tc>
          <w:tcPr>
            <w:tcW w:w="1255" w:type="pct"/>
            <w:vMerge w:val="restart"/>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2号副坝</w:t>
            </w:r>
          </w:p>
        </w:tc>
        <w:tc>
          <w:tcPr>
            <w:tcW w:w="849" w:type="pct"/>
            <w:vMerge w:val="restart"/>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1495</w:t>
            </w:r>
          </w:p>
        </w:tc>
        <w:tc>
          <w:tcPr>
            <w:tcW w:w="849"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蓝色预警</w:t>
            </w:r>
          </w:p>
        </w:tc>
        <w:tc>
          <w:tcPr>
            <w:tcW w:w="512"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w:t>
            </w:r>
          </w:p>
        </w:tc>
        <w:tc>
          <w:tcPr>
            <w:tcW w:w="512"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w:t>
            </w:r>
          </w:p>
        </w:tc>
        <w:tc>
          <w:tcPr>
            <w:tcW w:w="512" w:type="pct"/>
            <w:tcBorders>
              <w:top w:val="single" w:color="auto" w:sz="4" w:space="0"/>
              <w:left w:val="single" w:color="auto" w:sz="4" w:space="0"/>
              <w:bottom w:val="single" w:color="auto" w:sz="4" w:space="0"/>
              <w:right w:val="single" w:color="auto" w:sz="4" w:space="0"/>
            </w:tcBorders>
            <w:shd w:val="clear" w:color="auto" w:fill="auto"/>
            <w:noWrap/>
            <w:vAlign w:val="top"/>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lang w:eastAsia="zh-CN"/>
              </w:rPr>
            </w:pPr>
            <w:r>
              <w:rPr>
                <w:rFonts w:hint="default" w:ascii="Times New Roman" w:hAnsi="Times New Roman" w:eastAsia="宋体" w:cs="Times New Roman"/>
                <w:color w:val="auto"/>
                <w:kern w:val="0"/>
                <w:szCs w:val="21"/>
                <w:highlight w:val="none"/>
              </w:rPr>
              <w:t>7.2</w:t>
            </w:r>
          </w:p>
        </w:tc>
        <w:tc>
          <w:tcPr>
            <w:tcW w:w="511" w:type="pct"/>
            <w:tcBorders>
              <w:top w:val="single" w:color="auto" w:sz="4" w:space="0"/>
              <w:left w:val="single" w:color="auto" w:sz="4" w:space="0"/>
              <w:bottom w:val="single" w:color="auto" w:sz="4" w:space="0"/>
              <w:right w:val="single" w:color="auto" w:sz="4" w:space="0"/>
            </w:tcBorders>
            <w:shd w:val="clear" w:color="auto" w:fill="auto"/>
            <w:noWrap/>
            <w:vAlign w:val="top"/>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lang w:eastAsia="zh-CN"/>
              </w:rPr>
            </w:pPr>
            <w:r>
              <w:rPr>
                <w:rFonts w:hint="default" w:ascii="Times New Roman" w:hAnsi="Times New Roman" w:eastAsia="宋体" w:cs="Times New Roman"/>
                <w:color w:val="auto"/>
                <w:kern w:val="0"/>
                <w:szCs w:val="21"/>
                <w:highlight w:val="none"/>
              </w:rPr>
              <w:t>12.1</w:t>
            </w:r>
          </w:p>
        </w:tc>
      </w:tr>
      <w:tr>
        <w:tblPrEx>
          <w:tblCellMar>
            <w:top w:w="0" w:type="dxa"/>
            <w:left w:w="108" w:type="dxa"/>
            <w:bottom w:w="0" w:type="dxa"/>
            <w:right w:w="108" w:type="dxa"/>
          </w:tblCellMar>
        </w:tblPrEx>
        <w:trPr>
          <w:trHeight w:val="340" w:hRule="atLeast"/>
        </w:trPr>
        <w:tc>
          <w:tcPr>
            <w:tcW w:w="1255" w:type="pct"/>
            <w:vMerge w:val="continue"/>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p>
        </w:tc>
        <w:tc>
          <w:tcPr>
            <w:tcW w:w="849" w:type="pct"/>
            <w:vMerge w:val="continue"/>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p>
        </w:tc>
        <w:tc>
          <w:tcPr>
            <w:tcW w:w="849"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黄色预警</w:t>
            </w:r>
          </w:p>
        </w:tc>
        <w:tc>
          <w:tcPr>
            <w:tcW w:w="512"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w:t>
            </w:r>
          </w:p>
        </w:tc>
        <w:tc>
          <w:tcPr>
            <w:tcW w:w="512"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w:t>
            </w:r>
          </w:p>
        </w:tc>
        <w:tc>
          <w:tcPr>
            <w:tcW w:w="512" w:type="pct"/>
            <w:tcBorders>
              <w:top w:val="single" w:color="auto" w:sz="4" w:space="0"/>
              <w:left w:val="single" w:color="auto" w:sz="4" w:space="0"/>
              <w:bottom w:val="single" w:color="auto" w:sz="4" w:space="0"/>
              <w:right w:val="single" w:color="auto" w:sz="4" w:space="0"/>
            </w:tcBorders>
            <w:shd w:val="clear" w:color="auto" w:fill="auto"/>
            <w:noWrap/>
            <w:vAlign w:val="top"/>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lang w:eastAsia="zh-CN"/>
              </w:rPr>
            </w:pPr>
            <w:r>
              <w:rPr>
                <w:rFonts w:hint="default" w:ascii="Times New Roman" w:hAnsi="Times New Roman" w:eastAsia="宋体" w:cs="Times New Roman"/>
                <w:color w:val="auto"/>
                <w:kern w:val="0"/>
                <w:szCs w:val="21"/>
                <w:highlight w:val="none"/>
              </w:rPr>
              <w:t>7.0</w:t>
            </w:r>
          </w:p>
        </w:tc>
        <w:tc>
          <w:tcPr>
            <w:tcW w:w="511" w:type="pct"/>
            <w:tcBorders>
              <w:top w:val="single" w:color="auto" w:sz="4" w:space="0"/>
              <w:left w:val="single" w:color="auto" w:sz="4" w:space="0"/>
              <w:bottom w:val="single" w:color="auto" w:sz="4" w:space="0"/>
              <w:right w:val="single" w:color="auto" w:sz="4" w:space="0"/>
            </w:tcBorders>
            <w:shd w:val="clear" w:color="auto" w:fill="auto"/>
            <w:noWrap/>
            <w:vAlign w:val="top"/>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lang w:eastAsia="zh-CN"/>
              </w:rPr>
            </w:pPr>
            <w:r>
              <w:rPr>
                <w:rFonts w:hint="default" w:ascii="Times New Roman" w:hAnsi="Times New Roman" w:eastAsia="宋体" w:cs="Times New Roman"/>
                <w:color w:val="auto"/>
                <w:kern w:val="0"/>
                <w:szCs w:val="21"/>
                <w:highlight w:val="none"/>
              </w:rPr>
              <w:t>11.9</w:t>
            </w:r>
          </w:p>
        </w:tc>
      </w:tr>
      <w:tr>
        <w:tblPrEx>
          <w:tblCellMar>
            <w:top w:w="0" w:type="dxa"/>
            <w:left w:w="108" w:type="dxa"/>
            <w:bottom w:w="0" w:type="dxa"/>
            <w:right w:w="108" w:type="dxa"/>
          </w:tblCellMar>
        </w:tblPrEx>
        <w:trPr>
          <w:trHeight w:val="340" w:hRule="atLeast"/>
        </w:trPr>
        <w:tc>
          <w:tcPr>
            <w:tcW w:w="1255" w:type="pct"/>
            <w:vMerge w:val="continue"/>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p>
        </w:tc>
        <w:tc>
          <w:tcPr>
            <w:tcW w:w="849" w:type="pct"/>
            <w:vMerge w:val="continue"/>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p>
        </w:tc>
        <w:tc>
          <w:tcPr>
            <w:tcW w:w="849"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橙色预警</w:t>
            </w:r>
          </w:p>
        </w:tc>
        <w:tc>
          <w:tcPr>
            <w:tcW w:w="512"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w:t>
            </w:r>
          </w:p>
        </w:tc>
        <w:tc>
          <w:tcPr>
            <w:tcW w:w="512"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w:t>
            </w:r>
          </w:p>
        </w:tc>
        <w:tc>
          <w:tcPr>
            <w:tcW w:w="512" w:type="pct"/>
            <w:tcBorders>
              <w:top w:val="single" w:color="auto" w:sz="4" w:space="0"/>
              <w:left w:val="single" w:color="auto" w:sz="4" w:space="0"/>
              <w:bottom w:val="single" w:color="auto" w:sz="4" w:space="0"/>
              <w:right w:val="single" w:color="auto" w:sz="4" w:space="0"/>
            </w:tcBorders>
            <w:shd w:val="clear" w:color="auto" w:fill="auto"/>
            <w:noWrap/>
            <w:vAlign w:val="top"/>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lang w:eastAsia="zh-CN"/>
              </w:rPr>
            </w:pPr>
            <w:r>
              <w:rPr>
                <w:rFonts w:hint="default" w:ascii="Times New Roman" w:hAnsi="Times New Roman" w:eastAsia="宋体" w:cs="Times New Roman"/>
                <w:color w:val="auto"/>
                <w:kern w:val="0"/>
                <w:szCs w:val="21"/>
                <w:highlight w:val="none"/>
              </w:rPr>
              <w:t>6.8</w:t>
            </w:r>
          </w:p>
        </w:tc>
        <w:tc>
          <w:tcPr>
            <w:tcW w:w="511" w:type="pct"/>
            <w:tcBorders>
              <w:top w:val="single" w:color="auto" w:sz="4" w:space="0"/>
              <w:left w:val="single" w:color="auto" w:sz="4" w:space="0"/>
              <w:bottom w:val="single" w:color="auto" w:sz="4" w:space="0"/>
              <w:right w:val="single" w:color="auto" w:sz="4" w:space="0"/>
            </w:tcBorders>
            <w:shd w:val="clear" w:color="auto" w:fill="auto"/>
            <w:noWrap/>
            <w:vAlign w:val="top"/>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lang w:eastAsia="zh-CN"/>
              </w:rPr>
            </w:pPr>
            <w:r>
              <w:rPr>
                <w:rFonts w:hint="default" w:ascii="Times New Roman" w:hAnsi="Times New Roman" w:eastAsia="宋体" w:cs="Times New Roman"/>
                <w:color w:val="auto"/>
                <w:kern w:val="0"/>
                <w:szCs w:val="21"/>
                <w:highlight w:val="none"/>
              </w:rPr>
              <w:t>11.7</w:t>
            </w:r>
          </w:p>
        </w:tc>
      </w:tr>
      <w:tr>
        <w:tblPrEx>
          <w:tblCellMar>
            <w:top w:w="0" w:type="dxa"/>
            <w:left w:w="108" w:type="dxa"/>
            <w:bottom w:w="0" w:type="dxa"/>
            <w:right w:w="108" w:type="dxa"/>
          </w:tblCellMar>
        </w:tblPrEx>
        <w:trPr>
          <w:trHeight w:val="340" w:hRule="atLeast"/>
        </w:trPr>
        <w:tc>
          <w:tcPr>
            <w:tcW w:w="1255" w:type="pct"/>
            <w:vMerge w:val="continue"/>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p>
        </w:tc>
        <w:tc>
          <w:tcPr>
            <w:tcW w:w="849" w:type="pct"/>
            <w:vMerge w:val="continue"/>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p>
        </w:tc>
        <w:tc>
          <w:tcPr>
            <w:tcW w:w="849"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红色预警</w:t>
            </w:r>
          </w:p>
        </w:tc>
        <w:tc>
          <w:tcPr>
            <w:tcW w:w="512"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w:t>
            </w:r>
          </w:p>
        </w:tc>
        <w:tc>
          <w:tcPr>
            <w:tcW w:w="512"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w:t>
            </w:r>
          </w:p>
        </w:tc>
        <w:tc>
          <w:tcPr>
            <w:tcW w:w="512" w:type="pct"/>
            <w:tcBorders>
              <w:top w:val="single" w:color="auto" w:sz="4" w:space="0"/>
              <w:left w:val="single" w:color="auto" w:sz="4" w:space="0"/>
              <w:bottom w:val="single" w:color="auto" w:sz="4" w:space="0"/>
              <w:right w:val="single" w:color="auto" w:sz="4" w:space="0"/>
            </w:tcBorders>
            <w:shd w:val="clear" w:color="auto" w:fill="auto"/>
            <w:noWrap w:val="0"/>
            <w:vAlign w:val="top"/>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lang w:eastAsia="zh-CN"/>
              </w:rPr>
            </w:pPr>
            <w:r>
              <w:rPr>
                <w:rFonts w:hint="default" w:ascii="Times New Roman" w:hAnsi="Times New Roman" w:eastAsia="宋体" w:cs="Times New Roman"/>
                <w:color w:val="auto"/>
                <w:kern w:val="0"/>
                <w:szCs w:val="21"/>
                <w:highlight w:val="none"/>
              </w:rPr>
              <w:t>6.2</w:t>
            </w:r>
          </w:p>
        </w:tc>
        <w:tc>
          <w:tcPr>
            <w:tcW w:w="511" w:type="pct"/>
            <w:tcBorders>
              <w:top w:val="single" w:color="auto" w:sz="4" w:space="0"/>
              <w:left w:val="single" w:color="auto" w:sz="4" w:space="0"/>
              <w:bottom w:val="single" w:color="auto" w:sz="4" w:space="0"/>
              <w:right w:val="single" w:color="auto" w:sz="4" w:space="0"/>
            </w:tcBorders>
            <w:shd w:val="clear" w:color="auto" w:fill="auto"/>
            <w:noWrap w:val="0"/>
            <w:vAlign w:val="top"/>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10.6</w:t>
            </w:r>
          </w:p>
        </w:tc>
      </w:tr>
      <w:tr>
        <w:tblPrEx>
          <w:tblCellMar>
            <w:top w:w="0" w:type="dxa"/>
            <w:left w:w="108" w:type="dxa"/>
            <w:bottom w:w="0" w:type="dxa"/>
            <w:right w:w="108" w:type="dxa"/>
          </w:tblCellMar>
        </w:tblPrEx>
        <w:trPr>
          <w:trHeight w:val="340" w:hRule="atLeast"/>
        </w:trPr>
        <w:tc>
          <w:tcPr>
            <w:tcW w:w="1255" w:type="pct"/>
            <w:vMerge w:val="restart"/>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3号副坝</w:t>
            </w:r>
          </w:p>
        </w:tc>
        <w:tc>
          <w:tcPr>
            <w:tcW w:w="849" w:type="pct"/>
            <w:vMerge w:val="restart"/>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1495</w:t>
            </w:r>
          </w:p>
        </w:tc>
        <w:tc>
          <w:tcPr>
            <w:tcW w:w="849"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蓝色预警</w:t>
            </w:r>
          </w:p>
        </w:tc>
        <w:tc>
          <w:tcPr>
            <w:tcW w:w="512"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w:t>
            </w:r>
          </w:p>
        </w:tc>
        <w:tc>
          <w:tcPr>
            <w:tcW w:w="512"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w:t>
            </w:r>
          </w:p>
        </w:tc>
        <w:tc>
          <w:tcPr>
            <w:tcW w:w="512"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w:t>
            </w:r>
          </w:p>
        </w:tc>
        <w:tc>
          <w:tcPr>
            <w:tcW w:w="511"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lang w:eastAsia="zh-CN"/>
              </w:rPr>
            </w:pPr>
            <w:r>
              <w:rPr>
                <w:rFonts w:hint="default" w:ascii="Times New Roman" w:hAnsi="Times New Roman" w:eastAsia="宋体" w:cs="Times New Roman"/>
                <w:color w:val="auto"/>
                <w:kern w:val="0"/>
                <w:szCs w:val="21"/>
                <w:highlight w:val="none"/>
              </w:rPr>
              <w:t>9.7</w:t>
            </w:r>
          </w:p>
        </w:tc>
      </w:tr>
      <w:tr>
        <w:tblPrEx>
          <w:tblCellMar>
            <w:top w:w="0" w:type="dxa"/>
            <w:left w:w="108" w:type="dxa"/>
            <w:bottom w:w="0" w:type="dxa"/>
            <w:right w:w="108" w:type="dxa"/>
          </w:tblCellMar>
        </w:tblPrEx>
        <w:trPr>
          <w:trHeight w:val="340" w:hRule="atLeast"/>
        </w:trPr>
        <w:tc>
          <w:tcPr>
            <w:tcW w:w="1255" w:type="pct"/>
            <w:vMerge w:val="continue"/>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p>
        </w:tc>
        <w:tc>
          <w:tcPr>
            <w:tcW w:w="849" w:type="pct"/>
            <w:vMerge w:val="continue"/>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p>
        </w:tc>
        <w:tc>
          <w:tcPr>
            <w:tcW w:w="849"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黄色预警</w:t>
            </w:r>
          </w:p>
        </w:tc>
        <w:tc>
          <w:tcPr>
            <w:tcW w:w="512"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w:t>
            </w:r>
          </w:p>
        </w:tc>
        <w:tc>
          <w:tcPr>
            <w:tcW w:w="512"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w:t>
            </w:r>
          </w:p>
        </w:tc>
        <w:tc>
          <w:tcPr>
            <w:tcW w:w="512"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w:t>
            </w:r>
          </w:p>
        </w:tc>
        <w:tc>
          <w:tcPr>
            <w:tcW w:w="511"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lang w:eastAsia="zh-CN"/>
              </w:rPr>
            </w:pPr>
            <w:r>
              <w:rPr>
                <w:rFonts w:hint="default" w:ascii="Times New Roman" w:hAnsi="Times New Roman" w:eastAsia="宋体" w:cs="Times New Roman"/>
                <w:color w:val="auto"/>
                <w:kern w:val="0"/>
                <w:szCs w:val="21"/>
                <w:highlight w:val="none"/>
              </w:rPr>
              <w:t>9.6</w:t>
            </w:r>
          </w:p>
        </w:tc>
      </w:tr>
      <w:tr>
        <w:tblPrEx>
          <w:tblCellMar>
            <w:top w:w="0" w:type="dxa"/>
            <w:left w:w="108" w:type="dxa"/>
            <w:bottom w:w="0" w:type="dxa"/>
            <w:right w:w="108" w:type="dxa"/>
          </w:tblCellMar>
        </w:tblPrEx>
        <w:trPr>
          <w:trHeight w:val="340" w:hRule="atLeast"/>
        </w:trPr>
        <w:tc>
          <w:tcPr>
            <w:tcW w:w="1255" w:type="pct"/>
            <w:vMerge w:val="continue"/>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p>
        </w:tc>
        <w:tc>
          <w:tcPr>
            <w:tcW w:w="849" w:type="pct"/>
            <w:vMerge w:val="continue"/>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p>
        </w:tc>
        <w:tc>
          <w:tcPr>
            <w:tcW w:w="849"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橙色预警</w:t>
            </w:r>
          </w:p>
        </w:tc>
        <w:tc>
          <w:tcPr>
            <w:tcW w:w="512"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w:t>
            </w:r>
          </w:p>
        </w:tc>
        <w:tc>
          <w:tcPr>
            <w:tcW w:w="512"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w:t>
            </w:r>
          </w:p>
        </w:tc>
        <w:tc>
          <w:tcPr>
            <w:tcW w:w="512"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w:t>
            </w:r>
          </w:p>
        </w:tc>
        <w:tc>
          <w:tcPr>
            <w:tcW w:w="511"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lang w:eastAsia="zh-CN"/>
              </w:rPr>
            </w:pPr>
            <w:r>
              <w:rPr>
                <w:rFonts w:hint="default" w:ascii="Times New Roman" w:hAnsi="Times New Roman" w:eastAsia="宋体" w:cs="Times New Roman"/>
                <w:color w:val="auto"/>
                <w:kern w:val="0"/>
                <w:szCs w:val="21"/>
                <w:highlight w:val="none"/>
              </w:rPr>
              <w:t>9.5</w:t>
            </w:r>
          </w:p>
        </w:tc>
      </w:tr>
      <w:tr>
        <w:tblPrEx>
          <w:tblCellMar>
            <w:top w:w="0" w:type="dxa"/>
            <w:left w:w="108" w:type="dxa"/>
            <w:bottom w:w="0" w:type="dxa"/>
            <w:right w:w="108" w:type="dxa"/>
          </w:tblCellMar>
        </w:tblPrEx>
        <w:trPr>
          <w:trHeight w:val="340" w:hRule="atLeast"/>
        </w:trPr>
        <w:tc>
          <w:tcPr>
            <w:tcW w:w="1255" w:type="pct"/>
            <w:vMerge w:val="continue"/>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p>
        </w:tc>
        <w:tc>
          <w:tcPr>
            <w:tcW w:w="849" w:type="pct"/>
            <w:vMerge w:val="continue"/>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p>
        </w:tc>
        <w:tc>
          <w:tcPr>
            <w:tcW w:w="849"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红色预警</w:t>
            </w:r>
          </w:p>
        </w:tc>
        <w:tc>
          <w:tcPr>
            <w:tcW w:w="512"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w:t>
            </w:r>
          </w:p>
        </w:tc>
        <w:tc>
          <w:tcPr>
            <w:tcW w:w="512"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w:t>
            </w:r>
          </w:p>
        </w:tc>
        <w:tc>
          <w:tcPr>
            <w:tcW w:w="512"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w:t>
            </w:r>
          </w:p>
        </w:tc>
        <w:tc>
          <w:tcPr>
            <w:tcW w:w="511"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8.6</w:t>
            </w:r>
          </w:p>
        </w:tc>
      </w:tr>
    </w:tbl>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outlineLvl w:val="2"/>
        <w:rPr>
          <w:rFonts w:hint="default" w:ascii="Times New Roman" w:hAnsi="Times New Roman" w:eastAsia="宋体" w:cs="Times New Roman"/>
          <w:color w:val="auto"/>
          <w:sz w:val="24"/>
          <w:szCs w:val="24"/>
          <w:highlight w:val="none"/>
        </w:rPr>
      </w:pPr>
      <w:bookmarkStart w:id="579" w:name="_Toc7524"/>
      <w:bookmarkStart w:id="580" w:name="_Toc10830"/>
      <w:r>
        <w:rPr>
          <w:rFonts w:hint="default" w:ascii="Times New Roman" w:hAnsi="Times New Roman" w:eastAsia="宋体" w:cs="Times New Roman"/>
          <w:color w:val="auto"/>
          <w:sz w:val="24"/>
          <w:szCs w:val="24"/>
          <w:highlight w:val="none"/>
        </w:rPr>
        <w:t>②坝体位移</w:t>
      </w:r>
      <w:bookmarkEnd w:id="579"/>
      <w:bookmarkEnd w:id="580"/>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尾矿坝位移量、位移变化速率的正常运行值根据已有监测成果统计分析</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初步确定正常运行值为</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水平方向上连续5天日平均位移速率小于5mm/d</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5日累计位移小于25mm</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垂直方向上按水平方向的2倍值控制。蓝色预警阈值为正常运行值的1.1倍</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黄色预警阈值为正常运行值的1.3倍</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橙色预警阈值为正常运行值的2倍</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红色预警阈值为正常运行值的3倍。</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jc w:val="center"/>
        <w:textAlignment w:val="auto"/>
        <w:rPr>
          <w:rFonts w:hint="default" w:ascii="Times New Roman" w:hAnsi="Times New Roman" w:eastAsia="宋体" w:cs="Times New Roman"/>
          <w:b/>
          <w:color w:val="auto"/>
          <w:kern w:val="0"/>
          <w:sz w:val="24"/>
          <w:szCs w:val="24"/>
          <w:highlight w:val="none"/>
        </w:rPr>
      </w:pPr>
      <w:r>
        <w:rPr>
          <w:rFonts w:hint="default" w:ascii="Times New Roman" w:hAnsi="Times New Roman" w:eastAsia="宋体" w:cs="Times New Roman"/>
          <w:b/>
          <w:color w:val="auto"/>
          <w:sz w:val="24"/>
          <w:szCs w:val="24"/>
          <w:highlight w:val="none"/>
        </w:rPr>
        <w:t>表2-</w:t>
      </w:r>
      <w:r>
        <w:rPr>
          <w:rFonts w:hint="default" w:ascii="Times New Roman" w:hAnsi="Times New Roman" w:eastAsia="宋体" w:cs="Times New Roman"/>
          <w:b/>
          <w:color w:val="auto"/>
          <w:sz w:val="24"/>
          <w:szCs w:val="24"/>
          <w:highlight w:val="none"/>
          <w:lang w:val="en-US" w:eastAsia="zh-CN"/>
        </w:rPr>
        <w:t>23</w:t>
      </w:r>
      <w:r>
        <w:rPr>
          <w:rFonts w:hint="default" w:ascii="Times New Roman" w:hAnsi="Times New Roman" w:eastAsia="宋体" w:cs="Times New Roman"/>
          <w:b/>
          <w:color w:val="auto"/>
          <w:sz w:val="24"/>
          <w:szCs w:val="24"/>
          <w:highlight w:val="none"/>
          <w:lang w:val="en-GB"/>
        </w:rPr>
        <w:t>尾矿坝</w:t>
      </w:r>
      <w:r>
        <w:rPr>
          <w:rFonts w:hint="default" w:ascii="Times New Roman" w:hAnsi="Times New Roman" w:eastAsia="宋体" w:cs="Times New Roman"/>
          <w:b/>
          <w:color w:val="auto"/>
          <w:kern w:val="0"/>
          <w:sz w:val="24"/>
          <w:szCs w:val="24"/>
          <w:highlight w:val="none"/>
        </w:rPr>
        <w:t>位移预警阈值</w:t>
      </w:r>
    </w:p>
    <w:tbl>
      <w:tblPr>
        <w:tblStyle w:val="5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64"/>
        <w:gridCol w:w="873"/>
        <w:gridCol w:w="1019"/>
        <w:gridCol w:w="873"/>
        <w:gridCol w:w="731"/>
        <w:gridCol w:w="6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60" w:type="pc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尾矿坝位移预警项目</w:t>
            </w:r>
          </w:p>
        </w:tc>
        <w:tc>
          <w:tcPr>
            <w:tcW w:w="512" w:type="pc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正常</w:t>
            </w:r>
          </w:p>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运行值</w:t>
            </w:r>
          </w:p>
        </w:tc>
        <w:tc>
          <w:tcPr>
            <w:tcW w:w="598" w:type="pc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蓝色</w:t>
            </w:r>
          </w:p>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预警</w:t>
            </w:r>
          </w:p>
        </w:tc>
        <w:tc>
          <w:tcPr>
            <w:tcW w:w="512" w:type="pc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黄色</w:t>
            </w:r>
          </w:p>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预警</w:t>
            </w:r>
          </w:p>
        </w:tc>
        <w:tc>
          <w:tcPr>
            <w:tcW w:w="429" w:type="pc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橙色</w:t>
            </w:r>
          </w:p>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预警</w:t>
            </w:r>
          </w:p>
        </w:tc>
        <w:tc>
          <w:tcPr>
            <w:tcW w:w="388" w:type="pc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红色</w:t>
            </w:r>
          </w:p>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预警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60" w:type="pc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5日累计监测点的位移速率变化量（mm）</w:t>
            </w:r>
          </w:p>
        </w:tc>
        <w:tc>
          <w:tcPr>
            <w:tcW w:w="512" w:type="pc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25</w:t>
            </w:r>
          </w:p>
        </w:tc>
        <w:tc>
          <w:tcPr>
            <w:tcW w:w="598" w:type="pc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28</w:t>
            </w:r>
          </w:p>
        </w:tc>
        <w:tc>
          <w:tcPr>
            <w:tcW w:w="512" w:type="pc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33</w:t>
            </w:r>
          </w:p>
        </w:tc>
        <w:tc>
          <w:tcPr>
            <w:tcW w:w="429" w:type="pc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50</w:t>
            </w:r>
          </w:p>
        </w:tc>
        <w:tc>
          <w:tcPr>
            <w:tcW w:w="388" w:type="pc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60" w:type="pc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水平方向上连续5天日平均位移速率（mm/d）</w:t>
            </w:r>
          </w:p>
        </w:tc>
        <w:tc>
          <w:tcPr>
            <w:tcW w:w="512" w:type="pc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w:t>
            </w:r>
          </w:p>
        </w:tc>
        <w:tc>
          <w:tcPr>
            <w:tcW w:w="598" w:type="pc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5.5</w:t>
            </w:r>
          </w:p>
        </w:tc>
        <w:tc>
          <w:tcPr>
            <w:tcW w:w="512" w:type="pc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6.5</w:t>
            </w:r>
          </w:p>
        </w:tc>
        <w:tc>
          <w:tcPr>
            <w:tcW w:w="429" w:type="pc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w:t>
            </w:r>
          </w:p>
        </w:tc>
        <w:tc>
          <w:tcPr>
            <w:tcW w:w="388" w:type="pc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15</w:t>
            </w:r>
          </w:p>
        </w:tc>
      </w:tr>
    </w:tbl>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outlineLvl w:val="2"/>
        <w:rPr>
          <w:rFonts w:hint="default" w:ascii="Times New Roman" w:hAnsi="Times New Roman" w:eastAsia="宋体" w:cs="Times New Roman"/>
          <w:color w:val="auto"/>
          <w:sz w:val="24"/>
          <w:szCs w:val="24"/>
          <w:highlight w:val="none"/>
        </w:rPr>
      </w:pPr>
      <w:bookmarkStart w:id="581" w:name="_Toc3129"/>
      <w:bookmarkStart w:id="582" w:name="_Toc17969"/>
      <w:r>
        <w:rPr>
          <w:rFonts w:hint="default" w:ascii="Times New Roman" w:hAnsi="Times New Roman" w:eastAsia="宋体" w:cs="Times New Roman"/>
          <w:color w:val="auto"/>
          <w:sz w:val="24"/>
          <w:szCs w:val="24"/>
          <w:highlight w:val="none"/>
        </w:rPr>
        <w:t>③干滩长度、安全超高及库水位</w:t>
      </w:r>
      <w:bookmarkEnd w:id="581"/>
      <w:bookmarkEnd w:id="582"/>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根据调洪演算确定生产运行控制参数</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干滩及库水位控制参数见表</w:t>
      </w:r>
      <w:r>
        <w:rPr>
          <w:rFonts w:hint="default" w:ascii="Times New Roman" w:hAnsi="Times New Roman" w:eastAsia="宋体" w:cs="Times New Roman"/>
          <w:color w:val="auto"/>
          <w:sz w:val="24"/>
          <w:szCs w:val="24"/>
          <w:highlight w:val="none"/>
          <w:lang w:val="en-US" w:eastAsia="zh-CN"/>
        </w:rPr>
        <w:t>2-24</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干滩长度及安全超高预警值见表</w:t>
      </w:r>
      <w:r>
        <w:rPr>
          <w:rFonts w:hint="default" w:ascii="Times New Roman" w:hAnsi="Times New Roman" w:eastAsia="宋体" w:cs="Times New Roman"/>
          <w:color w:val="auto"/>
          <w:sz w:val="24"/>
          <w:szCs w:val="24"/>
          <w:highlight w:val="none"/>
          <w:lang w:val="en-US" w:eastAsia="zh-CN"/>
        </w:rPr>
        <w:t>2-25</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库水位预警值见表</w:t>
      </w:r>
      <w:r>
        <w:rPr>
          <w:rFonts w:hint="default" w:ascii="Times New Roman" w:hAnsi="Times New Roman" w:eastAsia="宋体" w:cs="Times New Roman"/>
          <w:color w:val="auto"/>
          <w:sz w:val="24"/>
          <w:szCs w:val="24"/>
          <w:highlight w:val="none"/>
          <w:lang w:val="en-US" w:eastAsia="zh-CN"/>
        </w:rPr>
        <w:t>2-26</w:t>
      </w:r>
      <w:r>
        <w:rPr>
          <w:rFonts w:hint="default" w:ascii="Times New Roman" w:hAnsi="Times New Roman" w:eastAsia="宋体" w:cs="Times New Roman"/>
          <w:color w:val="auto"/>
          <w:sz w:val="24"/>
          <w:szCs w:val="24"/>
          <w:highlight w:val="none"/>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jc w:val="center"/>
        <w:textAlignment w:val="auto"/>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表2-</w:t>
      </w:r>
      <w:r>
        <w:rPr>
          <w:rFonts w:hint="default" w:ascii="Times New Roman" w:hAnsi="Times New Roman" w:eastAsia="宋体" w:cs="Times New Roman"/>
          <w:b/>
          <w:color w:val="auto"/>
          <w:sz w:val="24"/>
          <w:szCs w:val="24"/>
          <w:highlight w:val="none"/>
          <w:lang w:val="en-US" w:eastAsia="zh-CN"/>
        </w:rPr>
        <w:t>24</w:t>
      </w:r>
      <w:r>
        <w:rPr>
          <w:rFonts w:hint="default" w:ascii="Times New Roman" w:hAnsi="Times New Roman" w:eastAsia="宋体" w:cs="Times New Roman"/>
          <w:b/>
          <w:color w:val="auto"/>
          <w:sz w:val="24"/>
          <w:szCs w:val="24"/>
          <w:highlight w:val="none"/>
        </w:rPr>
        <w:t>尾矿库滩面及水位控制参数</w:t>
      </w:r>
    </w:p>
    <w:tbl>
      <w:tblPr>
        <w:tblStyle w:val="5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701"/>
        <w:gridCol w:w="1507"/>
        <w:gridCol w:w="1702"/>
        <w:gridCol w:w="1702"/>
        <w:gridCol w:w="17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blHeader/>
          <w:jc w:val="center"/>
        </w:trPr>
        <w:tc>
          <w:tcPr>
            <w:tcW w:w="1023" w:type="pct"/>
            <w:vMerge w:val="restar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滩顶标高（m）</w:t>
            </w:r>
          </w:p>
        </w:tc>
        <w:tc>
          <w:tcPr>
            <w:tcW w:w="906" w:type="pct"/>
            <w:vMerge w:val="restar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坝段</w:t>
            </w:r>
          </w:p>
        </w:tc>
        <w:tc>
          <w:tcPr>
            <w:tcW w:w="3070" w:type="pct"/>
            <w:gridSpan w:val="3"/>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正常运行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blHeader/>
          <w:jc w:val="center"/>
        </w:trPr>
        <w:tc>
          <w:tcPr>
            <w:tcW w:w="1023" w:type="pct"/>
            <w:vMerge w:val="continue"/>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906" w:type="pct"/>
            <w:vMerge w:val="continue"/>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1023" w:type="pc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正常水位（m）</w:t>
            </w:r>
          </w:p>
        </w:tc>
        <w:tc>
          <w:tcPr>
            <w:tcW w:w="1023" w:type="pc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干滩长度（m）</w:t>
            </w:r>
          </w:p>
        </w:tc>
        <w:tc>
          <w:tcPr>
            <w:tcW w:w="1023" w:type="pc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防洪高度（m）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23" w:type="pc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1445≤H&lt;1466</w:t>
            </w:r>
          </w:p>
        </w:tc>
        <w:tc>
          <w:tcPr>
            <w:tcW w:w="906" w:type="pc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所有坝段</w:t>
            </w:r>
          </w:p>
        </w:tc>
        <w:tc>
          <w:tcPr>
            <w:tcW w:w="1023" w:type="pc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H-2.80</w:t>
            </w:r>
          </w:p>
        </w:tc>
        <w:tc>
          <w:tcPr>
            <w:tcW w:w="1023" w:type="pc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400~280</w:t>
            </w:r>
          </w:p>
        </w:tc>
        <w:tc>
          <w:tcPr>
            <w:tcW w:w="1023" w:type="pc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23" w:type="pct"/>
            <w:vMerge w:val="restar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1466≤H≤1495</w:t>
            </w:r>
          </w:p>
        </w:tc>
        <w:tc>
          <w:tcPr>
            <w:tcW w:w="906" w:type="pc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北侧（子堤）</w:t>
            </w:r>
          </w:p>
        </w:tc>
        <w:tc>
          <w:tcPr>
            <w:tcW w:w="1023" w:type="pct"/>
            <w:vMerge w:val="restar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H-3.10</w:t>
            </w:r>
          </w:p>
        </w:tc>
        <w:tc>
          <w:tcPr>
            <w:tcW w:w="1023" w:type="pc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130</w:t>
            </w:r>
          </w:p>
        </w:tc>
        <w:tc>
          <w:tcPr>
            <w:tcW w:w="1023" w:type="pct"/>
            <w:vMerge w:val="restar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23" w:type="pct"/>
            <w:vMerge w:val="continue"/>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906" w:type="pc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主坝</w:t>
            </w:r>
          </w:p>
        </w:tc>
        <w:tc>
          <w:tcPr>
            <w:tcW w:w="1023" w:type="pct"/>
            <w:vMerge w:val="continue"/>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1023" w:type="pc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443</w:t>
            </w:r>
          </w:p>
        </w:tc>
        <w:tc>
          <w:tcPr>
            <w:tcW w:w="1023" w:type="pct"/>
            <w:vMerge w:val="continue"/>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023" w:type="pct"/>
            <w:vMerge w:val="continue"/>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906" w:type="pc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南侧</w:t>
            </w:r>
          </w:p>
        </w:tc>
        <w:tc>
          <w:tcPr>
            <w:tcW w:w="1023" w:type="pct"/>
            <w:vMerge w:val="continue"/>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1023" w:type="pc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310</w:t>
            </w:r>
          </w:p>
        </w:tc>
        <w:tc>
          <w:tcPr>
            <w:tcW w:w="1023" w:type="pct"/>
            <w:vMerge w:val="continue"/>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r>
    </w:tbl>
    <w:p>
      <w:pPr>
        <w:pageBreakBefore w:val="0"/>
        <w:numPr>
          <w:ilvl w:val="0"/>
          <w:numId w:val="0"/>
        </w:numPr>
        <w:wordWrap/>
        <w:bidi w:val="0"/>
        <w:spacing w:line="360" w:lineRule="auto"/>
        <w:ind w:left="0" w:leftChars="0" w:right="0" w:rightChars="0"/>
        <w:jc w:val="center"/>
        <w:rPr>
          <w:rFonts w:hint="default" w:ascii="Times New Roman" w:hAnsi="Times New Roman" w:eastAsia="宋体" w:cs="Times New Roman"/>
          <w:b/>
          <w:color w:val="auto"/>
          <w:sz w:val="24"/>
          <w:szCs w:val="24"/>
          <w:highlight w:val="none"/>
        </w:rPr>
      </w:pPr>
    </w:p>
    <w:p>
      <w:pPr>
        <w:pageBreakBefore w:val="0"/>
        <w:numPr>
          <w:ilvl w:val="0"/>
          <w:numId w:val="0"/>
        </w:numPr>
        <w:wordWrap/>
        <w:bidi w:val="0"/>
        <w:spacing w:line="360" w:lineRule="auto"/>
        <w:ind w:left="0" w:leftChars="0" w:right="0" w:rightChars="0"/>
        <w:jc w:val="center"/>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表2-</w:t>
      </w:r>
      <w:r>
        <w:rPr>
          <w:rFonts w:hint="default" w:ascii="Times New Roman" w:hAnsi="Times New Roman" w:eastAsia="宋体" w:cs="Times New Roman"/>
          <w:b/>
          <w:color w:val="auto"/>
          <w:sz w:val="24"/>
          <w:szCs w:val="24"/>
          <w:highlight w:val="none"/>
          <w:lang w:val="en-US" w:eastAsia="zh-CN"/>
        </w:rPr>
        <w:t>25</w:t>
      </w:r>
      <w:r>
        <w:rPr>
          <w:rFonts w:hint="default" w:ascii="Times New Roman" w:hAnsi="Times New Roman" w:eastAsia="宋体" w:cs="Times New Roman"/>
          <w:b/>
          <w:color w:val="auto"/>
          <w:sz w:val="24"/>
          <w:szCs w:val="24"/>
          <w:highlight w:val="none"/>
        </w:rPr>
        <w:t>干滩预警值表</w:t>
      </w:r>
    </w:p>
    <w:tbl>
      <w:tblPr>
        <w:tblStyle w:val="5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578"/>
        <w:gridCol w:w="1144"/>
        <w:gridCol w:w="1933"/>
        <w:gridCol w:w="1793"/>
        <w:gridCol w:w="1710"/>
        <w:gridCol w:w="579"/>
        <w:gridCol w:w="5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198" w:type="pct"/>
            <w:gridSpan w:val="3"/>
            <w:vMerge w:val="restar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滩顶标高（m）</w:t>
            </w:r>
          </w:p>
        </w:tc>
        <w:tc>
          <w:tcPr>
            <w:tcW w:w="1078" w:type="pct"/>
            <w:vMerge w:val="restar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1445≤H&lt;1466</w:t>
            </w:r>
          </w:p>
        </w:tc>
        <w:tc>
          <w:tcPr>
            <w:tcW w:w="1725" w:type="pct"/>
            <w:gridSpan w:val="3"/>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1466≤H≤1495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198" w:type="pct"/>
            <w:gridSpan w:val="3"/>
            <w:vMerge w:val="continue"/>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p>
        </w:tc>
        <w:tc>
          <w:tcPr>
            <w:tcW w:w="1078" w:type="pct"/>
            <w:vMerge w:val="continue"/>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highlight w:val="none"/>
              </w:rPr>
            </w:pPr>
          </w:p>
        </w:tc>
        <w:tc>
          <w:tcPr>
            <w:tcW w:w="1028" w:type="pc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北侧（子堤）</w:t>
            </w:r>
          </w:p>
        </w:tc>
        <w:tc>
          <w:tcPr>
            <w:tcW w:w="348" w:type="pc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主坝</w:t>
            </w:r>
          </w:p>
        </w:tc>
        <w:tc>
          <w:tcPr>
            <w:tcW w:w="348" w:type="pc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南侧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48" w:type="pct"/>
            <w:vMerge w:val="restar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预警</w:t>
            </w:r>
          </w:p>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级别</w:t>
            </w:r>
          </w:p>
        </w:tc>
        <w:tc>
          <w:tcPr>
            <w:tcW w:w="688" w:type="pct"/>
            <w:vMerge w:val="restar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蓝色预警</w:t>
            </w:r>
          </w:p>
        </w:tc>
        <w:tc>
          <w:tcPr>
            <w:tcW w:w="1161" w:type="pc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干滩长度（m）</w:t>
            </w:r>
          </w:p>
        </w:tc>
        <w:tc>
          <w:tcPr>
            <w:tcW w:w="1078" w:type="pc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szCs w:val="21"/>
                <w:highlight w:val="none"/>
              </w:rPr>
              <w:t>390~240</w:t>
            </w:r>
          </w:p>
        </w:tc>
        <w:tc>
          <w:tcPr>
            <w:tcW w:w="1028" w:type="pc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130</w:t>
            </w:r>
          </w:p>
        </w:tc>
        <w:tc>
          <w:tcPr>
            <w:tcW w:w="348" w:type="pc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423</w:t>
            </w:r>
          </w:p>
        </w:tc>
        <w:tc>
          <w:tcPr>
            <w:tcW w:w="348" w:type="pc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48" w:type="pct"/>
            <w:vMerge w:val="continue"/>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p>
        </w:tc>
        <w:tc>
          <w:tcPr>
            <w:tcW w:w="688" w:type="pct"/>
            <w:vMerge w:val="continue"/>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p>
        </w:tc>
        <w:tc>
          <w:tcPr>
            <w:tcW w:w="1161" w:type="pc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安全超高（m）</w:t>
            </w:r>
          </w:p>
        </w:tc>
        <w:tc>
          <w:tcPr>
            <w:tcW w:w="1078" w:type="pc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szCs w:val="21"/>
                <w:highlight w:val="none"/>
              </w:rPr>
              <w:t>2.7</w:t>
            </w:r>
          </w:p>
        </w:tc>
        <w:tc>
          <w:tcPr>
            <w:tcW w:w="1725" w:type="pct"/>
            <w:gridSpan w:val="3"/>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48" w:type="pct"/>
            <w:vMerge w:val="continue"/>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p>
        </w:tc>
        <w:tc>
          <w:tcPr>
            <w:tcW w:w="688" w:type="pct"/>
            <w:vMerge w:val="restar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黄色预警</w:t>
            </w:r>
          </w:p>
        </w:tc>
        <w:tc>
          <w:tcPr>
            <w:tcW w:w="1161" w:type="pc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干滩长度（m）</w:t>
            </w:r>
          </w:p>
        </w:tc>
        <w:tc>
          <w:tcPr>
            <w:tcW w:w="1078" w:type="pc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szCs w:val="21"/>
                <w:highlight w:val="none"/>
              </w:rPr>
              <w:t>370~220</w:t>
            </w:r>
          </w:p>
        </w:tc>
        <w:tc>
          <w:tcPr>
            <w:tcW w:w="1028" w:type="pc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130</w:t>
            </w:r>
          </w:p>
        </w:tc>
        <w:tc>
          <w:tcPr>
            <w:tcW w:w="348" w:type="pc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400</w:t>
            </w:r>
          </w:p>
        </w:tc>
        <w:tc>
          <w:tcPr>
            <w:tcW w:w="348" w:type="pc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48" w:type="pct"/>
            <w:vMerge w:val="continue"/>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p>
        </w:tc>
        <w:tc>
          <w:tcPr>
            <w:tcW w:w="688" w:type="pct"/>
            <w:vMerge w:val="continue"/>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p>
        </w:tc>
        <w:tc>
          <w:tcPr>
            <w:tcW w:w="1161" w:type="pc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安全超高（m）</w:t>
            </w:r>
          </w:p>
        </w:tc>
        <w:tc>
          <w:tcPr>
            <w:tcW w:w="1078" w:type="pc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szCs w:val="21"/>
                <w:highlight w:val="none"/>
              </w:rPr>
              <w:t>2.6</w:t>
            </w:r>
          </w:p>
        </w:tc>
        <w:tc>
          <w:tcPr>
            <w:tcW w:w="1725" w:type="pct"/>
            <w:gridSpan w:val="3"/>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48" w:type="pct"/>
            <w:vMerge w:val="continue"/>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p>
        </w:tc>
        <w:tc>
          <w:tcPr>
            <w:tcW w:w="688" w:type="pct"/>
            <w:vMerge w:val="restar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橙色预警</w:t>
            </w:r>
          </w:p>
        </w:tc>
        <w:tc>
          <w:tcPr>
            <w:tcW w:w="1161" w:type="pc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干滩长度（m）</w:t>
            </w:r>
          </w:p>
        </w:tc>
        <w:tc>
          <w:tcPr>
            <w:tcW w:w="1078" w:type="pc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350~200</w:t>
            </w:r>
          </w:p>
        </w:tc>
        <w:tc>
          <w:tcPr>
            <w:tcW w:w="1028" w:type="pc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130</w:t>
            </w:r>
          </w:p>
        </w:tc>
        <w:tc>
          <w:tcPr>
            <w:tcW w:w="348" w:type="pc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380</w:t>
            </w:r>
          </w:p>
        </w:tc>
        <w:tc>
          <w:tcPr>
            <w:tcW w:w="348" w:type="pc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48" w:type="pct"/>
            <w:vMerge w:val="continue"/>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p>
        </w:tc>
        <w:tc>
          <w:tcPr>
            <w:tcW w:w="688" w:type="pct"/>
            <w:vMerge w:val="continue"/>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p>
        </w:tc>
        <w:tc>
          <w:tcPr>
            <w:tcW w:w="1161" w:type="pc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安全超高（m）</w:t>
            </w:r>
          </w:p>
        </w:tc>
        <w:tc>
          <w:tcPr>
            <w:tcW w:w="1078" w:type="pc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szCs w:val="21"/>
                <w:highlight w:val="none"/>
              </w:rPr>
              <w:t>2.5</w:t>
            </w:r>
          </w:p>
        </w:tc>
        <w:tc>
          <w:tcPr>
            <w:tcW w:w="1725" w:type="pct"/>
            <w:gridSpan w:val="3"/>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48" w:type="pct"/>
            <w:vMerge w:val="continue"/>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p>
        </w:tc>
        <w:tc>
          <w:tcPr>
            <w:tcW w:w="688" w:type="pct"/>
            <w:vMerge w:val="restar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红色预警</w:t>
            </w:r>
          </w:p>
        </w:tc>
        <w:tc>
          <w:tcPr>
            <w:tcW w:w="1161" w:type="pc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干滩长度（m）</w:t>
            </w:r>
          </w:p>
        </w:tc>
        <w:tc>
          <w:tcPr>
            <w:tcW w:w="1078" w:type="pc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143~100</w:t>
            </w:r>
          </w:p>
        </w:tc>
        <w:tc>
          <w:tcPr>
            <w:tcW w:w="1028" w:type="pc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130</w:t>
            </w:r>
          </w:p>
        </w:tc>
        <w:tc>
          <w:tcPr>
            <w:tcW w:w="348" w:type="pc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186</w:t>
            </w:r>
          </w:p>
        </w:tc>
        <w:tc>
          <w:tcPr>
            <w:tcW w:w="348" w:type="pc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48" w:type="pct"/>
            <w:vMerge w:val="continue"/>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p>
        </w:tc>
        <w:tc>
          <w:tcPr>
            <w:tcW w:w="688" w:type="pct"/>
            <w:vMerge w:val="continue"/>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p>
        </w:tc>
        <w:tc>
          <w:tcPr>
            <w:tcW w:w="1161" w:type="pc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安全超高（m）</w:t>
            </w:r>
          </w:p>
        </w:tc>
        <w:tc>
          <w:tcPr>
            <w:tcW w:w="1078" w:type="pct"/>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szCs w:val="21"/>
                <w:highlight w:val="none"/>
              </w:rPr>
              <w:t>1.0</w:t>
            </w:r>
          </w:p>
        </w:tc>
        <w:tc>
          <w:tcPr>
            <w:tcW w:w="1725" w:type="pct"/>
            <w:gridSpan w:val="3"/>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1.3</w:t>
            </w:r>
          </w:p>
        </w:tc>
      </w:tr>
    </w:tbl>
    <w:p>
      <w:pPr>
        <w:pageBreakBefore w:val="0"/>
        <w:numPr>
          <w:ilvl w:val="0"/>
          <w:numId w:val="0"/>
        </w:numPr>
        <w:wordWrap/>
        <w:bidi w:val="0"/>
        <w:spacing w:line="360" w:lineRule="auto"/>
        <w:ind w:left="0" w:leftChars="0" w:right="0" w:rightChars="0"/>
        <w:jc w:val="center"/>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表2-</w:t>
      </w:r>
      <w:r>
        <w:rPr>
          <w:rFonts w:hint="default" w:ascii="Times New Roman" w:hAnsi="Times New Roman" w:eastAsia="宋体" w:cs="Times New Roman"/>
          <w:b/>
          <w:color w:val="auto"/>
          <w:sz w:val="24"/>
          <w:szCs w:val="24"/>
          <w:highlight w:val="none"/>
          <w:lang w:val="en-US" w:eastAsia="zh-CN"/>
        </w:rPr>
        <w:t>26</w:t>
      </w:r>
      <w:r>
        <w:rPr>
          <w:rFonts w:hint="default" w:ascii="Times New Roman" w:hAnsi="Times New Roman" w:eastAsia="宋体" w:cs="Times New Roman"/>
          <w:b/>
          <w:color w:val="auto"/>
          <w:sz w:val="24"/>
          <w:szCs w:val="24"/>
          <w:highlight w:val="none"/>
        </w:rPr>
        <w:t>库水位预警值表</w:t>
      </w:r>
    </w:p>
    <w:tbl>
      <w:tblPr>
        <w:tblStyle w:val="54"/>
        <w:tblW w:w="5000"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625"/>
        <w:gridCol w:w="1628"/>
        <w:gridCol w:w="2520"/>
        <w:gridCol w:w="25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956" w:type="pct"/>
            <w:gridSpan w:val="2"/>
            <w:tcBorders>
              <w:right w:val="single" w:color="auto" w:sz="4" w:space="0"/>
            </w:tcBorders>
            <w:noWrap w:val="0"/>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滩顶标高H（m）</w:t>
            </w:r>
          </w:p>
        </w:tc>
        <w:tc>
          <w:tcPr>
            <w:tcW w:w="1515" w:type="pct"/>
            <w:noWrap w:val="0"/>
            <w:vAlign w:val="center"/>
          </w:tcPr>
          <w:p>
            <w:pPr>
              <w:pageBreakBefore w:val="0"/>
              <w:widowControl/>
              <w:wordWrap/>
              <w:bidi w:val="0"/>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1445≤H≤1466</w:t>
            </w:r>
          </w:p>
        </w:tc>
        <w:tc>
          <w:tcPr>
            <w:tcW w:w="1529" w:type="pct"/>
            <w:tcBorders>
              <w:right w:val="single" w:color="auto" w:sz="4" w:space="0"/>
            </w:tcBorders>
            <w:noWrap w:val="0"/>
            <w:vAlign w:val="center"/>
          </w:tcPr>
          <w:p>
            <w:pPr>
              <w:pageBreakBefore w:val="0"/>
              <w:widowControl/>
              <w:wordWrap/>
              <w:bidi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highlight w:val="none"/>
              </w:rPr>
              <w:t>1466&lt;H≤1495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977" w:type="pct"/>
            <w:vMerge w:val="restart"/>
            <w:noWrap w:val="0"/>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预警级别</w:t>
            </w:r>
          </w:p>
        </w:tc>
        <w:tc>
          <w:tcPr>
            <w:tcW w:w="979" w:type="pct"/>
            <w:tcBorders>
              <w:right w:val="single" w:color="auto" w:sz="4" w:space="0"/>
            </w:tcBorders>
            <w:noWrap w:val="0"/>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蓝色预警</w:t>
            </w:r>
          </w:p>
        </w:tc>
        <w:tc>
          <w:tcPr>
            <w:tcW w:w="1515" w:type="pct"/>
            <w:noWrap w:val="0"/>
            <w:vAlign w:val="center"/>
          </w:tcPr>
          <w:p>
            <w:pPr>
              <w:pageBreakBefore w:val="0"/>
              <w:wordWrap/>
              <w:bidi w:val="0"/>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szCs w:val="21"/>
                <w:highlight w:val="none"/>
              </w:rPr>
              <w:t>H-2.7</w:t>
            </w:r>
          </w:p>
        </w:tc>
        <w:tc>
          <w:tcPr>
            <w:tcW w:w="1529" w:type="pct"/>
            <w:tcBorders>
              <w:right w:val="single" w:color="auto" w:sz="4" w:space="0"/>
            </w:tcBorders>
            <w:noWrap w:val="0"/>
            <w:vAlign w:val="top"/>
          </w:tcPr>
          <w:p>
            <w:pPr>
              <w:pageBreakBefore w:val="0"/>
              <w:wordWrap/>
              <w:bidi w:val="0"/>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H-2.9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977" w:type="pct"/>
            <w:vMerge w:val="continue"/>
            <w:noWrap w:val="0"/>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p>
        </w:tc>
        <w:tc>
          <w:tcPr>
            <w:tcW w:w="979" w:type="pct"/>
            <w:tcBorders>
              <w:right w:val="single" w:color="auto" w:sz="4" w:space="0"/>
            </w:tcBorders>
            <w:noWrap w:val="0"/>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黄色预警</w:t>
            </w:r>
          </w:p>
        </w:tc>
        <w:tc>
          <w:tcPr>
            <w:tcW w:w="1515" w:type="pct"/>
            <w:noWrap w:val="0"/>
            <w:vAlign w:val="center"/>
          </w:tcPr>
          <w:p>
            <w:pPr>
              <w:pageBreakBefore w:val="0"/>
              <w:wordWrap/>
              <w:bidi w:val="0"/>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szCs w:val="21"/>
                <w:highlight w:val="none"/>
              </w:rPr>
              <w:t>H-2.6</w:t>
            </w:r>
          </w:p>
        </w:tc>
        <w:tc>
          <w:tcPr>
            <w:tcW w:w="1529" w:type="pct"/>
            <w:tcBorders>
              <w:right w:val="single" w:color="auto" w:sz="4" w:space="0"/>
            </w:tcBorders>
            <w:noWrap w:val="0"/>
            <w:vAlign w:val="top"/>
          </w:tcPr>
          <w:p>
            <w:pPr>
              <w:pageBreakBefore w:val="0"/>
              <w:wordWrap/>
              <w:bidi w:val="0"/>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H-2.8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977" w:type="pct"/>
            <w:vMerge w:val="continue"/>
            <w:noWrap w:val="0"/>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p>
        </w:tc>
        <w:tc>
          <w:tcPr>
            <w:tcW w:w="979" w:type="pct"/>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橙色预警</w:t>
            </w:r>
          </w:p>
        </w:tc>
        <w:tc>
          <w:tcPr>
            <w:tcW w:w="1515" w:type="pct"/>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szCs w:val="21"/>
                <w:highlight w:val="none"/>
              </w:rPr>
              <w:t>H-2.5</w:t>
            </w:r>
          </w:p>
        </w:tc>
        <w:tc>
          <w:tcPr>
            <w:tcW w:w="1529" w:type="pct"/>
            <w:tcBorders>
              <w:top w:val="single" w:color="auto" w:sz="4" w:space="0"/>
              <w:left w:val="single" w:color="auto" w:sz="4" w:space="0"/>
              <w:bottom w:val="single" w:color="auto" w:sz="4" w:space="0"/>
              <w:right w:val="single" w:color="auto" w:sz="4" w:space="0"/>
            </w:tcBorders>
            <w:noWrap w:val="0"/>
            <w:vAlign w:val="top"/>
          </w:tcPr>
          <w:p>
            <w:pPr>
              <w:pageBreakBefore w:val="0"/>
              <w:wordWrap/>
              <w:bidi w:val="0"/>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H-2.7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977" w:type="pct"/>
            <w:vMerge w:val="continue"/>
            <w:noWrap w:val="0"/>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p>
        </w:tc>
        <w:tc>
          <w:tcPr>
            <w:tcW w:w="979" w:type="pct"/>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红色预警</w:t>
            </w:r>
          </w:p>
        </w:tc>
        <w:tc>
          <w:tcPr>
            <w:tcW w:w="1515" w:type="pct"/>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szCs w:val="21"/>
                <w:highlight w:val="none"/>
              </w:rPr>
              <w:t>H-1.0</w:t>
            </w:r>
          </w:p>
        </w:tc>
        <w:tc>
          <w:tcPr>
            <w:tcW w:w="1529" w:type="pct"/>
            <w:tcBorders>
              <w:top w:val="single" w:color="auto" w:sz="4" w:space="0"/>
              <w:left w:val="single" w:color="auto" w:sz="4" w:space="0"/>
              <w:bottom w:val="single" w:color="auto" w:sz="4" w:space="0"/>
              <w:right w:val="single" w:color="auto" w:sz="4" w:space="0"/>
            </w:tcBorders>
            <w:noWrap w:val="0"/>
            <w:vAlign w:val="top"/>
          </w:tcPr>
          <w:p>
            <w:pPr>
              <w:pageBreakBefore w:val="0"/>
              <w:wordWrap/>
              <w:bidi w:val="0"/>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H-1.3</w:t>
            </w:r>
          </w:p>
        </w:tc>
      </w:tr>
    </w:tbl>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outlineLvl w:val="2"/>
        <w:rPr>
          <w:rFonts w:hint="default" w:ascii="Times New Roman" w:hAnsi="Times New Roman" w:eastAsia="宋体" w:cs="Times New Roman"/>
          <w:color w:val="auto"/>
          <w:sz w:val="24"/>
          <w:szCs w:val="24"/>
          <w:highlight w:val="none"/>
        </w:rPr>
      </w:pPr>
      <w:bookmarkStart w:id="583" w:name="_Toc6692"/>
      <w:bookmarkStart w:id="584" w:name="_Toc29520"/>
      <w:r>
        <w:rPr>
          <w:rFonts w:hint="default" w:ascii="Times New Roman" w:hAnsi="Times New Roman" w:eastAsia="宋体" w:cs="Times New Roman"/>
          <w:color w:val="auto"/>
          <w:sz w:val="24"/>
          <w:szCs w:val="24"/>
          <w:highlight w:val="none"/>
        </w:rPr>
        <w:t>④降雨量监测</w:t>
      </w:r>
      <w:bookmarkEnd w:id="583"/>
      <w:bookmarkEnd w:id="584"/>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降雨量预警值见表</w:t>
      </w:r>
      <w:r>
        <w:rPr>
          <w:rFonts w:hint="default" w:ascii="Times New Roman" w:hAnsi="Times New Roman" w:eastAsia="宋体" w:cs="Times New Roman"/>
          <w:color w:val="auto"/>
          <w:sz w:val="24"/>
          <w:szCs w:val="24"/>
          <w:highlight w:val="none"/>
          <w:lang w:val="en-US" w:eastAsia="zh-CN"/>
        </w:rPr>
        <w:t>2-27</w:t>
      </w:r>
      <w:r>
        <w:rPr>
          <w:rFonts w:hint="default" w:ascii="Times New Roman" w:hAnsi="Times New Roman" w:eastAsia="宋体" w:cs="Times New Roman"/>
          <w:color w:val="auto"/>
          <w:sz w:val="24"/>
          <w:szCs w:val="24"/>
          <w:highlight w:val="none"/>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jc w:val="center"/>
        <w:textAlignment w:val="auto"/>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表2</w:t>
      </w:r>
      <w:r>
        <w:rPr>
          <w:rFonts w:hint="default" w:ascii="Times New Roman" w:hAnsi="Times New Roman" w:eastAsia="宋体" w:cs="Times New Roman"/>
          <w:b/>
          <w:color w:val="auto"/>
          <w:sz w:val="24"/>
          <w:szCs w:val="24"/>
          <w:highlight w:val="none"/>
          <w:lang w:val="en-US" w:eastAsia="zh-CN"/>
        </w:rPr>
        <w:t>-27</w:t>
      </w:r>
      <w:r>
        <w:rPr>
          <w:rFonts w:hint="default" w:ascii="Times New Roman" w:hAnsi="Times New Roman" w:eastAsia="宋体" w:cs="Times New Roman"/>
          <w:b/>
          <w:color w:val="auto"/>
          <w:sz w:val="24"/>
          <w:szCs w:val="24"/>
          <w:highlight w:val="none"/>
          <w:lang w:val="en-GB"/>
        </w:rPr>
        <w:t>降雨量</w:t>
      </w:r>
      <w:r>
        <w:rPr>
          <w:rFonts w:hint="default" w:ascii="Times New Roman" w:hAnsi="Times New Roman" w:eastAsia="宋体" w:cs="Times New Roman"/>
          <w:b/>
          <w:color w:val="auto"/>
          <w:sz w:val="24"/>
          <w:szCs w:val="24"/>
          <w:highlight w:val="none"/>
        </w:rPr>
        <w:t>预警值表</w:t>
      </w:r>
    </w:p>
    <w:tbl>
      <w:tblPr>
        <w:tblStyle w:val="5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24"/>
        <w:gridCol w:w="2106"/>
        <w:gridCol w:w="2392"/>
        <w:gridCol w:w="20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94" w:type="pct"/>
            <w:tcBorders>
              <w:top w:val="single" w:color="auto" w:sz="4" w:space="0"/>
              <w:left w:val="single" w:color="auto" w:sz="4" w:space="0"/>
              <w:bottom w:val="single" w:color="auto" w:sz="4" w:space="0"/>
              <w:right w:val="single" w:color="auto" w:sz="4" w:space="0"/>
            </w:tcBorders>
            <w:noWrap w:val="0"/>
            <w:vAlign w:val="top"/>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蓝色预警值</w:t>
            </w:r>
          </w:p>
        </w:tc>
        <w:tc>
          <w:tcPr>
            <w:tcW w:w="1216" w:type="pct"/>
            <w:tcBorders>
              <w:top w:val="single" w:color="auto" w:sz="4" w:space="0"/>
              <w:left w:val="single" w:color="auto" w:sz="4" w:space="0"/>
              <w:bottom w:val="single" w:color="auto" w:sz="4" w:space="0"/>
              <w:right w:val="single" w:color="auto" w:sz="4" w:space="0"/>
            </w:tcBorders>
            <w:noWrap/>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黄色预警值</w:t>
            </w:r>
          </w:p>
        </w:tc>
        <w:tc>
          <w:tcPr>
            <w:tcW w:w="1410" w:type="pct"/>
            <w:tcBorders>
              <w:top w:val="single" w:color="auto" w:sz="4" w:space="0"/>
              <w:left w:val="single" w:color="auto" w:sz="4" w:space="0"/>
              <w:bottom w:val="single" w:color="auto" w:sz="4" w:space="0"/>
              <w:right w:val="single" w:color="auto" w:sz="4" w:space="0"/>
            </w:tcBorders>
            <w:noWrap/>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橙色预警值</w:t>
            </w:r>
          </w:p>
        </w:tc>
        <w:tc>
          <w:tcPr>
            <w:tcW w:w="1180" w:type="pct"/>
            <w:tcBorders>
              <w:top w:val="single" w:color="auto" w:sz="4" w:space="0"/>
              <w:left w:val="single" w:color="auto" w:sz="4" w:space="0"/>
              <w:bottom w:val="single" w:color="auto" w:sz="4" w:space="0"/>
              <w:right w:val="single" w:color="auto" w:sz="4" w:space="0"/>
            </w:tcBorders>
            <w:noWrap w:val="0"/>
            <w:vAlign w:val="top"/>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红色预警值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94" w:type="pct"/>
            <w:tcBorders>
              <w:top w:val="single" w:color="auto" w:sz="4" w:space="0"/>
              <w:left w:val="single" w:color="auto" w:sz="4" w:space="0"/>
              <w:bottom w:val="single" w:color="auto" w:sz="4" w:space="0"/>
              <w:right w:val="single" w:color="auto" w:sz="4" w:space="0"/>
            </w:tcBorders>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当地气象部门预报的台风、暴雨天气</w:t>
            </w:r>
          </w:p>
        </w:tc>
        <w:tc>
          <w:tcPr>
            <w:tcW w:w="1216" w:type="pct"/>
            <w:tcBorders>
              <w:top w:val="single" w:color="auto" w:sz="4" w:space="0"/>
              <w:left w:val="single" w:color="auto" w:sz="4" w:space="0"/>
              <w:bottom w:val="single" w:color="auto" w:sz="4" w:space="0"/>
              <w:right w:val="single" w:color="auto" w:sz="4" w:space="0"/>
            </w:tcBorders>
            <w:noWrap/>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当地气象部门预报的</w:t>
            </w:r>
          </w:p>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台风、暴雨天气</w:t>
            </w:r>
          </w:p>
        </w:tc>
        <w:tc>
          <w:tcPr>
            <w:tcW w:w="1410" w:type="pct"/>
            <w:vMerge w:val="restart"/>
            <w:tcBorders>
              <w:top w:val="nil"/>
              <w:left w:val="single" w:color="auto" w:sz="4" w:space="0"/>
              <w:right w:val="single" w:color="auto" w:sz="4" w:space="0"/>
            </w:tcBorders>
            <w:noWrap/>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24小时降雨量≥301mm</w:t>
            </w:r>
          </w:p>
        </w:tc>
        <w:tc>
          <w:tcPr>
            <w:tcW w:w="1180" w:type="pct"/>
            <w:vMerge w:val="restart"/>
            <w:tcBorders>
              <w:top w:val="nil"/>
              <w:left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24小时降雨量≥362mm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94" w:type="pct"/>
            <w:tcBorders>
              <w:top w:val="single" w:color="auto" w:sz="4" w:space="0"/>
              <w:left w:val="single" w:color="auto" w:sz="4" w:space="0"/>
              <w:bottom w:val="single" w:color="auto" w:sz="4" w:space="0"/>
              <w:right w:val="single" w:color="auto" w:sz="4" w:space="0"/>
            </w:tcBorders>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1h内降雨量8mm</w:t>
            </w:r>
          </w:p>
        </w:tc>
        <w:tc>
          <w:tcPr>
            <w:tcW w:w="1216" w:type="pct"/>
            <w:tcBorders>
              <w:top w:val="single" w:color="auto" w:sz="4" w:space="0"/>
              <w:left w:val="single" w:color="auto" w:sz="4" w:space="0"/>
              <w:bottom w:val="single" w:color="auto" w:sz="4" w:space="0"/>
              <w:right w:val="single" w:color="auto" w:sz="4" w:space="0"/>
            </w:tcBorders>
            <w:noWrap/>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1h内降雨量16mm</w:t>
            </w:r>
          </w:p>
        </w:tc>
        <w:tc>
          <w:tcPr>
            <w:tcW w:w="1410" w:type="pct"/>
            <w:vMerge w:val="continue"/>
            <w:tcBorders>
              <w:left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rPr>
            </w:pPr>
          </w:p>
        </w:tc>
        <w:tc>
          <w:tcPr>
            <w:tcW w:w="1180" w:type="pct"/>
            <w:vMerge w:val="continue"/>
            <w:tcBorders>
              <w:left w:val="single" w:color="auto" w:sz="4" w:space="0"/>
              <w:right w:val="single" w:color="auto" w:sz="4" w:space="0"/>
            </w:tcBorders>
            <w:noWrap w:val="0"/>
            <w:vAlign w:val="top"/>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94" w:type="pct"/>
            <w:tcBorders>
              <w:top w:val="single" w:color="auto" w:sz="4" w:space="0"/>
              <w:left w:val="single" w:color="auto" w:sz="4" w:space="0"/>
              <w:bottom w:val="single" w:color="auto" w:sz="4" w:space="0"/>
              <w:right w:val="single" w:color="auto" w:sz="4" w:space="0"/>
            </w:tcBorders>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3h内降雨量10mm</w:t>
            </w:r>
          </w:p>
        </w:tc>
        <w:tc>
          <w:tcPr>
            <w:tcW w:w="1216" w:type="pct"/>
            <w:tcBorders>
              <w:top w:val="single" w:color="auto" w:sz="4" w:space="0"/>
              <w:left w:val="single" w:color="auto" w:sz="4" w:space="0"/>
              <w:bottom w:val="single" w:color="auto" w:sz="4" w:space="0"/>
              <w:right w:val="single" w:color="auto" w:sz="4" w:space="0"/>
            </w:tcBorders>
            <w:noWrap/>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3h内降雨量20mm</w:t>
            </w:r>
          </w:p>
        </w:tc>
        <w:tc>
          <w:tcPr>
            <w:tcW w:w="1410" w:type="pct"/>
            <w:vMerge w:val="continue"/>
            <w:tcBorders>
              <w:left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rPr>
            </w:pPr>
          </w:p>
        </w:tc>
        <w:tc>
          <w:tcPr>
            <w:tcW w:w="1180" w:type="pct"/>
            <w:vMerge w:val="continue"/>
            <w:tcBorders>
              <w:left w:val="single" w:color="auto" w:sz="4" w:space="0"/>
              <w:right w:val="single" w:color="auto" w:sz="4" w:space="0"/>
            </w:tcBorders>
            <w:noWrap w:val="0"/>
            <w:vAlign w:val="top"/>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94" w:type="pct"/>
            <w:tcBorders>
              <w:top w:val="single" w:color="auto" w:sz="4" w:space="0"/>
              <w:left w:val="single" w:color="auto" w:sz="4" w:space="0"/>
              <w:bottom w:val="single" w:color="auto" w:sz="4" w:space="0"/>
              <w:right w:val="single" w:color="auto" w:sz="4" w:space="0"/>
            </w:tcBorders>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6h内降雨量12mm</w:t>
            </w:r>
          </w:p>
        </w:tc>
        <w:tc>
          <w:tcPr>
            <w:tcW w:w="1216" w:type="pct"/>
            <w:tcBorders>
              <w:top w:val="single" w:color="auto" w:sz="4" w:space="0"/>
              <w:left w:val="single" w:color="auto" w:sz="4" w:space="0"/>
              <w:bottom w:val="single" w:color="auto" w:sz="4" w:space="0"/>
              <w:right w:val="single" w:color="auto" w:sz="4" w:space="0"/>
            </w:tcBorders>
            <w:noWrap/>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6h内降雨量25mm</w:t>
            </w:r>
          </w:p>
        </w:tc>
        <w:tc>
          <w:tcPr>
            <w:tcW w:w="1410" w:type="pct"/>
            <w:vMerge w:val="continue"/>
            <w:tcBorders>
              <w:left w:val="single" w:color="auto" w:sz="4" w:space="0"/>
              <w:right w:val="single" w:color="auto" w:sz="4" w:space="0"/>
            </w:tcBorders>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rPr>
            </w:pPr>
          </w:p>
        </w:tc>
        <w:tc>
          <w:tcPr>
            <w:tcW w:w="1180" w:type="pct"/>
            <w:vMerge w:val="continue"/>
            <w:tcBorders>
              <w:left w:val="single" w:color="auto" w:sz="4" w:space="0"/>
              <w:right w:val="single" w:color="auto" w:sz="4" w:space="0"/>
            </w:tcBorders>
            <w:noWrap w:val="0"/>
            <w:vAlign w:val="top"/>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94" w:type="pct"/>
            <w:tcBorders>
              <w:top w:val="single" w:color="auto" w:sz="4" w:space="0"/>
              <w:left w:val="single" w:color="auto" w:sz="4" w:space="0"/>
              <w:bottom w:val="single" w:color="auto" w:sz="4" w:space="0"/>
              <w:right w:val="single" w:color="auto" w:sz="4" w:space="0"/>
            </w:tcBorders>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12h内降雨量15mm</w:t>
            </w:r>
          </w:p>
        </w:tc>
        <w:tc>
          <w:tcPr>
            <w:tcW w:w="1216" w:type="pct"/>
            <w:tcBorders>
              <w:top w:val="single" w:color="auto" w:sz="4" w:space="0"/>
              <w:left w:val="single" w:color="auto" w:sz="4" w:space="0"/>
              <w:bottom w:val="single" w:color="auto" w:sz="4" w:space="0"/>
              <w:right w:val="single" w:color="auto" w:sz="4" w:space="0"/>
            </w:tcBorders>
            <w:noWrap/>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12h内降雨量30mm</w:t>
            </w:r>
          </w:p>
        </w:tc>
        <w:tc>
          <w:tcPr>
            <w:tcW w:w="1410" w:type="pct"/>
            <w:vMerge w:val="continue"/>
            <w:tcBorders>
              <w:left w:val="single" w:color="auto" w:sz="4" w:space="0"/>
              <w:right w:val="single" w:color="auto" w:sz="4" w:space="0"/>
            </w:tcBorders>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rPr>
            </w:pPr>
          </w:p>
        </w:tc>
        <w:tc>
          <w:tcPr>
            <w:tcW w:w="1180" w:type="pct"/>
            <w:vMerge w:val="continue"/>
            <w:tcBorders>
              <w:left w:val="single" w:color="auto" w:sz="4" w:space="0"/>
              <w:right w:val="single" w:color="auto" w:sz="4" w:space="0"/>
            </w:tcBorders>
            <w:noWrap w:val="0"/>
            <w:vAlign w:val="top"/>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94" w:type="pct"/>
            <w:tcBorders>
              <w:top w:val="single" w:color="auto" w:sz="4" w:space="0"/>
              <w:left w:val="single" w:color="auto" w:sz="4" w:space="0"/>
              <w:bottom w:val="single" w:color="auto" w:sz="4" w:space="0"/>
              <w:right w:val="single" w:color="auto" w:sz="4" w:space="0"/>
            </w:tcBorders>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24h内降雨量25mm</w:t>
            </w:r>
          </w:p>
        </w:tc>
        <w:tc>
          <w:tcPr>
            <w:tcW w:w="1216" w:type="pct"/>
            <w:tcBorders>
              <w:top w:val="single" w:color="auto" w:sz="4" w:space="0"/>
              <w:left w:val="single" w:color="auto" w:sz="4" w:space="0"/>
              <w:bottom w:val="single" w:color="auto" w:sz="4" w:space="0"/>
              <w:right w:val="single" w:color="auto" w:sz="4" w:space="0"/>
            </w:tcBorders>
            <w:noWrap/>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24h内降雨量50mm</w:t>
            </w:r>
          </w:p>
        </w:tc>
        <w:tc>
          <w:tcPr>
            <w:tcW w:w="1410" w:type="pct"/>
            <w:vMerge w:val="continue"/>
            <w:tcBorders>
              <w:left w:val="single" w:color="auto" w:sz="4" w:space="0"/>
              <w:bottom w:val="single" w:color="auto" w:sz="4" w:space="0"/>
              <w:right w:val="single" w:color="auto" w:sz="4" w:space="0"/>
            </w:tcBorders>
            <w:noWrap w:val="0"/>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rPr>
            </w:pPr>
          </w:p>
        </w:tc>
        <w:tc>
          <w:tcPr>
            <w:tcW w:w="1180" w:type="pct"/>
            <w:vMerge w:val="continue"/>
            <w:tcBorders>
              <w:left w:val="single" w:color="auto" w:sz="4" w:space="0"/>
              <w:right w:val="single" w:color="auto" w:sz="4" w:space="0"/>
            </w:tcBorders>
            <w:noWrap w:val="0"/>
            <w:vAlign w:val="top"/>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rPr>
            </w:pPr>
          </w:p>
        </w:tc>
      </w:tr>
    </w:tbl>
    <w:p>
      <w:pPr>
        <w:pageBreakBefore w:val="0"/>
        <w:widowControl w:val="0"/>
        <w:kinsoku/>
        <w:wordWrap/>
        <w:overflowPunct/>
        <w:topLinePunct w:val="0"/>
        <w:autoSpaceDE/>
        <w:autoSpaceDN/>
        <w:bidi w:val="0"/>
        <w:spacing w:line="360" w:lineRule="auto"/>
        <w:ind w:left="0" w:leftChars="0" w:right="0" w:rightChars="0"/>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2.3.3.14尾矿库辅助设施</w:t>
      </w:r>
    </w:p>
    <w:p>
      <w:pPr>
        <w:pageBreakBefore w:val="0"/>
        <w:kinsoku/>
        <w:wordWrap/>
        <w:overflowPunct/>
        <w:topLinePunct w:val="0"/>
        <w:bidi w:val="0"/>
        <w:adjustRightInd w:val="0"/>
        <w:snapToGrid w:val="0"/>
        <w:spacing w:line="360" w:lineRule="auto"/>
        <w:ind w:left="0" w:leftChars="0" w:right="0" w:rightChars="0" w:firstLine="480" w:firstLineChars="200"/>
        <w:outlineLvl w:val="0"/>
        <w:rPr>
          <w:rFonts w:hint="default" w:ascii="Times New Roman" w:hAnsi="Times New Roman" w:eastAsia="宋体" w:cs="Times New Roman"/>
          <w:color w:val="auto"/>
          <w:sz w:val="24"/>
          <w:szCs w:val="24"/>
          <w:highlight w:val="none"/>
        </w:rPr>
      </w:pPr>
      <w:bookmarkStart w:id="585" w:name="_Toc6098"/>
      <w:bookmarkStart w:id="586" w:name="_Toc2345"/>
      <w:bookmarkStart w:id="587" w:name="_Toc262110954"/>
      <w:bookmarkStart w:id="588" w:name="_Hlk78444042"/>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尾矿库管理设施</w:t>
      </w:r>
      <w:bookmarkEnd w:id="585"/>
      <w:bookmarkEnd w:id="586"/>
    </w:p>
    <w:p>
      <w:pPr>
        <w:pageBreakBefore w:val="0"/>
        <w:kinsoku/>
        <w:wordWrap/>
        <w:overflowPunct/>
        <w:topLinePunct w:val="0"/>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szCs w:val="24"/>
          <w:highlight w:val="none"/>
        </w:rPr>
      </w:pPr>
      <w:bookmarkStart w:id="589" w:name="_Hlk80178785"/>
      <w:r>
        <w:rPr>
          <w:rFonts w:hint="default" w:ascii="Times New Roman" w:hAnsi="Times New Roman" w:eastAsia="宋体" w:cs="Times New Roman"/>
          <w:color w:val="auto"/>
          <w:sz w:val="24"/>
          <w:szCs w:val="24"/>
          <w:highlight w:val="none"/>
        </w:rPr>
        <w:t>本次设计利用现有值班室</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值班室设置在主坝东侧山体上</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值班室可采用活动板房型式</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以便于尾矿库堆积坝升高后灵活调整其位置。值班内应设置办公和休息基本设施、固定电话机、手机、对讲机等通信设施</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且须配备移动式手提强光照明设备</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便于夜间值班人员检查。值班室内还应设置报警装置</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便于值班人员在尾矿库发生特殊情况时及时预警。为了便于值班人员、管理者和安监人员全面了解尾矿坝设计情况</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值班室内还应准备好尾矿库备案版的设计文件及相关其他资料文档。应加强值班人员的安全培训工作</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在值班室内设置安全管理规章制度牌。</w:t>
      </w:r>
    </w:p>
    <w:p>
      <w:pPr>
        <w:pageBreakBefore w:val="0"/>
        <w:kinsoku/>
        <w:wordWrap/>
        <w:overflowPunct/>
        <w:topLinePunct w:val="0"/>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仓库内应配备发电设备、水域救生器材及应急抢险物资</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包括铁锹、草袋、</w:t>
      </w:r>
      <w:r>
        <w:rPr>
          <w:rFonts w:hint="default" w:ascii="Times New Roman" w:hAnsi="Times New Roman" w:eastAsia="宋体" w:cs="Times New Roman"/>
          <w:color w:val="auto"/>
          <w:sz w:val="24"/>
          <w:szCs w:val="24"/>
          <w:highlight w:val="none"/>
          <w:lang w:eastAsia="zh-CN"/>
        </w:rPr>
        <w:t>编织袋</w:t>
      </w:r>
      <w:r>
        <w:rPr>
          <w:rFonts w:hint="default" w:ascii="Times New Roman" w:hAnsi="Times New Roman" w:eastAsia="宋体" w:cs="Times New Roman"/>
          <w:color w:val="auto"/>
          <w:sz w:val="24"/>
          <w:szCs w:val="24"/>
          <w:highlight w:val="none"/>
        </w:rPr>
        <w:t>、土工布、砂石料、应急灯、工作船等。</w:t>
      </w:r>
    </w:p>
    <w:bookmarkEnd w:id="589"/>
    <w:p>
      <w:pPr>
        <w:pageBreakBefore w:val="0"/>
        <w:kinsoku/>
        <w:wordWrap/>
        <w:overflowPunct/>
        <w:topLinePunct w:val="0"/>
        <w:bidi w:val="0"/>
        <w:adjustRightInd w:val="0"/>
        <w:snapToGrid w:val="0"/>
        <w:spacing w:line="360" w:lineRule="auto"/>
        <w:ind w:left="0" w:leftChars="0" w:right="0" w:rightChars="0" w:firstLine="480" w:firstLineChars="200"/>
        <w:outlineLvl w:val="0"/>
        <w:rPr>
          <w:rFonts w:hint="default" w:ascii="Times New Roman" w:hAnsi="Times New Roman" w:eastAsia="宋体" w:cs="Times New Roman"/>
          <w:color w:val="auto"/>
          <w:sz w:val="24"/>
          <w:szCs w:val="24"/>
          <w:highlight w:val="none"/>
        </w:rPr>
      </w:pPr>
      <w:bookmarkStart w:id="590" w:name="_Toc32607"/>
      <w:bookmarkStart w:id="591" w:name="_Toc7667"/>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通讯</w:t>
      </w:r>
      <w:bookmarkEnd w:id="590"/>
      <w:bookmarkEnd w:id="591"/>
    </w:p>
    <w:p>
      <w:pPr>
        <w:pageBreakBefore w:val="0"/>
        <w:kinsoku/>
        <w:wordWrap/>
        <w:overflowPunct/>
        <w:topLinePunct w:val="0"/>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根据安全生产管理需要</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在值班室内设生产电话和调度电话各1部</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为尾矿工与车间之间配备对讲机2对</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保证值班室之间及值班室与厂区及时通讯联系。</w:t>
      </w:r>
    </w:p>
    <w:p>
      <w:pPr>
        <w:pageBreakBefore w:val="0"/>
        <w:kinsoku/>
        <w:wordWrap/>
        <w:overflowPunct/>
        <w:topLinePunct w:val="0"/>
        <w:bidi w:val="0"/>
        <w:adjustRightInd w:val="0"/>
        <w:snapToGrid w:val="0"/>
        <w:spacing w:line="360" w:lineRule="auto"/>
        <w:ind w:left="0" w:leftChars="0" w:right="0" w:rightChars="0" w:firstLine="480" w:firstLineChars="200"/>
        <w:outlineLvl w:val="0"/>
        <w:rPr>
          <w:rFonts w:hint="default" w:ascii="Times New Roman" w:hAnsi="Times New Roman" w:eastAsia="宋体" w:cs="Times New Roman"/>
          <w:color w:val="auto"/>
          <w:sz w:val="24"/>
          <w:szCs w:val="24"/>
          <w:highlight w:val="none"/>
        </w:rPr>
      </w:pPr>
      <w:bookmarkStart w:id="592" w:name="_Toc27984"/>
      <w:bookmarkStart w:id="593" w:name="_Toc32617"/>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坝上照明</w:t>
      </w:r>
      <w:bookmarkEnd w:id="587"/>
      <w:bookmarkEnd w:id="592"/>
      <w:bookmarkEnd w:id="593"/>
    </w:p>
    <w:p>
      <w:pPr>
        <w:pageBreakBefore w:val="0"/>
        <w:kinsoku/>
        <w:wordWrap/>
        <w:overflowPunct/>
        <w:topLinePunct w:val="0"/>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szCs w:val="24"/>
          <w:highlight w:val="none"/>
        </w:rPr>
      </w:pPr>
      <w:bookmarkStart w:id="594" w:name="_Hlk80178802"/>
      <w:r>
        <w:rPr>
          <w:rFonts w:hint="default" w:ascii="Times New Roman" w:hAnsi="Times New Roman" w:eastAsia="宋体" w:cs="Times New Roman"/>
          <w:color w:val="auto"/>
          <w:sz w:val="24"/>
          <w:szCs w:val="24"/>
          <w:highlight w:val="none"/>
        </w:rPr>
        <w:t>为便于尾矿库的夜间安全管理</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尾矿坝上需设照明系统。原尾矿坝上照明设施完好</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要求新建副坝处于增设探照灯照向上游外坝面</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电源引自选厂变配电室</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以满足尾矿坝夜间的检查和巡视。</w:t>
      </w:r>
      <w:bookmarkStart w:id="595" w:name="_Hlk78448042"/>
      <w:r>
        <w:rPr>
          <w:rFonts w:hint="default" w:ascii="Times New Roman" w:hAnsi="Times New Roman" w:eastAsia="宋体" w:cs="Times New Roman"/>
          <w:color w:val="auto"/>
          <w:sz w:val="24"/>
          <w:szCs w:val="24"/>
          <w:highlight w:val="none"/>
        </w:rPr>
        <w:t>坝顶每隔50m设1盏照明灯</w:t>
      </w:r>
      <w:bookmarkEnd w:id="595"/>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采用可移动的木质电杆</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在新建排水系统进、出水口增设1盏强光照明灯。</w:t>
      </w:r>
    </w:p>
    <w:bookmarkEnd w:id="594"/>
    <w:p>
      <w:pPr>
        <w:pageBreakBefore w:val="0"/>
        <w:kinsoku/>
        <w:wordWrap/>
        <w:overflowPunct/>
        <w:topLinePunct w:val="0"/>
        <w:bidi w:val="0"/>
        <w:adjustRightInd w:val="0"/>
        <w:snapToGrid w:val="0"/>
        <w:spacing w:line="360" w:lineRule="auto"/>
        <w:ind w:left="0" w:leftChars="0" w:right="0" w:rightChars="0" w:firstLine="480" w:firstLineChars="200"/>
        <w:outlineLvl w:val="0"/>
        <w:rPr>
          <w:rFonts w:hint="default" w:ascii="Times New Roman" w:hAnsi="Times New Roman" w:eastAsia="宋体" w:cs="Times New Roman"/>
          <w:color w:val="auto"/>
          <w:sz w:val="24"/>
          <w:szCs w:val="24"/>
          <w:highlight w:val="none"/>
        </w:rPr>
      </w:pPr>
      <w:bookmarkStart w:id="596" w:name="_Toc31080"/>
      <w:bookmarkStart w:id="597" w:name="_Toc11895"/>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4</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上坝道路</w:t>
      </w:r>
      <w:bookmarkEnd w:id="596"/>
      <w:bookmarkEnd w:id="597"/>
    </w:p>
    <w:p>
      <w:pPr>
        <w:pageBreakBefore w:val="0"/>
        <w:kinsoku/>
        <w:wordWrap/>
        <w:overflowPunct/>
        <w:topLinePunct w:val="0"/>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现有库外道路位于库区南侧</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由企业自行修建</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满足尾矿库筑坝设备以及巡视人员、车辆的通行。加高库容工程在尾矿库南侧修建道路</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道路尽量沿山体布设</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自坝下延伸至坝顶及值班室。</w:t>
      </w:r>
    </w:p>
    <w:p>
      <w:pPr>
        <w:pageBreakBefore w:val="0"/>
        <w:kinsoku/>
        <w:wordWrap/>
        <w:overflowPunct/>
        <w:topLinePunct w:val="0"/>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上坝道路采用碎石路面。设计车速20km/h</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路面宽度为5.0m</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最小圆曲线半径15.0m</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最大限制纵坡为8%。</w:t>
      </w:r>
    </w:p>
    <w:bookmarkEnd w:id="588"/>
    <w:p>
      <w:pPr>
        <w:pageBreakBefore w:val="0"/>
        <w:widowControl w:val="0"/>
        <w:kinsoku/>
        <w:wordWrap/>
        <w:overflowPunct/>
        <w:topLinePunct w:val="0"/>
        <w:autoSpaceDE/>
        <w:autoSpaceDN/>
        <w:bidi w:val="0"/>
        <w:spacing w:line="360" w:lineRule="auto"/>
        <w:ind w:left="0" w:leftChars="0" w:right="0" w:rightChars="0"/>
        <w:textAlignment w:val="auto"/>
        <w:outlineLvl w:val="1"/>
        <w:rPr>
          <w:rFonts w:hint="default" w:ascii="Times New Roman" w:hAnsi="Times New Roman" w:eastAsia="宋体" w:cs="Times New Roman"/>
          <w:b/>
          <w:bCs/>
          <w:color w:val="auto"/>
          <w:sz w:val="24"/>
          <w:szCs w:val="24"/>
          <w:highlight w:val="none"/>
          <w:lang w:val="en-US" w:eastAsia="zh-CN"/>
        </w:rPr>
      </w:pPr>
      <w:bookmarkStart w:id="598" w:name="_Toc464480170"/>
      <w:bookmarkStart w:id="599" w:name="_Toc458497831"/>
      <w:bookmarkStart w:id="600" w:name="_Toc139446970"/>
      <w:bookmarkStart w:id="601" w:name="_Toc75179735"/>
      <w:bookmarkStart w:id="602" w:name="_Toc651"/>
      <w:bookmarkStart w:id="603" w:name="_Toc5113"/>
      <w:r>
        <w:rPr>
          <w:rFonts w:hint="default" w:ascii="Times New Roman" w:hAnsi="Times New Roman" w:eastAsia="宋体" w:cs="Times New Roman"/>
          <w:b/>
          <w:bCs/>
          <w:color w:val="auto"/>
          <w:sz w:val="24"/>
          <w:szCs w:val="24"/>
          <w:highlight w:val="none"/>
          <w:lang w:val="en-US" w:eastAsia="zh-CN"/>
        </w:rPr>
        <w:t>2.3.3.15</w:t>
      </w:r>
      <w:bookmarkEnd w:id="598"/>
      <w:bookmarkEnd w:id="599"/>
      <w:bookmarkEnd w:id="600"/>
      <w:bookmarkEnd w:id="601"/>
      <w:bookmarkStart w:id="604" w:name="_Toc383699446"/>
      <w:bookmarkStart w:id="605" w:name="_Toc361214120"/>
      <w:bookmarkStart w:id="606" w:name="_Toc139446972"/>
      <w:r>
        <w:rPr>
          <w:rFonts w:hint="default" w:ascii="Times New Roman" w:hAnsi="Times New Roman" w:eastAsia="宋体" w:cs="Times New Roman"/>
          <w:b/>
          <w:bCs/>
          <w:color w:val="auto"/>
          <w:sz w:val="24"/>
          <w:szCs w:val="24"/>
          <w:highlight w:val="none"/>
          <w:lang w:val="en-US" w:eastAsia="zh-CN"/>
        </w:rPr>
        <w:t>外坝坡</w:t>
      </w:r>
      <w:bookmarkEnd w:id="604"/>
      <w:bookmarkEnd w:id="605"/>
      <w:r>
        <w:rPr>
          <w:rFonts w:hint="default" w:ascii="Times New Roman" w:hAnsi="Times New Roman" w:eastAsia="宋体" w:cs="Times New Roman"/>
          <w:b/>
          <w:bCs/>
          <w:color w:val="auto"/>
          <w:sz w:val="24"/>
          <w:szCs w:val="24"/>
          <w:highlight w:val="none"/>
          <w:lang w:val="en-US" w:eastAsia="zh-CN"/>
        </w:rPr>
        <w:t>防护</w:t>
      </w:r>
      <w:bookmarkEnd w:id="602"/>
      <w:bookmarkEnd w:id="603"/>
      <w:bookmarkEnd w:id="606"/>
    </w:p>
    <w:p>
      <w:pPr>
        <w:pageBreakBefore w:val="0"/>
        <w:kinsoku/>
        <w:wordWrap/>
        <w:overflowPunct/>
        <w:topLinePunct w:val="0"/>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为了防止水土流失堆</w:t>
      </w:r>
      <w:bookmarkStart w:id="607" w:name="_Hlk78553640"/>
      <w:r>
        <w:rPr>
          <w:rFonts w:hint="default" w:ascii="Times New Roman" w:hAnsi="Times New Roman" w:eastAsia="宋体" w:cs="Times New Roman"/>
          <w:color w:val="auto"/>
          <w:sz w:val="24"/>
          <w:szCs w:val="24"/>
          <w:highlight w:val="none"/>
        </w:rPr>
        <w:t>积坝外坡覆碎石或山皮土</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覆山皮土外坡需绿化。</w:t>
      </w:r>
      <w:bookmarkEnd w:id="607"/>
    </w:p>
    <w:p>
      <w:pPr>
        <w:keepNext w:val="0"/>
        <w:keepLines w:val="0"/>
        <w:pageBreakBefore w:val="0"/>
        <w:widowControl w:val="0"/>
        <w:kinsoku/>
        <w:wordWrap/>
        <w:overflowPunct/>
        <w:topLinePunct w:val="0"/>
        <w:autoSpaceDE/>
        <w:autoSpaceDN/>
        <w:bidi w:val="0"/>
        <w:spacing w:line="360" w:lineRule="auto"/>
        <w:ind w:left="0" w:leftChars="0" w:right="0" w:rightChars="0"/>
        <w:textAlignment w:val="auto"/>
        <w:outlineLvl w:val="1"/>
        <w:rPr>
          <w:rFonts w:hint="default" w:ascii="Times New Roman" w:hAnsi="Times New Roman" w:eastAsia="宋体" w:cs="Times New Roman"/>
          <w:b/>
          <w:bCs/>
          <w:color w:val="auto"/>
          <w:sz w:val="24"/>
          <w:szCs w:val="24"/>
          <w:highlight w:val="none"/>
          <w:lang w:val="en-US" w:eastAsia="zh-CN"/>
        </w:rPr>
      </w:pPr>
      <w:bookmarkStart w:id="608" w:name="_Toc139446973"/>
      <w:bookmarkStart w:id="609" w:name="_Toc1154"/>
      <w:bookmarkStart w:id="610" w:name="_Toc132792650"/>
      <w:bookmarkStart w:id="611" w:name="_Toc109744615"/>
      <w:bookmarkStart w:id="612" w:name="_Toc30399"/>
      <w:bookmarkStart w:id="613" w:name="_Hlk106783720"/>
      <w:r>
        <w:rPr>
          <w:rFonts w:hint="default" w:ascii="Times New Roman" w:hAnsi="Times New Roman" w:eastAsia="宋体" w:cs="Times New Roman"/>
          <w:b/>
          <w:bCs/>
          <w:color w:val="auto"/>
          <w:sz w:val="24"/>
          <w:szCs w:val="24"/>
          <w:highlight w:val="none"/>
          <w:lang w:val="en-US" w:eastAsia="zh-CN"/>
        </w:rPr>
        <w:t>2.3.3.16安全护栏</w:t>
      </w:r>
      <w:bookmarkEnd w:id="608"/>
      <w:bookmarkEnd w:id="609"/>
      <w:bookmarkEnd w:id="610"/>
      <w:bookmarkEnd w:id="611"/>
      <w:bookmarkEnd w:id="612"/>
      <w:bookmarkEnd w:id="613"/>
    </w:p>
    <w:p>
      <w:pPr>
        <w:keepNext w:val="0"/>
        <w:keepLines w:val="0"/>
        <w:pageBreakBefore w:val="0"/>
        <w:widowControl w:val="0"/>
        <w:kinsoku/>
        <w:wordWrap/>
        <w:overflowPunct/>
        <w:topLinePunct w:val="0"/>
        <w:autoSpaceDE/>
        <w:autoSpaceDN/>
        <w:bidi w:val="0"/>
        <w:spacing w:line="360" w:lineRule="auto"/>
        <w:ind w:left="0" w:leftChars="0" w:right="0" w:rightChars="0" w:firstLine="480" w:firstLineChars="200"/>
        <w:textAlignment w:val="baseline"/>
        <w:rPr>
          <w:rFonts w:hint="default" w:ascii="Times New Roman" w:hAnsi="Times New Roman" w:eastAsia="宋体" w:cs="Times New Roman"/>
          <w:color w:val="auto"/>
          <w:sz w:val="24"/>
          <w:szCs w:val="24"/>
          <w:highlight w:val="none"/>
        </w:rPr>
      </w:pPr>
      <w:bookmarkStart w:id="614" w:name="_Hlk106783730"/>
      <w:r>
        <w:rPr>
          <w:rFonts w:hint="default" w:ascii="Times New Roman" w:hAnsi="Times New Roman" w:eastAsia="宋体" w:cs="Times New Roman"/>
          <w:color w:val="auto"/>
          <w:sz w:val="24"/>
          <w:szCs w:val="24"/>
          <w:highlight w:val="none"/>
        </w:rPr>
        <w:t>在尾矿库周边设置安全护栏</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防止无关人员和牲畜进入尾矿库内。防护围栏可采用铁丝网</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高度不得小于1.5m</w:t>
      </w:r>
      <w:bookmarkEnd w:id="614"/>
      <w:r>
        <w:rPr>
          <w:rFonts w:hint="default" w:ascii="Times New Roman" w:hAnsi="Times New Roman" w:eastAsia="宋体" w:cs="Times New Roman"/>
          <w:color w:val="auto"/>
          <w:sz w:val="24"/>
          <w:szCs w:val="24"/>
          <w:highlight w:val="none"/>
        </w:rPr>
        <w:t>。</w:t>
      </w:r>
    </w:p>
    <w:p>
      <w:pPr>
        <w:keepNext w:val="0"/>
        <w:keepLines w:val="0"/>
        <w:pageBreakBefore w:val="0"/>
        <w:widowControl w:val="0"/>
        <w:kinsoku/>
        <w:wordWrap/>
        <w:overflowPunct/>
        <w:topLinePunct w:val="0"/>
        <w:autoSpaceDE/>
        <w:autoSpaceDN/>
        <w:bidi w:val="0"/>
        <w:spacing w:line="360" w:lineRule="auto"/>
        <w:ind w:left="0" w:leftChars="0" w:right="0" w:rightChars="0"/>
        <w:outlineLvl w:val="1"/>
        <w:rPr>
          <w:rFonts w:hint="default" w:ascii="Times New Roman" w:hAnsi="Times New Roman" w:eastAsia="宋体" w:cs="Times New Roman"/>
          <w:color w:val="auto"/>
          <w:sz w:val="24"/>
          <w:szCs w:val="24"/>
          <w:highlight w:val="none"/>
        </w:rPr>
      </w:pPr>
      <w:bookmarkStart w:id="615" w:name="_Toc383699448"/>
      <w:bookmarkStart w:id="616" w:name="_Toc15343"/>
      <w:bookmarkStart w:id="617" w:name="_Toc139446974"/>
      <w:bookmarkStart w:id="618" w:name="_Toc7681"/>
      <w:r>
        <w:rPr>
          <w:rFonts w:hint="default" w:ascii="Times New Roman" w:hAnsi="Times New Roman" w:eastAsia="宋体" w:cs="Times New Roman"/>
          <w:b/>
          <w:bCs/>
          <w:color w:val="auto"/>
          <w:sz w:val="24"/>
          <w:szCs w:val="24"/>
          <w:highlight w:val="none"/>
          <w:lang w:val="en-US" w:eastAsia="zh-CN"/>
        </w:rPr>
        <w:t>2.3.3.17洪水计算</w:t>
      </w:r>
      <w:bookmarkEnd w:id="615"/>
      <w:r>
        <w:rPr>
          <w:rFonts w:hint="default" w:ascii="Times New Roman" w:hAnsi="Times New Roman" w:eastAsia="宋体" w:cs="Times New Roman"/>
          <w:b/>
          <w:bCs/>
          <w:color w:val="auto"/>
          <w:sz w:val="24"/>
          <w:szCs w:val="24"/>
          <w:highlight w:val="none"/>
          <w:lang w:val="en-US" w:eastAsia="zh-CN"/>
        </w:rPr>
        <w:t>及调洪演算</w:t>
      </w:r>
      <w:bookmarkEnd w:id="616"/>
      <w:bookmarkEnd w:id="617"/>
      <w:bookmarkEnd w:id="618"/>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outlineLvl w:val="0"/>
        <w:rPr>
          <w:rFonts w:hint="default" w:ascii="Times New Roman" w:hAnsi="Times New Roman" w:eastAsia="宋体" w:cs="Times New Roman"/>
          <w:color w:val="auto"/>
          <w:sz w:val="24"/>
          <w:szCs w:val="24"/>
          <w:highlight w:val="none"/>
        </w:rPr>
      </w:pPr>
      <w:bookmarkStart w:id="619" w:name="_Toc15145"/>
      <w:bookmarkStart w:id="620" w:name="_Toc30207"/>
      <w:bookmarkStart w:id="621" w:name="_Toc139446975"/>
      <w:bookmarkStart w:id="622" w:name="_Toc328561301"/>
      <w:bookmarkStart w:id="623" w:name="_Toc383699449"/>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防洪标准</w:t>
      </w:r>
      <w:bookmarkEnd w:id="619"/>
      <w:bookmarkEnd w:id="620"/>
      <w:bookmarkEnd w:id="621"/>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baseline"/>
        <w:rPr>
          <w:rFonts w:hint="default" w:ascii="Times New Roman" w:hAnsi="Times New Roman" w:eastAsia="宋体" w:cs="Times New Roman"/>
          <w:color w:val="auto"/>
          <w:sz w:val="24"/>
          <w:szCs w:val="24"/>
          <w:highlight w:val="none"/>
        </w:rPr>
      </w:pPr>
      <w:bookmarkStart w:id="624" w:name="_Hlk75349188"/>
      <w:r>
        <w:rPr>
          <w:rFonts w:hint="default" w:ascii="Times New Roman" w:hAnsi="Times New Roman" w:eastAsia="宋体" w:cs="Times New Roman"/>
          <w:color w:val="auto"/>
          <w:sz w:val="24"/>
          <w:szCs w:val="24"/>
          <w:highlight w:val="none"/>
        </w:rPr>
        <w:t>尾矿库加高扩容后</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总坝高129m</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总库容为2145万m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尾矿库等别为二等</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偏于二等库下限</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根据《尾矿库安全规程》（GB39496-2020）</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GB"/>
        </w:rPr>
        <w:t>二等库下限防洪标准为500年一遇</w:t>
      </w:r>
      <w:r>
        <w:rPr>
          <w:rFonts w:hint="default" w:ascii="Times New Roman" w:hAnsi="Times New Roman" w:eastAsia="宋体" w:cs="Times New Roman"/>
          <w:color w:val="auto"/>
          <w:sz w:val="24"/>
          <w:szCs w:val="24"/>
          <w:highlight w:val="none"/>
          <w:lang w:val="en-GB" w:eastAsia="zh-CN"/>
        </w:rPr>
        <w:t>，</w:t>
      </w:r>
      <w:r>
        <w:rPr>
          <w:rFonts w:hint="default" w:ascii="Times New Roman" w:hAnsi="Times New Roman" w:eastAsia="宋体" w:cs="Times New Roman"/>
          <w:color w:val="auto"/>
          <w:sz w:val="24"/>
          <w:szCs w:val="24"/>
          <w:highlight w:val="none"/>
        </w:rPr>
        <w:t>尾矿库加高设计时防洪标准按提高一等考虑</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洪水重现期取1000年一遇。</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outlineLvl w:val="0"/>
        <w:rPr>
          <w:rFonts w:hint="default" w:ascii="Times New Roman" w:hAnsi="Times New Roman" w:eastAsia="宋体" w:cs="Times New Roman"/>
          <w:color w:val="auto"/>
          <w:sz w:val="24"/>
          <w:szCs w:val="24"/>
          <w:highlight w:val="none"/>
        </w:rPr>
      </w:pPr>
      <w:bookmarkStart w:id="625" w:name="_Toc29814"/>
      <w:bookmarkStart w:id="626" w:name="_Toc8601"/>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调洪演算结果</w:t>
      </w:r>
      <w:bookmarkEnd w:id="625"/>
      <w:bookmarkEnd w:id="626"/>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color w:val="auto"/>
          <w:sz w:val="24"/>
          <w:szCs w:val="24"/>
          <w:highlight w:val="none"/>
          <w:lang w:val="en-GB"/>
        </w:rPr>
        <w:t>通过调洪演算结果可得出</w:t>
      </w:r>
      <w:r>
        <w:rPr>
          <w:rFonts w:hint="default" w:ascii="Times New Roman" w:hAnsi="Times New Roman" w:eastAsia="宋体" w:cs="Times New Roman"/>
          <w:color w:val="auto"/>
          <w:sz w:val="24"/>
          <w:szCs w:val="24"/>
          <w:highlight w:val="none"/>
          <w:lang w:val="en-GB" w:eastAsia="zh-CN"/>
        </w:rPr>
        <w:t>，</w:t>
      </w:r>
      <w:r>
        <w:rPr>
          <w:rFonts w:hint="default" w:ascii="Times New Roman" w:hAnsi="Times New Roman" w:eastAsia="宋体" w:cs="Times New Roman"/>
          <w:color w:val="auto"/>
          <w:sz w:val="24"/>
          <w:szCs w:val="24"/>
          <w:highlight w:val="none"/>
        </w:rPr>
        <w:t>尾矿库运行期间</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遭遇设计频率洪水时最小干滩长度、安全超高均能满足规范要求。尾矿库防洪能力满足规范要求。</w:t>
      </w:r>
    </w:p>
    <w:bookmarkEnd w:id="622"/>
    <w:bookmarkEnd w:id="623"/>
    <w:bookmarkEnd w:id="624"/>
    <w:p>
      <w:pPr>
        <w:keepNext w:val="0"/>
        <w:keepLines w:val="0"/>
        <w:pageBreakBefore w:val="0"/>
        <w:widowControl w:val="0"/>
        <w:kinsoku/>
        <w:wordWrap/>
        <w:overflowPunct/>
        <w:topLinePunct w:val="0"/>
        <w:autoSpaceDE/>
        <w:autoSpaceDN/>
        <w:bidi w:val="0"/>
        <w:spacing w:line="360" w:lineRule="auto"/>
        <w:ind w:left="0" w:leftChars="0" w:right="0" w:rightChars="0"/>
        <w:outlineLvl w:val="1"/>
        <w:rPr>
          <w:rFonts w:hint="default" w:ascii="Times New Roman" w:hAnsi="Times New Roman" w:eastAsia="宋体" w:cs="Times New Roman"/>
          <w:b/>
          <w:bCs/>
          <w:color w:val="auto"/>
          <w:sz w:val="24"/>
          <w:szCs w:val="24"/>
          <w:highlight w:val="none"/>
        </w:rPr>
      </w:pPr>
      <w:bookmarkStart w:id="627" w:name="_Toc302373904"/>
      <w:bookmarkStart w:id="628" w:name="_Toc18951"/>
      <w:bookmarkStart w:id="629" w:name="_Toc4230"/>
      <w:bookmarkStart w:id="630" w:name="_Toc139446978"/>
      <w:r>
        <w:rPr>
          <w:rFonts w:hint="default" w:ascii="Times New Roman" w:hAnsi="Times New Roman" w:eastAsia="宋体" w:cs="Times New Roman"/>
          <w:b/>
          <w:bCs/>
          <w:color w:val="auto"/>
          <w:sz w:val="24"/>
          <w:szCs w:val="24"/>
          <w:highlight w:val="none"/>
          <w:lang w:val="en-US" w:eastAsia="zh-CN"/>
        </w:rPr>
        <w:t>2.3.3.18</w:t>
      </w:r>
      <w:r>
        <w:rPr>
          <w:rFonts w:hint="default" w:ascii="Times New Roman" w:hAnsi="Times New Roman" w:eastAsia="宋体" w:cs="Times New Roman"/>
          <w:b/>
          <w:bCs/>
          <w:color w:val="auto"/>
          <w:sz w:val="24"/>
          <w:szCs w:val="24"/>
          <w:highlight w:val="none"/>
        </w:rPr>
        <w:t>坝体稳定性</w:t>
      </w:r>
      <w:bookmarkEnd w:id="627"/>
      <w:r>
        <w:rPr>
          <w:rFonts w:hint="default" w:ascii="Times New Roman" w:hAnsi="Times New Roman" w:eastAsia="宋体" w:cs="Times New Roman"/>
          <w:b/>
          <w:bCs/>
          <w:color w:val="auto"/>
          <w:sz w:val="24"/>
          <w:szCs w:val="24"/>
          <w:highlight w:val="none"/>
        </w:rPr>
        <w:t>分析</w:t>
      </w:r>
      <w:bookmarkEnd w:id="628"/>
      <w:bookmarkEnd w:id="629"/>
      <w:bookmarkEnd w:id="630"/>
    </w:p>
    <w:p>
      <w:pPr>
        <w:keepNext w:val="0"/>
        <w:keepLines w:val="0"/>
        <w:pageBreakBefore w:val="0"/>
        <w:widowControl w:val="0"/>
        <w:kinsoku/>
        <w:wordWrap/>
        <w:overflowPunct/>
        <w:topLinePunct w:val="0"/>
        <w:autoSpaceDE/>
        <w:autoSpaceDN/>
        <w:bidi w:val="0"/>
        <w:spacing w:line="360" w:lineRule="auto"/>
        <w:ind w:left="0" w:leftChars="0" w:right="0" w:rightChars="0" w:firstLine="480" w:firstLineChars="200"/>
        <w:textAlignment w:val="auto"/>
        <w:outlineLvl w:val="0"/>
        <w:rPr>
          <w:rFonts w:hint="default" w:ascii="Times New Roman" w:hAnsi="Times New Roman" w:eastAsia="宋体" w:cs="Times New Roman"/>
          <w:color w:val="auto"/>
          <w:sz w:val="24"/>
          <w:szCs w:val="24"/>
          <w:highlight w:val="none"/>
        </w:rPr>
      </w:pPr>
      <w:bookmarkStart w:id="631" w:name="_Toc4518"/>
      <w:bookmarkStart w:id="632" w:name="_Toc139446979"/>
      <w:bookmarkStart w:id="633" w:name="_Toc2358"/>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尾矿库的等别及标准</w:t>
      </w:r>
      <w:bookmarkEnd w:id="631"/>
      <w:bookmarkEnd w:id="632"/>
      <w:bookmarkEnd w:id="633"/>
    </w:p>
    <w:p>
      <w:pPr>
        <w:keepNext w:val="0"/>
        <w:keepLines w:val="0"/>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bookmarkStart w:id="634" w:name="_Hlk75353380"/>
      <w:r>
        <w:rPr>
          <w:rFonts w:hint="default" w:ascii="Times New Roman" w:hAnsi="Times New Roman" w:eastAsia="宋体" w:cs="Times New Roman"/>
          <w:color w:val="auto"/>
          <w:sz w:val="24"/>
          <w:szCs w:val="24"/>
          <w:highlight w:val="none"/>
        </w:rPr>
        <w:t>尾矿库加高扩容后</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总坝高129m</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总库容为2145万m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尾矿库等别为二等。尾矿坝作为主要构筑物</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重要性级别为2级。</w:t>
      </w:r>
    </w:p>
    <w:p>
      <w:pPr>
        <w:keepNext w:val="0"/>
        <w:keepLines w:val="0"/>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根据《中国地震动参数区划图》（GB18306-2015）划分</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该地区设计基本地震动峰值加速度为0.20g</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地震基本烈度为8度。</w:t>
      </w:r>
    </w:p>
    <w:p>
      <w:pPr>
        <w:keepNext w:val="0"/>
        <w:keepLines w:val="0"/>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根据《尾矿库安全规程》（GB39496-2020）相关规定</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采用瑞典圆弧法和简化毕肖普法进行计算</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尾矿库不同工况下坝坡抗滑稳定最小安全系数见表</w:t>
      </w:r>
      <w:r>
        <w:rPr>
          <w:rFonts w:hint="default"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28</w:t>
      </w:r>
      <w:r>
        <w:rPr>
          <w:rFonts w:hint="default" w:ascii="Times New Roman" w:hAnsi="Times New Roman" w:eastAsia="宋体" w:cs="Times New Roman"/>
          <w:color w:val="auto"/>
          <w:sz w:val="24"/>
          <w:szCs w:val="24"/>
          <w:highlight w:val="none"/>
        </w:rPr>
        <w:t>。</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2" w:firstLineChars="200"/>
        <w:jc w:val="center"/>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表</w:t>
      </w:r>
      <w:r>
        <w:rPr>
          <w:rFonts w:hint="default" w:ascii="Times New Roman" w:hAnsi="Times New Roman" w:eastAsia="宋体" w:cs="Times New Roman"/>
          <w:b/>
          <w:bCs/>
          <w:color w:val="auto"/>
          <w:sz w:val="24"/>
          <w:szCs w:val="24"/>
          <w:highlight w:val="none"/>
          <w:lang w:val="en-US" w:eastAsia="zh-CN"/>
        </w:rPr>
        <w:t>2</w:t>
      </w:r>
      <w:r>
        <w:rPr>
          <w:rFonts w:hint="default" w:ascii="Times New Roman" w:hAnsi="Times New Roman" w:eastAsia="宋体" w:cs="Times New Roman"/>
          <w:b/>
          <w:bCs/>
          <w:color w:val="auto"/>
          <w:sz w:val="24"/>
          <w:szCs w:val="24"/>
          <w:highlight w:val="none"/>
        </w:rPr>
        <w:t>-</w:t>
      </w:r>
      <w:r>
        <w:rPr>
          <w:rFonts w:hint="default" w:ascii="Times New Roman" w:hAnsi="Times New Roman" w:eastAsia="宋体" w:cs="Times New Roman"/>
          <w:b/>
          <w:bCs/>
          <w:color w:val="auto"/>
          <w:sz w:val="24"/>
          <w:szCs w:val="24"/>
          <w:highlight w:val="none"/>
          <w:lang w:val="en-US" w:eastAsia="zh-CN"/>
        </w:rPr>
        <w:t>28</w:t>
      </w:r>
      <w:r>
        <w:rPr>
          <w:rFonts w:hint="default" w:ascii="Times New Roman" w:hAnsi="Times New Roman" w:eastAsia="宋体" w:cs="Times New Roman"/>
          <w:b/>
          <w:bCs/>
          <w:color w:val="auto"/>
          <w:sz w:val="24"/>
          <w:szCs w:val="24"/>
          <w:highlight w:val="none"/>
        </w:rPr>
        <w:t>坝坡抗滑稳定最小安全系数</w:t>
      </w:r>
    </w:p>
    <w:tbl>
      <w:tblPr>
        <w:tblStyle w:val="5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83"/>
        <w:gridCol w:w="2132"/>
        <w:gridCol w:w="34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blHeader/>
          <w:jc w:val="center"/>
        </w:trPr>
        <w:tc>
          <w:tcPr>
            <w:tcW w:w="175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计算方法</w:t>
            </w:r>
          </w:p>
        </w:tc>
        <w:tc>
          <w:tcPr>
            <w:tcW w:w="125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运行工况</w:t>
            </w:r>
          </w:p>
        </w:tc>
        <w:tc>
          <w:tcPr>
            <w:tcW w:w="199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规范要求的值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750"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瑞典圆弧法</w:t>
            </w:r>
          </w:p>
        </w:tc>
        <w:tc>
          <w:tcPr>
            <w:tcW w:w="125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正常运行</w:t>
            </w:r>
          </w:p>
        </w:tc>
        <w:tc>
          <w:tcPr>
            <w:tcW w:w="199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750"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125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洪水运行</w:t>
            </w:r>
          </w:p>
        </w:tc>
        <w:tc>
          <w:tcPr>
            <w:tcW w:w="199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750"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125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特殊运行</w:t>
            </w:r>
          </w:p>
        </w:tc>
        <w:tc>
          <w:tcPr>
            <w:tcW w:w="199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750"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简化毕肖普法</w:t>
            </w:r>
          </w:p>
        </w:tc>
        <w:tc>
          <w:tcPr>
            <w:tcW w:w="125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正常运行</w:t>
            </w:r>
          </w:p>
        </w:tc>
        <w:tc>
          <w:tcPr>
            <w:tcW w:w="199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750"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125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洪水运行</w:t>
            </w:r>
          </w:p>
        </w:tc>
        <w:tc>
          <w:tcPr>
            <w:tcW w:w="199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750"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125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特殊运行</w:t>
            </w:r>
          </w:p>
        </w:tc>
        <w:tc>
          <w:tcPr>
            <w:tcW w:w="199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1.15</w:t>
            </w:r>
          </w:p>
        </w:tc>
      </w:tr>
      <w:bookmarkEnd w:id="634"/>
    </w:tbl>
    <w:p>
      <w:pPr>
        <w:keepNext w:val="0"/>
        <w:keepLines w:val="0"/>
        <w:pageBreakBefore w:val="0"/>
        <w:widowControl w:val="0"/>
        <w:kinsoku/>
        <w:wordWrap/>
        <w:overflowPunct/>
        <w:topLinePunct w:val="0"/>
        <w:bidi w:val="0"/>
        <w:snapToGrid/>
        <w:spacing w:line="360" w:lineRule="auto"/>
        <w:ind w:left="0" w:leftChars="0" w:right="0" w:rightChars="0" w:firstLine="480" w:firstLineChars="200"/>
        <w:textAlignment w:val="auto"/>
        <w:outlineLvl w:val="0"/>
        <w:rPr>
          <w:rFonts w:hint="default" w:ascii="Times New Roman" w:hAnsi="Times New Roman" w:eastAsia="宋体" w:cs="Times New Roman"/>
          <w:color w:val="auto"/>
          <w:sz w:val="24"/>
          <w:szCs w:val="24"/>
          <w:highlight w:val="none"/>
        </w:rPr>
      </w:pPr>
      <w:bookmarkStart w:id="635" w:name="_Toc28743"/>
      <w:bookmarkStart w:id="636" w:name="_Toc2606"/>
      <w:bookmarkStart w:id="637" w:name="_Toc139446980"/>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lang w:eastAsia="zh-CN"/>
        </w:rPr>
        <w:t>）稳定性分析结果</w:t>
      </w:r>
      <w:bookmarkEnd w:id="635"/>
      <w:bookmarkEnd w:id="636"/>
    </w:p>
    <w:bookmarkEnd w:id="637"/>
    <w:p>
      <w:pPr>
        <w:keepNext w:val="0"/>
        <w:keepLines w:val="0"/>
        <w:pageBreakBefore w:val="0"/>
        <w:widowControl w:val="0"/>
        <w:kinsoku/>
        <w:wordWrap/>
        <w:overflowPunct/>
        <w:topLinePunct w:val="0"/>
        <w:autoSpaceDE w:val="0"/>
        <w:autoSpaceDN w:val="0"/>
        <w:bidi w:val="0"/>
        <w:adjustRightInd w:val="0"/>
        <w:snapToGrid/>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计算结果表明</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现状坝体在正常运行、洪水运行及特殊运行工况下</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采用两种方法计算的坝体抗滑稳定安全系数均能满足规范规定的要求。</w:t>
      </w:r>
    </w:p>
    <w:p>
      <w:pPr>
        <w:keepNext w:val="0"/>
        <w:keepLines w:val="0"/>
        <w:pageBreakBefore w:val="0"/>
        <w:widowControl w:val="0"/>
        <w:kinsoku/>
        <w:wordWrap/>
        <w:overflowPunct/>
        <w:topLinePunct w:val="0"/>
        <w:bidi w:val="0"/>
        <w:snapToGrid/>
        <w:spacing w:line="360" w:lineRule="auto"/>
        <w:ind w:left="0" w:leftChars="0" w:right="0" w:rightChars="0" w:firstLine="480" w:firstLineChars="200"/>
        <w:textAlignment w:val="auto"/>
        <w:rPr>
          <w:rFonts w:hint="default" w:ascii="Times New Roman" w:hAnsi="Times New Roman" w:eastAsia="宋体" w:cs="Times New Roman"/>
          <w:color w:val="auto"/>
          <w:szCs w:val="24"/>
          <w:highlight w:val="none"/>
        </w:rPr>
      </w:pPr>
      <w:r>
        <w:rPr>
          <w:rFonts w:hint="default" w:ascii="Times New Roman" w:hAnsi="Times New Roman" w:eastAsia="宋体" w:cs="Times New Roman"/>
          <w:color w:val="auto"/>
          <w:sz w:val="24"/>
          <w:szCs w:val="24"/>
          <w:highlight w:val="none"/>
        </w:rPr>
        <w:t>计算结果表明</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尾矿坝堆筑至1495时在正常运行、洪水运行及特殊运行工况下</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采用两种方法计算的坝体抗滑稳定安全系数均能满足规范规定的要求</w:t>
      </w:r>
      <w:r>
        <w:rPr>
          <w:rFonts w:hint="default" w:ascii="Times New Roman" w:hAnsi="Times New Roman" w:eastAsia="宋体" w:cs="Times New Roman"/>
          <w:color w:val="auto"/>
          <w:sz w:val="24"/>
          <w:szCs w:val="24"/>
          <w:highlight w:val="none"/>
          <w:lang w:eastAsia="zh-CN"/>
        </w:rPr>
        <w:t>。</w:t>
      </w:r>
    </w:p>
    <w:bookmarkEnd w:id="479"/>
    <w:bookmarkEnd w:id="489"/>
    <w:bookmarkEnd w:id="490"/>
    <w:p>
      <w:pPr>
        <w:pStyle w:val="5"/>
        <w:pageBreakBefore w:val="0"/>
        <w:numPr>
          <w:ilvl w:val="2"/>
          <w:numId w:val="0"/>
        </w:numPr>
        <w:wordWrap/>
        <w:bidi w:val="0"/>
        <w:ind w:left="0" w:leftChars="0" w:right="0" w:rightChars="0"/>
        <w:outlineLvl w:val="1"/>
        <w:rPr>
          <w:rFonts w:hint="default" w:ascii="Times New Roman" w:hAnsi="Times New Roman" w:eastAsia="宋体" w:cs="Times New Roman"/>
          <w:b/>
          <w:bCs/>
          <w:color w:val="auto"/>
          <w:kern w:val="0"/>
          <w:highlight w:val="none"/>
        </w:rPr>
      </w:pPr>
      <w:bookmarkStart w:id="638" w:name="_Toc29072"/>
      <w:bookmarkStart w:id="639" w:name="_Toc194733304"/>
      <w:bookmarkStart w:id="640" w:name="_Toc18586"/>
      <w:bookmarkStart w:id="641" w:name="_Toc8871"/>
      <w:bookmarkStart w:id="642" w:name="_Toc21471"/>
      <w:bookmarkStart w:id="643" w:name="_Toc260567878"/>
      <w:bookmarkStart w:id="644" w:name="_Toc288306176"/>
      <w:r>
        <w:rPr>
          <w:rFonts w:hint="default" w:ascii="Times New Roman" w:hAnsi="Times New Roman" w:eastAsia="宋体" w:cs="Times New Roman"/>
          <w:b/>
          <w:bCs/>
          <w:i w:val="0"/>
          <w:iCs w:val="0"/>
          <w:caps w:val="0"/>
          <w:smallCaps w:val="0"/>
          <w:strike w:val="0"/>
          <w:dstrike w:val="0"/>
          <w:vanish w:val="0"/>
          <w:color w:val="auto"/>
          <w:spacing w:val="0"/>
          <w:kern w:val="0"/>
          <w:position w:val="0"/>
          <w:sz w:val="24"/>
          <w:szCs w:val="24"/>
          <w:highlight w:val="none"/>
          <w:u w:val="none"/>
          <w:vertAlign w:val="baseline"/>
          <w:lang w:val="en-US" w:eastAsia="zh-CN" w:bidi="ar-SA"/>
          <w14:shadow w14:blurRad="0" w14:dist="0" w14:dir="0" w14:sx="0" w14:sy="0" w14:kx="0" w14:ky="0" w14:algn="none">
            <w14:srgbClr w14:val="000000"/>
          </w14:shadow>
        </w:rPr>
        <w:t>2.3.4</w:t>
      </w:r>
      <w:r>
        <w:rPr>
          <w:rFonts w:hint="default" w:ascii="Times New Roman" w:hAnsi="Times New Roman" w:eastAsia="宋体" w:cs="Times New Roman"/>
          <w:b/>
          <w:bCs/>
          <w:color w:val="auto"/>
          <w:kern w:val="0"/>
          <w:highlight w:val="none"/>
        </w:rPr>
        <w:t>公用工程</w:t>
      </w:r>
      <w:bookmarkEnd w:id="638"/>
      <w:bookmarkEnd w:id="639"/>
      <w:bookmarkEnd w:id="640"/>
      <w:bookmarkEnd w:id="641"/>
      <w:bookmarkEnd w:id="642"/>
      <w:bookmarkEnd w:id="643"/>
      <w:bookmarkEnd w:id="644"/>
    </w:p>
    <w:p>
      <w:pPr>
        <w:pageBreakBefore w:val="0"/>
        <w:wordWrap/>
        <w:bidi w:val="0"/>
        <w:spacing w:line="360" w:lineRule="auto"/>
        <w:ind w:left="0" w:leftChars="0" w:right="0" w:rightChars="0"/>
        <w:outlineLvl w:val="2"/>
        <w:rPr>
          <w:rFonts w:hint="default" w:ascii="Times New Roman" w:hAnsi="Times New Roman" w:eastAsia="宋体" w:cs="Times New Roman"/>
          <w:b/>
          <w:bCs/>
          <w:color w:val="auto"/>
          <w:sz w:val="24"/>
          <w:szCs w:val="32"/>
          <w:highlight w:val="none"/>
        </w:rPr>
      </w:pPr>
      <w:bookmarkStart w:id="645" w:name="_Toc288306177"/>
      <w:bookmarkStart w:id="646" w:name="_Toc10225"/>
      <w:bookmarkStart w:id="647" w:name="_Toc25836"/>
      <w:bookmarkStart w:id="648" w:name="_Toc260567881"/>
      <w:r>
        <w:rPr>
          <w:rFonts w:hint="default" w:ascii="Times New Roman" w:hAnsi="Times New Roman" w:eastAsia="宋体" w:cs="Times New Roman"/>
          <w:b/>
          <w:bCs/>
          <w:color w:val="auto"/>
          <w:sz w:val="24"/>
          <w:szCs w:val="32"/>
          <w:highlight w:val="none"/>
          <w:lang w:val="en-US" w:eastAsia="zh-CN"/>
        </w:rPr>
        <w:t>2.3.4.1</w:t>
      </w:r>
      <w:r>
        <w:rPr>
          <w:rFonts w:hint="default" w:ascii="Times New Roman" w:hAnsi="Times New Roman" w:eastAsia="宋体" w:cs="Times New Roman"/>
          <w:b/>
          <w:bCs/>
          <w:color w:val="auto"/>
          <w:sz w:val="24"/>
          <w:szCs w:val="32"/>
          <w:highlight w:val="none"/>
        </w:rPr>
        <w:t>给、排水工程</w:t>
      </w:r>
      <w:bookmarkEnd w:id="645"/>
      <w:bookmarkEnd w:id="646"/>
      <w:bookmarkEnd w:id="647"/>
      <w:bookmarkEnd w:id="648"/>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szCs w:val="32"/>
          <w:highlight w:val="none"/>
        </w:rPr>
      </w:pPr>
      <w:r>
        <w:rPr>
          <w:rFonts w:hint="default" w:ascii="Times New Roman" w:hAnsi="Times New Roman" w:eastAsia="宋体" w:cs="Times New Roman"/>
          <w:bCs/>
          <w:color w:val="auto"/>
          <w:sz w:val="24"/>
          <w:szCs w:val="24"/>
          <w:highlight w:val="none"/>
        </w:rPr>
        <w:t>本项目无新增劳动定员</w:t>
      </w:r>
      <w:r>
        <w:rPr>
          <w:rFonts w:hint="default" w:ascii="Times New Roman" w:hAnsi="Times New Roman" w:eastAsia="宋体"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rPr>
        <w:t>无新增生活用水。</w:t>
      </w:r>
      <w:r>
        <w:rPr>
          <w:rFonts w:hint="default" w:ascii="Times New Roman" w:hAnsi="Times New Roman" w:eastAsia="宋体" w:cs="Times New Roman"/>
          <w:bCs/>
          <w:color w:val="auto"/>
          <w:sz w:val="24"/>
          <w:szCs w:val="24"/>
          <w:highlight w:val="none"/>
          <w:lang w:eastAsia="zh-CN"/>
        </w:rPr>
        <w:t>生产用水由</w:t>
      </w:r>
      <w:r>
        <w:rPr>
          <w:rFonts w:hint="default" w:ascii="Times New Roman" w:hAnsi="Times New Roman" w:eastAsia="宋体" w:cs="Times New Roman"/>
          <w:color w:val="auto"/>
          <w:sz w:val="24"/>
          <w:szCs w:val="32"/>
          <w:highlight w:val="none"/>
        </w:rPr>
        <w:t>选矿厂现有高位水池</w:t>
      </w:r>
      <w:r>
        <w:rPr>
          <w:rFonts w:hint="default" w:ascii="Times New Roman" w:hAnsi="Times New Roman" w:eastAsia="宋体" w:cs="Times New Roman"/>
          <w:color w:val="auto"/>
          <w:sz w:val="24"/>
          <w:szCs w:val="32"/>
          <w:highlight w:val="none"/>
          <w:lang w:eastAsia="zh-CN"/>
        </w:rPr>
        <w:t>供给</w:t>
      </w:r>
      <w:r>
        <w:rPr>
          <w:rFonts w:hint="default" w:ascii="Times New Roman" w:hAnsi="Times New Roman" w:eastAsia="宋体" w:cs="Times New Roman"/>
          <w:color w:val="auto"/>
          <w:sz w:val="24"/>
          <w:szCs w:val="32"/>
          <w:highlight w:val="none"/>
        </w:rPr>
        <w:t>。</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bCs/>
          <w:color w:val="auto"/>
          <w:sz w:val="24"/>
          <w:szCs w:val="24"/>
          <w:highlight w:val="none"/>
          <w:lang w:eastAsia="zh-CN"/>
        </w:rPr>
        <w:t>洒水抑尘用水采用洒水车运输，</w:t>
      </w:r>
      <w:r>
        <w:rPr>
          <w:rFonts w:hint="default" w:ascii="Times New Roman" w:hAnsi="Times New Roman" w:eastAsia="宋体" w:cs="Times New Roman"/>
          <w:bCs/>
          <w:color w:val="auto"/>
          <w:sz w:val="24"/>
          <w:szCs w:val="24"/>
          <w:highlight w:val="none"/>
          <w:lang w:val="en-US" w:eastAsia="zh-CN"/>
        </w:rPr>
        <w:t>水管进行喷洒</w:t>
      </w:r>
      <w:r>
        <w:rPr>
          <w:rFonts w:hint="default" w:ascii="Times New Roman" w:hAnsi="Times New Roman" w:eastAsia="宋体" w:cs="Times New Roman"/>
          <w:bCs/>
          <w:color w:val="auto"/>
          <w:sz w:val="24"/>
          <w:szCs w:val="24"/>
          <w:highlight w:val="none"/>
          <w:lang w:eastAsia="zh-CN"/>
        </w:rPr>
        <w:t>。</w:t>
      </w:r>
    </w:p>
    <w:p>
      <w:pPr>
        <w:pageBreakBefore w:val="0"/>
        <w:wordWrap/>
        <w:bidi w:val="0"/>
        <w:spacing w:line="360" w:lineRule="auto"/>
        <w:ind w:left="0" w:leftChars="0" w:right="0" w:rightChars="0"/>
        <w:outlineLvl w:val="2"/>
        <w:rPr>
          <w:rFonts w:hint="default" w:ascii="Times New Roman" w:hAnsi="Times New Roman" w:eastAsia="宋体" w:cs="Times New Roman"/>
          <w:b/>
          <w:bCs/>
          <w:color w:val="auto"/>
          <w:sz w:val="24"/>
          <w:szCs w:val="32"/>
          <w:highlight w:val="none"/>
          <w:lang w:val="en-US" w:eastAsia="zh-CN"/>
        </w:rPr>
      </w:pPr>
      <w:bookmarkStart w:id="649" w:name="_Toc269188304"/>
      <w:bookmarkEnd w:id="649"/>
      <w:bookmarkStart w:id="650" w:name="_Toc269188305"/>
      <w:bookmarkEnd w:id="650"/>
      <w:bookmarkStart w:id="651" w:name="_Toc260567882"/>
      <w:bookmarkStart w:id="652" w:name="_Toc4988"/>
      <w:bookmarkStart w:id="653" w:name="_Toc288306178"/>
      <w:bookmarkStart w:id="654" w:name="_Toc23115"/>
      <w:r>
        <w:rPr>
          <w:rFonts w:hint="default" w:ascii="Times New Roman" w:hAnsi="Times New Roman" w:eastAsia="宋体" w:cs="Times New Roman"/>
          <w:b/>
          <w:bCs/>
          <w:color w:val="auto"/>
          <w:sz w:val="24"/>
          <w:szCs w:val="32"/>
          <w:highlight w:val="none"/>
          <w:lang w:val="en-US" w:eastAsia="zh-CN"/>
        </w:rPr>
        <w:t>2.3.4.2供暖工程</w:t>
      </w:r>
      <w:bookmarkEnd w:id="651"/>
      <w:bookmarkEnd w:id="652"/>
      <w:bookmarkEnd w:id="653"/>
      <w:bookmarkEnd w:id="654"/>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本项目泵站、值班室采用电热供暖方式。</w:t>
      </w:r>
    </w:p>
    <w:p>
      <w:pPr>
        <w:pageBreakBefore w:val="0"/>
        <w:wordWrap/>
        <w:bidi w:val="0"/>
        <w:spacing w:line="360" w:lineRule="auto"/>
        <w:ind w:left="0" w:leftChars="0" w:right="0" w:rightChars="0"/>
        <w:outlineLvl w:val="2"/>
        <w:rPr>
          <w:rFonts w:hint="default" w:ascii="Times New Roman" w:hAnsi="Times New Roman" w:eastAsia="宋体" w:cs="Times New Roman"/>
          <w:b/>
          <w:bCs/>
          <w:color w:val="auto"/>
          <w:sz w:val="24"/>
          <w:szCs w:val="32"/>
          <w:highlight w:val="none"/>
          <w:lang w:val="en-US" w:eastAsia="zh-CN"/>
        </w:rPr>
      </w:pPr>
      <w:bookmarkStart w:id="655" w:name="_Toc148080014"/>
      <w:bookmarkStart w:id="656" w:name="_Toc26632"/>
      <w:bookmarkStart w:id="657" w:name="_Toc11420"/>
      <w:bookmarkStart w:id="658" w:name="_Toc260567884"/>
      <w:bookmarkStart w:id="659" w:name="_Toc288306180"/>
      <w:r>
        <w:rPr>
          <w:rFonts w:hint="default" w:ascii="Times New Roman" w:hAnsi="Times New Roman" w:eastAsia="宋体" w:cs="Times New Roman"/>
          <w:b/>
          <w:bCs/>
          <w:color w:val="auto"/>
          <w:sz w:val="24"/>
          <w:szCs w:val="32"/>
          <w:highlight w:val="none"/>
          <w:lang w:val="en-US" w:eastAsia="zh-CN"/>
        </w:rPr>
        <w:t>2.3.4.3供电</w:t>
      </w:r>
      <w:bookmarkEnd w:id="655"/>
      <w:r>
        <w:rPr>
          <w:rFonts w:hint="default" w:ascii="Times New Roman" w:hAnsi="Times New Roman" w:eastAsia="宋体" w:cs="Times New Roman"/>
          <w:b/>
          <w:bCs/>
          <w:color w:val="auto"/>
          <w:sz w:val="24"/>
          <w:szCs w:val="32"/>
          <w:highlight w:val="none"/>
          <w:lang w:val="en-US" w:eastAsia="zh-CN"/>
        </w:rPr>
        <w:t>工程</w:t>
      </w:r>
      <w:bookmarkEnd w:id="656"/>
      <w:bookmarkEnd w:id="657"/>
      <w:bookmarkEnd w:id="658"/>
      <w:bookmarkEnd w:id="659"/>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从初期坝下游回水泵站10kV变电所引来1回10kV电源</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采用10kV架空线路</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导线采用LGJ-70型钢芯铝绞线</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供电距离约为0.7km。</w:t>
      </w:r>
    </w:p>
    <w:p>
      <w:pPr>
        <w:pStyle w:val="5"/>
        <w:pageBreakBefore w:val="0"/>
        <w:numPr>
          <w:ilvl w:val="2"/>
          <w:numId w:val="0"/>
        </w:numPr>
        <w:wordWrap/>
        <w:bidi w:val="0"/>
        <w:ind w:left="0" w:leftChars="0" w:right="0" w:rightChars="0"/>
        <w:outlineLvl w:val="1"/>
        <w:rPr>
          <w:rFonts w:hint="default" w:ascii="Times New Roman" w:hAnsi="Times New Roman" w:eastAsia="宋体" w:cs="Times New Roman"/>
          <w:b/>
          <w:bCs/>
          <w:snapToGrid w:val="0"/>
          <w:color w:val="auto"/>
          <w:kern w:val="0"/>
          <w:highlight w:val="none"/>
        </w:rPr>
      </w:pPr>
      <w:bookmarkStart w:id="660" w:name="_Toc260567886"/>
      <w:bookmarkStart w:id="661" w:name="_Toc3948"/>
      <w:bookmarkStart w:id="662" w:name="_Toc10765"/>
      <w:bookmarkStart w:id="663" w:name="_Toc194733305"/>
      <w:bookmarkStart w:id="664" w:name="_Toc13990"/>
      <w:bookmarkStart w:id="665" w:name="_Toc288306183"/>
      <w:bookmarkStart w:id="666" w:name="_Toc31116"/>
      <w:r>
        <w:rPr>
          <w:rFonts w:hint="default" w:ascii="Times New Roman" w:hAnsi="Times New Roman" w:eastAsia="宋体" w:cs="Times New Roman"/>
          <w:b/>
          <w:bCs/>
          <w:i w:val="0"/>
          <w:iCs w:val="0"/>
          <w:caps w:val="0"/>
          <w:smallCaps w:val="0"/>
          <w:strike w:val="0"/>
          <w:dstrike w:val="0"/>
          <w:snapToGrid w:val="0"/>
          <w:vanish w:val="0"/>
          <w:color w:val="auto"/>
          <w:spacing w:val="0"/>
          <w:kern w:val="0"/>
          <w:position w:val="0"/>
          <w:sz w:val="24"/>
          <w:szCs w:val="24"/>
          <w:highlight w:val="none"/>
          <w:u w:val="none"/>
          <w:vertAlign w:val="baseline"/>
          <w:lang w:val="en-US" w:eastAsia="zh-CN" w:bidi="ar-SA"/>
          <w14:shadow w14:blurRad="0" w14:dist="0" w14:dir="0" w14:sx="0" w14:sy="0" w14:kx="0" w14:ky="0" w14:algn="none">
            <w14:srgbClr w14:val="000000"/>
          </w14:shadow>
        </w:rPr>
        <w:t>2.3.5</w:t>
      </w:r>
      <w:r>
        <w:rPr>
          <w:rFonts w:hint="default" w:ascii="Times New Roman" w:hAnsi="Times New Roman" w:eastAsia="宋体" w:cs="Times New Roman"/>
          <w:b/>
          <w:bCs/>
          <w:snapToGrid w:val="0"/>
          <w:color w:val="auto"/>
          <w:kern w:val="0"/>
          <w:highlight w:val="none"/>
        </w:rPr>
        <w:t>建设进度</w:t>
      </w:r>
      <w:bookmarkEnd w:id="660"/>
      <w:bookmarkEnd w:id="661"/>
      <w:bookmarkEnd w:id="662"/>
      <w:bookmarkEnd w:id="663"/>
      <w:bookmarkEnd w:id="664"/>
      <w:bookmarkEnd w:id="665"/>
      <w:bookmarkEnd w:id="666"/>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本项目计划于</w:t>
      </w:r>
      <w:r>
        <w:rPr>
          <w:rFonts w:hint="default" w:ascii="Times New Roman" w:hAnsi="Times New Roman" w:eastAsia="宋体" w:cs="Times New Roman"/>
          <w:color w:val="auto"/>
          <w:sz w:val="24"/>
          <w:szCs w:val="24"/>
          <w:highlight w:val="none"/>
        </w:rPr>
        <w:t>202</w:t>
      </w:r>
      <w:r>
        <w:rPr>
          <w:rFonts w:hint="default" w:ascii="Times New Roman" w:hAnsi="Times New Roman" w:eastAsia="宋体"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rPr>
        <w:t>年</w:t>
      </w:r>
      <w:r>
        <w:rPr>
          <w:rFonts w:hint="default"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rPr>
        <w:t>月开工建设</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于202</w:t>
      </w:r>
      <w:r>
        <w:rPr>
          <w:rFonts w:hint="default" w:ascii="Times New Roman" w:hAnsi="Times New Roman" w:eastAsia="宋体" w:cs="Times New Roman"/>
          <w:color w:val="auto"/>
          <w:sz w:val="24"/>
          <w:szCs w:val="24"/>
          <w:highlight w:val="none"/>
          <w:lang w:val="en-US" w:eastAsia="zh-CN"/>
        </w:rPr>
        <w:t>4</w:t>
      </w:r>
      <w:r>
        <w:rPr>
          <w:rFonts w:hint="default" w:ascii="Times New Roman" w:hAnsi="Times New Roman" w:eastAsia="宋体" w:cs="Times New Roman"/>
          <w:color w:val="auto"/>
          <w:sz w:val="24"/>
          <w:szCs w:val="24"/>
          <w:highlight w:val="none"/>
        </w:rPr>
        <w:t>年</w:t>
      </w:r>
      <w:r>
        <w:rPr>
          <w:rFonts w:hint="default" w:ascii="Times New Roman" w:hAnsi="Times New Roman" w:eastAsia="宋体" w:cs="Times New Roman"/>
          <w:color w:val="auto"/>
          <w:sz w:val="24"/>
          <w:szCs w:val="24"/>
          <w:highlight w:val="none"/>
          <w:lang w:val="en-US" w:eastAsia="zh-CN"/>
        </w:rPr>
        <w:t>6</w:t>
      </w:r>
      <w:r>
        <w:rPr>
          <w:rFonts w:hint="default" w:ascii="Times New Roman" w:hAnsi="Times New Roman" w:eastAsia="宋体" w:cs="Times New Roman"/>
          <w:color w:val="auto"/>
          <w:sz w:val="24"/>
          <w:szCs w:val="24"/>
          <w:highlight w:val="none"/>
        </w:rPr>
        <w:t>月投入运</w:t>
      </w:r>
      <w:r>
        <w:rPr>
          <w:rFonts w:hint="default" w:ascii="Times New Roman" w:hAnsi="Times New Roman" w:eastAsia="宋体" w:cs="Times New Roman"/>
          <w:color w:val="auto"/>
          <w:sz w:val="24"/>
          <w:szCs w:val="24"/>
          <w:highlight w:val="none"/>
          <w:lang w:eastAsia="zh-CN"/>
        </w:rPr>
        <w:t>营</w:t>
      </w:r>
      <w:r>
        <w:rPr>
          <w:rFonts w:hint="default" w:ascii="Times New Roman" w:hAnsi="Times New Roman" w:eastAsia="宋体" w:cs="Times New Roman"/>
          <w:color w:val="auto"/>
          <w:sz w:val="24"/>
          <w:highlight w:val="none"/>
        </w:rPr>
        <w:t>。</w:t>
      </w:r>
    </w:p>
    <w:p>
      <w:pPr>
        <w:pStyle w:val="5"/>
        <w:pageBreakBefore w:val="0"/>
        <w:numPr>
          <w:ilvl w:val="2"/>
          <w:numId w:val="0"/>
        </w:numPr>
        <w:wordWrap/>
        <w:bidi w:val="0"/>
        <w:ind w:left="0" w:leftChars="0" w:right="0" w:rightChars="0"/>
        <w:outlineLvl w:val="1"/>
        <w:rPr>
          <w:rFonts w:hint="default" w:ascii="Times New Roman" w:hAnsi="Times New Roman" w:eastAsia="宋体" w:cs="Times New Roman"/>
          <w:b/>
          <w:bCs/>
          <w:color w:val="auto"/>
          <w:highlight w:val="none"/>
        </w:rPr>
      </w:pPr>
      <w:bookmarkStart w:id="667" w:name="_Toc29057"/>
      <w:bookmarkStart w:id="668" w:name="_Toc2650"/>
      <w:bookmarkStart w:id="669" w:name="_Toc26558"/>
      <w:bookmarkStart w:id="670" w:name="_Toc22904"/>
      <w:r>
        <w:rPr>
          <w:rFonts w:hint="default" w:ascii="Times New Roman" w:hAnsi="Times New Roman" w:eastAsia="宋体" w:cs="Times New Roman"/>
          <w:b/>
          <w:bCs/>
          <w:i w:val="0"/>
          <w:iCs w:val="0"/>
          <w:caps w:val="0"/>
          <w:smallCaps w:val="0"/>
          <w:strike w:val="0"/>
          <w:dstrike w:val="0"/>
          <w:vanish w:val="0"/>
          <w:color w:val="auto"/>
          <w:spacing w:val="0"/>
          <w:kern w:val="2"/>
          <w:position w:val="0"/>
          <w:sz w:val="24"/>
          <w:szCs w:val="24"/>
          <w:highlight w:val="none"/>
          <w:u w:val="none"/>
          <w:vertAlign w:val="baseline"/>
          <w:lang w:val="en-US" w:eastAsia="zh-CN" w:bidi="ar-SA"/>
          <w14:shadow w14:blurRad="0" w14:dist="0" w14:dir="0" w14:sx="0" w14:sy="0" w14:kx="0" w14:ky="0" w14:algn="none">
            <w14:srgbClr w14:val="000000"/>
          </w14:shadow>
        </w:rPr>
        <w:t>2.3.6</w:t>
      </w:r>
      <w:r>
        <w:rPr>
          <w:rFonts w:hint="default" w:ascii="Times New Roman" w:hAnsi="Times New Roman" w:eastAsia="宋体" w:cs="Times New Roman"/>
          <w:b/>
          <w:bCs/>
          <w:color w:val="auto"/>
          <w:highlight w:val="none"/>
        </w:rPr>
        <w:t>占地面积与总平面布置</w:t>
      </w:r>
      <w:bookmarkEnd w:id="667"/>
      <w:bookmarkEnd w:id="668"/>
      <w:bookmarkEnd w:id="669"/>
      <w:bookmarkEnd w:id="670"/>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bCs/>
          <w:color w:val="auto"/>
          <w:sz w:val="24"/>
          <w:szCs w:val="24"/>
          <w:highlight w:val="none"/>
          <w:lang w:bidi="en-US"/>
        </w:rPr>
        <w:t>本次扩建</w:t>
      </w:r>
      <w:r>
        <w:rPr>
          <w:rFonts w:hint="default" w:ascii="Times New Roman" w:hAnsi="Times New Roman" w:eastAsia="宋体" w:cs="Times New Roman"/>
          <w:color w:val="auto"/>
          <w:sz w:val="24"/>
          <w:szCs w:val="24"/>
          <w:highlight w:val="none"/>
        </w:rPr>
        <w:t>内容为</w:t>
      </w:r>
      <w:r>
        <w:rPr>
          <w:rFonts w:hint="default" w:ascii="Times New Roman" w:hAnsi="Times New Roman" w:eastAsia="宋体" w:cs="Times New Roman"/>
          <w:color w:val="auto"/>
          <w:sz w:val="24"/>
          <w:szCs w:val="24"/>
          <w:highlight w:val="none"/>
          <w:lang w:eastAsia="zh-CN"/>
        </w:rPr>
        <w:t>：对</w:t>
      </w:r>
      <w:r>
        <w:rPr>
          <w:rFonts w:hint="default" w:ascii="Times New Roman" w:hAnsi="Times New Roman" w:eastAsia="宋体" w:cs="Times New Roman"/>
          <w:color w:val="auto"/>
          <w:sz w:val="24"/>
          <w:szCs w:val="24"/>
          <w:highlight w:val="none"/>
        </w:rPr>
        <w:t>西沙德盖钼业公司现有尾矿库进行加高扩容</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扩建后</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尾矿库</w:t>
      </w:r>
      <w:r>
        <w:rPr>
          <w:rFonts w:hint="default" w:ascii="Times New Roman" w:hAnsi="Times New Roman" w:eastAsia="宋体" w:cs="Times New Roman"/>
          <w:color w:val="auto"/>
          <w:sz w:val="24"/>
          <w:szCs w:val="24"/>
          <w:highlight w:val="none"/>
          <w:lang w:eastAsia="zh-CN"/>
        </w:rPr>
        <w:t>占地面积</w:t>
      </w:r>
      <w:r>
        <w:rPr>
          <w:rFonts w:hint="default" w:ascii="Times New Roman" w:hAnsi="Times New Roman" w:eastAsia="宋体" w:cs="Times New Roman"/>
          <w:color w:val="auto"/>
          <w:sz w:val="24"/>
          <w:szCs w:val="24"/>
          <w:highlight w:val="none"/>
        </w:rPr>
        <w:t>由现有</w:t>
      </w:r>
      <w:r>
        <w:rPr>
          <w:rFonts w:hint="default" w:ascii="Times New Roman" w:hAnsi="Times New Roman" w:eastAsia="宋体" w:cs="Times New Roman"/>
          <w:color w:val="auto"/>
          <w:sz w:val="24"/>
          <w:highlight w:val="none"/>
        </w:rPr>
        <w:t>378655.29m</w:t>
      </w:r>
      <w:r>
        <w:rPr>
          <w:rFonts w:hint="default" w:ascii="Times New Roman" w:hAnsi="Times New Roman" w:eastAsia="宋体" w:cs="Times New Roman"/>
          <w:color w:val="auto"/>
          <w:sz w:val="24"/>
          <w:highlight w:val="none"/>
          <w:vertAlign w:val="superscript"/>
        </w:rPr>
        <w:t>2</w:t>
      </w:r>
      <w:r>
        <w:rPr>
          <w:rFonts w:hint="default" w:ascii="Times New Roman" w:hAnsi="Times New Roman" w:eastAsia="宋体" w:cs="Times New Roman"/>
          <w:color w:val="auto"/>
          <w:sz w:val="24"/>
          <w:highlight w:val="none"/>
          <w:vertAlign w:val="baseline"/>
          <w:lang w:eastAsia="zh-CN"/>
        </w:rPr>
        <w:t>扩大</w:t>
      </w:r>
      <w:r>
        <w:rPr>
          <w:rFonts w:hint="default" w:ascii="Times New Roman" w:hAnsi="Times New Roman" w:eastAsia="宋体" w:cs="Times New Roman"/>
          <w:color w:val="auto"/>
          <w:sz w:val="24"/>
          <w:szCs w:val="24"/>
          <w:highlight w:val="none"/>
        </w:rPr>
        <w:t>至</w:t>
      </w:r>
      <w:r>
        <w:rPr>
          <w:rFonts w:hint="default" w:ascii="Times New Roman" w:hAnsi="Times New Roman" w:eastAsia="宋体" w:cs="Times New Roman"/>
          <w:color w:val="auto"/>
          <w:sz w:val="24"/>
          <w:szCs w:val="24"/>
          <w:highlight w:val="none"/>
          <w:lang w:val="en-US" w:eastAsia="zh-CN"/>
        </w:rPr>
        <w:t>591800m</w:t>
      </w:r>
      <w:r>
        <w:rPr>
          <w:rFonts w:hint="default" w:ascii="Times New Roman" w:hAnsi="Times New Roman" w:eastAsia="宋体" w:cs="Times New Roman"/>
          <w:color w:val="auto"/>
          <w:sz w:val="24"/>
          <w:szCs w:val="24"/>
          <w:highlight w:val="none"/>
          <w:vertAlign w:val="superscript"/>
          <w:lang w:val="en-US" w:eastAsia="zh-CN"/>
        </w:rPr>
        <w:t>2</w:t>
      </w:r>
      <w:r>
        <w:rPr>
          <w:rFonts w:hint="default" w:ascii="Times New Roman" w:hAnsi="Times New Roman" w:eastAsia="宋体" w:cs="Times New Roman"/>
          <w:color w:val="auto"/>
          <w:sz w:val="24"/>
          <w:szCs w:val="24"/>
          <w:highlight w:val="none"/>
          <w:lang w:eastAsia="zh-CN"/>
        </w:rPr>
        <w:t>（新增占地面积</w:t>
      </w:r>
      <w:r>
        <w:rPr>
          <w:rFonts w:hint="default" w:ascii="Times New Roman" w:hAnsi="Times New Roman" w:eastAsia="宋体" w:cs="Times New Roman"/>
          <w:color w:val="auto"/>
          <w:sz w:val="24"/>
          <w:szCs w:val="24"/>
          <w:highlight w:val="none"/>
          <w:lang w:val="en-US" w:eastAsia="zh-CN"/>
        </w:rPr>
        <w:t>213144.71m</w:t>
      </w:r>
      <w:r>
        <w:rPr>
          <w:rFonts w:hint="default" w:ascii="Times New Roman" w:hAnsi="Times New Roman" w:eastAsia="宋体" w:cs="Times New Roman"/>
          <w:color w:val="auto"/>
          <w:sz w:val="24"/>
          <w:szCs w:val="24"/>
          <w:highlight w:val="none"/>
          <w:vertAlign w:val="superscript"/>
          <w:lang w:val="en-US" w:eastAsia="zh-CN"/>
        </w:rPr>
        <w:t>2</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新增占地性质为其他草原，土地手续正在办理中</w:t>
      </w:r>
      <w:r>
        <w:rPr>
          <w:rFonts w:hint="default" w:ascii="Times New Roman" w:hAnsi="Times New Roman" w:eastAsia="宋体" w:cs="Times New Roman"/>
          <w:color w:val="auto"/>
          <w:sz w:val="24"/>
          <w:highlight w:val="none"/>
        </w:rPr>
        <w:t>。</w:t>
      </w:r>
    </w:p>
    <w:p>
      <w:pPr>
        <w:pageBreakBefore w:val="0"/>
        <w:wordWrap/>
        <w:bidi w:val="0"/>
        <w:spacing w:line="360" w:lineRule="auto"/>
        <w:ind w:left="0" w:leftChars="0" w:right="0" w:rightChars="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32"/>
          <w:highlight w:val="none"/>
        </w:rPr>
        <mc:AlternateContent>
          <mc:Choice Requires="wps">
            <w:drawing>
              <wp:anchor distT="0" distB="0" distL="114300" distR="114300" simplePos="0" relativeHeight="251734016" behindDoc="0" locked="0" layoutInCell="1" allowOverlap="1">
                <wp:simplePos x="0" y="0"/>
                <wp:positionH relativeFrom="column">
                  <wp:posOffset>1783715</wp:posOffset>
                </wp:positionH>
                <wp:positionV relativeFrom="paragraph">
                  <wp:posOffset>3387725</wp:posOffset>
                </wp:positionV>
                <wp:extent cx="1060450" cy="325755"/>
                <wp:effectExtent l="0" t="0" r="0" b="0"/>
                <wp:wrapNone/>
                <wp:docPr id="118" name="矩形 118"/>
                <wp:cNvGraphicFramePr/>
                <a:graphic xmlns:a="http://schemas.openxmlformats.org/drawingml/2006/main">
                  <a:graphicData uri="http://schemas.microsoft.com/office/word/2010/wordprocessingShape">
                    <wps:wsp>
                      <wps:cNvSpPr/>
                      <wps:spPr>
                        <a:xfrm>
                          <a:off x="0" y="0"/>
                          <a:ext cx="1060450" cy="32575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keepNext w:val="0"/>
                              <w:keepLines w:val="0"/>
                              <w:pageBreakBefore w:val="0"/>
                              <w:widowControl w:val="0"/>
                              <w:kinsoku/>
                              <w:wordWrap/>
                              <w:overflowPunct/>
                              <w:topLinePunct/>
                              <w:autoSpaceDE w:val="0"/>
                              <w:autoSpaceDN/>
                              <w:bidi w:val="0"/>
                              <w:adjustRightInd/>
                              <w:snapToGrid/>
                              <w:spacing w:line="240" w:lineRule="auto"/>
                              <w:ind w:firstLine="0" w:firstLineChars="0"/>
                              <w:jc w:val="center"/>
                              <w:textAlignment w:val="auto"/>
                              <w:rPr>
                                <w:b/>
                                <w:bCs/>
                                <w:color w:val="FFFF00"/>
                                <w:sz w:val="24"/>
                                <w:szCs w:val="24"/>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cs="Times New Roman"/>
                                <w:b/>
                                <w:bCs/>
                                <w:color w:val="FFFF00"/>
                                <w:sz w:val="24"/>
                                <w:szCs w:val="24"/>
                                <w:highlight w:val="none"/>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排土场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40.45pt;margin-top:266.75pt;height:25.65pt;width:83.5pt;z-index:251734016;v-text-anchor:middle;mso-width-relative:page;mso-height-relative:page;" filled="f" stroked="f" coordsize="21600,21600" o:gfxdata="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JOvsN/ZAAAACwEAAA8AAAAAAAAAAQAgAAAAIgAAAGRycy9kb3ducmV2LnhtbFBLAQIUABQA&#10;AAAIAIdO4kDRFMJYYQIAALEEAAAOAAAAAAAAAAEAIAAAACgBAABkcnMvZTJvRG9jLnhtbFBLBQYA&#10;AAAABgAGAFkBAAD7BQAAAAA=&#10;">
                <v:fill on="f" focussize="0,0"/>
                <v:stroke on="f" weight="1pt" miterlimit="8" joinstyle="miter"/>
                <v:imagedata o:title=""/>
                <o:lock v:ext="edit" aspectratio="f"/>
                <v:textbox>
                  <w:txbxContent>
                    <w:p>
                      <w:pPr>
                        <w:keepNext w:val="0"/>
                        <w:keepLines w:val="0"/>
                        <w:pageBreakBefore w:val="0"/>
                        <w:widowControl w:val="0"/>
                        <w:kinsoku/>
                        <w:wordWrap/>
                        <w:overflowPunct/>
                        <w:topLinePunct/>
                        <w:autoSpaceDE w:val="0"/>
                        <w:autoSpaceDN/>
                        <w:bidi w:val="0"/>
                        <w:adjustRightInd/>
                        <w:snapToGrid/>
                        <w:spacing w:line="240" w:lineRule="auto"/>
                        <w:ind w:firstLine="0" w:firstLineChars="0"/>
                        <w:jc w:val="center"/>
                        <w:textAlignment w:val="auto"/>
                        <w:rPr>
                          <w:b/>
                          <w:bCs/>
                          <w:color w:val="FFFF00"/>
                          <w:sz w:val="24"/>
                          <w:szCs w:val="24"/>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cs="Times New Roman"/>
                          <w:b/>
                          <w:bCs/>
                          <w:color w:val="FFFF00"/>
                          <w:sz w:val="24"/>
                          <w:szCs w:val="24"/>
                          <w:highlight w:val="none"/>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排土场</w:t>
                      </w:r>
                    </w:p>
                  </w:txbxContent>
                </v:textbox>
              </v:rect>
            </w:pict>
          </mc:Fallback>
        </mc:AlternateContent>
      </w:r>
      <w:r>
        <w:rPr>
          <w:rFonts w:hint="default" w:ascii="Times New Roman" w:hAnsi="Times New Roman" w:eastAsia="宋体" w:cs="Times New Roman"/>
          <w:color w:val="auto"/>
          <w:sz w:val="32"/>
          <w:highlight w:val="none"/>
        </w:rPr>
        <mc:AlternateContent>
          <mc:Choice Requires="wps">
            <w:drawing>
              <wp:anchor distT="0" distB="0" distL="114300" distR="114300" simplePos="0" relativeHeight="251731968" behindDoc="0" locked="0" layoutInCell="1" allowOverlap="1">
                <wp:simplePos x="0" y="0"/>
                <wp:positionH relativeFrom="column">
                  <wp:posOffset>640080</wp:posOffset>
                </wp:positionH>
                <wp:positionV relativeFrom="paragraph">
                  <wp:posOffset>3065780</wp:posOffset>
                </wp:positionV>
                <wp:extent cx="1625600" cy="325755"/>
                <wp:effectExtent l="0" t="0" r="0" b="0"/>
                <wp:wrapNone/>
                <wp:docPr id="10" name="矩形 10"/>
                <wp:cNvGraphicFramePr/>
                <a:graphic xmlns:a="http://schemas.openxmlformats.org/drawingml/2006/main">
                  <a:graphicData uri="http://schemas.microsoft.com/office/word/2010/wordprocessingShape">
                    <wps:wsp>
                      <wps:cNvSpPr/>
                      <wps:spPr>
                        <a:xfrm>
                          <a:off x="0" y="0"/>
                          <a:ext cx="1625600" cy="32575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keepNext w:val="0"/>
                              <w:keepLines w:val="0"/>
                              <w:pageBreakBefore w:val="0"/>
                              <w:widowControl w:val="0"/>
                              <w:kinsoku/>
                              <w:wordWrap/>
                              <w:overflowPunct/>
                              <w:topLinePunct/>
                              <w:autoSpaceDE w:val="0"/>
                              <w:autoSpaceDN/>
                              <w:bidi w:val="0"/>
                              <w:adjustRightInd/>
                              <w:snapToGrid/>
                              <w:spacing w:line="240" w:lineRule="auto"/>
                              <w:ind w:firstLine="0" w:firstLineChars="0"/>
                              <w:jc w:val="center"/>
                              <w:textAlignment w:val="auto"/>
                              <w:rPr>
                                <w:rFonts w:hint="default"/>
                                <w:b/>
                                <w:bCs/>
                                <w:color w:val="FFFF00"/>
                                <w:sz w:val="24"/>
                                <w:szCs w:val="24"/>
                                <w:lang w:val="en-US"/>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cs="Times New Roman"/>
                                <w:b/>
                                <w:bCs/>
                                <w:color w:val="FFFF00"/>
                                <w:sz w:val="24"/>
                                <w:szCs w:val="24"/>
                                <w:highlight w:val="none"/>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尾矿库新增占地区域</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0.4pt;margin-top:241.4pt;height:25.65pt;width:128pt;z-index:251731968;v-text-anchor:middle;mso-width-relative:page;mso-height-relative:page;" filled="f" stroked="f" coordsize="21600,21600" o:gfxdata="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JCgXfDYAAAACwEAAA8AAAAAAAAAAQAgAAAAIgAAAGRycy9kb3ducmV2LnhtbFBLAQIUABQAAAAI&#10;AIdO4kCWKLNnXwIAAK8EAAAOAAAAAAAAAAEAIAAAACcBAABkcnMvZTJvRG9jLnhtbFBLBQYAAAAA&#10;BgAGAFkBAAD4BQAAAAA=&#10;">
                <v:fill on="f" focussize="0,0"/>
                <v:stroke on="f" weight="1pt" miterlimit="8" joinstyle="miter"/>
                <v:imagedata o:title=""/>
                <o:lock v:ext="edit" aspectratio="f"/>
                <v:textbox>
                  <w:txbxContent>
                    <w:p>
                      <w:pPr>
                        <w:keepNext w:val="0"/>
                        <w:keepLines w:val="0"/>
                        <w:pageBreakBefore w:val="0"/>
                        <w:widowControl w:val="0"/>
                        <w:kinsoku/>
                        <w:wordWrap/>
                        <w:overflowPunct/>
                        <w:topLinePunct/>
                        <w:autoSpaceDE w:val="0"/>
                        <w:autoSpaceDN/>
                        <w:bidi w:val="0"/>
                        <w:adjustRightInd/>
                        <w:snapToGrid/>
                        <w:spacing w:line="240" w:lineRule="auto"/>
                        <w:ind w:firstLine="0" w:firstLineChars="0"/>
                        <w:jc w:val="center"/>
                        <w:textAlignment w:val="auto"/>
                        <w:rPr>
                          <w:rFonts w:hint="default"/>
                          <w:b/>
                          <w:bCs/>
                          <w:color w:val="FFFF00"/>
                          <w:sz w:val="24"/>
                          <w:szCs w:val="24"/>
                          <w:lang w:val="en-US"/>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cs="Times New Roman"/>
                          <w:b/>
                          <w:bCs/>
                          <w:color w:val="FFFF00"/>
                          <w:sz w:val="24"/>
                          <w:szCs w:val="24"/>
                          <w:highlight w:val="none"/>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尾矿库新增占地区域</w:t>
                      </w:r>
                    </w:p>
                  </w:txbxContent>
                </v:textbox>
              </v:rect>
            </w:pict>
          </mc:Fallback>
        </mc:AlternateContent>
      </w:r>
      <w:r>
        <w:rPr>
          <w:rFonts w:hint="default" w:ascii="Times New Roman" w:hAnsi="Times New Roman" w:eastAsia="宋体" w:cs="Times New Roman"/>
          <w:color w:val="auto"/>
          <w:sz w:val="32"/>
          <w:highlight w:val="none"/>
        </w:rPr>
        <mc:AlternateContent>
          <mc:Choice Requires="wps">
            <w:drawing>
              <wp:anchor distT="0" distB="0" distL="114300" distR="114300" simplePos="0" relativeHeight="251730944" behindDoc="0" locked="0" layoutInCell="1" allowOverlap="1">
                <wp:simplePos x="0" y="0"/>
                <wp:positionH relativeFrom="column">
                  <wp:posOffset>2285365</wp:posOffset>
                </wp:positionH>
                <wp:positionV relativeFrom="paragraph">
                  <wp:posOffset>1651635</wp:posOffset>
                </wp:positionV>
                <wp:extent cx="1060450" cy="325755"/>
                <wp:effectExtent l="0" t="0" r="0" b="0"/>
                <wp:wrapNone/>
                <wp:docPr id="9" name="矩形 9"/>
                <wp:cNvGraphicFramePr/>
                <a:graphic xmlns:a="http://schemas.openxmlformats.org/drawingml/2006/main">
                  <a:graphicData uri="http://schemas.microsoft.com/office/word/2010/wordprocessingShape">
                    <wps:wsp>
                      <wps:cNvSpPr/>
                      <wps:spPr>
                        <a:xfrm>
                          <a:off x="0" y="0"/>
                          <a:ext cx="1060450" cy="32575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keepNext w:val="0"/>
                              <w:keepLines w:val="0"/>
                              <w:pageBreakBefore w:val="0"/>
                              <w:widowControl w:val="0"/>
                              <w:kinsoku/>
                              <w:wordWrap/>
                              <w:overflowPunct/>
                              <w:topLinePunct/>
                              <w:autoSpaceDE w:val="0"/>
                              <w:autoSpaceDN/>
                              <w:bidi w:val="0"/>
                              <w:adjustRightInd/>
                              <w:snapToGrid/>
                              <w:spacing w:line="240" w:lineRule="auto"/>
                              <w:ind w:firstLine="0" w:firstLineChars="0"/>
                              <w:jc w:val="center"/>
                              <w:textAlignment w:val="auto"/>
                              <w:rPr>
                                <w:b/>
                                <w:bCs/>
                                <w:color w:val="FFFF00"/>
                                <w:sz w:val="24"/>
                                <w:szCs w:val="24"/>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cs="Times New Roman"/>
                                <w:b/>
                                <w:bCs/>
                                <w:color w:val="FFFF00"/>
                                <w:sz w:val="24"/>
                                <w:szCs w:val="24"/>
                                <w:highlight w:val="none"/>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现有尾矿库</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79.95pt;margin-top:130.05pt;height:25.65pt;width:83.5pt;z-index:251730944;v-text-anchor:middle;mso-width-relative:page;mso-height-relative:page;" filled="f" stroked="f" coordsize="21600,21600" o:gfxdata="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FQOUajYAAAACwEAAA8AAAAAAAAAAQAgAAAAIgAAAGRycy9kb3ducmV2LnhtbFBLAQIUABQAAAAI&#10;AIdO4kAK84MUXwIAAK0EAAAOAAAAAAAAAAEAIAAAACcBAABkcnMvZTJvRG9jLnhtbFBLBQYAAAAA&#10;BgAGAFkBAAD4BQAAAAA=&#10;">
                <v:fill on="f" focussize="0,0"/>
                <v:stroke on="f" weight="1pt" miterlimit="8" joinstyle="miter"/>
                <v:imagedata o:title=""/>
                <o:lock v:ext="edit" aspectratio="f"/>
                <v:textbox>
                  <w:txbxContent>
                    <w:p>
                      <w:pPr>
                        <w:keepNext w:val="0"/>
                        <w:keepLines w:val="0"/>
                        <w:pageBreakBefore w:val="0"/>
                        <w:widowControl w:val="0"/>
                        <w:kinsoku/>
                        <w:wordWrap/>
                        <w:overflowPunct/>
                        <w:topLinePunct/>
                        <w:autoSpaceDE w:val="0"/>
                        <w:autoSpaceDN/>
                        <w:bidi w:val="0"/>
                        <w:adjustRightInd/>
                        <w:snapToGrid/>
                        <w:spacing w:line="240" w:lineRule="auto"/>
                        <w:ind w:firstLine="0" w:firstLineChars="0"/>
                        <w:jc w:val="center"/>
                        <w:textAlignment w:val="auto"/>
                        <w:rPr>
                          <w:b/>
                          <w:bCs/>
                          <w:color w:val="FFFF00"/>
                          <w:sz w:val="24"/>
                          <w:szCs w:val="24"/>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cs="Times New Roman"/>
                          <w:b/>
                          <w:bCs/>
                          <w:color w:val="FFFF00"/>
                          <w:sz w:val="24"/>
                          <w:szCs w:val="24"/>
                          <w:highlight w:val="none"/>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现有尾矿库</w:t>
                      </w:r>
                    </w:p>
                  </w:txbxContent>
                </v:textbox>
              </v:rect>
            </w:pict>
          </mc:Fallback>
        </mc:AlternateContent>
      </w:r>
      <w:r>
        <w:rPr>
          <w:rFonts w:hint="default" w:ascii="Times New Roman" w:hAnsi="Times New Roman" w:eastAsia="宋体" w:cs="Times New Roman"/>
          <w:color w:val="auto"/>
          <w:sz w:val="24"/>
          <w:highlight w:val="none"/>
          <w:lang w:eastAsia="zh-CN"/>
        </w:rPr>
        <w:drawing>
          <wp:inline distT="0" distB="0" distL="114300" distR="114300">
            <wp:extent cx="5270500" cy="4436745"/>
            <wp:effectExtent l="0" t="0" r="6350" b="1905"/>
            <wp:docPr id="8" name="图片 8" descr="屏幕截图123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屏幕截图123123"/>
                    <pic:cNvPicPr>
                      <a:picLocks noChangeAspect="1"/>
                    </pic:cNvPicPr>
                  </pic:nvPicPr>
                  <pic:blipFill>
                    <a:blip r:embed="rId39"/>
                    <a:stretch>
                      <a:fillRect/>
                    </a:stretch>
                  </pic:blipFill>
                  <pic:spPr>
                    <a:xfrm>
                      <a:off x="0" y="0"/>
                      <a:ext cx="5270500" cy="4436745"/>
                    </a:xfrm>
                    <a:prstGeom prst="rect">
                      <a:avLst/>
                    </a:prstGeom>
                  </pic:spPr>
                </pic:pic>
              </a:graphicData>
            </a:graphic>
          </wp:inline>
        </w:drawing>
      </w:r>
    </w:p>
    <w:p>
      <w:pPr>
        <w:pStyle w:val="53"/>
        <w:pageBreakBefore w:val="0"/>
        <w:wordWrap/>
        <w:bidi w:val="0"/>
        <w:ind w:left="0" w:leftChars="0" w:right="0" w:rightChars="0"/>
        <w:jc w:val="center"/>
        <w:rPr>
          <w:rFonts w:hint="default" w:ascii="Times New Roman" w:hAnsi="Times New Roman" w:eastAsia="宋体" w:cs="Times New Roman"/>
          <w:b/>
          <w:bCs/>
          <w:color w:val="auto"/>
          <w:sz w:val="24"/>
          <w:highlight w:val="none"/>
          <w:lang w:val="en-US" w:eastAsia="zh-CN"/>
        </w:rPr>
      </w:pPr>
      <w:r>
        <w:rPr>
          <w:rFonts w:hint="default" w:ascii="Times New Roman" w:hAnsi="Times New Roman" w:eastAsia="宋体" w:cs="Times New Roman"/>
          <w:b/>
          <w:bCs/>
          <w:color w:val="auto"/>
          <w:sz w:val="24"/>
          <w:highlight w:val="none"/>
          <w:lang w:val="en-US" w:eastAsia="zh-CN"/>
        </w:rPr>
        <w:t>图2.4尾矿库对比图</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left"/>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本次尾矿库加高扩容工程包括两部分建设内容：（1）依托现有尾矿库区加高堆积坝；（2）紧邻现有尾矿库南侧新增占地部分。</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left"/>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1、现有尾矿库区：根据《监理报告》可知：现有</w:t>
      </w:r>
      <w:r>
        <w:rPr>
          <w:rFonts w:hint="default" w:ascii="Times New Roman" w:hAnsi="Times New Roman" w:eastAsia="宋体" w:cs="Times New Roman"/>
          <w:color w:val="auto"/>
          <w:sz w:val="24"/>
          <w:szCs w:val="24"/>
          <w:highlight w:val="none"/>
          <w:lang w:eastAsia="zh-CN"/>
        </w:rPr>
        <w:t>尾矿库库底和边坡同样做防渗层，铺设300mm厚级配沙砾石过渡层，300mm厚粘土层（渗透系数不大于10</w:t>
      </w:r>
      <w:r>
        <w:rPr>
          <w:rFonts w:hint="default" w:ascii="Times New Roman" w:hAnsi="Times New Roman" w:eastAsia="宋体" w:cs="Times New Roman"/>
          <w:color w:val="auto"/>
          <w:sz w:val="24"/>
          <w:szCs w:val="24"/>
          <w:highlight w:val="none"/>
          <w:vertAlign w:val="superscript"/>
          <w:lang w:eastAsia="zh-CN"/>
        </w:rPr>
        <w:t>-7</w:t>
      </w:r>
      <w:r>
        <w:rPr>
          <w:rFonts w:hint="default" w:ascii="Times New Roman" w:hAnsi="Times New Roman" w:eastAsia="宋体" w:cs="Times New Roman"/>
          <w:color w:val="auto"/>
          <w:sz w:val="24"/>
          <w:szCs w:val="24"/>
          <w:highlight w:val="none"/>
          <w:lang w:eastAsia="zh-CN"/>
        </w:rPr>
        <w:t>cm/s），1.5mmHDPE土工膜，300mm厚细砂保护层，300mm砂砾石保护层（粒径4-6cm）；初期坝坝体上游坡</w:t>
      </w:r>
      <w:r>
        <w:rPr>
          <w:rFonts w:hint="default" w:ascii="Times New Roman" w:hAnsi="Times New Roman" w:eastAsia="宋体" w:cs="Times New Roman"/>
          <w:color w:val="auto"/>
          <w:sz w:val="24"/>
          <w:szCs w:val="24"/>
          <w:highlight w:val="none"/>
          <w:lang w:val="en-US" w:eastAsia="zh-CN"/>
        </w:rPr>
        <w:t>铺设400mm厚粗砂垫层，然后铺设</w:t>
      </w:r>
      <w:r>
        <w:rPr>
          <w:rFonts w:hint="default" w:ascii="Times New Roman" w:hAnsi="Times New Roman" w:eastAsia="宋体" w:cs="Times New Roman"/>
          <w:color w:val="auto"/>
          <w:sz w:val="24"/>
          <w:szCs w:val="24"/>
          <w:highlight w:val="none"/>
          <w:lang w:eastAsia="zh-CN"/>
        </w:rPr>
        <w:t>500g/m</w:t>
      </w:r>
      <w:r>
        <w:rPr>
          <w:rFonts w:hint="default" w:ascii="Times New Roman" w:hAnsi="Times New Roman" w:eastAsia="宋体" w:cs="Times New Roman"/>
          <w:color w:val="auto"/>
          <w:sz w:val="24"/>
          <w:szCs w:val="24"/>
          <w:highlight w:val="none"/>
          <w:vertAlign w:val="superscript"/>
          <w:lang w:eastAsia="zh-CN"/>
        </w:rPr>
        <w:t>2</w:t>
      </w:r>
      <w:r>
        <w:rPr>
          <w:rFonts w:hint="default" w:ascii="Times New Roman" w:hAnsi="Times New Roman" w:eastAsia="宋体" w:cs="Times New Roman"/>
          <w:color w:val="auto"/>
          <w:sz w:val="24"/>
          <w:szCs w:val="24"/>
          <w:highlight w:val="none"/>
          <w:lang w:val="en-US" w:eastAsia="zh-CN"/>
        </w:rPr>
        <w:t>加筋土工布，最上面铺500mm厚天然砂砾石保护层。</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left"/>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2、紧邻现有尾矿库南侧新增占地部分：尾矿库库底和边坡同样做防渗层，铺设750mm厚粘土层（渗透系数不大于10</w:t>
      </w:r>
      <w:r>
        <w:rPr>
          <w:rFonts w:hint="default" w:ascii="Times New Roman" w:hAnsi="Times New Roman" w:eastAsia="宋体" w:cs="Times New Roman"/>
          <w:color w:val="auto"/>
          <w:sz w:val="24"/>
          <w:szCs w:val="24"/>
          <w:highlight w:val="none"/>
          <w:vertAlign w:val="superscript"/>
          <w:lang w:val="en-US" w:eastAsia="zh-CN"/>
        </w:rPr>
        <w:t>-7</w:t>
      </w:r>
      <w:r>
        <w:rPr>
          <w:rFonts w:hint="default" w:ascii="Times New Roman" w:hAnsi="Times New Roman" w:eastAsia="宋体" w:cs="Times New Roman"/>
          <w:color w:val="auto"/>
          <w:sz w:val="24"/>
          <w:szCs w:val="24"/>
          <w:highlight w:val="none"/>
          <w:lang w:val="en-US" w:eastAsia="zh-CN"/>
        </w:rPr>
        <w:t>cm/s），1.5mmHDPE土工膜，300mm厚细砂保护层，300mm砂砾石保护层（粒径4-6cm）。</w:t>
      </w:r>
    </w:p>
    <w:p>
      <w:pPr>
        <w:pStyle w:val="53"/>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lang w:val="en-US" w:eastAsia="zh-CN"/>
        </w:rPr>
      </w:pPr>
    </w:p>
    <w:p>
      <w:pPr>
        <w:pStyle w:val="53"/>
        <w:pageBreakBefore w:val="0"/>
        <w:wordWrap/>
        <w:bidi w:val="0"/>
        <w:ind w:left="0" w:leftChars="0" w:right="0" w:rightChars="0"/>
        <w:rPr>
          <w:rFonts w:hint="default" w:ascii="Times New Roman" w:hAnsi="Times New Roman" w:eastAsia="宋体" w:cs="Times New Roman"/>
          <w:color w:val="auto"/>
          <w:sz w:val="21"/>
          <w:szCs w:val="21"/>
          <w:highlight w:val="none"/>
          <w:lang w:val="en-US" w:eastAsia="zh-CN"/>
        </w:rPr>
      </w:pPr>
    </w:p>
    <w:p>
      <w:pPr>
        <w:pStyle w:val="53"/>
        <w:pageBreakBefore w:val="0"/>
        <w:wordWrap/>
        <w:bidi w:val="0"/>
        <w:ind w:left="0" w:leftChars="0" w:right="0" w:rightChars="0"/>
        <w:rPr>
          <w:rFonts w:hint="default" w:ascii="Times New Roman" w:hAnsi="Times New Roman" w:eastAsia="宋体" w:cs="Times New Roman"/>
          <w:color w:val="auto"/>
          <w:sz w:val="21"/>
          <w:szCs w:val="21"/>
          <w:highlight w:val="none"/>
          <w:lang w:val="en-US" w:eastAsia="zh-CN"/>
        </w:rPr>
      </w:pPr>
    </w:p>
    <w:p>
      <w:pPr>
        <w:pStyle w:val="53"/>
        <w:pageBreakBefore w:val="0"/>
        <w:wordWrap/>
        <w:bidi w:val="0"/>
        <w:ind w:left="0" w:leftChars="0" w:right="0" w:rightChars="0"/>
        <w:rPr>
          <w:rFonts w:hint="default" w:ascii="Times New Roman" w:hAnsi="Times New Roman" w:eastAsia="宋体" w:cs="Times New Roman"/>
          <w:color w:val="auto"/>
          <w:highlight w:val="none"/>
          <w:lang w:eastAsia="zh-CN"/>
        </w:rPr>
        <w:sectPr>
          <w:pgSz w:w="11906" w:h="16838"/>
          <w:pgMar w:top="1440" w:right="1800" w:bottom="1440" w:left="1800" w:header="851" w:footer="851" w:gutter="0"/>
          <w:pgNumType w:fmt="decimal"/>
          <w:cols w:space="720" w:num="1"/>
          <w:docGrid w:linePitch="312" w:charSpace="0"/>
        </w:sectPr>
      </w:pPr>
    </w:p>
    <w:bookmarkEnd w:id="281"/>
    <w:bookmarkEnd w:id="282"/>
    <w:bookmarkEnd w:id="283"/>
    <w:bookmarkEnd w:id="284"/>
    <w:bookmarkEnd w:id="285"/>
    <w:bookmarkEnd w:id="286"/>
    <w:bookmarkEnd w:id="287"/>
    <w:p>
      <w:pPr>
        <w:pStyle w:val="3"/>
        <w:pageBreakBefore w:val="0"/>
        <w:numPr>
          <w:ilvl w:val="0"/>
          <w:numId w:val="0"/>
        </w:numPr>
        <w:wordWrap/>
        <w:bidi w:val="0"/>
        <w:ind w:left="0" w:leftChars="0" w:right="0" w:rightChars="0" w:firstLine="0" w:firstLineChars="0"/>
        <w:outlineLvl w:val="2"/>
        <w:rPr>
          <w:rFonts w:hint="default" w:ascii="Times New Roman" w:hAnsi="Times New Roman" w:eastAsia="宋体" w:cs="Times New Roman"/>
          <w:b/>
          <w:bCs w:val="0"/>
          <w:color w:val="auto"/>
          <w:sz w:val="32"/>
          <w:szCs w:val="32"/>
          <w:highlight w:val="none"/>
        </w:rPr>
      </w:pPr>
      <w:bookmarkStart w:id="671" w:name="_Toc288306188"/>
      <w:bookmarkStart w:id="672" w:name="_Toc194733308"/>
      <w:bookmarkStart w:id="673" w:name="_Toc17658"/>
      <w:bookmarkStart w:id="674" w:name="_Toc11900"/>
      <w:bookmarkStart w:id="675" w:name="_Toc260567892"/>
      <w:bookmarkStart w:id="676" w:name="_Toc246850548"/>
      <w:r>
        <w:rPr>
          <w:rFonts w:hint="default" w:ascii="Times New Roman" w:hAnsi="Times New Roman" w:eastAsia="宋体" w:cs="Times New Roman"/>
          <w:b/>
          <w:bCs w:val="0"/>
          <w:i w:val="0"/>
          <w:color w:val="auto"/>
          <w:kern w:val="44"/>
          <w:sz w:val="32"/>
          <w:szCs w:val="32"/>
          <w:highlight w:val="none"/>
          <w:lang w:val="en-US" w:eastAsia="zh-CN" w:bidi="ar-SA"/>
        </w:rPr>
        <w:t>3</w:t>
      </w:r>
      <w:r>
        <w:rPr>
          <w:rFonts w:hint="default" w:ascii="Times New Roman" w:hAnsi="Times New Roman" w:eastAsia="宋体" w:cs="Times New Roman"/>
          <w:b/>
          <w:bCs w:val="0"/>
          <w:color w:val="auto"/>
          <w:sz w:val="32"/>
          <w:szCs w:val="32"/>
          <w:highlight w:val="none"/>
        </w:rPr>
        <w:t>工程分析</w:t>
      </w:r>
      <w:bookmarkEnd w:id="671"/>
      <w:bookmarkEnd w:id="672"/>
      <w:bookmarkEnd w:id="673"/>
      <w:bookmarkEnd w:id="674"/>
      <w:bookmarkEnd w:id="675"/>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本项目是对现有尾矿库的扩容改造</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bCs/>
          <w:color w:val="auto"/>
          <w:sz w:val="24"/>
          <w:szCs w:val="24"/>
          <w:highlight w:val="none"/>
          <w:lang w:bidi="en-US"/>
        </w:rPr>
        <w:t>本次扩建</w:t>
      </w:r>
      <w:r>
        <w:rPr>
          <w:rFonts w:hint="default" w:ascii="Times New Roman" w:hAnsi="Times New Roman" w:eastAsia="宋体" w:cs="Times New Roman"/>
          <w:color w:val="auto"/>
          <w:sz w:val="24"/>
          <w:szCs w:val="24"/>
          <w:highlight w:val="none"/>
        </w:rPr>
        <w:t>内容为</w:t>
      </w:r>
      <w:r>
        <w:rPr>
          <w:rFonts w:hint="default" w:ascii="Times New Roman" w:hAnsi="Times New Roman" w:eastAsia="宋体" w:cs="Times New Roman"/>
          <w:color w:val="auto"/>
          <w:sz w:val="24"/>
          <w:szCs w:val="24"/>
          <w:highlight w:val="none"/>
          <w:lang w:eastAsia="zh-CN"/>
        </w:rPr>
        <w:t>：对</w:t>
      </w:r>
      <w:r>
        <w:rPr>
          <w:rFonts w:hint="default" w:ascii="Times New Roman" w:hAnsi="Times New Roman" w:eastAsia="宋体" w:cs="Times New Roman"/>
          <w:color w:val="auto"/>
          <w:sz w:val="24"/>
          <w:szCs w:val="24"/>
          <w:highlight w:val="none"/>
        </w:rPr>
        <w:t>西沙德盖钼业公司现有尾矿库进行加高扩容</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扩建后</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尾矿库</w:t>
      </w:r>
      <w:r>
        <w:rPr>
          <w:rFonts w:hint="default" w:ascii="Times New Roman" w:hAnsi="Times New Roman" w:eastAsia="宋体" w:cs="Times New Roman"/>
          <w:color w:val="auto"/>
          <w:sz w:val="24"/>
          <w:szCs w:val="24"/>
          <w:highlight w:val="none"/>
          <w:lang w:eastAsia="zh-CN"/>
        </w:rPr>
        <w:t>占地面积</w:t>
      </w:r>
      <w:r>
        <w:rPr>
          <w:rFonts w:hint="default" w:ascii="Times New Roman" w:hAnsi="Times New Roman" w:eastAsia="宋体" w:cs="Times New Roman"/>
          <w:color w:val="auto"/>
          <w:sz w:val="24"/>
          <w:szCs w:val="24"/>
          <w:highlight w:val="none"/>
        </w:rPr>
        <w:t>由现有的</w:t>
      </w:r>
      <w:r>
        <w:rPr>
          <w:rFonts w:hint="default" w:ascii="Times New Roman" w:hAnsi="Times New Roman" w:eastAsia="宋体" w:cs="Times New Roman"/>
          <w:color w:val="auto"/>
          <w:sz w:val="24"/>
          <w:highlight w:val="none"/>
        </w:rPr>
        <w:t>378655.29m</w:t>
      </w:r>
      <w:r>
        <w:rPr>
          <w:rFonts w:hint="default" w:ascii="Times New Roman" w:hAnsi="Times New Roman" w:eastAsia="宋体" w:cs="Times New Roman"/>
          <w:color w:val="auto"/>
          <w:sz w:val="24"/>
          <w:highlight w:val="none"/>
          <w:vertAlign w:val="superscript"/>
        </w:rPr>
        <w:t>2</w:t>
      </w:r>
      <w:r>
        <w:rPr>
          <w:rFonts w:hint="default" w:ascii="Times New Roman" w:hAnsi="Times New Roman" w:eastAsia="宋体" w:cs="Times New Roman"/>
          <w:color w:val="auto"/>
          <w:sz w:val="24"/>
          <w:highlight w:val="none"/>
          <w:vertAlign w:val="baseline"/>
          <w:lang w:eastAsia="zh-CN"/>
        </w:rPr>
        <w:t>扩大</w:t>
      </w:r>
      <w:r>
        <w:rPr>
          <w:rFonts w:hint="default" w:ascii="Times New Roman" w:hAnsi="Times New Roman" w:eastAsia="宋体" w:cs="Times New Roman"/>
          <w:color w:val="auto"/>
          <w:sz w:val="24"/>
          <w:szCs w:val="24"/>
          <w:highlight w:val="none"/>
        </w:rPr>
        <w:t>至</w:t>
      </w:r>
      <w:r>
        <w:rPr>
          <w:rFonts w:hint="default" w:ascii="Times New Roman" w:hAnsi="Times New Roman" w:eastAsia="宋体" w:cs="Times New Roman"/>
          <w:color w:val="auto"/>
          <w:sz w:val="24"/>
          <w:szCs w:val="24"/>
          <w:highlight w:val="none"/>
          <w:lang w:val="en-US" w:eastAsia="zh-CN"/>
        </w:rPr>
        <w:t>591800m</w:t>
      </w:r>
      <w:r>
        <w:rPr>
          <w:rFonts w:hint="default" w:ascii="Times New Roman" w:hAnsi="Times New Roman" w:eastAsia="宋体" w:cs="Times New Roman"/>
          <w:color w:val="auto"/>
          <w:sz w:val="24"/>
          <w:szCs w:val="24"/>
          <w:highlight w:val="none"/>
          <w:vertAlign w:val="superscript"/>
          <w:lang w:val="en-US" w:eastAsia="zh-CN"/>
        </w:rPr>
        <w:t>2</w:t>
      </w:r>
      <w:r>
        <w:rPr>
          <w:rFonts w:hint="default" w:ascii="Times New Roman" w:hAnsi="Times New Roman" w:eastAsia="宋体" w:cs="Times New Roman"/>
          <w:color w:val="auto"/>
          <w:sz w:val="24"/>
          <w:szCs w:val="24"/>
          <w:highlight w:val="none"/>
          <w:lang w:eastAsia="zh-CN"/>
        </w:rPr>
        <w:t>（新增占地面积</w:t>
      </w:r>
      <w:r>
        <w:rPr>
          <w:rFonts w:hint="default" w:ascii="Times New Roman" w:hAnsi="Times New Roman" w:eastAsia="宋体" w:cs="Times New Roman"/>
          <w:color w:val="auto"/>
          <w:sz w:val="24"/>
          <w:szCs w:val="24"/>
          <w:highlight w:val="none"/>
          <w:lang w:val="en-US" w:eastAsia="zh-CN"/>
        </w:rPr>
        <w:t>213144.71m</w:t>
      </w:r>
      <w:r>
        <w:rPr>
          <w:rFonts w:hint="default" w:ascii="Times New Roman" w:hAnsi="Times New Roman" w:eastAsia="宋体" w:cs="Times New Roman"/>
          <w:color w:val="auto"/>
          <w:sz w:val="24"/>
          <w:szCs w:val="24"/>
          <w:highlight w:val="none"/>
          <w:vertAlign w:val="superscript"/>
          <w:lang w:val="en-US" w:eastAsia="zh-CN"/>
        </w:rPr>
        <w:t>2</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总坝高由现有的</w:t>
      </w:r>
      <w:r>
        <w:rPr>
          <w:rFonts w:hint="default" w:ascii="Times New Roman" w:hAnsi="Times New Roman" w:eastAsia="宋体" w:cs="Times New Roman"/>
          <w:color w:val="auto"/>
          <w:sz w:val="24"/>
          <w:szCs w:val="24"/>
          <w:highlight w:val="none"/>
          <w:lang w:val="en-US" w:eastAsia="zh-CN"/>
        </w:rPr>
        <w:t>88m</w:t>
      </w:r>
      <w:r>
        <w:rPr>
          <w:rFonts w:hint="default" w:ascii="Times New Roman" w:hAnsi="Times New Roman" w:eastAsia="宋体" w:cs="Times New Roman"/>
          <w:color w:val="auto"/>
          <w:sz w:val="24"/>
          <w:highlight w:val="none"/>
          <w:vertAlign w:val="baseline"/>
          <w:lang w:eastAsia="zh-CN"/>
        </w:rPr>
        <w:t>扩大</w:t>
      </w:r>
      <w:r>
        <w:rPr>
          <w:rFonts w:hint="default" w:ascii="Times New Roman" w:hAnsi="Times New Roman" w:eastAsia="宋体" w:cs="Times New Roman"/>
          <w:color w:val="auto"/>
          <w:sz w:val="24"/>
          <w:szCs w:val="24"/>
          <w:highlight w:val="none"/>
        </w:rPr>
        <w:t>至</w:t>
      </w:r>
      <w:r>
        <w:rPr>
          <w:rFonts w:hint="default" w:ascii="Times New Roman" w:hAnsi="Times New Roman" w:eastAsia="宋体" w:cs="Times New Roman"/>
          <w:color w:val="auto"/>
          <w:sz w:val="24"/>
          <w:highlight w:val="none"/>
          <w:vertAlign w:val="baseline"/>
          <w:lang w:val="en-US" w:eastAsia="zh-CN"/>
        </w:rPr>
        <w:t>129m</w:t>
      </w:r>
      <w:r>
        <w:rPr>
          <w:rFonts w:hint="default" w:ascii="Times New Roman" w:hAnsi="Times New Roman" w:eastAsia="宋体" w:cs="Times New Roman"/>
          <w:color w:val="auto"/>
          <w:sz w:val="24"/>
          <w:szCs w:val="24"/>
          <w:highlight w:val="none"/>
          <w:lang w:eastAsia="zh-CN"/>
        </w:rPr>
        <w:t>（新增坝高</w:t>
      </w:r>
      <w:r>
        <w:rPr>
          <w:rFonts w:hint="default" w:ascii="Times New Roman" w:hAnsi="Times New Roman" w:eastAsia="宋体" w:cs="Times New Roman"/>
          <w:color w:val="auto"/>
          <w:sz w:val="24"/>
          <w:szCs w:val="24"/>
          <w:highlight w:val="none"/>
          <w:lang w:val="en-US" w:eastAsia="zh-CN"/>
        </w:rPr>
        <w:t>41m</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highlight w:val="none"/>
          <w:vertAlign w:val="baseline"/>
          <w:lang w:val="en-US" w:eastAsia="zh-CN"/>
        </w:rPr>
        <w:t>，</w:t>
      </w:r>
      <w:r>
        <w:rPr>
          <w:rFonts w:hint="default" w:ascii="Times New Roman" w:hAnsi="Times New Roman" w:eastAsia="宋体" w:cs="Times New Roman"/>
          <w:color w:val="auto"/>
          <w:sz w:val="24"/>
          <w:szCs w:val="24"/>
          <w:highlight w:val="none"/>
        </w:rPr>
        <w:t>库容由现有的1219.53万m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扩大至2145万m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lang w:eastAsia="zh-CN"/>
        </w:rPr>
        <w:t>（新增</w:t>
      </w:r>
      <w:r>
        <w:rPr>
          <w:rFonts w:hint="default" w:ascii="Times New Roman" w:hAnsi="Times New Roman" w:eastAsia="宋体" w:cs="Times New Roman"/>
          <w:color w:val="auto"/>
          <w:sz w:val="24"/>
          <w:szCs w:val="24"/>
          <w:highlight w:val="none"/>
        </w:rPr>
        <w:t>库容926万m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lang w:eastAsia="zh-CN"/>
        </w:rPr>
        <w:t>，利用系数按</w:t>
      </w:r>
      <w:r>
        <w:rPr>
          <w:rFonts w:hint="default" w:ascii="Times New Roman" w:hAnsi="Times New Roman" w:eastAsia="宋体" w:cs="Times New Roman"/>
          <w:color w:val="auto"/>
          <w:sz w:val="24"/>
          <w:szCs w:val="24"/>
          <w:highlight w:val="none"/>
          <w:lang w:val="en-US" w:eastAsia="zh-CN"/>
        </w:rPr>
        <w:t>0.75计算，</w:t>
      </w:r>
      <w:r>
        <w:rPr>
          <w:rFonts w:hint="default" w:ascii="Times New Roman" w:hAnsi="Times New Roman" w:eastAsia="宋体" w:cs="Times New Roman"/>
          <w:color w:val="auto"/>
          <w:sz w:val="24"/>
          <w:szCs w:val="24"/>
          <w:highlight w:val="none"/>
        </w:rPr>
        <w:t>有效库容增加695万m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lang w:eastAsia="zh-CN"/>
        </w:rPr>
        <w:t>），尾矿库等别</w:t>
      </w:r>
      <w:r>
        <w:rPr>
          <w:rFonts w:hint="default" w:ascii="Times New Roman" w:hAnsi="Times New Roman" w:eastAsia="宋体" w:cs="Times New Roman"/>
          <w:color w:val="auto"/>
          <w:sz w:val="24"/>
          <w:szCs w:val="24"/>
          <w:highlight w:val="none"/>
        </w:rPr>
        <w:t>由</w:t>
      </w:r>
      <w:r>
        <w:rPr>
          <w:rFonts w:hint="default" w:ascii="Times New Roman" w:hAnsi="Times New Roman" w:eastAsia="宋体" w:cs="Times New Roman"/>
          <w:color w:val="auto"/>
          <w:sz w:val="24"/>
          <w:szCs w:val="24"/>
          <w:highlight w:val="none"/>
          <w:lang w:eastAsia="zh-CN"/>
        </w:rPr>
        <w:t>现在的</w:t>
      </w:r>
      <w:r>
        <w:rPr>
          <w:rFonts w:hint="default" w:ascii="Times New Roman" w:hAnsi="Times New Roman" w:eastAsia="宋体" w:cs="Times New Roman"/>
          <w:color w:val="auto"/>
          <w:sz w:val="24"/>
          <w:szCs w:val="24"/>
          <w:highlight w:val="none"/>
        </w:rPr>
        <w:t>三等库提高为二等库</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GB"/>
        </w:rPr>
        <w:t>按照年排尾矿量</w:t>
      </w:r>
      <w:r>
        <w:rPr>
          <w:rFonts w:hint="default" w:ascii="Times New Roman" w:hAnsi="Times New Roman" w:eastAsia="宋体" w:cs="Times New Roman"/>
          <w:color w:val="auto"/>
          <w:sz w:val="24"/>
          <w:szCs w:val="24"/>
          <w:highlight w:val="none"/>
          <w:lang w:val="en-GB" w:eastAsia="zh-CN"/>
        </w:rPr>
        <w:t>299.46</w:t>
      </w:r>
      <w:r>
        <w:rPr>
          <w:rFonts w:hint="default" w:ascii="Times New Roman" w:hAnsi="Times New Roman" w:eastAsia="宋体" w:cs="Times New Roman"/>
          <w:color w:val="auto"/>
          <w:sz w:val="24"/>
          <w:szCs w:val="24"/>
          <w:highlight w:val="none"/>
          <w:lang w:val="en-GB"/>
        </w:rPr>
        <w:t>万</w:t>
      </w:r>
      <w:r>
        <w:rPr>
          <w:rFonts w:hint="default" w:ascii="Times New Roman" w:hAnsi="Times New Roman" w:eastAsia="宋体" w:cs="Times New Roman"/>
          <w:color w:val="auto"/>
          <w:sz w:val="24"/>
          <w:szCs w:val="24"/>
          <w:highlight w:val="none"/>
        </w:rPr>
        <w:t>t</w:t>
      </w:r>
      <w:r>
        <w:rPr>
          <w:rFonts w:hint="default" w:ascii="Times New Roman" w:hAnsi="Times New Roman" w:eastAsia="宋体" w:cs="Times New Roman"/>
          <w:color w:val="auto"/>
          <w:sz w:val="24"/>
          <w:szCs w:val="24"/>
          <w:highlight w:val="none"/>
          <w:lang w:val="en-GB"/>
        </w:rPr>
        <w:t>/a计算</w:t>
      </w:r>
      <w:r>
        <w:rPr>
          <w:rFonts w:hint="default" w:ascii="Times New Roman" w:hAnsi="Times New Roman" w:eastAsia="宋体" w:cs="Times New Roman"/>
          <w:color w:val="auto"/>
          <w:sz w:val="24"/>
          <w:szCs w:val="24"/>
          <w:highlight w:val="none"/>
          <w:lang w:val="en-GB" w:eastAsia="zh-CN"/>
        </w:rPr>
        <w:t>，</w:t>
      </w:r>
      <w:r>
        <w:rPr>
          <w:rFonts w:hint="default" w:ascii="Times New Roman" w:hAnsi="Times New Roman" w:eastAsia="宋体" w:cs="Times New Roman"/>
          <w:color w:val="auto"/>
          <w:sz w:val="24"/>
          <w:szCs w:val="24"/>
          <w:highlight w:val="none"/>
          <w:lang w:val="en-GB"/>
        </w:rPr>
        <w:t>尾矿平均堆积干容重按1.6t/m</w:t>
      </w:r>
      <w:r>
        <w:rPr>
          <w:rFonts w:hint="default" w:ascii="Times New Roman" w:hAnsi="Times New Roman" w:eastAsia="宋体" w:cs="Times New Roman"/>
          <w:color w:val="auto"/>
          <w:sz w:val="24"/>
          <w:szCs w:val="24"/>
          <w:highlight w:val="none"/>
          <w:vertAlign w:val="superscript"/>
          <w:lang w:val="en-GB"/>
        </w:rPr>
        <w:t>3</w:t>
      </w:r>
      <w:r>
        <w:rPr>
          <w:rFonts w:hint="default" w:ascii="Times New Roman" w:hAnsi="Times New Roman" w:eastAsia="宋体" w:cs="Times New Roman"/>
          <w:color w:val="auto"/>
          <w:sz w:val="24"/>
          <w:szCs w:val="24"/>
          <w:highlight w:val="none"/>
          <w:lang w:val="en-GB"/>
        </w:rPr>
        <w:t>计算</w:t>
      </w:r>
      <w:r>
        <w:rPr>
          <w:rFonts w:hint="default" w:ascii="Times New Roman" w:hAnsi="Times New Roman" w:eastAsia="宋体" w:cs="Times New Roman"/>
          <w:color w:val="auto"/>
          <w:sz w:val="24"/>
          <w:szCs w:val="24"/>
          <w:highlight w:val="none"/>
          <w:lang w:val="en-GB" w:eastAsia="zh-CN"/>
        </w:rPr>
        <w:t>，现有尾矿库剩余服务年限约0.9年，</w:t>
      </w:r>
      <w:r>
        <w:rPr>
          <w:rFonts w:hint="default" w:ascii="Times New Roman" w:hAnsi="Times New Roman" w:eastAsia="宋体" w:cs="Times New Roman"/>
          <w:color w:val="auto"/>
          <w:sz w:val="24"/>
          <w:szCs w:val="24"/>
          <w:highlight w:val="none"/>
        </w:rPr>
        <w:t>扩建尾矿库服务年限约</w:t>
      </w:r>
      <w:r>
        <w:rPr>
          <w:rFonts w:hint="default" w:ascii="Times New Roman" w:hAnsi="Times New Roman" w:eastAsia="宋体" w:cs="Times New Roman"/>
          <w:color w:val="auto"/>
          <w:sz w:val="24"/>
          <w:szCs w:val="24"/>
          <w:highlight w:val="none"/>
          <w:lang w:eastAsia="zh-CN"/>
        </w:rPr>
        <w:t>3.7</w:t>
      </w:r>
      <w:r>
        <w:rPr>
          <w:rFonts w:hint="default" w:ascii="Times New Roman" w:hAnsi="Times New Roman" w:eastAsia="宋体" w:cs="Times New Roman"/>
          <w:color w:val="auto"/>
          <w:sz w:val="24"/>
          <w:szCs w:val="24"/>
          <w:highlight w:val="none"/>
        </w:rPr>
        <w:t>年</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扩建后尾矿库</w:t>
      </w:r>
      <w:r>
        <w:rPr>
          <w:rFonts w:hint="default" w:ascii="Times New Roman" w:hAnsi="Times New Roman" w:eastAsia="宋体" w:cs="Times New Roman"/>
          <w:color w:val="auto"/>
          <w:sz w:val="24"/>
          <w:szCs w:val="24"/>
          <w:highlight w:val="none"/>
        </w:rPr>
        <w:t>服务年限约</w:t>
      </w:r>
      <w:r>
        <w:rPr>
          <w:rFonts w:hint="default" w:ascii="Times New Roman" w:hAnsi="Times New Roman" w:eastAsia="宋体" w:cs="Times New Roman"/>
          <w:color w:val="auto"/>
          <w:sz w:val="24"/>
          <w:szCs w:val="24"/>
          <w:highlight w:val="none"/>
          <w:lang w:val="en-US" w:eastAsia="zh-CN"/>
        </w:rPr>
        <w:t>4.6</w:t>
      </w:r>
      <w:r>
        <w:rPr>
          <w:rFonts w:hint="default" w:ascii="Times New Roman" w:hAnsi="Times New Roman" w:eastAsia="宋体" w:cs="Times New Roman"/>
          <w:color w:val="auto"/>
          <w:sz w:val="24"/>
          <w:szCs w:val="24"/>
          <w:highlight w:val="none"/>
        </w:rPr>
        <w:t>年</w:t>
      </w:r>
      <w:r>
        <w:rPr>
          <w:rFonts w:hint="default" w:ascii="Times New Roman" w:hAnsi="Times New Roman" w:eastAsia="宋体" w:cs="Times New Roman"/>
          <w:color w:val="auto"/>
          <w:sz w:val="24"/>
          <w:szCs w:val="24"/>
          <w:highlight w:val="none"/>
          <w:lang w:val="en-US" w:eastAsia="zh-CN"/>
        </w:rPr>
        <w:t>。</w:t>
      </w:r>
    </w:p>
    <w:p>
      <w:pPr>
        <w:pStyle w:val="4"/>
        <w:pageBreakBefore w:val="0"/>
        <w:numPr>
          <w:ilvl w:val="1"/>
          <w:numId w:val="0"/>
        </w:numPr>
        <w:wordWrap/>
        <w:bidi w:val="0"/>
        <w:ind w:left="0" w:leftChars="0" w:right="0" w:rightChars="0" w:firstLine="0" w:firstLineChars="0"/>
        <w:rPr>
          <w:rFonts w:hint="default" w:ascii="Times New Roman" w:hAnsi="Times New Roman" w:eastAsia="宋体" w:cs="Times New Roman"/>
          <w:b/>
          <w:bCs/>
          <w:color w:val="auto"/>
          <w:highlight w:val="none"/>
        </w:rPr>
      </w:pPr>
      <w:bookmarkStart w:id="677" w:name="_Toc3079"/>
      <w:bookmarkStart w:id="678" w:name="_Toc20860"/>
      <w:r>
        <w:rPr>
          <w:rFonts w:hint="default" w:ascii="Times New Roman" w:hAnsi="Times New Roman" w:eastAsia="宋体" w:cs="Times New Roman"/>
          <w:b/>
          <w:bCs/>
          <w:i w:val="0"/>
          <w:color w:val="auto"/>
          <w:kern w:val="2"/>
          <w:sz w:val="28"/>
          <w:szCs w:val="28"/>
          <w:highlight w:val="none"/>
          <w:lang w:val="en-US" w:eastAsia="zh-CN" w:bidi="ar-SA"/>
        </w:rPr>
        <w:t>3.1</w:t>
      </w:r>
      <w:r>
        <w:rPr>
          <w:rFonts w:hint="default" w:ascii="Times New Roman" w:hAnsi="Times New Roman" w:eastAsia="宋体" w:cs="Times New Roman"/>
          <w:b/>
          <w:bCs/>
          <w:color w:val="auto"/>
          <w:highlight w:val="none"/>
        </w:rPr>
        <w:t>工艺流程</w:t>
      </w:r>
      <w:bookmarkEnd w:id="677"/>
      <w:bookmarkEnd w:id="678"/>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bookmarkStart w:id="679" w:name="_Toc194733311"/>
      <w:bookmarkStart w:id="680" w:name="_Toc260567900"/>
      <w:bookmarkStart w:id="681" w:name="_Toc288306196"/>
      <w:r>
        <w:rPr>
          <w:rFonts w:hint="default" w:ascii="Times New Roman" w:hAnsi="Times New Roman" w:eastAsia="宋体" w:cs="Times New Roman"/>
          <w:color w:val="auto"/>
          <w:sz w:val="24"/>
          <w:highlight w:val="none"/>
        </w:rPr>
        <w:t>根据现有尾矿输送系统设置条件</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在尾矿库南侧坝肩下1460m新建1座尾矿加压泵站</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内设尾矿加压泵组</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利旧现有尾矿输送管线的部分管段（从选厂起始约700m）</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调整约500m尾矿输送管线至新建尾矿加压泵站。管道采用dn450PE管</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沿尾矿库坝顶明设并保温</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管线总长度约1km。</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坝上放矿支管沿坝体间隔12m设置</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每18条支管为1组</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暂设2组</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放矿支管采用dn160钢丝网骨架塑料复合管</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管道压力等级1.0MPa。每条放矿支管起端设1个DN150矿浆阀进行控制</w:t>
      </w:r>
      <w:r>
        <w:rPr>
          <w:rFonts w:hint="default" w:ascii="Times New Roman" w:hAnsi="Times New Roman" w:eastAsia="宋体" w:cs="Times New Roman"/>
          <w:color w:val="auto"/>
          <w:sz w:val="24"/>
          <w:highlight w:val="none"/>
          <w:lang w:eastAsia="zh-CN"/>
        </w:rPr>
        <w:t>。</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尾矿库内的回水通过溢流井、回水管、消力池进入回水池，通过输水管线输送到选矿厂现有高位水池，作为选矿厂生产用水。尾矿坝南侧坝肩标高1445m平台新建回水池及回水泵站</w:t>
      </w:r>
      <w:r>
        <w:rPr>
          <w:rFonts w:hint="default" w:ascii="Times New Roman" w:hAnsi="Times New Roman" w:eastAsia="宋体" w:cs="Times New Roman"/>
          <w:color w:val="auto"/>
          <w:sz w:val="24"/>
          <w:highlight w:val="none"/>
          <w:lang w:eastAsia="zh-CN"/>
        </w:rPr>
        <w:t>，尾矿库内回水通过溢流井、回水管、消力池进入新建回水池，再通过新建回水泵站泵送至选矿厂现有高位水池，作为生产用水循环使用，无废水排放。</w:t>
      </w:r>
    </w:p>
    <w:p>
      <w:pPr>
        <w:pStyle w:val="4"/>
        <w:pageBreakBefore w:val="0"/>
        <w:numPr>
          <w:ilvl w:val="1"/>
          <w:numId w:val="0"/>
        </w:numPr>
        <w:wordWrap/>
        <w:bidi w:val="0"/>
        <w:ind w:left="0" w:leftChars="0" w:right="0" w:rightChars="0" w:firstLine="0" w:firstLineChars="0"/>
        <w:rPr>
          <w:rFonts w:hint="default" w:ascii="Times New Roman" w:hAnsi="Times New Roman" w:eastAsia="宋体" w:cs="Times New Roman"/>
          <w:b/>
          <w:bCs/>
          <w:color w:val="auto"/>
          <w:highlight w:val="none"/>
        </w:rPr>
      </w:pPr>
      <w:bookmarkStart w:id="682" w:name="_Toc15236"/>
      <w:bookmarkStart w:id="683" w:name="_Toc18913"/>
      <w:r>
        <w:rPr>
          <w:rFonts w:hint="default" w:ascii="Times New Roman" w:hAnsi="Times New Roman" w:eastAsia="宋体" w:cs="Times New Roman"/>
          <w:b/>
          <w:bCs/>
          <w:i w:val="0"/>
          <w:color w:val="auto"/>
          <w:kern w:val="2"/>
          <w:sz w:val="28"/>
          <w:szCs w:val="28"/>
          <w:highlight w:val="none"/>
          <w:lang w:val="en-US" w:eastAsia="zh-CN" w:bidi="ar-SA"/>
        </w:rPr>
        <w:t>3.2</w:t>
      </w:r>
      <w:r>
        <w:rPr>
          <w:rFonts w:hint="default" w:ascii="Times New Roman" w:hAnsi="Times New Roman" w:eastAsia="宋体" w:cs="Times New Roman"/>
          <w:b/>
          <w:bCs/>
          <w:color w:val="auto"/>
          <w:highlight w:val="none"/>
          <w:lang w:eastAsia="zh-CN"/>
        </w:rPr>
        <w:t>运营</w:t>
      </w:r>
      <w:r>
        <w:rPr>
          <w:rFonts w:hint="default" w:ascii="Times New Roman" w:hAnsi="Times New Roman" w:eastAsia="宋体" w:cs="Times New Roman"/>
          <w:b/>
          <w:bCs/>
          <w:color w:val="auto"/>
          <w:highlight w:val="none"/>
        </w:rPr>
        <w:t>期污染源分析</w:t>
      </w:r>
      <w:bookmarkEnd w:id="679"/>
      <w:bookmarkEnd w:id="680"/>
      <w:bookmarkEnd w:id="681"/>
      <w:bookmarkEnd w:id="682"/>
      <w:bookmarkEnd w:id="683"/>
    </w:p>
    <w:p>
      <w:pPr>
        <w:pStyle w:val="5"/>
        <w:pageBreakBefore w:val="0"/>
        <w:numPr>
          <w:ilvl w:val="2"/>
          <w:numId w:val="0"/>
        </w:numPr>
        <w:wordWrap/>
        <w:bidi w:val="0"/>
        <w:ind w:left="0" w:leftChars="0" w:right="0" w:rightChars="0"/>
        <w:outlineLvl w:val="1"/>
        <w:rPr>
          <w:rFonts w:hint="default" w:ascii="Times New Roman" w:hAnsi="Times New Roman" w:eastAsia="宋体" w:cs="Times New Roman"/>
          <w:b/>
          <w:bCs/>
          <w:color w:val="auto"/>
          <w:highlight w:val="none"/>
        </w:rPr>
      </w:pPr>
      <w:bookmarkStart w:id="684" w:name="_Toc19581"/>
      <w:bookmarkStart w:id="685" w:name="_Toc260567901"/>
      <w:bookmarkStart w:id="686" w:name="_Toc8932"/>
      <w:bookmarkStart w:id="687" w:name="_Toc288306197"/>
      <w:bookmarkStart w:id="688" w:name="_Toc12007"/>
      <w:r>
        <w:rPr>
          <w:rFonts w:hint="default" w:ascii="Times New Roman" w:hAnsi="Times New Roman" w:eastAsia="宋体" w:cs="Times New Roman"/>
          <w:b/>
          <w:bCs/>
          <w:i w:val="0"/>
          <w:iCs w:val="0"/>
          <w:caps w:val="0"/>
          <w:smallCaps w:val="0"/>
          <w:strike w:val="0"/>
          <w:dstrike w:val="0"/>
          <w:vanish w:val="0"/>
          <w:color w:val="auto"/>
          <w:spacing w:val="0"/>
          <w:kern w:val="2"/>
          <w:position w:val="0"/>
          <w:sz w:val="24"/>
          <w:szCs w:val="24"/>
          <w:highlight w:val="none"/>
          <w:u w:val="none"/>
          <w:vertAlign w:val="baseline"/>
          <w:lang w:val="en-US" w:eastAsia="zh-CN" w:bidi="ar-SA"/>
          <w14:shadow w14:blurRad="0" w14:dist="0" w14:dir="0" w14:sx="0" w14:sy="0" w14:kx="0" w14:ky="0" w14:algn="none">
            <w14:srgbClr w14:val="000000"/>
          </w14:shadow>
        </w:rPr>
        <w:t>3.2.1</w:t>
      </w:r>
      <w:r>
        <w:rPr>
          <w:rFonts w:hint="default" w:ascii="Times New Roman" w:hAnsi="Times New Roman" w:eastAsia="宋体" w:cs="Times New Roman"/>
          <w:b/>
          <w:bCs/>
          <w:color w:val="auto"/>
          <w:highlight w:val="none"/>
        </w:rPr>
        <w:t>大气污染源分析</w:t>
      </w:r>
      <w:bookmarkEnd w:id="684"/>
      <w:bookmarkEnd w:id="685"/>
      <w:bookmarkEnd w:id="686"/>
      <w:bookmarkEnd w:id="687"/>
      <w:bookmarkEnd w:id="688"/>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本次工程运</w:t>
      </w:r>
      <w:r>
        <w:rPr>
          <w:rFonts w:hint="default" w:ascii="Times New Roman" w:hAnsi="Times New Roman" w:eastAsia="宋体" w:cs="Times New Roman"/>
          <w:color w:val="auto"/>
          <w:sz w:val="24"/>
          <w:highlight w:val="none"/>
          <w:lang w:eastAsia="zh-CN"/>
        </w:rPr>
        <w:t>营</w:t>
      </w:r>
      <w:r>
        <w:rPr>
          <w:rFonts w:hint="default" w:ascii="Times New Roman" w:hAnsi="Times New Roman" w:eastAsia="宋体" w:cs="Times New Roman"/>
          <w:color w:val="auto"/>
          <w:sz w:val="24"/>
          <w:highlight w:val="none"/>
        </w:rPr>
        <w:t>期废气污染物主要为尾矿库干滩面产生的扬尘。</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bookmarkStart w:id="689" w:name="_Toc288306198"/>
      <w:bookmarkStart w:id="690" w:name="_Toc260567902"/>
      <w:r>
        <w:rPr>
          <w:rFonts w:hint="default" w:ascii="Times New Roman" w:hAnsi="Times New Roman" w:eastAsia="宋体" w:cs="Times New Roman"/>
          <w:color w:val="auto"/>
          <w:sz w:val="24"/>
          <w:highlight w:val="none"/>
        </w:rPr>
        <w:t>尾矿库内的尾矿砂为细微的固体颗粒</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在风季或刮大风的时候</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沉积滩的干滩面将产生二次扬尘。工程尾矿库干滩面积随尾矿库内的尾矿量而定的</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本尾矿库采取</w:t>
      </w:r>
      <w:r>
        <w:rPr>
          <w:rFonts w:hint="default" w:ascii="Times New Roman" w:hAnsi="Times New Roman" w:eastAsia="宋体" w:cs="Times New Roman"/>
          <w:color w:val="auto"/>
          <w:sz w:val="24"/>
          <w:highlight w:val="none"/>
          <w:lang w:eastAsia="zh-CN"/>
        </w:rPr>
        <w:t>分散放矿</w:t>
      </w:r>
      <w:r>
        <w:rPr>
          <w:rFonts w:hint="default" w:ascii="Times New Roman" w:hAnsi="Times New Roman" w:eastAsia="宋体" w:cs="Times New Roman"/>
          <w:color w:val="auto"/>
          <w:sz w:val="24"/>
          <w:highlight w:val="none"/>
        </w:rPr>
        <w:t>配合洒水进行抑尘</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每个放矿周期支管布设长度约40m</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干滩长度约300m</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计算的干滩面积约12000m</w:t>
      </w:r>
      <w:r>
        <w:rPr>
          <w:rFonts w:hint="default" w:ascii="Times New Roman" w:hAnsi="Times New Roman" w:eastAsia="宋体" w:cs="Times New Roman"/>
          <w:color w:val="auto"/>
          <w:sz w:val="24"/>
          <w:highlight w:val="none"/>
          <w:vertAlign w:val="superscript"/>
        </w:rPr>
        <w:t>2</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本次评价按</w:t>
      </w:r>
      <w:r>
        <w:rPr>
          <w:rFonts w:hint="default" w:ascii="Times New Roman" w:hAnsi="Times New Roman" w:eastAsia="宋体" w:cs="Times New Roman"/>
          <w:bCs/>
          <w:color w:val="auto"/>
          <w:sz w:val="24"/>
          <w:highlight w:val="none"/>
        </w:rPr>
        <w:t>尾矿库干滩面面积12000m</w:t>
      </w:r>
      <w:r>
        <w:rPr>
          <w:rFonts w:hint="default" w:ascii="Times New Roman" w:hAnsi="Times New Roman" w:eastAsia="宋体" w:cs="Times New Roman"/>
          <w:bCs/>
          <w:color w:val="auto"/>
          <w:sz w:val="24"/>
          <w:highlight w:val="none"/>
          <w:vertAlign w:val="superscript"/>
        </w:rPr>
        <w:t>2</w:t>
      </w:r>
      <w:r>
        <w:rPr>
          <w:rFonts w:hint="default" w:ascii="Times New Roman" w:hAnsi="Times New Roman" w:eastAsia="宋体" w:cs="Times New Roman"/>
          <w:color w:val="auto"/>
          <w:sz w:val="24"/>
          <w:highlight w:val="none"/>
        </w:rPr>
        <w:t>。</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参考《金</w:t>
      </w:r>
      <w:r>
        <w:rPr>
          <w:rFonts w:hint="default" w:ascii="Times New Roman" w:hAnsi="Times New Roman" w:eastAsia="宋体" w:cs="Times New Roman"/>
          <w:color w:val="auto"/>
          <w:sz w:val="24"/>
          <w:highlight w:val="none"/>
          <w:lang w:eastAsia="zh-CN"/>
        </w:rPr>
        <w:t>属</w:t>
      </w:r>
      <w:r>
        <w:rPr>
          <w:rFonts w:hint="default" w:ascii="Times New Roman" w:hAnsi="Times New Roman" w:eastAsia="宋体" w:cs="Times New Roman"/>
          <w:color w:val="auto"/>
          <w:sz w:val="24"/>
          <w:highlight w:val="none"/>
        </w:rPr>
        <w:t>尾矿库扬尘影响分析及污染防治措施建议——以金</w:t>
      </w:r>
      <w:r>
        <w:rPr>
          <w:rFonts w:hint="default" w:ascii="Times New Roman" w:hAnsi="Times New Roman" w:eastAsia="宋体" w:cs="Times New Roman"/>
          <w:color w:val="auto"/>
          <w:sz w:val="24"/>
          <w:highlight w:val="none"/>
          <w:lang w:eastAsia="zh-CN"/>
        </w:rPr>
        <w:t>属</w:t>
      </w:r>
      <w:r>
        <w:rPr>
          <w:rFonts w:hint="default" w:ascii="Times New Roman" w:hAnsi="Times New Roman" w:eastAsia="宋体" w:cs="Times New Roman"/>
          <w:color w:val="auto"/>
          <w:sz w:val="24"/>
          <w:highlight w:val="none"/>
        </w:rPr>
        <w:t>尾矿库为例》（化学工程与装备</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2009年第7期</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文献</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根据西安建筑科技大学1998年对马钢南山铁矿的尾矿进行的风洞实验</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得出的启动摩阻风速与尾矿粒径的平方根呈线性增加关系</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及尾矿粉尘的起尘量与摩阻风速的高次方成正比关系的经验公式</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计算尾矿库起尘量。公式如（1</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、（4</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nl-NL"/>
        </w:rPr>
        <w:t>（</w:t>
      </w:r>
      <w:r>
        <w:rPr>
          <w:rFonts w:hint="default" w:ascii="Times New Roman" w:hAnsi="Times New Roman" w:eastAsia="宋体" w:cs="Times New Roman"/>
          <w:color w:val="auto"/>
          <w:sz w:val="24"/>
          <w:highlight w:val="none"/>
        </w:rPr>
        <w:t>5</w:t>
      </w:r>
      <w:r>
        <w:rPr>
          <w:rFonts w:hint="default" w:ascii="Times New Roman" w:hAnsi="Times New Roman" w:eastAsia="宋体" w:cs="Times New Roman"/>
          <w:color w:val="auto"/>
          <w:sz w:val="24"/>
          <w:highlight w:val="none"/>
          <w:lang w:val="nl-NL" w:eastAsia="zh-CN"/>
        </w:rPr>
        <w:t>）</w:t>
      </w:r>
      <w:r>
        <w:rPr>
          <w:rFonts w:hint="default" w:ascii="Times New Roman" w:hAnsi="Times New Roman" w:eastAsia="宋体" w:cs="Times New Roman"/>
          <w:color w:val="auto"/>
          <w:sz w:val="24"/>
          <w:highlight w:val="none"/>
          <w:lang w:val="nl-NL"/>
        </w:rPr>
        <w:t>所示</w:t>
      </w:r>
      <w:r>
        <w:rPr>
          <w:rFonts w:hint="default" w:ascii="Times New Roman" w:hAnsi="Times New Roman" w:eastAsia="宋体" w:cs="Times New Roman"/>
          <w:color w:val="auto"/>
          <w:sz w:val="24"/>
          <w:highlight w:val="none"/>
          <w:lang w:eastAsia="zh-CN"/>
        </w:rPr>
        <w:t>：</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对于干燥尾矿砂而言</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当风速达到或超过某一值时</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在风力作用下</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原来静止于尾矿干滩表面的颗粒物才开始运动</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此时的风速称为启动摩阻风速。公式如下</w:t>
      </w:r>
      <w:r>
        <w:rPr>
          <w:rFonts w:hint="default" w:ascii="Times New Roman" w:hAnsi="Times New Roman" w:eastAsia="宋体" w:cs="Times New Roman"/>
          <w:color w:val="auto"/>
          <w:sz w:val="24"/>
          <w:highlight w:val="none"/>
          <w:lang w:eastAsia="zh-CN"/>
        </w:rPr>
        <w:t>：</w:t>
      </w:r>
    </w:p>
    <w:p>
      <w:pPr>
        <w:pageBreakBefore w:val="0"/>
        <w:wordWrap/>
        <w:bidi w:val="0"/>
        <w:spacing w:line="360" w:lineRule="auto"/>
        <w:ind w:left="0" w:leftChars="0" w:right="0" w:rightChars="0" w:firstLine="480" w:firstLineChars="200"/>
        <w:jc w:val="center"/>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U</w:t>
      </w:r>
      <w:r>
        <w:rPr>
          <w:rFonts w:hint="default" w:ascii="Times New Roman" w:hAnsi="Times New Roman" w:eastAsia="宋体" w:cs="Times New Roman"/>
          <w:color w:val="auto"/>
          <w:sz w:val="24"/>
          <w:highlight w:val="none"/>
          <w:vertAlign w:val="subscript"/>
        </w:rPr>
        <w:t>*0</w:t>
      </w:r>
      <w:r>
        <w:rPr>
          <w:rFonts w:hint="default" w:ascii="Times New Roman" w:hAnsi="Times New Roman" w:eastAsia="宋体" w:cs="Times New Roman"/>
          <w:color w:val="auto"/>
          <w:sz w:val="24"/>
          <w:highlight w:val="none"/>
        </w:rPr>
        <w:t>=117.73+497.38d</w:t>
      </w:r>
      <w:r>
        <w:rPr>
          <w:rFonts w:hint="default" w:ascii="Times New Roman" w:hAnsi="Times New Roman" w:eastAsia="宋体" w:cs="Times New Roman"/>
          <w:color w:val="auto"/>
          <w:sz w:val="24"/>
          <w:highlight w:val="none"/>
          <w:vertAlign w:val="superscript"/>
        </w:rPr>
        <w:t>1/2</w:t>
      </w:r>
      <w:r>
        <w:rPr>
          <w:rFonts w:hint="default" w:ascii="Times New Roman" w:hAnsi="Times New Roman" w:eastAsia="宋体" w:cs="Times New Roman"/>
          <w:color w:val="auto"/>
          <w:sz w:val="24"/>
          <w:highlight w:val="none"/>
        </w:rPr>
        <w:t>（1</w:t>
      </w:r>
      <w:r>
        <w:rPr>
          <w:rFonts w:hint="default" w:ascii="Times New Roman" w:hAnsi="Times New Roman" w:eastAsia="宋体" w:cs="Times New Roman"/>
          <w:color w:val="auto"/>
          <w:sz w:val="24"/>
          <w:highlight w:val="none"/>
          <w:lang w:eastAsia="zh-CN"/>
        </w:rPr>
        <w:t>）</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式中U</w:t>
      </w:r>
      <w:r>
        <w:rPr>
          <w:rFonts w:hint="default" w:ascii="Times New Roman" w:hAnsi="Times New Roman" w:eastAsia="宋体" w:cs="Times New Roman"/>
          <w:color w:val="auto"/>
          <w:sz w:val="24"/>
          <w:highlight w:val="none"/>
          <w:vertAlign w:val="subscript"/>
        </w:rPr>
        <w:t>*0</w:t>
      </w:r>
      <w:r>
        <w:rPr>
          <w:rFonts w:hint="default" w:ascii="Times New Roman" w:hAnsi="Times New Roman" w:eastAsia="宋体" w:cs="Times New Roman"/>
          <w:color w:val="auto"/>
          <w:sz w:val="24"/>
          <w:highlight w:val="none"/>
        </w:rPr>
        <w:t>—起动摩阻风速（mms</w:t>
      </w:r>
      <w:r>
        <w:rPr>
          <w:rFonts w:hint="default" w:ascii="Times New Roman" w:hAnsi="Times New Roman" w:eastAsia="宋体" w:cs="Times New Roman"/>
          <w:color w:val="auto"/>
          <w:sz w:val="24"/>
          <w:highlight w:val="none"/>
          <w:vertAlign w:val="superscript"/>
        </w:rPr>
        <w:t>-1</w:t>
      </w:r>
      <w:r>
        <w:rPr>
          <w:rFonts w:hint="default" w:ascii="Times New Roman" w:hAnsi="Times New Roman" w:eastAsia="宋体" w:cs="Times New Roman"/>
          <w:color w:val="auto"/>
          <w:sz w:val="24"/>
          <w:highlight w:val="none"/>
          <w:lang w:eastAsia="zh-CN"/>
        </w:rPr>
        <w:t>）</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d—尾矿砂粒径（mm</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尾矿库内细颗粒</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此处取0.032mm；</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经计算</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可得U</w:t>
      </w:r>
      <w:r>
        <w:rPr>
          <w:rFonts w:hint="default" w:ascii="Times New Roman" w:hAnsi="Times New Roman" w:eastAsia="宋体" w:cs="Times New Roman"/>
          <w:color w:val="auto"/>
          <w:sz w:val="24"/>
          <w:highlight w:val="none"/>
          <w:vertAlign w:val="subscript"/>
        </w:rPr>
        <w:t>*0</w:t>
      </w:r>
      <w:r>
        <w:rPr>
          <w:rFonts w:hint="default" w:ascii="Times New Roman" w:hAnsi="Times New Roman" w:eastAsia="宋体" w:cs="Times New Roman"/>
          <w:color w:val="auto"/>
          <w:sz w:val="24"/>
          <w:highlight w:val="none"/>
        </w:rPr>
        <w:t>＝206.7mm/s</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由于习惯上采用距地面10m高处的气象风速来描述风力对颗粒物的推动作用</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因此需要将U</w:t>
      </w:r>
      <w:r>
        <w:rPr>
          <w:rFonts w:hint="default" w:ascii="Times New Roman" w:hAnsi="Times New Roman" w:eastAsia="宋体" w:cs="Times New Roman"/>
          <w:color w:val="auto"/>
          <w:sz w:val="24"/>
          <w:highlight w:val="none"/>
          <w:vertAlign w:val="subscript"/>
        </w:rPr>
        <w:t>*0</w:t>
      </w:r>
      <w:r>
        <w:rPr>
          <w:rFonts w:hint="default" w:ascii="Times New Roman" w:hAnsi="Times New Roman" w:eastAsia="宋体" w:cs="Times New Roman"/>
          <w:color w:val="auto"/>
          <w:sz w:val="24"/>
          <w:highlight w:val="none"/>
        </w:rPr>
        <w:t>换成气象风速。根据北京师范大学2003年4月在北京北郊进行大量的野外风沙观测结果与风洞实验数据</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得出的摩阻风速与气象风速的转化关系经验公式</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换算公式如下</w:t>
      </w:r>
      <w:r>
        <w:rPr>
          <w:rFonts w:hint="default" w:ascii="Times New Roman" w:hAnsi="Times New Roman" w:eastAsia="宋体" w:cs="Times New Roman"/>
          <w:color w:val="auto"/>
          <w:sz w:val="24"/>
          <w:highlight w:val="none"/>
          <w:lang w:eastAsia="zh-CN"/>
        </w:rPr>
        <w:t>：</w:t>
      </w:r>
    </w:p>
    <w:p>
      <w:pPr>
        <w:pageBreakBefore w:val="0"/>
        <w:wordWrap/>
        <w:bidi w:val="0"/>
        <w:spacing w:line="360" w:lineRule="auto"/>
        <w:ind w:left="0" w:leftChars="0" w:right="0" w:rightChars="0" w:firstLine="480" w:firstLineChars="200"/>
        <w:jc w:val="center"/>
        <w:rPr>
          <w:rFonts w:hint="default" w:ascii="Times New Roman" w:hAnsi="Times New Roman" w:eastAsia="宋体" w:cs="Times New Roman"/>
          <w:color w:val="auto"/>
          <w:sz w:val="24"/>
          <w:highlight w:val="none"/>
          <w:lang w:eastAsia="zh-CN"/>
        </w:rPr>
      </w:pPr>
      <w:bookmarkStart w:id="691" w:name="_Toc3281_WPSOffice_Level2"/>
      <w:r>
        <w:rPr>
          <w:rFonts w:hint="default" w:ascii="Times New Roman" w:hAnsi="Times New Roman" w:eastAsia="宋体" w:cs="Times New Roman"/>
          <w:color w:val="auto"/>
          <w:sz w:val="24"/>
          <w:highlight w:val="none"/>
        </w:rPr>
        <w:t>U=〔5.75lg（γ/γ</w:t>
      </w:r>
      <w:r>
        <w:rPr>
          <w:rFonts w:hint="default" w:ascii="Times New Roman" w:hAnsi="Times New Roman" w:eastAsia="宋体" w:cs="Times New Roman"/>
          <w:color w:val="auto"/>
          <w:sz w:val="24"/>
          <w:highlight w:val="none"/>
          <w:vertAlign w:val="subscript"/>
        </w:rPr>
        <w:t>1</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〕U</w:t>
      </w:r>
      <w:r>
        <w:rPr>
          <w:rFonts w:hint="default" w:ascii="Times New Roman" w:hAnsi="Times New Roman" w:eastAsia="宋体" w:cs="Times New Roman"/>
          <w:color w:val="auto"/>
          <w:sz w:val="24"/>
          <w:highlight w:val="none"/>
          <w:vertAlign w:val="subscript"/>
        </w:rPr>
        <w:t>*0</w:t>
      </w:r>
      <w:r>
        <w:rPr>
          <w:rFonts w:hint="default" w:ascii="Times New Roman" w:hAnsi="Times New Roman" w:eastAsia="宋体" w:cs="Times New Roman"/>
          <w:color w:val="auto"/>
          <w:sz w:val="24"/>
          <w:highlight w:val="none"/>
        </w:rPr>
        <w:t>（2</w:t>
      </w:r>
      <w:bookmarkEnd w:id="691"/>
      <w:r>
        <w:rPr>
          <w:rFonts w:hint="default" w:ascii="Times New Roman" w:hAnsi="Times New Roman" w:eastAsia="宋体" w:cs="Times New Roman"/>
          <w:color w:val="auto"/>
          <w:sz w:val="24"/>
          <w:highlight w:val="none"/>
          <w:lang w:eastAsia="zh-CN"/>
        </w:rPr>
        <w:t>）</w:t>
      </w:r>
    </w:p>
    <w:p>
      <w:pPr>
        <w:pageBreakBefore w:val="0"/>
        <w:wordWrap/>
        <w:bidi w:val="0"/>
        <w:spacing w:line="360" w:lineRule="auto"/>
        <w:ind w:left="0" w:leftChars="0" w:right="0" w:rightChars="0" w:firstLine="480" w:firstLineChars="200"/>
        <w:jc w:val="center"/>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γ</w:t>
      </w:r>
      <w:r>
        <w:rPr>
          <w:rFonts w:hint="default" w:ascii="Times New Roman" w:hAnsi="Times New Roman" w:eastAsia="宋体" w:cs="Times New Roman"/>
          <w:color w:val="auto"/>
          <w:sz w:val="24"/>
          <w:highlight w:val="none"/>
          <w:vertAlign w:val="subscript"/>
        </w:rPr>
        <w:t>1</w:t>
      </w:r>
      <w:r>
        <w:rPr>
          <w:rFonts w:hint="default" w:ascii="Times New Roman" w:hAnsi="Times New Roman" w:eastAsia="宋体" w:cs="Times New Roman"/>
          <w:color w:val="auto"/>
          <w:sz w:val="24"/>
          <w:highlight w:val="none"/>
        </w:rPr>
        <w:t>=0.081lg（0.18/d</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（3</w:t>
      </w:r>
      <w:r>
        <w:rPr>
          <w:rFonts w:hint="default" w:ascii="Times New Roman" w:hAnsi="Times New Roman" w:eastAsia="宋体" w:cs="Times New Roman"/>
          <w:color w:val="auto"/>
          <w:sz w:val="24"/>
          <w:highlight w:val="none"/>
          <w:lang w:eastAsia="zh-CN"/>
        </w:rPr>
        <w:t>）</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U—10m高处的气象风速（mm/s</w:t>
      </w:r>
      <w:r>
        <w:rPr>
          <w:rFonts w:hint="default" w:ascii="Times New Roman" w:hAnsi="Times New Roman" w:eastAsia="宋体" w:cs="Times New Roman"/>
          <w:color w:val="auto"/>
          <w:sz w:val="24"/>
          <w:highlight w:val="none"/>
          <w:lang w:eastAsia="zh-CN"/>
        </w:rPr>
        <w:t>），</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γ＝10000mm</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γ</w:t>
      </w:r>
      <w:r>
        <w:rPr>
          <w:rFonts w:hint="default" w:ascii="Times New Roman" w:hAnsi="Times New Roman" w:eastAsia="宋体" w:cs="Times New Roman"/>
          <w:color w:val="auto"/>
          <w:sz w:val="24"/>
          <w:highlight w:val="none"/>
          <w:vertAlign w:val="subscript"/>
        </w:rPr>
        <w:t>1</w:t>
      </w:r>
      <w:r>
        <w:rPr>
          <w:rFonts w:hint="default" w:ascii="Times New Roman" w:hAnsi="Times New Roman" w:eastAsia="宋体" w:cs="Times New Roman"/>
          <w:color w:val="auto"/>
          <w:sz w:val="24"/>
          <w:highlight w:val="none"/>
        </w:rPr>
        <w:t>—为静风条件下（U=0</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颗粒物能够升高的距离（mm</w:t>
      </w:r>
      <w:r>
        <w:rPr>
          <w:rFonts w:hint="default" w:ascii="Times New Roman" w:hAnsi="Times New Roman" w:eastAsia="宋体" w:cs="Times New Roman"/>
          <w:color w:val="auto"/>
          <w:sz w:val="24"/>
          <w:highlight w:val="none"/>
          <w:lang w:eastAsia="zh-CN"/>
        </w:rPr>
        <w:t>）</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经过计算得到U=6.2m/s。</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干燥尾矿砂起尘量的计算公式为</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Q=qM（4</w:t>
      </w:r>
      <w:r>
        <w:rPr>
          <w:rFonts w:hint="default" w:ascii="Times New Roman" w:hAnsi="Times New Roman" w:eastAsia="宋体" w:cs="Times New Roman"/>
          <w:color w:val="auto"/>
          <w:sz w:val="24"/>
          <w:highlight w:val="none"/>
          <w:lang w:eastAsia="zh-CN"/>
        </w:rPr>
        <w:t>）</w:t>
      </w:r>
    </w:p>
    <w:p>
      <w:pPr>
        <w:pageBreakBefore w:val="0"/>
        <w:wordWrap/>
        <w:bidi w:val="0"/>
        <w:spacing w:line="360" w:lineRule="auto"/>
        <w:ind w:left="0" w:leftChars="0" w:right="0" w:rightChars="0" w:firstLine="480" w:firstLineChars="200"/>
        <w:jc w:val="center"/>
        <w:rPr>
          <w:rFonts w:hint="default" w:ascii="Times New Roman" w:hAnsi="Times New Roman" w:eastAsia="宋体" w:cs="Times New Roman"/>
          <w:color w:val="auto"/>
          <w:sz w:val="24"/>
          <w:highlight w:val="none"/>
          <w:vertAlign w:val="subscript"/>
          <w:lang w:val="nl-NL" w:eastAsia="zh-CN"/>
        </w:rPr>
      </w:pPr>
      <w:bookmarkStart w:id="692" w:name="_Toc27706_WPSOffice_Level2"/>
      <w:r>
        <w:rPr>
          <w:rFonts w:hint="default" w:ascii="Times New Roman" w:hAnsi="Times New Roman" w:eastAsia="宋体" w:cs="Times New Roman"/>
          <w:color w:val="auto"/>
          <w:sz w:val="24"/>
          <w:highlight w:val="none"/>
          <w:lang w:val="nl-NL"/>
        </w:rPr>
        <w:t>q=0.5397</w:t>
      </w:r>
      <w:r>
        <w:rPr>
          <w:rFonts w:hint="default" w:ascii="Times New Roman" w:hAnsi="Times New Roman" w:eastAsia="宋体" w:cs="Times New Roman"/>
          <w:color w:val="auto"/>
          <w:sz w:val="24"/>
          <w:highlight w:val="none"/>
        </w:rPr>
        <w:t>U</w:t>
      </w:r>
      <w:r>
        <w:rPr>
          <w:rFonts w:hint="default" w:ascii="Times New Roman" w:hAnsi="Times New Roman" w:eastAsia="宋体" w:cs="Times New Roman"/>
          <w:color w:val="auto"/>
          <w:sz w:val="24"/>
          <w:highlight w:val="none"/>
          <w:vertAlign w:val="subscript"/>
        </w:rPr>
        <w:t>*0</w:t>
      </w:r>
      <w:r>
        <w:rPr>
          <w:rFonts w:hint="default" w:ascii="Times New Roman" w:hAnsi="Times New Roman" w:eastAsia="宋体" w:cs="Times New Roman"/>
          <w:color w:val="auto"/>
          <w:sz w:val="24"/>
          <w:highlight w:val="none"/>
          <w:vertAlign w:val="superscript"/>
          <w:lang w:val="nl-NL"/>
        </w:rPr>
        <w:t>5.68</w:t>
      </w:r>
      <w:r>
        <w:rPr>
          <w:rFonts w:hint="default" w:ascii="Times New Roman" w:hAnsi="Times New Roman" w:eastAsia="宋体" w:cs="Times New Roman"/>
          <w:color w:val="auto"/>
          <w:sz w:val="24"/>
          <w:highlight w:val="none"/>
          <w:lang w:val="nl-NL" w:eastAsia="zh-CN"/>
        </w:rPr>
        <w:t>，</w:t>
      </w:r>
      <w:r>
        <w:rPr>
          <w:rFonts w:hint="default" w:ascii="Times New Roman" w:hAnsi="Times New Roman" w:eastAsia="宋体" w:cs="Times New Roman"/>
          <w:color w:val="auto"/>
          <w:sz w:val="24"/>
          <w:highlight w:val="none"/>
          <w:lang w:val="nl-NL"/>
        </w:rPr>
        <w:t>U&gt;6.2m/s（</w:t>
      </w:r>
      <w:r>
        <w:rPr>
          <w:rFonts w:hint="default" w:ascii="Times New Roman" w:hAnsi="Times New Roman" w:eastAsia="宋体" w:cs="Times New Roman"/>
          <w:color w:val="auto"/>
          <w:sz w:val="24"/>
          <w:highlight w:val="none"/>
        </w:rPr>
        <w:t>5</w:t>
      </w:r>
      <w:bookmarkEnd w:id="692"/>
      <w:r>
        <w:rPr>
          <w:rFonts w:hint="default" w:ascii="Times New Roman" w:hAnsi="Times New Roman" w:eastAsia="宋体" w:cs="Times New Roman"/>
          <w:color w:val="auto"/>
          <w:sz w:val="24"/>
          <w:highlight w:val="none"/>
          <w:lang w:val="nl-NL" w:eastAsia="zh-CN"/>
        </w:rPr>
        <w:t>）</w:t>
      </w:r>
    </w:p>
    <w:p>
      <w:pPr>
        <w:pageBreakBefore w:val="0"/>
        <w:wordWrap/>
        <w:bidi w:val="0"/>
        <w:spacing w:line="360" w:lineRule="auto"/>
        <w:ind w:left="0" w:leftChars="0" w:right="0" w:rightChars="0" w:firstLine="480" w:firstLineChars="200"/>
        <w:jc w:val="center"/>
        <w:outlineLvl w:val="2"/>
        <w:rPr>
          <w:rFonts w:hint="default" w:ascii="Times New Roman" w:hAnsi="Times New Roman" w:eastAsia="宋体" w:cs="Times New Roman"/>
          <w:color w:val="auto"/>
          <w:sz w:val="24"/>
          <w:highlight w:val="none"/>
          <w:lang w:val="nl-NL"/>
        </w:rPr>
      </w:pPr>
      <w:bookmarkStart w:id="693" w:name="_Toc26352_WPSOffice_Level2"/>
      <w:bookmarkStart w:id="694" w:name="_Toc27"/>
      <w:bookmarkStart w:id="695" w:name="_Toc23910"/>
      <w:r>
        <w:rPr>
          <w:rFonts w:hint="default" w:ascii="Times New Roman" w:hAnsi="Times New Roman" w:eastAsia="宋体" w:cs="Times New Roman"/>
          <w:color w:val="auto"/>
          <w:sz w:val="24"/>
          <w:highlight w:val="none"/>
          <w:lang w:val="nl-NL"/>
        </w:rPr>
        <w:t>q=0</w:t>
      </w:r>
      <w:r>
        <w:rPr>
          <w:rFonts w:hint="default" w:ascii="Times New Roman" w:hAnsi="Times New Roman" w:eastAsia="宋体" w:cs="Times New Roman"/>
          <w:color w:val="auto"/>
          <w:sz w:val="24"/>
          <w:highlight w:val="none"/>
          <w:lang w:val="nl-NL" w:eastAsia="zh-CN"/>
        </w:rPr>
        <w:t>，</w:t>
      </w:r>
      <w:r>
        <w:rPr>
          <w:rFonts w:hint="default" w:ascii="Times New Roman" w:hAnsi="Times New Roman" w:eastAsia="宋体" w:cs="Times New Roman"/>
          <w:color w:val="auto"/>
          <w:sz w:val="24"/>
          <w:highlight w:val="none"/>
          <w:lang w:val="nl-NL"/>
        </w:rPr>
        <w:t>U≤6.2m/s</w:t>
      </w:r>
      <w:bookmarkEnd w:id="693"/>
      <w:bookmarkEnd w:id="694"/>
      <w:bookmarkEnd w:id="695"/>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式中</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Q—起尘量（g/s</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q—起尘率（gm</w:t>
      </w:r>
      <w:r>
        <w:rPr>
          <w:rFonts w:hint="default" w:ascii="Times New Roman" w:hAnsi="Times New Roman" w:eastAsia="宋体" w:cs="Times New Roman"/>
          <w:color w:val="auto"/>
          <w:sz w:val="24"/>
          <w:highlight w:val="none"/>
          <w:vertAlign w:val="superscript"/>
        </w:rPr>
        <w:t>-2</w:t>
      </w:r>
      <w:r>
        <w:rPr>
          <w:rFonts w:hint="default" w:ascii="Times New Roman" w:hAnsi="Times New Roman" w:eastAsia="宋体" w:cs="Times New Roman"/>
          <w:color w:val="auto"/>
          <w:sz w:val="24"/>
          <w:highlight w:val="none"/>
        </w:rPr>
        <w:t>s</w:t>
      </w:r>
      <w:r>
        <w:rPr>
          <w:rFonts w:hint="default" w:ascii="Times New Roman" w:hAnsi="Times New Roman" w:eastAsia="宋体" w:cs="Times New Roman"/>
          <w:color w:val="auto"/>
          <w:sz w:val="24"/>
          <w:highlight w:val="none"/>
          <w:vertAlign w:val="superscript"/>
        </w:rPr>
        <w:t>-1</w:t>
      </w:r>
      <w:r>
        <w:rPr>
          <w:rFonts w:hint="default" w:ascii="Times New Roman" w:hAnsi="Times New Roman" w:eastAsia="宋体" w:cs="Times New Roman"/>
          <w:color w:val="auto"/>
          <w:sz w:val="24"/>
          <w:highlight w:val="none"/>
          <w:lang w:eastAsia="zh-CN"/>
        </w:rPr>
        <w:t>）</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M—干滩面积（m</w:t>
      </w:r>
      <w:r>
        <w:rPr>
          <w:rFonts w:hint="default" w:ascii="Times New Roman" w:hAnsi="Times New Roman" w:eastAsia="宋体" w:cs="Times New Roman"/>
          <w:color w:val="auto"/>
          <w:sz w:val="24"/>
          <w:highlight w:val="none"/>
          <w:vertAlign w:val="superscript"/>
        </w:rPr>
        <w:t>2</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干滩面积为12000m</w:t>
      </w:r>
      <w:r>
        <w:rPr>
          <w:rFonts w:hint="default" w:ascii="Times New Roman" w:hAnsi="Times New Roman" w:eastAsia="宋体" w:cs="Times New Roman"/>
          <w:color w:val="auto"/>
          <w:sz w:val="24"/>
          <w:highlight w:val="none"/>
          <w:vertAlign w:val="superscript"/>
        </w:rPr>
        <w:t>2</w:t>
      </w:r>
      <w:r>
        <w:rPr>
          <w:rFonts w:hint="default" w:ascii="Times New Roman" w:hAnsi="Times New Roman" w:eastAsia="宋体" w:cs="Times New Roman"/>
          <w:color w:val="auto"/>
          <w:sz w:val="24"/>
          <w:highlight w:val="none"/>
        </w:rPr>
        <w:t>。</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lang w:val="nl-NL"/>
        </w:rPr>
      </w:pPr>
      <w:r>
        <w:rPr>
          <w:rFonts w:hint="default" w:ascii="Times New Roman" w:hAnsi="Times New Roman" w:eastAsia="宋体" w:cs="Times New Roman"/>
          <w:color w:val="auto"/>
          <w:sz w:val="24"/>
          <w:highlight w:val="none"/>
        </w:rPr>
        <w:t>因此</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本项目尾矿库的</w:t>
      </w:r>
      <w:r>
        <w:rPr>
          <w:rFonts w:hint="default" w:ascii="Times New Roman" w:hAnsi="Times New Roman" w:eastAsia="宋体" w:cs="Times New Roman"/>
          <w:color w:val="auto"/>
          <w:sz w:val="24"/>
          <w:highlight w:val="none"/>
          <w:lang w:eastAsia="zh-CN"/>
        </w:rPr>
        <w:t>起动风速</w:t>
      </w:r>
      <w:r>
        <w:rPr>
          <w:rFonts w:hint="default" w:ascii="Times New Roman" w:hAnsi="Times New Roman" w:eastAsia="宋体" w:cs="Times New Roman"/>
          <w:color w:val="auto"/>
          <w:sz w:val="24"/>
          <w:highlight w:val="none"/>
        </w:rPr>
        <w:t>为6.2m/s</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当风速大于6.2m/s时（根据调查</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项目区全年风速大于6m/s日数为40天</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在风力的作用下尾矿库开始起尘</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起尘量为</w:t>
      </w:r>
      <w:r>
        <w:rPr>
          <w:rFonts w:hint="default" w:ascii="Times New Roman" w:hAnsi="Times New Roman" w:eastAsia="宋体" w:cs="Times New Roman"/>
          <w:color w:val="auto"/>
          <w:sz w:val="24"/>
          <w:highlight w:val="none"/>
          <w:lang w:eastAsia="zh-CN"/>
        </w:rPr>
        <w:t>2.891</w:t>
      </w:r>
      <w:r>
        <w:rPr>
          <w:rFonts w:hint="default" w:ascii="Times New Roman" w:hAnsi="Times New Roman" w:eastAsia="宋体" w:cs="Times New Roman"/>
          <w:color w:val="auto"/>
          <w:sz w:val="24"/>
          <w:highlight w:val="none"/>
        </w:rPr>
        <w:t>t/a（</w:t>
      </w:r>
      <w:r>
        <w:rPr>
          <w:rFonts w:hint="default" w:ascii="Times New Roman" w:hAnsi="Times New Roman" w:eastAsia="宋体" w:cs="Times New Roman"/>
          <w:color w:val="auto"/>
          <w:sz w:val="24"/>
          <w:highlight w:val="none"/>
          <w:lang w:val="en-US" w:eastAsia="zh-CN"/>
        </w:rPr>
        <w:t>0.330</w:t>
      </w:r>
      <w:r>
        <w:rPr>
          <w:rFonts w:hint="default" w:ascii="Times New Roman" w:hAnsi="Times New Roman" w:eastAsia="宋体" w:cs="Times New Roman"/>
          <w:color w:val="auto"/>
          <w:sz w:val="24"/>
          <w:highlight w:val="none"/>
        </w:rPr>
        <w:t>kg/h</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。项目尾矿库采用</w:t>
      </w:r>
      <w:r>
        <w:rPr>
          <w:rFonts w:hint="default" w:ascii="Times New Roman" w:hAnsi="Times New Roman" w:eastAsia="宋体" w:cs="Times New Roman"/>
          <w:color w:val="auto"/>
          <w:sz w:val="24"/>
          <w:highlight w:val="none"/>
          <w:lang w:eastAsia="zh-CN"/>
        </w:rPr>
        <w:t>分散放矿</w:t>
      </w:r>
      <w:r>
        <w:rPr>
          <w:rFonts w:hint="default" w:ascii="Times New Roman" w:hAnsi="Times New Roman" w:eastAsia="宋体" w:cs="Times New Roman"/>
          <w:color w:val="auto"/>
          <w:sz w:val="24"/>
          <w:highlight w:val="none"/>
        </w:rPr>
        <w:t>减少干滩段面积</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同时循环式</w:t>
      </w:r>
      <w:r>
        <w:rPr>
          <w:rFonts w:hint="default" w:ascii="Times New Roman" w:hAnsi="Times New Roman" w:eastAsia="宋体" w:cs="Times New Roman"/>
          <w:color w:val="auto"/>
          <w:sz w:val="24"/>
          <w:highlight w:val="none"/>
          <w:lang w:eastAsia="zh-CN"/>
        </w:rPr>
        <w:t>分散放矿</w:t>
      </w:r>
      <w:r>
        <w:rPr>
          <w:rFonts w:hint="default" w:ascii="Times New Roman" w:hAnsi="Times New Roman" w:eastAsia="宋体" w:cs="Times New Roman"/>
          <w:color w:val="auto"/>
          <w:sz w:val="24"/>
          <w:highlight w:val="none"/>
        </w:rPr>
        <w:t>也可增加滩面含水率起到抑尘效果</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在干滩裸露时间长、特别干燥易起尘区域再配合洒水</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其综合抑尘效率可达</w:t>
      </w:r>
      <w:r>
        <w:rPr>
          <w:rFonts w:hint="default" w:ascii="Times New Roman" w:hAnsi="Times New Roman" w:eastAsia="宋体" w:cs="Times New Roman"/>
          <w:color w:val="auto"/>
          <w:sz w:val="24"/>
          <w:highlight w:val="none"/>
          <w:lang w:val="en-US" w:eastAsia="zh-CN"/>
        </w:rPr>
        <w:t>70</w:t>
      </w:r>
      <w:r>
        <w:rPr>
          <w:rFonts w:hint="default" w:ascii="Times New Roman" w:hAnsi="Times New Roman" w:eastAsia="宋体" w:cs="Times New Roman"/>
          <w:color w:val="auto"/>
          <w:sz w:val="24"/>
          <w:highlight w:val="none"/>
        </w:rPr>
        <w:t>%；经计算得知</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尾矿干滩面的扬尘量为</w:t>
      </w:r>
      <w:r>
        <w:rPr>
          <w:rFonts w:hint="default" w:ascii="Times New Roman" w:hAnsi="Times New Roman" w:eastAsia="宋体" w:cs="Times New Roman"/>
          <w:color w:val="auto"/>
          <w:sz w:val="24"/>
          <w:highlight w:val="none"/>
          <w:lang w:eastAsia="zh-CN"/>
        </w:rPr>
        <w:t>0.867</w:t>
      </w:r>
      <w:r>
        <w:rPr>
          <w:rFonts w:hint="default" w:ascii="Times New Roman" w:hAnsi="Times New Roman" w:eastAsia="宋体" w:cs="Times New Roman"/>
          <w:color w:val="auto"/>
          <w:sz w:val="24"/>
          <w:highlight w:val="none"/>
        </w:rPr>
        <w:t>t/a（</w:t>
      </w:r>
      <w:r>
        <w:rPr>
          <w:rFonts w:hint="default" w:ascii="Times New Roman" w:hAnsi="Times New Roman" w:eastAsia="宋体" w:cs="Times New Roman"/>
          <w:color w:val="auto"/>
          <w:sz w:val="24"/>
          <w:highlight w:val="none"/>
          <w:lang w:eastAsia="zh-CN"/>
        </w:rPr>
        <w:t>0.099</w:t>
      </w:r>
      <w:r>
        <w:rPr>
          <w:rFonts w:hint="default" w:ascii="Times New Roman" w:hAnsi="Times New Roman" w:eastAsia="宋体" w:cs="Times New Roman"/>
          <w:color w:val="auto"/>
          <w:sz w:val="24"/>
          <w:highlight w:val="none"/>
        </w:rPr>
        <w:t>kg/h</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w:t>
      </w:r>
    </w:p>
    <w:p>
      <w:pPr>
        <w:pStyle w:val="5"/>
        <w:pageBreakBefore w:val="0"/>
        <w:numPr>
          <w:ilvl w:val="2"/>
          <w:numId w:val="0"/>
        </w:numPr>
        <w:wordWrap/>
        <w:bidi w:val="0"/>
        <w:ind w:left="0" w:leftChars="0" w:right="0" w:rightChars="0"/>
        <w:outlineLvl w:val="1"/>
        <w:rPr>
          <w:rFonts w:hint="default" w:ascii="Times New Roman" w:hAnsi="Times New Roman" w:eastAsia="宋体" w:cs="Times New Roman"/>
          <w:b/>
          <w:bCs/>
          <w:color w:val="auto"/>
          <w:highlight w:val="none"/>
        </w:rPr>
      </w:pPr>
      <w:bookmarkStart w:id="696" w:name="_Toc3040"/>
      <w:bookmarkStart w:id="697" w:name="_Toc29823"/>
      <w:bookmarkStart w:id="698" w:name="_Toc24752"/>
      <w:r>
        <w:rPr>
          <w:rFonts w:hint="default" w:ascii="Times New Roman" w:hAnsi="Times New Roman" w:eastAsia="宋体" w:cs="Times New Roman"/>
          <w:b/>
          <w:bCs/>
          <w:i w:val="0"/>
          <w:iCs w:val="0"/>
          <w:caps w:val="0"/>
          <w:smallCaps w:val="0"/>
          <w:strike w:val="0"/>
          <w:dstrike w:val="0"/>
          <w:vanish w:val="0"/>
          <w:color w:val="auto"/>
          <w:spacing w:val="0"/>
          <w:kern w:val="2"/>
          <w:position w:val="0"/>
          <w:sz w:val="24"/>
          <w:szCs w:val="24"/>
          <w:highlight w:val="none"/>
          <w:u w:val="none"/>
          <w:vertAlign w:val="baseline"/>
          <w:lang w:val="en-US" w:eastAsia="zh-CN" w:bidi="ar-SA"/>
          <w14:shadow w14:blurRad="0" w14:dist="0" w14:dir="0" w14:sx="0" w14:sy="0" w14:kx="0" w14:ky="0" w14:algn="none">
            <w14:srgbClr w14:val="000000"/>
          </w14:shadow>
        </w:rPr>
        <w:t>3.2.2</w:t>
      </w:r>
      <w:r>
        <w:rPr>
          <w:rFonts w:hint="default" w:ascii="Times New Roman" w:hAnsi="Times New Roman" w:eastAsia="宋体" w:cs="Times New Roman"/>
          <w:b/>
          <w:bCs/>
          <w:color w:val="auto"/>
          <w:highlight w:val="none"/>
        </w:rPr>
        <w:t>水污染源分析</w:t>
      </w:r>
      <w:bookmarkEnd w:id="689"/>
      <w:bookmarkEnd w:id="690"/>
      <w:bookmarkEnd w:id="696"/>
      <w:bookmarkEnd w:id="697"/>
      <w:bookmarkEnd w:id="698"/>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项目尾矿水先自流至新建回水池</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再通过新建回水泵站泵送至选矿厂现有高位水池</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作为生产用水循环使用</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无废水排放；西沙德盖钼业公司现有选矿厂采用单一磁选工艺</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不添加任何药剂</w:t>
      </w:r>
      <w:r>
        <w:rPr>
          <w:rFonts w:hint="default" w:ascii="Times New Roman" w:hAnsi="Times New Roman" w:eastAsia="宋体" w:cs="Times New Roman"/>
          <w:color w:val="auto"/>
          <w:sz w:val="24"/>
          <w:highlight w:val="none"/>
          <w:lang w:eastAsia="zh-CN"/>
        </w:rPr>
        <w:t>，尾矿水</w:t>
      </w:r>
      <w:r>
        <w:rPr>
          <w:rFonts w:hint="default" w:ascii="Times New Roman" w:hAnsi="Times New Roman" w:eastAsia="宋体" w:cs="Times New Roman"/>
          <w:color w:val="auto"/>
          <w:sz w:val="24"/>
          <w:highlight w:val="none"/>
        </w:rPr>
        <w:t>中主要污染物为SS</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水质较为简单。</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本项目无新增劳动定员</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无新增生活污水。</w:t>
      </w:r>
    </w:p>
    <w:p>
      <w:pPr>
        <w:pStyle w:val="5"/>
        <w:pageBreakBefore w:val="0"/>
        <w:numPr>
          <w:ilvl w:val="2"/>
          <w:numId w:val="0"/>
        </w:numPr>
        <w:wordWrap/>
        <w:bidi w:val="0"/>
        <w:ind w:left="0" w:leftChars="0" w:right="0" w:rightChars="0"/>
        <w:outlineLvl w:val="1"/>
        <w:rPr>
          <w:rFonts w:hint="default" w:ascii="Times New Roman" w:hAnsi="Times New Roman" w:eastAsia="宋体" w:cs="Times New Roman"/>
          <w:b/>
          <w:bCs/>
          <w:color w:val="auto"/>
          <w:highlight w:val="none"/>
        </w:rPr>
      </w:pPr>
      <w:bookmarkStart w:id="699" w:name="_Toc17198"/>
      <w:bookmarkStart w:id="700" w:name="_Toc2870"/>
      <w:bookmarkStart w:id="701" w:name="_Toc26474"/>
      <w:bookmarkStart w:id="702" w:name="_Toc260567903"/>
      <w:bookmarkStart w:id="703" w:name="_Toc288306199"/>
      <w:r>
        <w:rPr>
          <w:rFonts w:hint="default" w:ascii="Times New Roman" w:hAnsi="Times New Roman" w:eastAsia="宋体" w:cs="Times New Roman"/>
          <w:b/>
          <w:bCs/>
          <w:i w:val="0"/>
          <w:iCs w:val="0"/>
          <w:caps w:val="0"/>
          <w:smallCaps w:val="0"/>
          <w:strike w:val="0"/>
          <w:dstrike w:val="0"/>
          <w:vanish w:val="0"/>
          <w:color w:val="auto"/>
          <w:spacing w:val="0"/>
          <w:kern w:val="2"/>
          <w:position w:val="0"/>
          <w:sz w:val="24"/>
          <w:szCs w:val="24"/>
          <w:highlight w:val="none"/>
          <w:u w:val="none"/>
          <w:vertAlign w:val="baseline"/>
          <w:lang w:val="en-US" w:eastAsia="zh-CN" w:bidi="ar-SA"/>
          <w14:shadow w14:blurRad="0" w14:dist="0" w14:dir="0" w14:sx="0" w14:sy="0" w14:kx="0" w14:ky="0" w14:algn="none">
            <w14:srgbClr w14:val="000000"/>
          </w14:shadow>
        </w:rPr>
        <w:t>3.2.3</w:t>
      </w:r>
      <w:r>
        <w:rPr>
          <w:rFonts w:hint="default" w:ascii="Times New Roman" w:hAnsi="Times New Roman" w:eastAsia="宋体" w:cs="Times New Roman"/>
          <w:b/>
          <w:bCs/>
          <w:color w:val="auto"/>
          <w:highlight w:val="none"/>
        </w:rPr>
        <w:t>噪声污染源分析</w:t>
      </w:r>
      <w:bookmarkEnd w:id="699"/>
      <w:bookmarkEnd w:id="700"/>
      <w:bookmarkEnd w:id="701"/>
      <w:bookmarkEnd w:id="702"/>
      <w:bookmarkEnd w:id="703"/>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项目主要噪声设备包括各类泵等</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其噪声值约90dB</w:t>
      </w:r>
      <w:r>
        <w:rPr>
          <w:rFonts w:hint="default" w:ascii="Times New Roman" w:hAnsi="Times New Roman" w:eastAsia="宋体" w:cs="Times New Roman"/>
          <w:color w:val="auto"/>
          <w:sz w:val="24"/>
          <w:highlight w:val="none"/>
          <w:lang w:eastAsia="zh-CN"/>
        </w:rPr>
        <w:t>（A），</w:t>
      </w:r>
      <w:r>
        <w:rPr>
          <w:rFonts w:hint="default" w:ascii="Times New Roman" w:hAnsi="Times New Roman" w:eastAsia="宋体" w:cs="Times New Roman"/>
          <w:color w:val="auto"/>
          <w:sz w:val="24"/>
          <w:highlight w:val="none"/>
        </w:rPr>
        <w:t>各类设备声源强见表3-1。</w:t>
      </w:r>
    </w:p>
    <w:p>
      <w:pPr>
        <w:pageBreakBefore w:val="0"/>
        <w:wordWrap/>
        <w:bidi w:val="0"/>
        <w:spacing w:line="360" w:lineRule="auto"/>
        <w:ind w:left="0" w:leftChars="0" w:right="0" w:rightChars="0"/>
        <w:jc w:val="center"/>
        <w:rPr>
          <w:rFonts w:hint="default" w:ascii="Times New Roman" w:hAnsi="Times New Roman" w:eastAsia="宋体" w:cs="Times New Roman"/>
          <w:b/>
          <w:bCs/>
          <w:color w:val="auto"/>
          <w:sz w:val="24"/>
          <w:szCs w:val="32"/>
          <w:highlight w:val="none"/>
        </w:rPr>
      </w:pPr>
      <w:r>
        <w:rPr>
          <w:rFonts w:hint="default" w:ascii="Times New Roman" w:hAnsi="Times New Roman" w:eastAsia="宋体" w:cs="Times New Roman"/>
          <w:b/>
          <w:bCs/>
          <w:color w:val="auto"/>
          <w:sz w:val="24"/>
          <w:szCs w:val="32"/>
          <w:highlight w:val="none"/>
        </w:rPr>
        <w:t>表3-1运</w:t>
      </w:r>
      <w:r>
        <w:rPr>
          <w:rFonts w:hint="default" w:ascii="Times New Roman" w:hAnsi="Times New Roman" w:eastAsia="宋体" w:cs="Times New Roman"/>
          <w:b/>
          <w:bCs/>
          <w:color w:val="auto"/>
          <w:sz w:val="24"/>
          <w:szCs w:val="32"/>
          <w:highlight w:val="none"/>
          <w:lang w:eastAsia="zh-CN"/>
        </w:rPr>
        <w:t>营</w:t>
      </w:r>
      <w:r>
        <w:rPr>
          <w:rFonts w:hint="default" w:ascii="Times New Roman" w:hAnsi="Times New Roman" w:eastAsia="宋体" w:cs="Times New Roman"/>
          <w:b/>
          <w:bCs/>
          <w:color w:val="auto"/>
          <w:sz w:val="24"/>
          <w:szCs w:val="32"/>
          <w:highlight w:val="none"/>
        </w:rPr>
        <w:t>期噪声源强一览表</w:t>
      </w:r>
    </w:p>
    <w:tbl>
      <w:tblPr>
        <w:tblStyle w:val="54"/>
        <w:tblW w:w="5012"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0" w:type="dxa"/>
          <w:bottom w:w="0" w:type="dxa"/>
          <w:right w:w="0" w:type="dxa"/>
        </w:tblCellMar>
      </w:tblPr>
      <w:tblGrid>
        <w:gridCol w:w="825"/>
        <w:gridCol w:w="1951"/>
        <w:gridCol w:w="1390"/>
        <w:gridCol w:w="1390"/>
        <w:gridCol w:w="1390"/>
        <w:gridCol w:w="1390"/>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495" w:type="pct"/>
            <w:tcBorders>
              <w:top w:val="single" w:color="auto" w:sz="4" w:space="0"/>
              <w:left w:val="single" w:color="auto" w:sz="4" w:space="0"/>
              <w:bottom w:val="single" w:color="auto" w:sz="4" w:space="0"/>
              <w:right w:val="single" w:color="auto" w:sz="4" w:space="0"/>
            </w:tcBorders>
            <w:vAlign w:val="center"/>
          </w:tcPr>
          <w:p>
            <w:pPr>
              <w:pageBreakBefore w:val="0"/>
              <w:wordWrap/>
              <w:autoSpaceDE w:val="0"/>
              <w:autoSpaceDN w:val="0"/>
              <w:bidi w:val="0"/>
              <w:adjustRightInd w:val="0"/>
              <w:spacing w:line="240" w:lineRule="auto"/>
              <w:ind w:left="0" w:leftChars="0" w:right="0" w:rightChars="0"/>
              <w:jc w:val="center"/>
              <w:rPr>
                <w:rFonts w:hint="default" w:ascii="Times New Roman" w:hAnsi="Times New Roman" w:eastAsia="宋体" w:cs="Times New Roman"/>
                <w:b/>
                <w:color w:val="auto"/>
                <w:kern w:val="0"/>
                <w:sz w:val="21"/>
                <w:szCs w:val="21"/>
                <w:highlight w:val="none"/>
                <w:lang w:val="zh-CN"/>
              </w:rPr>
            </w:pPr>
            <w:r>
              <w:rPr>
                <w:rFonts w:hint="default" w:ascii="Times New Roman" w:hAnsi="Times New Roman" w:eastAsia="宋体" w:cs="Times New Roman"/>
                <w:b/>
                <w:color w:val="auto"/>
                <w:kern w:val="0"/>
                <w:sz w:val="21"/>
                <w:szCs w:val="21"/>
                <w:highlight w:val="none"/>
                <w:lang w:val="zh-CN"/>
              </w:rPr>
              <w:t>位置</w:t>
            </w:r>
          </w:p>
        </w:tc>
        <w:tc>
          <w:tcPr>
            <w:tcW w:w="1170" w:type="pct"/>
            <w:tcBorders>
              <w:top w:val="single" w:color="auto" w:sz="4" w:space="0"/>
              <w:left w:val="single" w:color="auto" w:sz="4" w:space="0"/>
              <w:bottom w:val="single" w:color="auto" w:sz="4" w:space="0"/>
              <w:right w:val="single" w:color="auto" w:sz="4" w:space="0"/>
            </w:tcBorders>
            <w:vAlign w:val="center"/>
          </w:tcPr>
          <w:p>
            <w:pPr>
              <w:pageBreakBefore w:val="0"/>
              <w:wordWrap/>
              <w:autoSpaceDE w:val="0"/>
              <w:autoSpaceDN w:val="0"/>
              <w:bidi w:val="0"/>
              <w:adjustRightInd w:val="0"/>
              <w:spacing w:line="240" w:lineRule="auto"/>
              <w:ind w:left="0" w:leftChars="0" w:right="0" w:rightChars="0"/>
              <w:jc w:val="center"/>
              <w:rPr>
                <w:rFonts w:hint="default" w:ascii="Times New Roman" w:hAnsi="Times New Roman" w:eastAsia="宋体" w:cs="Times New Roman"/>
                <w:b/>
                <w:color w:val="auto"/>
                <w:kern w:val="0"/>
                <w:sz w:val="21"/>
                <w:szCs w:val="21"/>
                <w:highlight w:val="none"/>
                <w:lang w:val="zh-CN"/>
              </w:rPr>
            </w:pPr>
            <w:r>
              <w:rPr>
                <w:rFonts w:hint="default" w:ascii="Times New Roman" w:hAnsi="Times New Roman" w:eastAsia="宋体" w:cs="Times New Roman"/>
                <w:b/>
                <w:color w:val="auto"/>
                <w:kern w:val="0"/>
                <w:sz w:val="21"/>
                <w:szCs w:val="21"/>
                <w:highlight w:val="none"/>
                <w:lang w:val="zh-CN"/>
              </w:rPr>
              <w:t>设备名称</w:t>
            </w:r>
          </w:p>
        </w:tc>
        <w:tc>
          <w:tcPr>
            <w:tcW w:w="833" w:type="pct"/>
            <w:tcBorders>
              <w:top w:val="single" w:color="auto" w:sz="4" w:space="0"/>
              <w:left w:val="single" w:color="auto" w:sz="4" w:space="0"/>
              <w:bottom w:val="single" w:color="auto" w:sz="4" w:space="0"/>
              <w:right w:val="single" w:color="auto" w:sz="4" w:space="0"/>
            </w:tcBorders>
            <w:vAlign w:val="center"/>
          </w:tcPr>
          <w:p>
            <w:pPr>
              <w:pageBreakBefore w:val="0"/>
              <w:wordWrap/>
              <w:autoSpaceDE w:val="0"/>
              <w:autoSpaceDN w:val="0"/>
              <w:bidi w:val="0"/>
              <w:adjustRightInd w:val="0"/>
              <w:spacing w:line="240" w:lineRule="auto"/>
              <w:ind w:left="0" w:leftChars="0" w:right="0" w:rightChars="0"/>
              <w:jc w:val="center"/>
              <w:rPr>
                <w:rFonts w:hint="default" w:ascii="Times New Roman" w:hAnsi="Times New Roman" w:eastAsia="宋体" w:cs="Times New Roman"/>
                <w:b/>
                <w:color w:val="auto"/>
                <w:kern w:val="0"/>
                <w:sz w:val="21"/>
                <w:szCs w:val="21"/>
                <w:highlight w:val="none"/>
                <w:lang w:val="zh-CN"/>
              </w:rPr>
            </w:pPr>
            <w:r>
              <w:rPr>
                <w:rFonts w:hint="default" w:ascii="Times New Roman" w:hAnsi="Times New Roman" w:eastAsia="宋体" w:cs="Times New Roman"/>
                <w:b/>
                <w:color w:val="auto"/>
                <w:kern w:val="0"/>
                <w:sz w:val="21"/>
                <w:szCs w:val="21"/>
                <w:highlight w:val="none"/>
                <w:lang w:val="zh-CN"/>
              </w:rPr>
              <w:t>数量</w:t>
            </w:r>
          </w:p>
          <w:p>
            <w:pPr>
              <w:pageBreakBefore w:val="0"/>
              <w:wordWrap/>
              <w:autoSpaceDE w:val="0"/>
              <w:autoSpaceDN w:val="0"/>
              <w:bidi w:val="0"/>
              <w:adjustRightInd w:val="0"/>
              <w:spacing w:line="240" w:lineRule="auto"/>
              <w:ind w:left="0" w:leftChars="0" w:right="0" w:rightChars="0"/>
              <w:jc w:val="center"/>
              <w:rPr>
                <w:rFonts w:hint="default" w:ascii="Times New Roman" w:hAnsi="Times New Roman" w:eastAsia="宋体" w:cs="Times New Roman"/>
                <w:b/>
                <w:color w:val="auto"/>
                <w:kern w:val="0"/>
                <w:sz w:val="21"/>
                <w:szCs w:val="21"/>
                <w:highlight w:val="none"/>
                <w:lang w:val="zh-CN"/>
              </w:rPr>
            </w:pPr>
            <w:r>
              <w:rPr>
                <w:rFonts w:hint="default" w:ascii="Times New Roman" w:hAnsi="Times New Roman" w:eastAsia="宋体" w:cs="Times New Roman"/>
                <w:b/>
                <w:color w:val="auto"/>
                <w:kern w:val="0"/>
                <w:sz w:val="21"/>
                <w:szCs w:val="21"/>
                <w:highlight w:val="none"/>
                <w:lang w:val="zh-CN"/>
              </w:rPr>
              <w:t>（台/套）</w:t>
            </w:r>
          </w:p>
        </w:tc>
        <w:tc>
          <w:tcPr>
            <w:tcW w:w="833" w:type="pct"/>
            <w:tcBorders>
              <w:top w:val="single" w:color="auto" w:sz="4" w:space="0"/>
              <w:left w:val="single" w:color="auto" w:sz="4" w:space="0"/>
              <w:bottom w:val="single" w:color="auto" w:sz="4" w:space="0"/>
              <w:right w:val="single" w:color="auto" w:sz="4" w:space="0"/>
            </w:tcBorders>
            <w:vAlign w:val="center"/>
          </w:tcPr>
          <w:p>
            <w:pPr>
              <w:pageBreakBefore w:val="0"/>
              <w:wordWrap/>
              <w:autoSpaceDE w:val="0"/>
              <w:autoSpaceDN w:val="0"/>
              <w:bidi w:val="0"/>
              <w:adjustRightInd w:val="0"/>
              <w:spacing w:line="240" w:lineRule="auto"/>
              <w:ind w:left="0" w:leftChars="0" w:right="0" w:rightChars="0"/>
              <w:jc w:val="center"/>
              <w:rPr>
                <w:rFonts w:hint="default" w:ascii="Times New Roman" w:hAnsi="Times New Roman" w:eastAsia="宋体" w:cs="Times New Roman"/>
                <w:b/>
                <w:color w:val="auto"/>
                <w:kern w:val="0"/>
                <w:sz w:val="21"/>
                <w:szCs w:val="21"/>
                <w:highlight w:val="none"/>
                <w:lang w:val="zh-CN"/>
              </w:rPr>
            </w:pPr>
            <w:r>
              <w:rPr>
                <w:rFonts w:hint="default" w:ascii="Times New Roman" w:hAnsi="Times New Roman" w:eastAsia="宋体" w:cs="Times New Roman"/>
                <w:b/>
                <w:color w:val="auto"/>
                <w:kern w:val="0"/>
                <w:sz w:val="21"/>
                <w:szCs w:val="21"/>
                <w:highlight w:val="none"/>
                <w:lang w:val="zh-CN"/>
              </w:rPr>
              <w:t>最高声级</w:t>
            </w:r>
          </w:p>
          <w:p>
            <w:pPr>
              <w:pageBreakBefore w:val="0"/>
              <w:wordWrap/>
              <w:autoSpaceDE w:val="0"/>
              <w:autoSpaceDN w:val="0"/>
              <w:bidi w:val="0"/>
              <w:adjustRightInd w:val="0"/>
              <w:spacing w:line="240" w:lineRule="auto"/>
              <w:ind w:left="0" w:leftChars="0" w:right="0" w:rightChars="0"/>
              <w:jc w:val="center"/>
              <w:rPr>
                <w:rFonts w:hint="default" w:ascii="Times New Roman" w:hAnsi="Times New Roman" w:eastAsia="宋体" w:cs="Times New Roman"/>
                <w:b/>
                <w:color w:val="auto"/>
                <w:kern w:val="0"/>
                <w:sz w:val="21"/>
                <w:szCs w:val="21"/>
                <w:highlight w:val="none"/>
                <w:lang w:val="zh-CN" w:eastAsia="zh-CN"/>
              </w:rPr>
            </w:pPr>
            <w:r>
              <w:rPr>
                <w:rFonts w:hint="default" w:ascii="Times New Roman" w:hAnsi="Times New Roman" w:eastAsia="宋体" w:cs="Times New Roman"/>
                <w:b/>
                <w:color w:val="auto"/>
                <w:kern w:val="0"/>
                <w:sz w:val="21"/>
                <w:szCs w:val="21"/>
                <w:highlight w:val="none"/>
              </w:rPr>
              <w:t>dB</w:t>
            </w:r>
            <w:r>
              <w:rPr>
                <w:rFonts w:hint="default" w:ascii="Times New Roman" w:hAnsi="Times New Roman" w:eastAsia="宋体" w:cs="Times New Roman"/>
                <w:b/>
                <w:color w:val="auto"/>
                <w:kern w:val="0"/>
                <w:sz w:val="21"/>
                <w:szCs w:val="21"/>
                <w:highlight w:val="none"/>
                <w:lang w:eastAsia="zh-CN"/>
              </w:rPr>
              <w:t>（A）</w:t>
            </w:r>
          </w:p>
        </w:tc>
        <w:tc>
          <w:tcPr>
            <w:tcW w:w="833" w:type="pct"/>
            <w:tcBorders>
              <w:top w:val="single" w:color="auto" w:sz="4" w:space="0"/>
              <w:left w:val="single" w:color="auto" w:sz="4" w:space="0"/>
              <w:bottom w:val="single" w:color="auto" w:sz="4" w:space="0"/>
              <w:right w:val="single" w:color="auto" w:sz="4" w:space="0"/>
            </w:tcBorders>
            <w:vAlign w:val="center"/>
          </w:tcPr>
          <w:p>
            <w:pPr>
              <w:pageBreakBefore w:val="0"/>
              <w:wordWrap/>
              <w:autoSpaceDE w:val="0"/>
              <w:autoSpaceDN w:val="0"/>
              <w:bidi w:val="0"/>
              <w:adjustRightInd w:val="0"/>
              <w:spacing w:line="240" w:lineRule="auto"/>
              <w:ind w:left="0" w:leftChars="0" w:right="0" w:rightChars="0"/>
              <w:jc w:val="center"/>
              <w:rPr>
                <w:rFonts w:hint="default" w:ascii="Times New Roman" w:hAnsi="Times New Roman" w:eastAsia="宋体" w:cs="Times New Roman"/>
                <w:b/>
                <w:color w:val="auto"/>
                <w:kern w:val="0"/>
                <w:sz w:val="21"/>
                <w:szCs w:val="21"/>
                <w:highlight w:val="none"/>
                <w:lang w:val="zh-CN"/>
              </w:rPr>
            </w:pPr>
            <w:r>
              <w:rPr>
                <w:rFonts w:hint="default" w:ascii="Times New Roman" w:hAnsi="Times New Roman" w:eastAsia="宋体" w:cs="Times New Roman"/>
                <w:b/>
                <w:color w:val="auto"/>
                <w:kern w:val="0"/>
                <w:sz w:val="21"/>
                <w:szCs w:val="21"/>
                <w:highlight w:val="none"/>
                <w:lang w:val="zh-CN"/>
              </w:rPr>
              <w:t>采取措施</w:t>
            </w:r>
          </w:p>
        </w:tc>
        <w:tc>
          <w:tcPr>
            <w:tcW w:w="833" w:type="pct"/>
            <w:tcBorders>
              <w:top w:val="single" w:color="auto" w:sz="4" w:space="0"/>
              <w:left w:val="single" w:color="auto" w:sz="4" w:space="0"/>
              <w:bottom w:val="single" w:color="auto" w:sz="4" w:space="0"/>
              <w:right w:val="single" w:color="auto" w:sz="4" w:space="0"/>
            </w:tcBorders>
            <w:vAlign w:val="center"/>
          </w:tcPr>
          <w:p>
            <w:pPr>
              <w:pageBreakBefore w:val="0"/>
              <w:wordWrap/>
              <w:autoSpaceDE w:val="0"/>
              <w:autoSpaceDN w:val="0"/>
              <w:bidi w:val="0"/>
              <w:adjustRightInd w:val="0"/>
              <w:spacing w:line="240" w:lineRule="auto"/>
              <w:ind w:left="0" w:leftChars="0" w:right="0" w:rightChars="0"/>
              <w:jc w:val="center"/>
              <w:rPr>
                <w:rFonts w:hint="default" w:ascii="Times New Roman" w:hAnsi="Times New Roman" w:eastAsia="宋体" w:cs="Times New Roman"/>
                <w:b/>
                <w:color w:val="auto"/>
                <w:kern w:val="0"/>
                <w:sz w:val="21"/>
                <w:szCs w:val="21"/>
                <w:highlight w:val="none"/>
                <w:lang w:val="zh-CN"/>
              </w:rPr>
            </w:pPr>
            <w:r>
              <w:rPr>
                <w:rFonts w:hint="default" w:ascii="Times New Roman" w:hAnsi="Times New Roman" w:eastAsia="宋体" w:cs="Times New Roman"/>
                <w:b/>
                <w:color w:val="auto"/>
                <w:kern w:val="0"/>
                <w:sz w:val="21"/>
                <w:szCs w:val="21"/>
                <w:highlight w:val="none"/>
                <w:lang w:val="zh-CN"/>
              </w:rPr>
              <w:t>治理后源强</w:t>
            </w:r>
          </w:p>
          <w:p>
            <w:pPr>
              <w:pageBreakBefore w:val="0"/>
              <w:wordWrap/>
              <w:autoSpaceDE w:val="0"/>
              <w:autoSpaceDN w:val="0"/>
              <w:bidi w:val="0"/>
              <w:adjustRightInd w:val="0"/>
              <w:spacing w:line="240" w:lineRule="auto"/>
              <w:ind w:left="0" w:leftChars="0" w:right="0" w:rightChars="0"/>
              <w:jc w:val="center"/>
              <w:rPr>
                <w:rFonts w:hint="default" w:ascii="Times New Roman" w:hAnsi="Times New Roman" w:eastAsia="宋体" w:cs="Times New Roman"/>
                <w:b/>
                <w:color w:val="auto"/>
                <w:kern w:val="0"/>
                <w:sz w:val="21"/>
                <w:szCs w:val="21"/>
                <w:highlight w:val="none"/>
                <w:lang w:val="zh-CN" w:eastAsia="zh-CN"/>
              </w:rPr>
            </w:pPr>
            <w:r>
              <w:rPr>
                <w:rFonts w:hint="default" w:ascii="Times New Roman" w:hAnsi="Times New Roman" w:eastAsia="宋体" w:cs="Times New Roman"/>
                <w:b/>
                <w:color w:val="auto"/>
                <w:kern w:val="0"/>
                <w:sz w:val="21"/>
                <w:szCs w:val="21"/>
                <w:highlight w:val="none"/>
              </w:rPr>
              <w:t>dB</w:t>
            </w:r>
            <w:r>
              <w:rPr>
                <w:rFonts w:hint="default" w:ascii="Times New Roman" w:hAnsi="Times New Roman" w:eastAsia="宋体" w:cs="Times New Roman"/>
                <w:b/>
                <w:color w:val="auto"/>
                <w:kern w:val="0"/>
                <w:sz w:val="21"/>
                <w:szCs w:val="21"/>
                <w:highlight w:val="none"/>
                <w:lang w:eastAsia="zh-CN"/>
              </w:rPr>
              <w:t>（A）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495" w:type="pct"/>
            <w:vMerge w:val="restar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尾矿库</w:t>
            </w:r>
          </w:p>
        </w:tc>
        <w:tc>
          <w:tcPr>
            <w:tcW w:w="1170"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尾矿加压泵</w:t>
            </w:r>
          </w:p>
        </w:tc>
        <w:tc>
          <w:tcPr>
            <w:tcW w:w="833"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2</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rPr>
              <w:t>用1备</w:t>
            </w:r>
            <w:r>
              <w:rPr>
                <w:rFonts w:hint="default" w:ascii="Times New Roman" w:hAnsi="Times New Roman" w:eastAsia="宋体" w:cs="Times New Roman"/>
                <w:color w:val="auto"/>
                <w:sz w:val="21"/>
                <w:szCs w:val="21"/>
                <w:highlight w:val="none"/>
                <w:lang w:eastAsia="zh-CN"/>
              </w:rPr>
              <w:t>）</w:t>
            </w:r>
          </w:p>
        </w:tc>
        <w:tc>
          <w:tcPr>
            <w:tcW w:w="833"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pacing w:line="240" w:lineRule="auto"/>
              <w:ind w:left="0" w:leftChars="0" w:right="0" w:rightChars="0"/>
              <w:jc w:val="center"/>
              <w:rPr>
                <w:rFonts w:hint="default" w:ascii="Times New Roman" w:hAnsi="Times New Roman" w:eastAsia="宋体" w:cs="Times New Roman"/>
                <w:color w:val="auto"/>
                <w:spacing w:val="-2"/>
                <w:kern w:val="2"/>
                <w:sz w:val="21"/>
                <w:szCs w:val="21"/>
                <w:highlight w:val="none"/>
                <w:lang w:val="en-US" w:eastAsia="zh-CN" w:bidi="ar-SA"/>
              </w:rPr>
            </w:pPr>
            <w:r>
              <w:rPr>
                <w:rFonts w:hint="default" w:ascii="Times New Roman" w:hAnsi="Times New Roman" w:eastAsia="宋体" w:cs="Times New Roman"/>
                <w:color w:val="auto"/>
                <w:spacing w:val="-2"/>
                <w:sz w:val="21"/>
                <w:szCs w:val="21"/>
                <w:highlight w:val="none"/>
              </w:rPr>
              <w:t>90</w:t>
            </w:r>
          </w:p>
        </w:tc>
        <w:tc>
          <w:tcPr>
            <w:tcW w:w="833"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pacing w:line="240" w:lineRule="auto"/>
              <w:ind w:left="0" w:leftChars="0" w:right="0" w:rightChars="0"/>
              <w:jc w:val="center"/>
              <w:rPr>
                <w:rFonts w:hint="default" w:ascii="Times New Roman" w:hAnsi="Times New Roman" w:eastAsia="宋体" w:cs="Times New Roman"/>
                <w:color w:val="auto"/>
                <w:spacing w:val="-2"/>
                <w:kern w:val="2"/>
                <w:sz w:val="21"/>
                <w:szCs w:val="21"/>
                <w:highlight w:val="none"/>
                <w:lang w:val="en-US" w:eastAsia="zh-CN" w:bidi="ar-SA"/>
              </w:rPr>
            </w:pPr>
            <w:r>
              <w:rPr>
                <w:rFonts w:hint="default" w:ascii="Times New Roman" w:hAnsi="Times New Roman" w:eastAsia="宋体" w:cs="Times New Roman"/>
                <w:color w:val="auto"/>
                <w:spacing w:val="-2"/>
                <w:sz w:val="21"/>
                <w:szCs w:val="21"/>
                <w:highlight w:val="none"/>
              </w:rPr>
              <w:t>隔声减震</w:t>
            </w:r>
          </w:p>
        </w:tc>
        <w:tc>
          <w:tcPr>
            <w:tcW w:w="833"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pacing w:line="240" w:lineRule="auto"/>
              <w:ind w:left="0" w:leftChars="0" w:right="0" w:rightChars="0"/>
              <w:jc w:val="center"/>
              <w:rPr>
                <w:rFonts w:hint="default" w:ascii="Times New Roman" w:hAnsi="Times New Roman" w:eastAsia="宋体" w:cs="Times New Roman"/>
                <w:color w:val="auto"/>
                <w:spacing w:val="-2"/>
                <w:kern w:val="2"/>
                <w:sz w:val="21"/>
                <w:szCs w:val="21"/>
                <w:highlight w:val="none"/>
                <w:lang w:val="en-US" w:eastAsia="zh-CN" w:bidi="ar-SA"/>
              </w:rPr>
            </w:pPr>
            <w:r>
              <w:rPr>
                <w:rFonts w:hint="default" w:ascii="Times New Roman" w:hAnsi="Times New Roman" w:eastAsia="宋体" w:cs="Times New Roman"/>
                <w:color w:val="auto"/>
                <w:spacing w:val="-2"/>
                <w:sz w:val="21"/>
                <w:szCs w:val="21"/>
                <w:highlight w:val="none"/>
                <w:lang w:val="en-US" w:eastAsia="zh-CN"/>
              </w:rPr>
              <w:t>65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495" w:type="pct"/>
            <w:vMerge w:val="continue"/>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1170"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液下渣浆泵</w:t>
            </w:r>
          </w:p>
        </w:tc>
        <w:tc>
          <w:tcPr>
            <w:tcW w:w="833"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2</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rPr>
              <w:t>用1备</w:t>
            </w:r>
            <w:r>
              <w:rPr>
                <w:rFonts w:hint="default" w:ascii="Times New Roman" w:hAnsi="Times New Roman" w:eastAsia="宋体" w:cs="Times New Roman"/>
                <w:color w:val="auto"/>
                <w:sz w:val="21"/>
                <w:szCs w:val="21"/>
                <w:highlight w:val="none"/>
                <w:lang w:eastAsia="zh-CN"/>
              </w:rPr>
              <w:t>）</w:t>
            </w:r>
          </w:p>
        </w:tc>
        <w:tc>
          <w:tcPr>
            <w:tcW w:w="833"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pacing w:line="240" w:lineRule="auto"/>
              <w:ind w:left="0" w:leftChars="0" w:right="0" w:rightChars="0"/>
              <w:jc w:val="center"/>
              <w:rPr>
                <w:rFonts w:hint="default" w:ascii="Times New Roman" w:hAnsi="Times New Roman" w:eastAsia="宋体" w:cs="Times New Roman"/>
                <w:color w:val="auto"/>
                <w:spacing w:val="-2"/>
                <w:kern w:val="2"/>
                <w:sz w:val="21"/>
                <w:szCs w:val="21"/>
                <w:highlight w:val="none"/>
                <w:lang w:val="en-US" w:eastAsia="zh-CN" w:bidi="ar-SA"/>
              </w:rPr>
            </w:pPr>
            <w:r>
              <w:rPr>
                <w:rFonts w:hint="default" w:ascii="Times New Roman" w:hAnsi="Times New Roman" w:eastAsia="宋体" w:cs="Times New Roman"/>
                <w:color w:val="auto"/>
                <w:spacing w:val="-2"/>
                <w:sz w:val="21"/>
                <w:szCs w:val="21"/>
                <w:highlight w:val="none"/>
              </w:rPr>
              <w:t>90</w:t>
            </w:r>
          </w:p>
        </w:tc>
        <w:tc>
          <w:tcPr>
            <w:tcW w:w="833"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pacing w:line="240" w:lineRule="auto"/>
              <w:ind w:left="0" w:leftChars="0" w:right="0" w:rightChars="0"/>
              <w:jc w:val="center"/>
              <w:rPr>
                <w:rFonts w:hint="default" w:ascii="Times New Roman" w:hAnsi="Times New Roman" w:eastAsia="宋体" w:cs="Times New Roman"/>
                <w:color w:val="auto"/>
                <w:spacing w:val="-2"/>
                <w:kern w:val="2"/>
                <w:sz w:val="21"/>
                <w:szCs w:val="21"/>
                <w:highlight w:val="none"/>
                <w:lang w:val="en-US" w:eastAsia="zh-CN" w:bidi="ar-SA"/>
              </w:rPr>
            </w:pPr>
            <w:r>
              <w:rPr>
                <w:rFonts w:hint="default" w:ascii="Times New Roman" w:hAnsi="Times New Roman" w:eastAsia="宋体" w:cs="Times New Roman"/>
                <w:color w:val="auto"/>
                <w:spacing w:val="-2"/>
                <w:sz w:val="21"/>
                <w:szCs w:val="21"/>
                <w:highlight w:val="none"/>
              </w:rPr>
              <w:t>隔声减震</w:t>
            </w:r>
          </w:p>
        </w:tc>
        <w:tc>
          <w:tcPr>
            <w:tcW w:w="833"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pacing w:line="240" w:lineRule="auto"/>
              <w:ind w:left="0" w:leftChars="0" w:right="0" w:rightChars="0"/>
              <w:jc w:val="center"/>
              <w:rPr>
                <w:rFonts w:hint="default" w:ascii="Times New Roman" w:hAnsi="Times New Roman" w:eastAsia="宋体" w:cs="Times New Roman"/>
                <w:color w:val="auto"/>
                <w:spacing w:val="-2"/>
                <w:kern w:val="2"/>
                <w:sz w:val="21"/>
                <w:szCs w:val="21"/>
                <w:highlight w:val="none"/>
                <w:lang w:val="en-US" w:eastAsia="zh-CN" w:bidi="ar-SA"/>
              </w:rPr>
            </w:pPr>
            <w:r>
              <w:rPr>
                <w:rFonts w:hint="default" w:ascii="Times New Roman" w:hAnsi="Times New Roman" w:eastAsia="宋体" w:cs="Times New Roman"/>
                <w:color w:val="auto"/>
                <w:spacing w:val="-2"/>
                <w:sz w:val="21"/>
                <w:szCs w:val="21"/>
                <w:highlight w:val="none"/>
                <w:lang w:val="en-US" w:eastAsia="zh-CN"/>
              </w:rPr>
              <w:t>65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495" w:type="pct"/>
            <w:vMerge w:val="continue"/>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1170"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水封泵</w:t>
            </w:r>
          </w:p>
        </w:tc>
        <w:tc>
          <w:tcPr>
            <w:tcW w:w="833"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2</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rPr>
              <w:t>用1备</w:t>
            </w:r>
            <w:r>
              <w:rPr>
                <w:rFonts w:hint="default" w:ascii="Times New Roman" w:hAnsi="Times New Roman" w:eastAsia="宋体" w:cs="Times New Roman"/>
                <w:color w:val="auto"/>
                <w:sz w:val="21"/>
                <w:szCs w:val="21"/>
                <w:highlight w:val="none"/>
                <w:lang w:eastAsia="zh-CN"/>
              </w:rPr>
              <w:t>）</w:t>
            </w:r>
          </w:p>
        </w:tc>
        <w:tc>
          <w:tcPr>
            <w:tcW w:w="833"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pacing w:line="240" w:lineRule="auto"/>
              <w:ind w:left="0" w:leftChars="0" w:right="0" w:rightChars="0"/>
              <w:jc w:val="center"/>
              <w:rPr>
                <w:rFonts w:hint="default" w:ascii="Times New Roman" w:hAnsi="Times New Roman" w:eastAsia="宋体" w:cs="Times New Roman"/>
                <w:color w:val="auto"/>
                <w:spacing w:val="-2"/>
                <w:kern w:val="2"/>
                <w:sz w:val="21"/>
                <w:szCs w:val="21"/>
                <w:highlight w:val="none"/>
                <w:lang w:val="en-US" w:eastAsia="zh-CN" w:bidi="ar-SA"/>
              </w:rPr>
            </w:pPr>
            <w:r>
              <w:rPr>
                <w:rFonts w:hint="default" w:ascii="Times New Roman" w:hAnsi="Times New Roman" w:eastAsia="宋体" w:cs="Times New Roman"/>
                <w:color w:val="auto"/>
                <w:spacing w:val="-2"/>
                <w:sz w:val="21"/>
                <w:szCs w:val="21"/>
                <w:highlight w:val="none"/>
              </w:rPr>
              <w:t>90</w:t>
            </w:r>
          </w:p>
        </w:tc>
        <w:tc>
          <w:tcPr>
            <w:tcW w:w="833"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pacing w:line="240" w:lineRule="auto"/>
              <w:ind w:left="0" w:leftChars="0" w:right="0" w:rightChars="0"/>
              <w:jc w:val="center"/>
              <w:rPr>
                <w:rFonts w:hint="default" w:ascii="Times New Roman" w:hAnsi="Times New Roman" w:eastAsia="宋体" w:cs="Times New Roman"/>
                <w:color w:val="auto"/>
                <w:spacing w:val="-2"/>
                <w:kern w:val="2"/>
                <w:sz w:val="21"/>
                <w:szCs w:val="21"/>
                <w:highlight w:val="none"/>
                <w:lang w:val="en-US" w:eastAsia="zh-CN" w:bidi="ar-SA"/>
              </w:rPr>
            </w:pPr>
            <w:r>
              <w:rPr>
                <w:rFonts w:hint="default" w:ascii="Times New Roman" w:hAnsi="Times New Roman" w:eastAsia="宋体" w:cs="Times New Roman"/>
                <w:color w:val="auto"/>
                <w:spacing w:val="-2"/>
                <w:sz w:val="21"/>
                <w:szCs w:val="21"/>
                <w:highlight w:val="none"/>
              </w:rPr>
              <w:t>隔声减震</w:t>
            </w:r>
          </w:p>
        </w:tc>
        <w:tc>
          <w:tcPr>
            <w:tcW w:w="833"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pacing w:line="240" w:lineRule="auto"/>
              <w:ind w:left="0" w:leftChars="0" w:right="0" w:rightChars="0"/>
              <w:jc w:val="center"/>
              <w:rPr>
                <w:rFonts w:hint="default" w:ascii="Times New Roman" w:hAnsi="Times New Roman" w:eastAsia="宋体" w:cs="Times New Roman"/>
                <w:color w:val="auto"/>
                <w:spacing w:val="-2"/>
                <w:kern w:val="2"/>
                <w:sz w:val="21"/>
                <w:szCs w:val="21"/>
                <w:highlight w:val="none"/>
                <w:lang w:val="en-US" w:eastAsia="zh-CN" w:bidi="ar-SA"/>
              </w:rPr>
            </w:pPr>
            <w:r>
              <w:rPr>
                <w:rFonts w:hint="default" w:ascii="Times New Roman" w:hAnsi="Times New Roman" w:eastAsia="宋体" w:cs="Times New Roman"/>
                <w:color w:val="auto"/>
                <w:spacing w:val="-2"/>
                <w:sz w:val="21"/>
                <w:szCs w:val="21"/>
                <w:highlight w:val="none"/>
                <w:lang w:val="en-US" w:eastAsia="zh-CN"/>
              </w:rPr>
              <w:t>65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495" w:type="pct"/>
            <w:vMerge w:val="continue"/>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1170"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电动单梁起重机</w:t>
            </w:r>
          </w:p>
        </w:tc>
        <w:tc>
          <w:tcPr>
            <w:tcW w:w="833"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1</w:t>
            </w:r>
          </w:p>
        </w:tc>
        <w:tc>
          <w:tcPr>
            <w:tcW w:w="833"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pacing w:line="240" w:lineRule="auto"/>
              <w:ind w:left="0" w:leftChars="0" w:right="0" w:rightChars="0"/>
              <w:jc w:val="center"/>
              <w:rPr>
                <w:rFonts w:hint="default" w:ascii="Times New Roman" w:hAnsi="Times New Roman" w:eastAsia="宋体" w:cs="Times New Roman"/>
                <w:color w:val="auto"/>
                <w:spacing w:val="-2"/>
                <w:kern w:val="2"/>
                <w:sz w:val="21"/>
                <w:szCs w:val="21"/>
                <w:highlight w:val="none"/>
                <w:lang w:val="en-US" w:eastAsia="zh-CN" w:bidi="ar-SA"/>
              </w:rPr>
            </w:pPr>
            <w:r>
              <w:rPr>
                <w:rFonts w:hint="default" w:ascii="Times New Roman" w:hAnsi="Times New Roman" w:eastAsia="宋体" w:cs="Times New Roman"/>
                <w:color w:val="auto"/>
                <w:spacing w:val="-2"/>
                <w:sz w:val="21"/>
                <w:szCs w:val="21"/>
                <w:highlight w:val="none"/>
              </w:rPr>
              <w:t>9</w:t>
            </w:r>
            <w:r>
              <w:rPr>
                <w:rFonts w:hint="default" w:ascii="Times New Roman" w:hAnsi="Times New Roman" w:eastAsia="宋体" w:cs="Times New Roman"/>
                <w:color w:val="auto"/>
                <w:spacing w:val="-2"/>
                <w:sz w:val="21"/>
                <w:szCs w:val="21"/>
                <w:highlight w:val="none"/>
                <w:lang w:val="en-US" w:eastAsia="zh-CN"/>
              </w:rPr>
              <w:t>5</w:t>
            </w:r>
          </w:p>
        </w:tc>
        <w:tc>
          <w:tcPr>
            <w:tcW w:w="833"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pacing w:line="240" w:lineRule="auto"/>
              <w:ind w:left="0" w:leftChars="0" w:right="0" w:rightChars="0"/>
              <w:jc w:val="center"/>
              <w:rPr>
                <w:rFonts w:hint="default" w:ascii="Times New Roman" w:hAnsi="Times New Roman" w:eastAsia="宋体" w:cs="Times New Roman"/>
                <w:color w:val="auto"/>
                <w:spacing w:val="-2"/>
                <w:kern w:val="2"/>
                <w:sz w:val="21"/>
                <w:szCs w:val="21"/>
                <w:highlight w:val="none"/>
                <w:lang w:val="en-US" w:eastAsia="zh-CN" w:bidi="ar-SA"/>
              </w:rPr>
            </w:pPr>
            <w:r>
              <w:rPr>
                <w:rFonts w:hint="default" w:ascii="Times New Roman" w:hAnsi="Times New Roman" w:eastAsia="宋体" w:cs="Times New Roman"/>
                <w:color w:val="auto"/>
                <w:spacing w:val="-2"/>
                <w:sz w:val="21"/>
                <w:szCs w:val="21"/>
                <w:highlight w:val="none"/>
              </w:rPr>
              <w:t>隔声减震</w:t>
            </w:r>
          </w:p>
        </w:tc>
        <w:tc>
          <w:tcPr>
            <w:tcW w:w="833"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pacing w:line="240" w:lineRule="auto"/>
              <w:ind w:left="0" w:leftChars="0" w:right="0" w:rightChars="0"/>
              <w:jc w:val="center"/>
              <w:rPr>
                <w:rFonts w:hint="default" w:ascii="Times New Roman" w:hAnsi="Times New Roman" w:eastAsia="宋体" w:cs="Times New Roman"/>
                <w:color w:val="auto"/>
                <w:spacing w:val="-2"/>
                <w:kern w:val="2"/>
                <w:sz w:val="21"/>
                <w:szCs w:val="21"/>
                <w:highlight w:val="none"/>
                <w:lang w:val="en-US" w:eastAsia="zh-CN" w:bidi="ar-SA"/>
              </w:rPr>
            </w:pPr>
            <w:r>
              <w:rPr>
                <w:rFonts w:hint="default" w:ascii="Times New Roman" w:hAnsi="Times New Roman" w:eastAsia="宋体" w:cs="Times New Roman"/>
                <w:color w:val="auto"/>
                <w:spacing w:val="-2"/>
                <w:sz w:val="21"/>
                <w:szCs w:val="21"/>
                <w:highlight w:val="none"/>
                <w:lang w:val="en-US" w:eastAsia="zh-CN"/>
              </w:rPr>
              <w:t>70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495" w:type="pct"/>
            <w:vMerge w:val="continue"/>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1170"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rPr>
              <w:t>尾矿回水泵</w:t>
            </w:r>
          </w:p>
        </w:tc>
        <w:tc>
          <w:tcPr>
            <w:tcW w:w="833"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2</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rPr>
              <w:t>用1备</w:t>
            </w:r>
            <w:r>
              <w:rPr>
                <w:rFonts w:hint="default" w:ascii="Times New Roman" w:hAnsi="Times New Roman" w:eastAsia="宋体" w:cs="Times New Roman"/>
                <w:color w:val="auto"/>
                <w:sz w:val="21"/>
                <w:szCs w:val="21"/>
                <w:highlight w:val="none"/>
                <w:lang w:eastAsia="zh-CN"/>
              </w:rPr>
              <w:t>）</w:t>
            </w:r>
          </w:p>
        </w:tc>
        <w:tc>
          <w:tcPr>
            <w:tcW w:w="833"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pacing w:line="240" w:lineRule="auto"/>
              <w:ind w:left="0" w:leftChars="0" w:right="0" w:rightChars="0"/>
              <w:jc w:val="center"/>
              <w:rPr>
                <w:rFonts w:hint="default" w:ascii="Times New Roman" w:hAnsi="Times New Roman" w:eastAsia="宋体" w:cs="Times New Roman"/>
                <w:color w:val="auto"/>
                <w:spacing w:val="-2"/>
                <w:sz w:val="21"/>
                <w:szCs w:val="21"/>
                <w:highlight w:val="none"/>
              </w:rPr>
            </w:pPr>
            <w:r>
              <w:rPr>
                <w:rFonts w:hint="default" w:ascii="Times New Roman" w:hAnsi="Times New Roman" w:eastAsia="宋体" w:cs="Times New Roman"/>
                <w:color w:val="auto"/>
                <w:spacing w:val="-2"/>
                <w:sz w:val="21"/>
                <w:szCs w:val="21"/>
                <w:highlight w:val="none"/>
              </w:rPr>
              <w:t>90</w:t>
            </w:r>
          </w:p>
        </w:tc>
        <w:tc>
          <w:tcPr>
            <w:tcW w:w="833"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pacing w:line="240" w:lineRule="auto"/>
              <w:ind w:left="0" w:leftChars="0" w:right="0" w:rightChars="0"/>
              <w:jc w:val="center"/>
              <w:rPr>
                <w:rFonts w:hint="default" w:ascii="Times New Roman" w:hAnsi="Times New Roman" w:eastAsia="宋体" w:cs="Times New Roman"/>
                <w:color w:val="auto"/>
                <w:spacing w:val="-2"/>
                <w:sz w:val="21"/>
                <w:szCs w:val="21"/>
                <w:highlight w:val="none"/>
              </w:rPr>
            </w:pPr>
            <w:r>
              <w:rPr>
                <w:rFonts w:hint="default" w:ascii="Times New Roman" w:hAnsi="Times New Roman" w:eastAsia="宋体" w:cs="Times New Roman"/>
                <w:color w:val="auto"/>
                <w:spacing w:val="-2"/>
                <w:sz w:val="21"/>
                <w:szCs w:val="21"/>
                <w:highlight w:val="none"/>
              </w:rPr>
              <w:t>隔声减震</w:t>
            </w:r>
          </w:p>
        </w:tc>
        <w:tc>
          <w:tcPr>
            <w:tcW w:w="833"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pacing w:line="240" w:lineRule="auto"/>
              <w:ind w:left="0" w:leftChars="0" w:right="0" w:rightChars="0"/>
              <w:jc w:val="center"/>
              <w:rPr>
                <w:rFonts w:hint="default" w:ascii="Times New Roman" w:hAnsi="Times New Roman" w:eastAsia="宋体" w:cs="Times New Roman"/>
                <w:color w:val="auto"/>
                <w:spacing w:val="-2"/>
                <w:sz w:val="21"/>
                <w:szCs w:val="21"/>
                <w:highlight w:val="none"/>
                <w:lang w:val="en-US" w:eastAsia="zh-CN"/>
              </w:rPr>
            </w:pPr>
            <w:r>
              <w:rPr>
                <w:rFonts w:hint="default" w:ascii="Times New Roman" w:hAnsi="Times New Roman" w:eastAsia="宋体" w:cs="Times New Roman"/>
                <w:color w:val="auto"/>
                <w:spacing w:val="-2"/>
                <w:sz w:val="21"/>
                <w:szCs w:val="21"/>
                <w:highlight w:val="none"/>
                <w:lang w:val="en-US" w:eastAsia="zh-CN"/>
              </w:rPr>
              <w:t>65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495" w:type="pct"/>
            <w:vMerge w:val="continue"/>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1170"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潜污泵</w:t>
            </w:r>
          </w:p>
        </w:tc>
        <w:tc>
          <w:tcPr>
            <w:tcW w:w="833"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2</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rPr>
              <w:t>用1备</w:t>
            </w:r>
            <w:r>
              <w:rPr>
                <w:rFonts w:hint="default" w:ascii="Times New Roman" w:hAnsi="Times New Roman" w:eastAsia="宋体" w:cs="Times New Roman"/>
                <w:color w:val="auto"/>
                <w:sz w:val="21"/>
                <w:szCs w:val="21"/>
                <w:highlight w:val="none"/>
                <w:lang w:eastAsia="zh-CN"/>
              </w:rPr>
              <w:t>）</w:t>
            </w:r>
          </w:p>
        </w:tc>
        <w:tc>
          <w:tcPr>
            <w:tcW w:w="833"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pacing w:line="240" w:lineRule="auto"/>
              <w:ind w:left="0" w:leftChars="0" w:right="0" w:rightChars="0"/>
              <w:jc w:val="center"/>
              <w:rPr>
                <w:rFonts w:hint="default" w:ascii="Times New Roman" w:hAnsi="Times New Roman" w:eastAsia="宋体" w:cs="Times New Roman"/>
                <w:color w:val="auto"/>
                <w:spacing w:val="-2"/>
                <w:sz w:val="21"/>
                <w:szCs w:val="21"/>
                <w:highlight w:val="none"/>
              </w:rPr>
            </w:pPr>
            <w:r>
              <w:rPr>
                <w:rFonts w:hint="default" w:ascii="Times New Roman" w:hAnsi="Times New Roman" w:eastAsia="宋体" w:cs="Times New Roman"/>
                <w:color w:val="auto"/>
                <w:spacing w:val="-2"/>
                <w:sz w:val="21"/>
                <w:szCs w:val="21"/>
                <w:highlight w:val="none"/>
              </w:rPr>
              <w:t>90</w:t>
            </w:r>
          </w:p>
        </w:tc>
        <w:tc>
          <w:tcPr>
            <w:tcW w:w="833"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pacing w:line="240" w:lineRule="auto"/>
              <w:ind w:left="0" w:leftChars="0" w:right="0" w:rightChars="0"/>
              <w:jc w:val="center"/>
              <w:rPr>
                <w:rFonts w:hint="default" w:ascii="Times New Roman" w:hAnsi="Times New Roman" w:eastAsia="宋体" w:cs="Times New Roman"/>
                <w:color w:val="auto"/>
                <w:spacing w:val="-2"/>
                <w:sz w:val="21"/>
                <w:szCs w:val="21"/>
                <w:highlight w:val="none"/>
              </w:rPr>
            </w:pPr>
            <w:r>
              <w:rPr>
                <w:rFonts w:hint="default" w:ascii="Times New Roman" w:hAnsi="Times New Roman" w:eastAsia="宋体" w:cs="Times New Roman"/>
                <w:color w:val="auto"/>
                <w:spacing w:val="-2"/>
                <w:sz w:val="21"/>
                <w:szCs w:val="21"/>
                <w:highlight w:val="none"/>
              </w:rPr>
              <w:t>隔声减震</w:t>
            </w:r>
          </w:p>
        </w:tc>
        <w:tc>
          <w:tcPr>
            <w:tcW w:w="833"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pacing w:line="240" w:lineRule="auto"/>
              <w:ind w:left="0" w:leftChars="0" w:right="0" w:rightChars="0"/>
              <w:jc w:val="center"/>
              <w:rPr>
                <w:rFonts w:hint="default" w:ascii="Times New Roman" w:hAnsi="Times New Roman" w:eastAsia="宋体" w:cs="Times New Roman"/>
                <w:color w:val="auto"/>
                <w:spacing w:val="-2"/>
                <w:sz w:val="21"/>
                <w:szCs w:val="21"/>
                <w:highlight w:val="none"/>
                <w:lang w:val="en-US" w:eastAsia="zh-CN"/>
              </w:rPr>
            </w:pPr>
            <w:r>
              <w:rPr>
                <w:rFonts w:hint="default" w:ascii="Times New Roman" w:hAnsi="Times New Roman" w:eastAsia="宋体" w:cs="Times New Roman"/>
                <w:color w:val="auto"/>
                <w:spacing w:val="-2"/>
                <w:sz w:val="21"/>
                <w:szCs w:val="21"/>
                <w:highlight w:val="none"/>
                <w:lang w:val="en-US" w:eastAsia="zh-CN"/>
              </w:rPr>
              <w:t>65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495" w:type="pct"/>
            <w:vMerge w:val="continue"/>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1170"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电动单梁起重机</w:t>
            </w:r>
          </w:p>
        </w:tc>
        <w:tc>
          <w:tcPr>
            <w:tcW w:w="833"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1</w:t>
            </w:r>
          </w:p>
        </w:tc>
        <w:tc>
          <w:tcPr>
            <w:tcW w:w="833"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pacing w:line="240" w:lineRule="auto"/>
              <w:ind w:left="0" w:leftChars="0" w:right="0" w:rightChars="0"/>
              <w:jc w:val="center"/>
              <w:rPr>
                <w:rFonts w:hint="default" w:ascii="Times New Roman" w:hAnsi="Times New Roman" w:eastAsia="宋体" w:cs="Times New Roman"/>
                <w:color w:val="auto"/>
                <w:spacing w:val="-2"/>
                <w:sz w:val="21"/>
                <w:szCs w:val="21"/>
                <w:highlight w:val="none"/>
                <w:lang w:eastAsia="zh-CN"/>
              </w:rPr>
            </w:pPr>
            <w:r>
              <w:rPr>
                <w:rFonts w:hint="default" w:ascii="Times New Roman" w:hAnsi="Times New Roman" w:eastAsia="宋体" w:cs="Times New Roman"/>
                <w:color w:val="auto"/>
                <w:spacing w:val="-2"/>
                <w:sz w:val="21"/>
                <w:szCs w:val="21"/>
                <w:highlight w:val="none"/>
              </w:rPr>
              <w:t>9</w:t>
            </w:r>
            <w:r>
              <w:rPr>
                <w:rFonts w:hint="default" w:ascii="Times New Roman" w:hAnsi="Times New Roman" w:eastAsia="宋体" w:cs="Times New Roman"/>
                <w:color w:val="auto"/>
                <w:spacing w:val="-2"/>
                <w:sz w:val="21"/>
                <w:szCs w:val="21"/>
                <w:highlight w:val="none"/>
                <w:lang w:val="en-US" w:eastAsia="zh-CN"/>
              </w:rPr>
              <w:t>5</w:t>
            </w:r>
          </w:p>
        </w:tc>
        <w:tc>
          <w:tcPr>
            <w:tcW w:w="833"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pacing w:line="240" w:lineRule="auto"/>
              <w:ind w:left="0" w:leftChars="0" w:right="0" w:rightChars="0"/>
              <w:jc w:val="center"/>
              <w:rPr>
                <w:rFonts w:hint="default" w:ascii="Times New Roman" w:hAnsi="Times New Roman" w:eastAsia="宋体" w:cs="Times New Roman"/>
                <w:color w:val="auto"/>
                <w:spacing w:val="-2"/>
                <w:sz w:val="21"/>
                <w:szCs w:val="21"/>
                <w:highlight w:val="none"/>
              </w:rPr>
            </w:pPr>
            <w:r>
              <w:rPr>
                <w:rFonts w:hint="default" w:ascii="Times New Roman" w:hAnsi="Times New Roman" w:eastAsia="宋体" w:cs="Times New Roman"/>
                <w:color w:val="auto"/>
                <w:spacing w:val="-2"/>
                <w:sz w:val="21"/>
                <w:szCs w:val="21"/>
                <w:highlight w:val="none"/>
              </w:rPr>
              <w:t>隔声减震</w:t>
            </w:r>
          </w:p>
        </w:tc>
        <w:tc>
          <w:tcPr>
            <w:tcW w:w="833"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pacing w:line="240" w:lineRule="auto"/>
              <w:ind w:left="0" w:leftChars="0" w:right="0" w:rightChars="0"/>
              <w:jc w:val="center"/>
              <w:rPr>
                <w:rFonts w:hint="default" w:ascii="Times New Roman" w:hAnsi="Times New Roman" w:eastAsia="宋体" w:cs="Times New Roman"/>
                <w:color w:val="auto"/>
                <w:spacing w:val="-2"/>
                <w:sz w:val="21"/>
                <w:szCs w:val="21"/>
                <w:highlight w:val="none"/>
              </w:rPr>
            </w:pPr>
            <w:r>
              <w:rPr>
                <w:rFonts w:hint="default" w:ascii="Times New Roman" w:hAnsi="Times New Roman" w:eastAsia="宋体" w:cs="Times New Roman"/>
                <w:color w:val="auto"/>
                <w:spacing w:val="-2"/>
                <w:sz w:val="21"/>
                <w:szCs w:val="21"/>
                <w:highlight w:val="none"/>
                <w:lang w:val="en-US" w:eastAsia="zh-CN"/>
              </w:rPr>
              <w:t>7</w:t>
            </w:r>
            <w:r>
              <w:rPr>
                <w:rFonts w:hint="default" w:ascii="Times New Roman" w:hAnsi="Times New Roman" w:eastAsia="宋体" w:cs="Times New Roman"/>
                <w:color w:val="auto"/>
                <w:spacing w:val="-2"/>
                <w:sz w:val="21"/>
                <w:szCs w:val="21"/>
                <w:highlight w:val="none"/>
              </w:rPr>
              <w:t>0</w:t>
            </w:r>
          </w:p>
        </w:tc>
      </w:tr>
    </w:tbl>
    <w:p>
      <w:pPr>
        <w:pStyle w:val="5"/>
        <w:pageBreakBefore w:val="0"/>
        <w:numPr>
          <w:ilvl w:val="2"/>
          <w:numId w:val="0"/>
        </w:numPr>
        <w:wordWrap/>
        <w:bidi w:val="0"/>
        <w:ind w:left="0" w:leftChars="0" w:right="0" w:rightChars="0"/>
        <w:outlineLvl w:val="1"/>
        <w:rPr>
          <w:rFonts w:hint="default" w:ascii="Times New Roman" w:hAnsi="Times New Roman" w:eastAsia="宋体" w:cs="Times New Roman"/>
          <w:b/>
          <w:bCs w:val="0"/>
          <w:color w:val="auto"/>
          <w:highlight w:val="none"/>
        </w:rPr>
      </w:pPr>
      <w:bookmarkStart w:id="704" w:name="_Toc288306200"/>
      <w:bookmarkStart w:id="705" w:name="_Toc16432"/>
      <w:bookmarkStart w:id="706" w:name="_Toc260567904"/>
      <w:bookmarkStart w:id="707" w:name="_Toc24787"/>
      <w:bookmarkStart w:id="708" w:name="_Toc20334"/>
      <w:r>
        <w:rPr>
          <w:rFonts w:hint="default" w:ascii="Times New Roman" w:hAnsi="Times New Roman" w:eastAsia="宋体" w:cs="Times New Roman"/>
          <w:b/>
          <w:bCs/>
          <w:i w:val="0"/>
          <w:iCs w:val="0"/>
          <w:caps w:val="0"/>
          <w:smallCaps w:val="0"/>
          <w:strike w:val="0"/>
          <w:dstrike w:val="0"/>
          <w:vanish w:val="0"/>
          <w:color w:val="auto"/>
          <w:spacing w:val="0"/>
          <w:kern w:val="2"/>
          <w:position w:val="0"/>
          <w:sz w:val="24"/>
          <w:szCs w:val="24"/>
          <w:highlight w:val="none"/>
          <w:u w:val="none"/>
          <w:vertAlign w:val="baseline"/>
          <w:lang w:val="en-US" w:eastAsia="zh-CN" w:bidi="ar-SA"/>
          <w14:shadow w14:blurRad="0" w14:dist="0" w14:dir="0" w14:sx="0" w14:sy="0" w14:kx="0" w14:ky="0" w14:algn="none">
            <w14:srgbClr w14:val="000000"/>
          </w14:shadow>
        </w:rPr>
        <w:t>3.2.4</w:t>
      </w:r>
      <w:r>
        <w:rPr>
          <w:rFonts w:hint="default" w:ascii="Times New Roman" w:hAnsi="Times New Roman" w:eastAsia="宋体" w:cs="Times New Roman"/>
          <w:b/>
          <w:bCs/>
          <w:color w:val="auto"/>
          <w:highlight w:val="none"/>
        </w:rPr>
        <w:t>固体废弃物</w:t>
      </w:r>
      <w:r>
        <w:rPr>
          <w:rFonts w:hint="default" w:ascii="Times New Roman" w:hAnsi="Times New Roman" w:eastAsia="宋体" w:cs="Times New Roman"/>
          <w:b/>
          <w:bCs w:val="0"/>
          <w:color w:val="auto"/>
          <w:highlight w:val="none"/>
        </w:rPr>
        <w:t>污染源分析</w:t>
      </w:r>
      <w:bookmarkEnd w:id="704"/>
      <w:bookmarkEnd w:id="705"/>
      <w:bookmarkEnd w:id="706"/>
      <w:bookmarkEnd w:id="707"/>
      <w:bookmarkEnd w:id="708"/>
    </w:p>
    <w:p>
      <w:pPr>
        <w:pageBreakBefore w:val="0"/>
        <w:wordWrap/>
        <w:bidi w:val="0"/>
        <w:spacing w:line="360" w:lineRule="auto"/>
        <w:ind w:left="0" w:leftChars="0" w:right="0" w:rightChars="0" w:firstLine="480" w:firstLineChars="200"/>
        <w:jc w:val="left"/>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本项目为</w:t>
      </w:r>
      <w:r>
        <w:rPr>
          <w:rFonts w:hint="default" w:ascii="Times New Roman" w:hAnsi="Times New Roman" w:eastAsia="宋体" w:cs="Times New Roman"/>
          <w:color w:val="auto"/>
          <w:sz w:val="24"/>
          <w:highlight w:val="none"/>
          <w:lang w:eastAsia="zh-CN"/>
        </w:rPr>
        <w:t>尾矿库加高扩容</w:t>
      </w:r>
      <w:r>
        <w:rPr>
          <w:rFonts w:hint="default" w:ascii="Times New Roman" w:hAnsi="Times New Roman" w:eastAsia="宋体" w:cs="Times New Roman"/>
          <w:color w:val="auto"/>
          <w:sz w:val="24"/>
          <w:highlight w:val="none"/>
        </w:rPr>
        <w:t>项目</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项目本身为固体废物处置项目</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由于本项目不新增劳动人员</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无生活垃圾产生</w:t>
      </w:r>
      <w:r>
        <w:rPr>
          <w:rFonts w:hint="default" w:ascii="Times New Roman" w:hAnsi="Times New Roman" w:eastAsia="宋体" w:cs="Times New Roman"/>
          <w:color w:val="auto"/>
          <w:sz w:val="24"/>
          <w:highlight w:val="none"/>
          <w:lang w:eastAsia="zh-CN"/>
        </w:rPr>
        <w:t>。</w:t>
      </w:r>
    </w:p>
    <w:p>
      <w:pPr>
        <w:pageBreakBefore w:val="0"/>
        <w:wordWrap/>
        <w:bidi w:val="0"/>
        <w:spacing w:line="360" w:lineRule="auto"/>
        <w:ind w:left="0" w:leftChars="0" w:right="0" w:rightChars="0" w:firstLine="480" w:firstLineChars="200"/>
        <w:jc w:val="left"/>
        <w:outlineLvl w:val="0"/>
        <w:rPr>
          <w:rFonts w:hint="default" w:ascii="Times New Roman" w:hAnsi="Times New Roman" w:eastAsia="宋体" w:cs="Times New Roman"/>
          <w:color w:val="auto"/>
          <w:sz w:val="24"/>
          <w:highlight w:val="none"/>
          <w:lang w:eastAsia="zh-CN"/>
        </w:rPr>
      </w:pPr>
      <w:bookmarkStart w:id="709" w:name="_Toc31802"/>
      <w:bookmarkStart w:id="710" w:name="_Toc31713"/>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1</w:t>
      </w:r>
      <w:r>
        <w:rPr>
          <w:rFonts w:hint="default" w:ascii="Times New Roman" w:hAnsi="Times New Roman" w:eastAsia="宋体" w:cs="Times New Roman"/>
          <w:color w:val="auto"/>
          <w:sz w:val="24"/>
          <w:highlight w:val="none"/>
          <w:lang w:eastAsia="zh-CN"/>
        </w:rPr>
        <w:t>）尾矿</w:t>
      </w:r>
      <w:bookmarkEnd w:id="709"/>
      <w:bookmarkEnd w:id="710"/>
    </w:p>
    <w:p>
      <w:pPr>
        <w:pageBreakBefore w:val="0"/>
        <w:wordWrap/>
        <w:bidi w:val="0"/>
        <w:spacing w:line="360" w:lineRule="auto"/>
        <w:ind w:left="0" w:leftChars="0" w:right="0" w:rightChars="0" w:firstLine="480" w:firstLineChars="20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尾矿库主要堆存湿选矿厂产生的尾矿</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尾矿产生量约为</w:t>
      </w:r>
      <w:r>
        <w:rPr>
          <w:rFonts w:hint="default" w:ascii="Times New Roman" w:hAnsi="Times New Roman" w:eastAsia="宋体" w:cs="Times New Roman"/>
          <w:color w:val="auto"/>
          <w:sz w:val="24"/>
          <w:highlight w:val="none"/>
          <w:lang w:eastAsia="zh-CN"/>
        </w:rPr>
        <w:t>299.46</w:t>
      </w:r>
      <w:r>
        <w:rPr>
          <w:rFonts w:hint="default" w:ascii="Times New Roman" w:hAnsi="Times New Roman" w:eastAsia="宋体" w:cs="Times New Roman"/>
          <w:color w:val="auto"/>
          <w:sz w:val="24"/>
          <w:highlight w:val="none"/>
        </w:rPr>
        <w:t>万t/a</w:t>
      </w:r>
      <w:r>
        <w:rPr>
          <w:rFonts w:hint="default" w:ascii="Times New Roman" w:hAnsi="Times New Roman" w:eastAsia="宋体" w:cs="Times New Roman"/>
          <w:color w:val="auto"/>
          <w:sz w:val="24"/>
          <w:szCs w:val="24"/>
          <w:highlight w:val="none"/>
        </w:rPr>
        <w:t>（干物质），尾矿浓度</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rPr>
        <w:t>40%。</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eastAsia="zh-CN"/>
        </w:rPr>
        <w:t>内蒙古加通环境检测治理有限公司2023年4月</w:t>
      </w:r>
      <w:r>
        <w:rPr>
          <w:rFonts w:hint="default" w:ascii="Times New Roman" w:hAnsi="Times New Roman" w:eastAsia="宋体" w:cs="Times New Roman"/>
          <w:color w:val="auto"/>
          <w:sz w:val="24"/>
          <w:highlight w:val="none"/>
          <w:lang w:val="en-US" w:eastAsia="zh-CN"/>
        </w:rPr>
        <w:t>18</w:t>
      </w:r>
      <w:r>
        <w:rPr>
          <w:rFonts w:hint="default" w:ascii="Times New Roman" w:hAnsi="Times New Roman" w:eastAsia="宋体" w:cs="Times New Roman"/>
          <w:color w:val="auto"/>
          <w:sz w:val="24"/>
          <w:highlight w:val="none"/>
        </w:rPr>
        <w:t>日</w:t>
      </w:r>
      <w:r>
        <w:rPr>
          <w:rFonts w:hint="default" w:ascii="Times New Roman" w:hAnsi="Times New Roman" w:eastAsia="宋体" w:cs="Times New Roman"/>
          <w:color w:val="auto"/>
          <w:sz w:val="24"/>
          <w:highlight w:val="none"/>
          <w:lang w:eastAsia="zh-CN"/>
        </w:rPr>
        <w:t>对</w:t>
      </w:r>
      <w:r>
        <w:rPr>
          <w:rFonts w:hint="default" w:ascii="Times New Roman" w:hAnsi="Times New Roman" w:eastAsia="宋体" w:cs="Times New Roman"/>
          <w:color w:val="auto"/>
          <w:sz w:val="24"/>
          <w:highlight w:val="none"/>
        </w:rPr>
        <w:t>1个</w:t>
      </w:r>
      <w:r>
        <w:rPr>
          <w:rFonts w:hint="default" w:ascii="Times New Roman" w:hAnsi="Times New Roman" w:eastAsia="宋体" w:cs="Times New Roman"/>
          <w:color w:val="auto"/>
          <w:sz w:val="24"/>
          <w:highlight w:val="none"/>
          <w:lang w:eastAsia="zh-CN"/>
        </w:rPr>
        <w:t>西沙德盖钼业公司</w:t>
      </w:r>
      <w:r>
        <w:rPr>
          <w:rFonts w:hint="default" w:ascii="Times New Roman" w:hAnsi="Times New Roman" w:eastAsia="宋体" w:cs="Times New Roman"/>
          <w:color w:val="auto"/>
          <w:sz w:val="24"/>
          <w:highlight w:val="none"/>
        </w:rPr>
        <w:t>库内尾矿样品</w:t>
      </w:r>
      <w:r>
        <w:rPr>
          <w:rFonts w:hint="default" w:ascii="Times New Roman" w:hAnsi="Times New Roman" w:eastAsia="宋体" w:cs="Times New Roman"/>
          <w:color w:val="auto"/>
          <w:sz w:val="24"/>
          <w:highlight w:val="none"/>
          <w:lang w:eastAsia="zh-CN"/>
        </w:rPr>
        <w:t>根据《危险废物鉴别标准通则》（GB5085.7-2019）、《危险废物鉴别标准浸出毒性鉴别》（GB5085.3-2007）进行了浸出毒性实验，</w:t>
      </w:r>
      <w:r>
        <w:rPr>
          <w:rFonts w:hint="default" w:ascii="Times New Roman" w:hAnsi="Times New Roman" w:eastAsia="宋体" w:cs="Times New Roman"/>
          <w:color w:val="auto"/>
          <w:sz w:val="24"/>
          <w:highlight w:val="none"/>
          <w:lang w:val="en-US" w:eastAsia="zh-CN"/>
        </w:rPr>
        <w:t>检测</w:t>
      </w:r>
      <w:r>
        <w:rPr>
          <w:rFonts w:hint="default" w:ascii="Times New Roman" w:hAnsi="Times New Roman" w:eastAsia="宋体" w:cs="Times New Roman"/>
          <w:color w:val="auto"/>
          <w:sz w:val="24"/>
          <w:highlight w:val="none"/>
        </w:rPr>
        <w:t>结果见表</w:t>
      </w:r>
      <w:r>
        <w:rPr>
          <w:rFonts w:hint="default" w:ascii="Times New Roman" w:hAnsi="Times New Roman" w:eastAsia="宋体" w:cs="Times New Roman"/>
          <w:color w:val="auto"/>
          <w:sz w:val="24"/>
          <w:highlight w:val="none"/>
          <w:lang w:val="en-US" w:eastAsia="zh-CN"/>
        </w:rPr>
        <w:t>3-2</w:t>
      </w:r>
      <w:r>
        <w:rPr>
          <w:rFonts w:hint="default" w:ascii="Times New Roman" w:hAnsi="Times New Roman" w:eastAsia="宋体" w:cs="Times New Roman"/>
          <w:color w:val="auto"/>
          <w:sz w:val="24"/>
          <w:highlight w:val="none"/>
        </w:rPr>
        <w:t>。</w:t>
      </w:r>
    </w:p>
    <w:p>
      <w:pPr>
        <w:pageBreakBefore w:val="0"/>
        <w:wordWrap/>
        <w:bidi w:val="0"/>
        <w:spacing w:line="360" w:lineRule="auto"/>
        <w:ind w:left="0" w:leftChars="0" w:right="0" w:rightChars="0"/>
        <w:jc w:val="center"/>
        <w:rPr>
          <w:rFonts w:hint="default" w:ascii="Times New Roman" w:hAnsi="Times New Roman" w:eastAsia="宋体" w:cs="Times New Roman"/>
          <w:b/>
          <w:bCs/>
          <w:color w:val="auto"/>
          <w:sz w:val="24"/>
          <w:szCs w:val="32"/>
          <w:highlight w:val="none"/>
          <w:lang w:val="en-US" w:eastAsia="zh-CN"/>
        </w:rPr>
      </w:pPr>
      <w:r>
        <w:rPr>
          <w:rFonts w:hint="default" w:ascii="Times New Roman" w:hAnsi="Times New Roman" w:eastAsia="宋体" w:cs="Times New Roman"/>
          <w:b/>
          <w:bCs/>
          <w:color w:val="auto"/>
          <w:sz w:val="24"/>
          <w:szCs w:val="32"/>
          <w:highlight w:val="none"/>
          <w:lang w:val="en-US" w:eastAsia="zh-CN"/>
        </w:rPr>
        <w:t>表3-2固体废物（酸浸）检测结果</w:t>
      </w:r>
    </w:p>
    <w:tbl>
      <w:tblPr>
        <w:tblStyle w:val="5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4"/>
        <w:gridCol w:w="1418"/>
        <w:gridCol w:w="2813"/>
        <w:gridCol w:w="1037"/>
        <w:gridCol w:w="488"/>
        <w:gridCol w:w="867"/>
        <w:gridCol w:w="12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39"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采样依据</w:t>
            </w:r>
          </w:p>
        </w:tc>
        <w:tc>
          <w:tcPr>
            <w:tcW w:w="3760" w:type="pct"/>
            <w:gridSpan w:val="5"/>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《工业固体废物采样制样技术规范》HJ/T20-1998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39"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采</w:t>
            </w:r>
            <w:r>
              <w:rPr>
                <w:rFonts w:hint="default" w:ascii="Times New Roman" w:hAnsi="Times New Roman" w:eastAsia="宋体" w:cs="Times New Roman"/>
                <w:color w:val="auto"/>
                <w:sz w:val="21"/>
                <w:szCs w:val="21"/>
                <w:highlight w:val="none"/>
              </w:rPr>
              <w:t>样</w:t>
            </w:r>
            <w:r>
              <w:rPr>
                <w:rFonts w:hint="default" w:ascii="Times New Roman" w:hAnsi="Times New Roman" w:eastAsia="宋体" w:cs="Times New Roman"/>
                <w:color w:val="auto"/>
                <w:sz w:val="21"/>
                <w:szCs w:val="21"/>
                <w:highlight w:val="none"/>
                <w:lang w:eastAsia="zh-CN"/>
              </w:rPr>
              <w:t>日期</w:t>
            </w:r>
          </w:p>
        </w:tc>
        <w:tc>
          <w:tcPr>
            <w:tcW w:w="1233" w:type="pct"/>
            <w:vAlign w:val="center"/>
          </w:tcPr>
          <w:p>
            <w:pPr>
              <w:pStyle w:val="5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2023-04-18</w:t>
            </w:r>
          </w:p>
        </w:tc>
        <w:tc>
          <w:tcPr>
            <w:tcW w:w="765" w:type="pct"/>
            <w:gridSpan w:val="2"/>
            <w:vAlign w:val="center"/>
          </w:tcPr>
          <w:p>
            <w:pPr>
              <w:pStyle w:val="5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分析</w:t>
            </w:r>
            <w:r>
              <w:rPr>
                <w:rFonts w:hint="default" w:ascii="Times New Roman" w:hAnsi="Times New Roman" w:eastAsia="宋体" w:cs="Times New Roman"/>
                <w:color w:val="auto"/>
                <w:sz w:val="21"/>
                <w:szCs w:val="21"/>
                <w:highlight w:val="none"/>
                <w:lang w:eastAsia="zh-CN"/>
              </w:rPr>
              <w:t>日期</w:t>
            </w:r>
          </w:p>
        </w:tc>
        <w:tc>
          <w:tcPr>
            <w:tcW w:w="1761" w:type="pct"/>
            <w:gridSpan w:val="2"/>
            <w:vAlign w:val="center"/>
          </w:tcPr>
          <w:p>
            <w:pPr>
              <w:pStyle w:val="5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2023-04-18~2023-05-10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7"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序号</w:t>
            </w:r>
          </w:p>
        </w:tc>
        <w:tc>
          <w:tcPr>
            <w:tcW w:w="832"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样品</w:t>
            </w:r>
            <w:r>
              <w:rPr>
                <w:rFonts w:hint="default" w:ascii="Times New Roman" w:hAnsi="Times New Roman" w:eastAsia="宋体" w:cs="Times New Roman"/>
                <w:color w:val="auto"/>
                <w:sz w:val="21"/>
                <w:szCs w:val="21"/>
                <w:highlight w:val="none"/>
                <w:lang w:eastAsia="zh-CN"/>
              </w:rPr>
              <w:t>名称</w:t>
            </w:r>
          </w:p>
        </w:tc>
        <w:tc>
          <w:tcPr>
            <w:tcW w:w="2259"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固废（尾矿砂）</w:t>
            </w:r>
          </w:p>
        </w:tc>
        <w:tc>
          <w:tcPr>
            <w:tcW w:w="795" w:type="pct"/>
            <w:gridSpan w:val="2"/>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标准限值</w:t>
            </w:r>
            <w:r>
              <w:rPr>
                <w:rFonts w:hint="default" w:ascii="Times New Roman" w:hAnsi="Times New Roman" w:eastAsia="宋体" w:cs="Times New Roman"/>
                <w:color w:val="auto"/>
                <w:sz w:val="21"/>
                <w:szCs w:val="21"/>
                <w:highlight w:val="none"/>
                <w:lang w:val="en-US" w:eastAsia="zh-CN"/>
              </w:rPr>
              <w:t>GB5085.3-2007</w:t>
            </w:r>
          </w:p>
        </w:tc>
        <w:tc>
          <w:tcPr>
            <w:tcW w:w="706"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832"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采样位置</w:t>
            </w:r>
          </w:p>
        </w:tc>
        <w:tc>
          <w:tcPr>
            <w:tcW w:w="2259"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795" w:type="pct"/>
            <w:gridSpan w:val="2"/>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706"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832"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样品状态</w:t>
            </w:r>
          </w:p>
        </w:tc>
        <w:tc>
          <w:tcPr>
            <w:tcW w:w="2259"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棕褐色颗粒状</w:t>
            </w:r>
          </w:p>
        </w:tc>
        <w:tc>
          <w:tcPr>
            <w:tcW w:w="795" w:type="pct"/>
            <w:gridSpan w:val="2"/>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706"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4" w:hRule="atLeast"/>
          <w:jc w:val="center"/>
        </w:trPr>
        <w:tc>
          <w:tcPr>
            <w:tcW w:w="40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832" w:type="pct"/>
            <w:vAlign w:val="center"/>
            <mc:AlternateContent>
              <mc:Choice Requires="wpsCustomData">
                <wpsCustomData:diagonals>
                  <wpsCustomData:diagonal from="10000" to="30000">
                    <wpsCustomData:border w:val="single" w:color="auto" w:sz="4" w:space="0"/>
                  </wpsCustomData:diagonal>
                </wpsCustomData:diagonals>
              </mc:Choice>
            </mc:AlternateContent>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mc:AlternateContent>
                <mc:Choice Requires="wpsCustomData">
                  <wpsCustomData:diagonalParaType/>
                </mc:Choice>
              </mc:AlternateConten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分析项目</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样品编号</w:t>
            </w:r>
          </w:p>
        </w:tc>
        <w:tc>
          <w:tcPr>
            <w:tcW w:w="2259"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GF-JT2304406-01-001</w:t>
            </w:r>
          </w:p>
        </w:tc>
        <w:tc>
          <w:tcPr>
            <w:tcW w:w="795" w:type="pct"/>
            <w:gridSpan w:val="2"/>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c>
          <w:tcPr>
            <w:tcW w:w="706"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7"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w:t>
            </w:r>
          </w:p>
        </w:tc>
        <w:tc>
          <w:tcPr>
            <w:tcW w:w="832"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pH</w:t>
            </w:r>
          </w:p>
        </w:tc>
        <w:tc>
          <w:tcPr>
            <w:tcW w:w="3853"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8.31</w:t>
            </w:r>
          </w:p>
        </w:tc>
        <w:tc>
          <w:tcPr>
            <w:tcW w:w="795"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w:t>
            </w:r>
          </w:p>
        </w:tc>
        <w:tc>
          <w:tcPr>
            <w:tcW w:w="706"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无量纲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7"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w:t>
            </w:r>
          </w:p>
        </w:tc>
        <w:tc>
          <w:tcPr>
            <w:tcW w:w="832"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铜</w:t>
            </w:r>
          </w:p>
        </w:tc>
        <w:tc>
          <w:tcPr>
            <w:tcW w:w="3853"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0.02L</w:t>
            </w:r>
          </w:p>
        </w:tc>
        <w:tc>
          <w:tcPr>
            <w:tcW w:w="795"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≤100</w:t>
            </w:r>
          </w:p>
        </w:tc>
        <w:tc>
          <w:tcPr>
            <w:tcW w:w="706"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7"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w:t>
            </w:r>
          </w:p>
        </w:tc>
        <w:tc>
          <w:tcPr>
            <w:tcW w:w="832"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锌</w:t>
            </w:r>
          </w:p>
        </w:tc>
        <w:tc>
          <w:tcPr>
            <w:tcW w:w="3853"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0.249</w:t>
            </w:r>
          </w:p>
        </w:tc>
        <w:tc>
          <w:tcPr>
            <w:tcW w:w="795"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≤100</w:t>
            </w:r>
          </w:p>
        </w:tc>
        <w:tc>
          <w:tcPr>
            <w:tcW w:w="706"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7"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w:t>
            </w:r>
          </w:p>
        </w:tc>
        <w:tc>
          <w:tcPr>
            <w:tcW w:w="832"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镉</w:t>
            </w:r>
          </w:p>
        </w:tc>
        <w:tc>
          <w:tcPr>
            <w:tcW w:w="3853"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5×10</w:t>
            </w:r>
            <w:r>
              <w:rPr>
                <w:rFonts w:hint="default" w:ascii="Times New Roman" w:hAnsi="Times New Roman" w:eastAsia="宋体" w:cs="Times New Roman"/>
                <w:color w:val="auto"/>
                <w:kern w:val="2"/>
                <w:sz w:val="21"/>
                <w:szCs w:val="21"/>
                <w:highlight w:val="none"/>
                <w:vertAlign w:val="superscript"/>
                <w:lang w:val="en-US" w:eastAsia="zh-CN" w:bidi="ar-SA"/>
              </w:rPr>
              <w:t>-3</w:t>
            </w:r>
            <w:r>
              <w:rPr>
                <w:rFonts w:hint="default" w:ascii="Times New Roman" w:hAnsi="Times New Roman" w:eastAsia="宋体" w:cs="Times New Roman"/>
                <w:color w:val="auto"/>
                <w:kern w:val="2"/>
                <w:sz w:val="21"/>
                <w:szCs w:val="21"/>
                <w:highlight w:val="none"/>
                <w:lang w:val="en-US" w:eastAsia="zh-CN" w:bidi="ar-SA"/>
              </w:rPr>
              <w:t>L</w:t>
            </w:r>
          </w:p>
        </w:tc>
        <w:tc>
          <w:tcPr>
            <w:tcW w:w="795"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w:t>
            </w:r>
          </w:p>
        </w:tc>
        <w:tc>
          <w:tcPr>
            <w:tcW w:w="706"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7"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w:t>
            </w:r>
          </w:p>
        </w:tc>
        <w:tc>
          <w:tcPr>
            <w:tcW w:w="832" w:type="pct"/>
            <w:vAlign w:val="center"/>
          </w:tcPr>
          <w:p>
            <w:pPr>
              <w:pStyle w:val="5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铅</w:t>
            </w:r>
          </w:p>
        </w:tc>
        <w:tc>
          <w:tcPr>
            <w:tcW w:w="3853"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0.1L</w:t>
            </w:r>
          </w:p>
        </w:tc>
        <w:tc>
          <w:tcPr>
            <w:tcW w:w="795"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≤5</w:t>
            </w:r>
          </w:p>
        </w:tc>
        <w:tc>
          <w:tcPr>
            <w:tcW w:w="706"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7"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w:t>
            </w:r>
          </w:p>
        </w:tc>
        <w:tc>
          <w:tcPr>
            <w:tcW w:w="832" w:type="pct"/>
            <w:vAlign w:val="center"/>
          </w:tcPr>
          <w:p>
            <w:pPr>
              <w:pStyle w:val="5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总铬</w:t>
            </w:r>
            <w:r>
              <w:rPr>
                <w:rFonts w:hint="default" w:ascii="Times New Roman" w:hAnsi="Times New Roman" w:eastAsia="宋体" w:cs="Times New Roman"/>
                <w:color w:val="auto"/>
                <w:sz w:val="21"/>
                <w:szCs w:val="21"/>
                <w:highlight w:val="none"/>
                <w:lang w:val="en-US" w:eastAsia="zh-CN"/>
              </w:rPr>
              <w:t>*</w:t>
            </w:r>
          </w:p>
        </w:tc>
        <w:tc>
          <w:tcPr>
            <w:tcW w:w="3853"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2×10</w:t>
            </w:r>
            <w:r>
              <w:rPr>
                <w:rFonts w:hint="default" w:ascii="Times New Roman" w:hAnsi="Times New Roman" w:eastAsia="宋体" w:cs="Times New Roman"/>
                <w:color w:val="auto"/>
                <w:kern w:val="2"/>
                <w:sz w:val="21"/>
                <w:szCs w:val="21"/>
                <w:highlight w:val="none"/>
                <w:vertAlign w:val="superscript"/>
                <w:lang w:val="en-US" w:eastAsia="zh-CN" w:bidi="ar-SA"/>
              </w:rPr>
              <w:t>-2</w:t>
            </w:r>
          </w:p>
        </w:tc>
        <w:tc>
          <w:tcPr>
            <w:tcW w:w="795"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≤15</w:t>
            </w:r>
          </w:p>
        </w:tc>
        <w:tc>
          <w:tcPr>
            <w:tcW w:w="706"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7"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w:t>
            </w:r>
          </w:p>
        </w:tc>
        <w:tc>
          <w:tcPr>
            <w:tcW w:w="832"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六价铬</w:t>
            </w:r>
          </w:p>
        </w:tc>
        <w:tc>
          <w:tcPr>
            <w:tcW w:w="3853"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4×10</w:t>
            </w:r>
            <w:r>
              <w:rPr>
                <w:rFonts w:hint="default" w:ascii="Times New Roman" w:hAnsi="Times New Roman" w:eastAsia="宋体" w:cs="Times New Roman"/>
                <w:color w:val="auto"/>
                <w:kern w:val="2"/>
                <w:sz w:val="21"/>
                <w:szCs w:val="21"/>
                <w:highlight w:val="none"/>
                <w:vertAlign w:val="superscript"/>
                <w:lang w:val="en-US" w:eastAsia="zh-CN" w:bidi="ar-SA"/>
              </w:rPr>
              <w:t>-3</w:t>
            </w:r>
            <w:r>
              <w:rPr>
                <w:rFonts w:hint="default" w:ascii="Times New Roman" w:hAnsi="Times New Roman" w:eastAsia="宋体" w:cs="Times New Roman"/>
                <w:color w:val="auto"/>
                <w:kern w:val="2"/>
                <w:sz w:val="21"/>
                <w:szCs w:val="21"/>
                <w:highlight w:val="none"/>
                <w:lang w:val="en-US" w:eastAsia="zh-CN" w:bidi="ar-SA"/>
              </w:rPr>
              <w:t>L</w:t>
            </w:r>
          </w:p>
        </w:tc>
        <w:tc>
          <w:tcPr>
            <w:tcW w:w="795"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≤5</w:t>
            </w:r>
          </w:p>
        </w:tc>
        <w:tc>
          <w:tcPr>
            <w:tcW w:w="706"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7"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8</w:t>
            </w:r>
          </w:p>
        </w:tc>
        <w:tc>
          <w:tcPr>
            <w:tcW w:w="832" w:type="pct"/>
            <w:vAlign w:val="center"/>
          </w:tcPr>
          <w:p>
            <w:pPr>
              <w:pStyle w:val="5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甲基汞</w:t>
            </w:r>
          </w:p>
        </w:tc>
        <w:tc>
          <w:tcPr>
            <w:tcW w:w="3853"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未检出</w:t>
            </w:r>
          </w:p>
        </w:tc>
        <w:tc>
          <w:tcPr>
            <w:tcW w:w="795"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不得检出</w:t>
            </w:r>
          </w:p>
        </w:tc>
        <w:tc>
          <w:tcPr>
            <w:tcW w:w="706"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7"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9</w:t>
            </w:r>
          </w:p>
        </w:tc>
        <w:tc>
          <w:tcPr>
            <w:tcW w:w="832" w:type="pct"/>
            <w:vAlign w:val="center"/>
          </w:tcPr>
          <w:p>
            <w:pPr>
              <w:pStyle w:val="5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乙基汞</w:t>
            </w:r>
          </w:p>
        </w:tc>
        <w:tc>
          <w:tcPr>
            <w:tcW w:w="3853"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未检出</w:t>
            </w:r>
          </w:p>
        </w:tc>
        <w:tc>
          <w:tcPr>
            <w:tcW w:w="795"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不得检出</w:t>
            </w:r>
          </w:p>
        </w:tc>
        <w:tc>
          <w:tcPr>
            <w:tcW w:w="706"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7"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10</w:t>
            </w:r>
          </w:p>
        </w:tc>
        <w:tc>
          <w:tcPr>
            <w:tcW w:w="832"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汞</w:t>
            </w:r>
            <w:r>
              <w:rPr>
                <w:rFonts w:hint="default" w:ascii="Times New Roman" w:hAnsi="Times New Roman" w:eastAsia="宋体" w:cs="Times New Roman"/>
                <w:color w:val="auto"/>
                <w:sz w:val="21"/>
                <w:szCs w:val="21"/>
                <w:highlight w:val="none"/>
                <w:lang w:val="en-US" w:eastAsia="zh-CN"/>
              </w:rPr>
              <w:t>*</w:t>
            </w:r>
          </w:p>
        </w:tc>
        <w:tc>
          <w:tcPr>
            <w:tcW w:w="3853"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1.01×10</w:t>
            </w:r>
            <w:r>
              <w:rPr>
                <w:rFonts w:hint="default" w:ascii="Times New Roman" w:hAnsi="Times New Roman" w:eastAsia="宋体" w:cs="Times New Roman"/>
                <w:color w:val="auto"/>
                <w:kern w:val="2"/>
                <w:sz w:val="21"/>
                <w:szCs w:val="21"/>
                <w:highlight w:val="none"/>
                <w:vertAlign w:val="superscript"/>
                <w:lang w:val="en-US" w:eastAsia="zh-CN" w:bidi="ar-SA"/>
              </w:rPr>
              <w:t>-3</w:t>
            </w:r>
          </w:p>
        </w:tc>
        <w:tc>
          <w:tcPr>
            <w:tcW w:w="795"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≤0.1</w:t>
            </w:r>
          </w:p>
        </w:tc>
        <w:tc>
          <w:tcPr>
            <w:tcW w:w="706"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7"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11</w:t>
            </w:r>
          </w:p>
        </w:tc>
        <w:tc>
          <w:tcPr>
            <w:tcW w:w="832" w:type="pct"/>
            <w:vAlign w:val="center"/>
          </w:tcPr>
          <w:p>
            <w:pPr>
              <w:pStyle w:val="5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铍*</w:t>
            </w:r>
          </w:p>
        </w:tc>
        <w:tc>
          <w:tcPr>
            <w:tcW w:w="3853"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6×10</w:t>
            </w:r>
            <w:r>
              <w:rPr>
                <w:rFonts w:hint="default" w:ascii="Times New Roman" w:hAnsi="Times New Roman" w:eastAsia="宋体" w:cs="Times New Roman"/>
                <w:color w:val="auto"/>
                <w:kern w:val="2"/>
                <w:sz w:val="21"/>
                <w:szCs w:val="21"/>
                <w:highlight w:val="none"/>
                <w:vertAlign w:val="superscript"/>
                <w:lang w:val="en-US" w:eastAsia="zh-CN" w:bidi="ar-SA"/>
              </w:rPr>
              <w:t>-3</w:t>
            </w:r>
          </w:p>
        </w:tc>
        <w:tc>
          <w:tcPr>
            <w:tcW w:w="795"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≤0.02</w:t>
            </w:r>
          </w:p>
        </w:tc>
        <w:tc>
          <w:tcPr>
            <w:tcW w:w="706"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7"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12</w:t>
            </w:r>
          </w:p>
        </w:tc>
        <w:tc>
          <w:tcPr>
            <w:tcW w:w="832"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镍</w:t>
            </w:r>
          </w:p>
        </w:tc>
        <w:tc>
          <w:tcPr>
            <w:tcW w:w="3853"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0.04L</w:t>
            </w:r>
          </w:p>
        </w:tc>
        <w:tc>
          <w:tcPr>
            <w:tcW w:w="795"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≤5</w:t>
            </w:r>
          </w:p>
        </w:tc>
        <w:tc>
          <w:tcPr>
            <w:tcW w:w="706"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7"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13</w:t>
            </w:r>
          </w:p>
        </w:tc>
        <w:tc>
          <w:tcPr>
            <w:tcW w:w="832" w:type="pct"/>
            <w:vAlign w:val="center"/>
          </w:tcPr>
          <w:p>
            <w:pPr>
              <w:pStyle w:val="5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银</w:t>
            </w:r>
          </w:p>
        </w:tc>
        <w:tc>
          <w:tcPr>
            <w:tcW w:w="3853"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0.01L</w:t>
            </w:r>
          </w:p>
        </w:tc>
        <w:tc>
          <w:tcPr>
            <w:tcW w:w="795"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≤5</w:t>
            </w:r>
          </w:p>
        </w:tc>
        <w:tc>
          <w:tcPr>
            <w:tcW w:w="706"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7"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14</w:t>
            </w:r>
          </w:p>
        </w:tc>
        <w:tc>
          <w:tcPr>
            <w:tcW w:w="832"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砷</w:t>
            </w:r>
          </w:p>
        </w:tc>
        <w:tc>
          <w:tcPr>
            <w:tcW w:w="3853"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1.78×10</w:t>
            </w:r>
            <w:r>
              <w:rPr>
                <w:rFonts w:hint="default" w:ascii="Times New Roman" w:hAnsi="Times New Roman" w:eastAsia="宋体" w:cs="Times New Roman"/>
                <w:color w:val="auto"/>
                <w:kern w:val="2"/>
                <w:sz w:val="21"/>
                <w:szCs w:val="21"/>
                <w:highlight w:val="none"/>
                <w:vertAlign w:val="superscript"/>
                <w:lang w:val="en-US" w:eastAsia="zh-CN" w:bidi="ar-SA"/>
              </w:rPr>
              <w:t>-4</w:t>
            </w:r>
          </w:p>
        </w:tc>
        <w:tc>
          <w:tcPr>
            <w:tcW w:w="795"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≤5</w:t>
            </w:r>
          </w:p>
        </w:tc>
        <w:tc>
          <w:tcPr>
            <w:tcW w:w="706"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7"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15</w:t>
            </w:r>
          </w:p>
        </w:tc>
        <w:tc>
          <w:tcPr>
            <w:tcW w:w="832"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硒</w:t>
            </w:r>
          </w:p>
        </w:tc>
        <w:tc>
          <w:tcPr>
            <w:tcW w:w="3853"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rPr>
              <w:t>2.0×10</w:t>
            </w:r>
            <w:r>
              <w:rPr>
                <w:rFonts w:hint="default" w:ascii="Times New Roman" w:hAnsi="Times New Roman" w:eastAsia="宋体" w:cs="Times New Roman"/>
                <w:color w:val="auto"/>
                <w:kern w:val="0"/>
                <w:sz w:val="21"/>
                <w:szCs w:val="21"/>
                <w:highlight w:val="none"/>
                <w:vertAlign w:val="superscript"/>
                <w:lang w:val="en-US" w:eastAsia="zh-CN"/>
              </w:rPr>
              <w:t>-4</w:t>
            </w:r>
            <w:r>
              <w:rPr>
                <w:rFonts w:hint="default" w:ascii="Times New Roman" w:hAnsi="Times New Roman" w:eastAsia="宋体" w:cs="Times New Roman"/>
                <w:color w:val="auto"/>
                <w:kern w:val="2"/>
                <w:sz w:val="21"/>
                <w:szCs w:val="21"/>
                <w:highlight w:val="none"/>
                <w:lang w:val="en-US" w:eastAsia="zh-CN" w:bidi="ar-SA"/>
              </w:rPr>
              <w:t>L</w:t>
            </w:r>
          </w:p>
        </w:tc>
        <w:tc>
          <w:tcPr>
            <w:tcW w:w="795"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w:t>
            </w:r>
          </w:p>
        </w:tc>
        <w:tc>
          <w:tcPr>
            <w:tcW w:w="706"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7"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16</w:t>
            </w:r>
          </w:p>
        </w:tc>
        <w:tc>
          <w:tcPr>
            <w:tcW w:w="832" w:type="pct"/>
            <w:vAlign w:val="center"/>
          </w:tcPr>
          <w:p>
            <w:pPr>
              <w:pStyle w:val="5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氟化物</w:t>
            </w:r>
          </w:p>
        </w:tc>
        <w:tc>
          <w:tcPr>
            <w:tcW w:w="3853"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1.66</w:t>
            </w:r>
          </w:p>
        </w:tc>
        <w:tc>
          <w:tcPr>
            <w:tcW w:w="795"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≤100</w:t>
            </w:r>
          </w:p>
        </w:tc>
        <w:tc>
          <w:tcPr>
            <w:tcW w:w="706"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7"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17</w:t>
            </w:r>
          </w:p>
        </w:tc>
        <w:tc>
          <w:tcPr>
            <w:tcW w:w="832" w:type="pct"/>
            <w:vAlign w:val="center"/>
          </w:tcPr>
          <w:p>
            <w:pPr>
              <w:pStyle w:val="5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氰化物</w:t>
            </w:r>
            <w:r>
              <w:rPr>
                <w:rFonts w:hint="default" w:ascii="Times New Roman" w:hAnsi="Times New Roman" w:eastAsia="宋体" w:cs="Times New Roman"/>
                <w:color w:val="auto"/>
                <w:sz w:val="21"/>
                <w:szCs w:val="21"/>
                <w:highlight w:val="none"/>
                <w:lang w:val="en-US" w:eastAsia="zh-CN"/>
              </w:rPr>
              <w:t>*</w:t>
            </w:r>
          </w:p>
        </w:tc>
        <w:tc>
          <w:tcPr>
            <w:tcW w:w="3853"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1×10</w:t>
            </w:r>
            <w:r>
              <w:rPr>
                <w:rFonts w:hint="default" w:ascii="Times New Roman" w:hAnsi="Times New Roman" w:eastAsia="宋体" w:cs="Times New Roman"/>
                <w:color w:val="auto"/>
                <w:kern w:val="2"/>
                <w:sz w:val="21"/>
                <w:szCs w:val="21"/>
                <w:highlight w:val="none"/>
                <w:vertAlign w:val="superscript"/>
                <w:lang w:val="en-US" w:eastAsia="zh-CN" w:bidi="ar-SA"/>
              </w:rPr>
              <w:t>-4</w:t>
            </w:r>
            <w:r>
              <w:rPr>
                <w:rFonts w:hint="default" w:ascii="Times New Roman" w:hAnsi="Times New Roman" w:eastAsia="宋体" w:cs="Times New Roman"/>
                <w:color w:val="auto"/>
                <w:kern w:val="2"/>
                <w:sz w:val="21"/>
                <w:szCs w:val="21"/>
                <w:highlight w:val="none"/>
                <w:vertAlign w:val="baseline"/>
                <w:lang w:val="en-US" w:eastAsia="zh-CN" w:bidi="ar-SA"/>
              </w:rPr>
              <w:t>L</w:t>
            </w:r>
          </w:p>
        </w:tc>
        <w:tc>
          <w:tcPr>
            <w:tcW w:w="795"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≤5</w:t>
            </w:r>
          </w:p>
        </w:tc>
        <w:tc>
          <w:tcPr>
            <w:tcW w:w="706"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7"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18</w:t>
            </w:r>
          </w:p>
        </w:tc>
        <w:tc>
          <w:tcPr>
            <w:tcW w:w="832" w:type="pct"/>
            <w:vAlign w:val="center"/>
          </w:tcPr>
          <w:p>
            <w:pPr>
              <w:pStyle w:val="5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钡</w:t>
            </w:r>
          </w:p>
        </w:tc>
        <w:tc>
          <w:tcPr>
            <w:tcW w:w="3853"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5.44×10</w:t>
            </w:r>
            <w:r>
              <w:rPr>
                <w:rFonts w:hint="default" w:ascii="Times New Roman" w:hAnsi="Times New Roman" w:eastAsia="宋体" w:cs="Times New Roman"/>
                <w:color w:val="auto"/>
                <w:kern w:val="2"/>
                <w:sz w:val="21"/>
                <w:szCs w:val="21"/>
                <w:highlight w:val="none"/>
                <w:vertAlign w:val="superscript"/>
                <w:lang w:val="en-US" w:eastAsia="zh-CN" w:bidi="ar-SA"/>
              </w:rPr>
              <w:t>-3</w:t>
            </w:r>
          </w:p>
        </w:tc>
        <w:tc>
          <w:tcPr>
            <w:tcW w:w="795"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≤100</w:t>
            </w:r>
          </w:p>
        </w:tc>
        <w:tc>
          <w:tcPr>
            <w:tcW w:w="706"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39"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固体废物前处理方式</w:t>
            </w:r>
          </w:p>
        </w:tc>
        <w:tc>
          <w:tcPr>
            <w:tcW w:w="3760" w:type="pct"/>
            <w:gridSpan w:val="5"/>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《固体废物浸出毒性浸出方法硫酸硝酸法》HJ/T299-2007；</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color w:val="auto"/>
                <w:kern w:val="0"/>
                <w:sz w:val="21"/>
                <w:szCs w:val="21"/>
                <w:highlight w:val="none"/>
                <w:u w:val="none"/>
                <w:lang w:val="en-US" w:eastAsia="zh-CN" w:bidi="ar"/>
              </w:rPr>
              <w:t>《固体废物腐蚀性测定玻璃电极法》GB/T15555.12-1995；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7"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评价标准</w:t>
            </w:r>
          </w:p>
        </w:tc>
        <w:tc>
          <w:tcPr>
            <w:tcW w:w="4592" w:type="pct"/>
            <w:gridSpan w:val="6"/>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参照执行《危险废物鉴别标准浸出毒性鉴别》GB5085.3-2007，表1浸出毒性鉴别标准值。</w:t>
            </w:r>
          </w:p>
        </w:tc>
      </w:tr>
    </w:tbl>
    <w:p>
      <w:pPr>
        <w:pStyle w:val="53"/>
        <w:keepNext w:val="0"/>
        <w:keepLines w:val="0"/>
        <w:pageBreakBefore w:val="0"/>
        <w:widowControl w:val="0"/>
        <w:kinsoku/>
        <w:wordWrap/>
        <w:overflowPunct/>
        <w:topLinePunct w:val="0"/>
        <w:autoSpaceDE/>
        <w:autoSpaceDN/>
        <w:bidi w:val="0"/>
        <w:adjustRightInd/>
        <w:snapToGrid/>
        <w:spacing w:after="0" w:line="360" w:lineRule="auto"/>
        <w:ind w:left="0" w:leftChars="0" w:right="0" w:rightChars="0" w:firstLine="480" w:firstLineChars="200"/>
        <w:jc w:val="left"/>
        <w:textAlignment w:val="auto"/>
        <w:rPr>
          <w:rFonts w:hint="default" w:ascii="Times New Roman" w:hAnsi="Times New Roman" w:eastAsia="宋体" w:cs="Times New Roman"/>
          <w:b/>
          <w:bCs/>
          <w:color w:val="auto"/>
          <w:kern w:val="2"/>
          <w:sz w:val="24"/>
          <w:szCs w:val="32"/>
          <w:highlight w:val="none"/>
          <w:lang w:val="en-US" w:eastAsia="zh-CN" w:bidi="ar-SA"/>
        </w:rPr>
      </w:pPr>
      <w:r>
        <w:rPr>
          <w:rFonts w:hint="default" w:ascii="Times New Roman" w:hAnsi="Times New Roman" w:eastAsia="宋体" w:cs="Times New Roman"/>
          <w:color w:val="auto"/>
          <w:sz w:val="24"/>
          <w:highlight w:val="none"/>
          <w:lang w:val="en-US" w:eastAsia="zh-CN"/>
        </w:rPr>
        <w:t>根据《固体废物浸出毒性浸出方法水平振荡法》（HJ557-2010）进行了浸出毒性实验，检测</w:t>
      </w:r>
      <w:r>
        <w:rPr>
          <w:rFonts w:hint="default" w:ascii="Times New Roman" w:hAnsi="Times New Roman" w:eastAsia="宋体" w:cs="Times New Roman"/>
          <w:color w:val="auto"/>
          <w:sz w:val="24"/>
          <w:highlight w:val="none"/>
        </w:rPr>
        <w:t>结果见表</w:t>
      </w:r>
      <w:r>
        <w:rPr>
          <w:rFonts w:hint="default" w:ascii="Times New Roman" w:hAnsi="Times New Roman" w:eastAsia="宋体" w:cs="Times New Roman"/>
          <w:color w:val="auto"/>
          <w:sz w:val="24"/>
          <w:highlight w:val="none"/>
          <w:lang w:val="en-US" w:eastAsia="zh-CN"/>
        </w:rPr>
        <w:t>3-3</w:t>
      </w:r>
      <w:r>
        <w:rPr>
          <w:rFonts w:hint="default" w:ascii="Times New Roman" w:hAnsi="Times New Roman" w:eastAsia="宋体" w:cs="Times New Roman"/>
          <w:color w:val="auto"/>
          <w:sz w:val="24"/>
          <w:highlight w:val="none"/>
        </w:rPr>
        <w:t>。</w:t>
      </w:r>
    </w:p>
    <w:p>
      <w:pPr>
        <w:pStyle w:val="53"/>
        <w:keepNext w:val="0"/>
        <w:keepLines w:val="0"/>
        <w:pageBreakBefore w:val="0"/>
        <w:widowControl w:val="0"/>
        <w:kinsoku/>
        <w:wordWrap/>
        <w:overflowPunct/>
        <w:topLinePunct w:val="0"/>
        <w:autoSpaceDE/>
        <w:autoSpaceDN/>
        <w:bidi w:val="0"/>
        <w:adjustRightInd/>
        <w:snapToGrid/>
        <w:spacing w:after="0" w:line="360" w:lineRule="auto"/>
        <w:ind w:left="0" w:leftChars="0" w:right="0" w:rightChars="0" w:firstLine="0" w:firstLineChars="0"/>
        <w:jc w:val="center"/>
        <w:textAlignment w:val="auto"/>
        <w:rPr>
          <w:rFonts w:hint="default" w:ascii="Times New Roman" w:hAnsi="Times New Roman" w:eastAsia="宋体" w:cs="Times New Roman"/>
          <w:b/>
          <w:bCs/>
          <w:color w:val="auto"/>
          <w:kern w:val="2"/>
          <w:sz w:val="24"/>
          <w:szCs w:val="32"/>
          <w:highlight w:val="none"/>
          <w:lang w:val="en-US" w:eastAsia="zh-CN" w:bidi="ar-SA"/>
        </w:rPr>
      </w:pPr>
      <w:r>
        <w:rPr>
          <w:rFonts w:hint="default" w:ascii="Times New Roman" w:hAnsi="Times New Roman" w:eastAsia="宋体" w:cs="Times New Roman"/>
          <w:b/>
          <w:bCs/>
          <w:color w:val="auto"/>
          <w:kern w:val="2"/>
          <w:sz w:val="24"/>
          <w:szCs w:val="32"/>
          <w:highlight w:val="none"/>
          <w:lang w:val="en-US" w:eastAsia="zh-CN" w:bidi="ar-SA"/>
        </w:rPr>
        <w:t>表3-3固体废物（水浸）检测结果</w:t>
      </w:r>
    </w:p>
    <w:tbl>
      <w:tblPr>
        <w:tblStyle w:val="5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4"/>
        <w:gridCol w:w="1567"/>
        <w:gridCol w:w="1940"/>
        <w:gridCol w:w="1362"/>
        <w:gridCol w:w="1710"/>
        <w:gridCol w:w="12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6" w:type="pct"/>
            <w:gridSpan w:val="2"/>
            <w:vAlign w:val="center"/>
          </w:tcPr>
          <w:p>
            <w:pPr>
              <w:keepNext w:val="0"/>
              <w:keepLines w:val="0"/>
              <w:pageBreakBefore w:val="0"/>
              <w:kinsoku/>
              <w:wordWrap/>
              <w:overflowPunct/>
              <w:topLinePunct w:val="0"/>
              <w:bidi w:val="0"/>
              <w:adjustRightInd/>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采样依据</w:t>
            </w:r>
          </w:p>
        </w:tc>
        <w:tc>
          <w:tcPr>
            <w:tcW w:w="3673" w:type="pct"/>
            <w:gridSpan w:val="4"/>
            <w:vAlign w:val="center"/>
          </w:tcPr>
          <w:p>
            <w:pPr>
              <w:keepNext w:val="0"/>
              <w:keepLines w:val="0"/>
              <w:pageBreakBefore w:val="0"/>
              <w:kinsoku/>
              <w:wordWrap/>
              <w:overflowPunct/>
              <w:topLinePunct w:val="0"/>
              <w:bidi w:val="0"/>
              <w:adjustRightInd/>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《工业固体废物采样制样技术规范》HJ/T20-1998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6" w:type="pct"/>
            <w:gridSpan w:val="2"/>
            <w:vAlign w:val="center"/>
          </w:tcPr>
          <w:p>
            <w:pPr>
              <w:keepNext w:val="0"/>
              <w:keepLines w:val="0"/>
              <w:pageBreakBefore w:val="0"/>
              <w:kinsoku/>
              <w:wordWrap/>
              <w:overflowPunct/>
              <w:topLinePunct w:val="0"/>
              <w:bidi w:val="0"/>
              <w:adjustRightInd/>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采</w:t>
            </w:r>
            <w:r>
              <w:rPr>
                <w:rFonts w:hint="default" w:ascii="Times New Roman" w:hAnsi="Times New Roman" w:eastAsia="宋体" w:cs="Times New Roman"/>
                <w:color w:val="auto"/>
                <w:sz w:val="21"/>
                <w:szCs w:val="21"/>
                <w:highlight w:val="none"/>
              </w:rPr>
              <w:t>样</w:t>
            </w:r>
            <w:r>
              <w:rPr>
                <w:rFonts w:hint="default" w:ascii="Times New Roman" w:hAnsi="Times New Roman" w:eastAsia="宋体" w:cs="Times New Roman"/>
                <w:color w:val="auto"/>
                <w:sz w:val="21"/>
                <w:szCs w:val="21"/>
                <w:highlight w:val="none"/>
                <w:lang w:eastAsia="zh-CN"/>
              </w:rPr>
              <w:t>日期</w:t>
            </w:r>
          </w:p>
        </w:tc>
        <w:tc>
          <w:tcPr>
            <w:tcW w:w="1138" w:type="pct"/>
            <w:vAlign w:val="center"/>
          </w:tcPr>
          <w:p>
            <w:pPr>
              <w:pStyle w:val="53"/>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2023-04-18</w:t>
            </w:r>
          </w:p>
        </w:tc>
        <w:tc>
          <w:tcPr>
            <w:tcW w:w="799" w:type="pct"/>
            <w:vAlign w:val="center"/>
          </w:tcPr>
          <w:p>
            <w:pPr>
              <w:pStyle w:val="53"/>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分析</w:t>
            </w:r>
            <w:r>
              <w:rPr>
                <w:rFonts w:hint="default" w:ascii="Times New Roman" w:hAnsi="Times New Roman" w:eastAsia="宋体" w:cs="Times New Roman"/>
                <w:color w:val="auto"/>
                <w:sz w:val="21"/>
                <w:szCs w:val="21"/>
                <w:highlight w:val="none"/>
                <w:lang w:eastAsia="zh-CN"/>
              </w:rPr>
              <w:t>日期</w:t>
            </w:r>
          </w:p>
        </w:tc>
        <w:tc>
          <w:tcPr>
            <w:tcW w:w="1736" w:type="pct"/>
            <w:gridSpan w:val="2"/>
            <w:vAlign w:val="center"/>
          </w:tcPr>
          <w:p>
            <w:pPr>
              <w:pStyle w:val="53"/>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2023-04-18~2023-04-24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6" w:type="pct"/>
            <w:vMerge w:val="restart"/>
            <w:vAlign w:val="center"/>
          </w:tcPr>
          <w:p>
            <w:pPr>
              <w:keepNext w:val="0"/>
              <w:keepLines w:val="0"/>
              <w:pageBreakBefore w:val="0"/>
              <w:kinsoku/>
              <w:wordWrap/>
              <w:overflowPunct/>
              <w:topLinePunct w:val="0"/>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序号</w:t>
            </w:r>
          </w:p>
        </w:tc>
        <w:tc>
          <w:tcPr>
            <w:tcW w:w="919" w:type="pct"/>
            <w:vAlign w:val="center"/>
          </w:tcPr>
          <w:p>
            <w:pPr>
              <w:keepNext w:val="0"/>
              <w:keepLines w:val="0"/>
              <w:pageBreakBefore w:val="0"/>
              <w:kinsoku/>
              <w:wordWrap/>
              <w:overflowPunct/>
              <w:topLinePunct w:val="0"/>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样品</w:t>
            </w:r>
            <w:r>
              <w:rPr>
                <w:rFonts w:hint="default" w:ascii="Times New Roman" w:hAnsi="Times New Roman" w:eastAsia="宋体" w:cs="Times New Roman"/>
                <w:color w:val="auto"/>
                <w:sz w:val="21"/>
                <w:szCs w:val="21"/>
                <w:highlight w:val="none"/>
                <w:lang w:eastAsia="zh-CN"/>
              </w:rPr>
              <w:t>名称</w:t>
            </w:r>
          </w:p>
        </w:tc>
        <w:tc>
          <w:tcPr>
            <w:tcW w:w="1937" w:type="pct"/>
            <w:gridSpan w:val="2"/>
            <w:vAlign w:val="center"/>
          </w:tcPr>
          <w:p>
            <w:pPr>
              <w:keepNext w:val="0"/>
              <w:keepLines w:val="0"/>
              <w:pageBreakBefore w:val="0"/>
              <w:kinsoku/>
              <w:wordWrap/>
              <w:overflowPunct/>
              <w:topLinePunct w:val="0"/>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固废（尾矿砂）</w:t>
            </w:r>
          </w:p>
        </w:tc>
        <w:tc>
          <w:tcPr>
            <w:tcW w:w="1003" w:type="pct"/>
            <w:vMerge w:val="restart"/>
            <w:vAlign w:val="center"/>
          </w:tcPr>
          <w:p>
            <w:pPr>
              <w:keepNext w:val="0"/>
              <w:keepLines w:val="0"/>
              <w:pageBreakBefore w:val="0"/>
              <w:kinsoku/>
              <w:wordWrap/>
              <w:overflowPunct/>
              <w:topLinePunct w:val="0"/>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标准限值</w:t>
            </w:r>
          </w:p>
          <w:p>
            <w:pPr>
              <w:keepNext w:val="0"/>
              <w:keepLines w:val="0"/>
              <w:pageBreakBefore w:val="0"/>
              <w:kinsoku/>
              <w:wordWrap/>
              <w:overflowPunct/>
              <w:topLinePunct w:val="0"/>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GB8978-1996</w:t>
            </w:r>
          </w:p>
        </w:tc>
        <w:tc>
          <w:tcPr>
            <w:tcW w:w="733" w:type="pct"/>
            <w:vMerge w:val="restart"/>
            <w:vAlign w:val="center"/>
          </w:tcPr>
          <w:p>
            <w:pPr>
              <w:keepNext w:val="0"/>
              <w:keepLines w:val="0"/>
              <w:pageBreakBefore w:val="0"/>
              <w:kinsoku/>
              <w:wordWrap/>
              <w:overflowPunct/>
              <w:topLinePunct w:val="0"/>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6" w:type="pct"/>
            <w:vMerge w:val="continue"/>
            <w:vAlign w:val="center"/>
          </w:tcPr>
          <w:p>
            <w:pPr>
              <w:keepNext w:val="0"/>
              <w:keepLines w:val="0"/>
              <w:pageBreakBefore w:val="0"/>
              <w:kinsoku/>
              <w:wordWrap/>
              <w:overflowPunct/>
              <w:topLinePunct w:val="0"/>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p>
        </w:tc>
        <w:tc>
          <w:tcPr>
            <w:tcW w:w="919" w:type="pct"/>
            <w:vAlign w:val="center"/>
          </w:tcPr>
          <w:p>
            <w:pPr>
              <w:keepNext w:val="0"/>
              <w:keepLines w:val="0"/>
              <w:pageBreakBefore w:val="0"/>
              <w:kinsoku/>
              <w:wordWrap/>
              <w:overflowPunct/>
              <w:topLinePunct w:val="0"/>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采样位置</w:t>
            </w:r>
          </w:p>
        </w:tc>
        <w:tc>
          <w:tcPr>
            <w:tcW w:w="1937" w:type="pct"/>
            <w:gridSpan w:val="2"/>
            <w:vAlign w:val="center"/>
          </w:tcPr>
          <w:p>
            <w:pPr>
              <w:keepNext w:val="0"/>
              <w:keepLines w:val="0"/>
              <w:pageBreakBefore w:val="0"/>
              <w:kinsoku/>
              <w:wordWrap/>
              <w:overflowPunct/>
              <w:topLinePunct w:val="0"/>
              <w:bidi w:val="0"/>
              <w:adjustRightInd/>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w:t>
            </w:r>
          </w:p>
        </w:tc>
        <w:tc>
          <w:tcPr>
            <w:tcW w:w="1003" w:type="pct"/>
            <w:vMerge w:val="continue"/>
            <w:vAlign w:val="center"/>
          </w:tcPr>
          <w:p>
            <w:pPr>
              <w:keepNext w:val="0"/>
              <w:keepLines w:val="0"/>
              <w:pageBreakBefore w:val="0"/>
              <w:kinsoku/>
              <w:wordWrap/>
              <w:overflowPunct/>
              <w:topLinePunct w:val="0"/>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p>
        </w:tc>
        <w:tc>
          <w:tcPr>
            <w:tcW w:w="733" w:type="pct"/>
            <w:vMerge w:val="continue"/>
            <w:vAlign w:val="center"/>
          </w:tcPr>
          <w:p>
            <w:pPr>
              <w:keepNext w:val="0"/>
              <w:keepLines w:val="0"/>
              <w:pageBreakBefore w:val="0"/>
              <w:kinsoku/>
              <w:wordWrap/>
              <w:overflowPunct/>
              <w:topLinePunct w:val="0"/>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6" w:type="pct"/>
            <w:vMerge w:val="continue"/>
            <w:vAlign w:val="center"/>
          </w:tcPr>
          <w:p>
            <w:pPr>
              <w:keepNext w:val="0"/>
              <w:keepLines w:val="0"/>
              <w:pageBreakBefore w:val="0"/>
              <w:kinsoku/>
              <w:wordWrap/>
              <w:overflowPunct/>
              <w:topLinePunct w:val="0"/>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p>
        </w:tc>
        <w:tc>
          <w:tcPr>
            <w:tcW w:w="919" w:type="pct"/>
            <w:vAlign w:val="center"/>
          </w:tcPr>
          <w:p>
            <w:pPr>
              <w:keepNext w:val="0"/>
              <w:keepLines w:val="0"/>
              <w:pageBreakBefore w:val="0"/>
              <w:kinsoku/>
              <w:wordWrap/>
              <w:overflowPunct/>
              <w:topLinePunct w:val="0"/>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样品状态</w:t>
            </w:r>
          </w:p>
        </w:tc>
        <w:tc>
          <w:tcPr>
            <w:tcW w:w="1937" w:type="pct"/>
            <w:gridSpan w:val="2"/>
            <w:vAlign w:val="center"/>
          </w:tcPr>
          <w:p>
            <w:pPr>
              <w:keepNext w:val="0"/>
              <w:keepLines w:val="0"/>
              <w:pageBreakBefore w:val="0"/>
              <w:kinsoku/>
              <w:wordWrap/>
              <w:overflowPunct/>
              <w:topLinePunct w:val="0"/>
              <w:bidi w:val="0"/>
              <w:adjustRightInd/>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棕褐色颗粒状</w:t>
            </w:r>
          </w:p>
        </w:tc>
        <w:tc>
          <w:tcPr>
            <w:tcW w:w="1003" w:type="pct"/>
            <w:vMerge w:val="continue"/>
            <w:vAlign w:val="center"/>
          </w:tcPr>
          <w:p>
            <w:pPr>
              <w:keepNext w:val="0"/>
              <w:keepLines w:val="0"/>
              <w:pageBreakBefore w:val="0"/>
              <w:kinsoku/>
              <w:wordWrap/>
              <w:overflowPunct/>
              <w:topLinePunct w:val="0"/>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p>
        </w:tc>
        <w:tc>
          <w:tcPr>
            <w:tcW w:w="733" w:type="pct"/>
            <w:vMerge w:val="continue"/>
            <w:vAlign w:val="center"/>
          </w:tcPr>
          <w:p>
            <w:pPr>
              <w:keepNext w:val="0"/>
              <w:keepLines w:val="0"/>
              <w:pageBreakBefore w:val="0"/>
              <w:kinsoku/>
              <w:wordWrap/>
              <w:overflowPunct/>
              <w:topLinePunct w:val="0"/>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6" w:type="pct"/>
            <w:vMerge w:val="continue"/>
            <w:vAlign w:val="center"/>
          </w:tcPr>
          <w:p>
            <w:pPr>
              <w:keepNext w:val="0"/>
              <w:keepLines w:val="0"/>
              <w:pageBreakBefore w:val="0"/>
              <w:kinsoku/>
              <w:wordWrap/>
              <w:overflowPunct/>
              <w:topLinePunct w:val="0"/>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p>
        </w:tc>
        <w:tc>
          <w:tcPr>
            <w:tcW w:w="919"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righ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样品编号</w:t>
            </w:r>
            <w:r>
              <w:rPr>
                <w:rFonts w:hint="default" w:ascii="Times New Roman" w:hAnsi="Times New Roman" w:eastAsia="宋体" w:cs="Times New Roman"/>
                <w:color w:val="auto"/>
                <w:sz w:val="21"/>
                <w:szCs w:val="21"/>
                <w:highlight w:val="none"/>
              </w:rPr>
              <mc:AlternateContent>
                <mc:Choice Requires="wps">
                  <w:drawing>
                    <wp:anchor distT="0" distB="0" distL="114300" distR="114300" simplePos="0" relativeHeight="251726848" behindDoc="0" locked="0" layoutInCell="1" allowOverlap="1">
                      <wp:simplePos x="0" y="0"/>
                      <wp:positionH relativeFrom="column">
                        <wp:posOffset>-53340</wp:posOffset>
                      </wp:positionH>
                      <wp:positionV relativeFrom="paragraph">
                        <wp:posOffset>22860</wp:posOffset>
                      </wp:positionV>
                      <wp:extent cx="967105" cy="328295"/>
                      <wp:effectExtent l="1270" t="4445" r="3175" b="10160"/>
                      <wp:wrapNone/>
                      <wp:docPr id="82" name="直接连接符 82"/>
                      <wp:cNvGraphicFramePr/>
                      <a:graphic xmlns:a="http://schemas.openxmlformats.org/drawingml/2006/main">
                        <a:graphicData uri="http://schemas.microsoft.com/office/word/2010/wordprocessingShape">
                          <wps:wsp>
                            <wps:cNvCnPr/>
                            <wps:spPr>
                              <a:xfrm>
                                <a:off x="0" y="0"/>
                                <a:ext cx="967105" cy="32829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4.2pt;margin-top:1.8pt;height:25.85pt;width:76.15pt;z-index:251726848;mso-width-relative:page;mso-height-relative:page;" filled="f" stroked="t" coordsize="21600,21600" o:gfxdata="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d/A9DtYA&#10;AAAHAQAADwAAAAAAAAABACAAAAAiAAAAZHJzL2Rvd25yZXYueG1sUEsBAhQAFAAAAAgAh07iQGq9&#10;l2noAQAAtwMAAA4AAAAAAAAAAQAgAAAAJQEAAGRycy9lMm9Eb2MueG1sUEsFBgAAAAAGAAYAWQEA&#10;AH8FAAAAAA==&#10;">
                      <v:fill on="f" focussize="0,0"/>
                      <v:stroke weight="0.5pt" color="#000000 [3213]" miterlimit="8" joinstyle="miter"/>
                      <v:imagedata o:title=""/>
                      <o:lock v:ext="edit" aspectratio="f"/>
                    </v:line>
                  </w:pict>
                </mc:Fallback>
              </mc:AlternateConten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分析项目</w:t>
            </w:r>
          </w:p>
        </w:tc>
        <w:tc>
          <w:tcPr>
            <w:tcW w:w="1937" w:type="pct"/>
            <w:gridSpan w:val="2"/>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GF-JT2304406-01-002</w:t>
            </w:r>
          </w:p>
        </w:tc>
        <w:tc>
          <w:tcPr>
            <w:tcW w:w="1003" w:type="pct"/>
            <w:vMerge w:val="continue"/>
            <w:vAlign w:val="center"/>
          </w:tcPr>
          <w:p>
            <w:pPr>
              <w:keepNext w:val="0"/>
              <w:keepLines w:val="0"/>
              <w:pageBreakBefore w:val="0"/>
              <w:kinsoku/>
              <w:wordWrap/>
              <w:overflowPunct/>
              <w:topLinePunct w:val="0"/>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p>
        </w:tc>
        <w:tc>
          <w:tcPr>
            <w:tcW w:w="733" w:type="pct"/>
            <w:vMerge w:val="continue"/>
            <w:vAlign w:val="center"/>
          </w:tcPr>
          <w:p>
            <w:pPr>
              <w:keepNext w:val="0"/>
              <w:keepLines w:val="0"/>
              <w:pageBreakBefore w:val="0"/>
              <w:kinsoku/>
              <w:wordWrap/>
              <w:overflowPunct/>
              <w:topLinePunct w:val="0"/>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6" w:type="pct"/>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w:t>
            </w:r>
          </w:p>
        </w:tc>
        <w:tc>
          <w:tcPr>
            <w:tcW w:w="919"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pH</w:t>
            </w:r>
          </w:p>
        </w:tc>
        <w:tc>
          <w:tcPr>
            <w:tcW w:w="3304" w:type="dxa"/>
            <w:gridSpan w:val="2"/>
            <w:vAlign w:val="center"/>
          </w:tcPr>
          <w:p>
            <w:pPr>
              <w:pageBreakBefore w:val="0"/>
              <w:wordWrap/>
              <w:bidi w:val="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8.14</w:t>
            </w:r>
          </w:p>
        </w:tc>
        <w:tc>
          <w:tcPr>
            <w:tcW w:w="1003" w:type="pct"/>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6~9</w:t>
            </w:r>
          </w:p>
        </w:tc>
        <w:tc>
          <w:tcPr>
            <w:tcW w:w="733" w:type="pct"/>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无量纲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6" w:type="pct"/>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w:t>
            </w:r>
          </w:p>
        </w:tc>
        <w:tc>
          <w:tcPr>
            <w:tcW w:w="919"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铜</w:t>
            </w:r>
          </w:p>
        </w:tc>
        <w:tc>
          <w:tcPr>
            <w:tcW w:w="3304"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0.02L</w:t>
            </w:r>
          </w:p>
        </w:tc>
        <w:tc>
          <w:tcPr>
            <w:tcW w:w="1003" w:type="pct"/>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≤0.5</w:t>
            </w:r>
          </w:p>
        </w:tc>
        <w:tc>
          <w:tcPr>
            <w:tcW w:w="733" w:type="pct"/>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6" w:type="pct"/>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w:t>
            </w:r>
          </w:p>
        </w:tc>
        <w:tc>
          <w:tcPr>
            <w:tcW w:w="919"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锌</w:t>
            </w:r>
          </w:p>
        </w:tc>
        <w:tc>
          <w:tcPr>
            <w:tcW w:w="3304"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0.08</w:t>
            </w:r>
          </w:p>
        </w:tc>
        <w:tc>
          <w:tcPr>
            <w:tcW w:w="1003" w:type="pct"/>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≤2.0</w:t>
            </w:r>
          </w:p>
        </w:tc>
        <w:tc>
          <w:tcPr>
            <w:tcW w:w="733" w:type="pct"/>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6" w:type="pct"/>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w:t>
            </w:r>
          </w:p>
        </w:tc>
        <w:tc>
          <w:tcPr>
            <w:tcW w:w="919"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镉</w:t>
            </w:r>
          </w:p>
        </w:tc>
        <w:tc>
          <w:tcPr>
            <w:tcW w:w="3304"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0.05L</w:t>
            </w:r>
          </w:p>
        </w:tc>
        <w:tc>
          <w:tcPr>
            <w:tcW w:w="1003" w:type="pct"/>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≤0.1</w:t>
            </w:r>
          </w:p>
        </w:tc>
        <w:tc>
          <w:tcPr>
            <w:tcW w:w="733" w:type="pct"/>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6" w:type="pct"/>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w:t>
            </w:r>
          </w:p>
        </w:tc>
        <w:tc>
          <w:tcPr>
            <w:tcW w:w="919" w:type="pct"/>
            <w:vAlign w:val="center"/>
          </w:tcPr>
          <w:p>
            <w:pPr>
              <w:pStyle w:val="53"/>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铅</w:t>
            </w:r>
          </w:p>
        </w:tc>
        <w:tc>
          <w:tcPr>
            <w:tcW w:w="3304"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0.06L</w:t>
            </w:r>
          </w:p>
        </w:tc>
        <w:tc>
          <w:tcPr>
            <w:tcW w:w="1003" w:type="pct"/>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≤1.0</w:t>
            </w:r>
          </w:p>
        </w:tc>
        <w:tc>
          <w:tcPr>
            <w:tcW w:w="733" w:type="pct"/>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6" w:type="pct"/>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w:t>
            </w:r>
          </w:p>
        </w:tc>
        <w:tc>
          <w:tcPr>
            <w:tcW w:w="919"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六价铬</w:t>
            </w:r>
          </w:p>
        </w:tc>
        <w:tc>
          <w:tcPr>
            <w:tcW w:w="3304"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4×10</w:t>
            </w:r>
            <w:r>
              <w:rPr>
                <w:rFonts w:hint="default" w:ascii="Times New Roman" w:hAnsi="Times New Roman" w:eastAsia="宋体" w:cs="Times New Roman"/>
                <w:color w:val="auto"/>
                <w:kern w:val="2"/>
                <w:sz w:val="21"/>
                <w:szCs w:val="21"/>
                <w:highlight w:val="none"/>
                <w:vertAlign w:val="superscript"/>
                <w:lang w:val="en-US" w:eastAsia="zh-CN" w:bidi="ar-SA"/>
              </w:rPr>
              <w:t>-3</w:t>
            </w:r>
            <w:r>
              <w:rPr>
                <w:rFonts w:hint="default" w:ascii="Times New Roman" w:hAnsi="Times New Roman" w:eastAsia="宋体" w:cs="Times New Roman"/>
                <w:color w:val="auto"/>
                <w:kern w:val="2"/>
                <w:sz w:val="21"/>
                <w:szCs w:val="21"/>
                <w:highlight w:val="none"/>
                <w:lang w:val="en-US" w:eastAsia="zh-CN" w:bidi="ar-SA"/>
              </w:rPr>
              <w:t>L</w:t>
            </w:r>
          </w:p>
        </w:tc>
        <w:tc>
          <w:tcPr>
            <w:tcW w:w="1003" w:type="pct"/>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≤0.5</w:t>
            </w:r>
          </w:p>
        </w:tc>
        <w:tc>
          <w:tcPr>
            <w:tcW w:w="733" w:type="pct"/>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6" w:type="pct"/>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w:t>
            </w:r>
          </w:p>
        </w:tc>
        <w:tc>
          <w:tcPr>
            <w:tcW w:w="919" w:type="pct"/>
            <w:vAlign w:val="center"/>
          </w:tcPr>
          <w:p>
            <w:pPr>
              <w:pStyle w:val="53"/>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甲基汞</w:t>
            </w:r>
          </w:p>
        </w:tc>
        <w:tc>
          <w:tcPr>
            <w:tcW w:w="3304"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未检出</w:t>
            </w:r>
          </w:p>
        </w:tc>
        <w:tc>
          <w:tcPr>
            <w:tcW w:w="1003" w:type="pct"/>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不得检出</w:t>
            </w:r>
          </w:p>
        </w:tc>
        <w:tc>
          <w:tcPr>
            <w:tcW w:w="733" w:type="pct"/>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6" w:type="pct"/>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8</w:t>
            </w:r>
          </w:p>
        </w:tc>
        <w:tc>
          <w:tcPr>
            <w:tcW w:w="919" w:type="pct"/>
            <w:vAlign w:val="center"/>
          </w:tcPr>
          <w:p>
            <w:pPr>
              <w:pStyle w:val="53"/>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乙基汞</w:t>
            </w:r>
          </w:p>
        </w:tc>
        <w:tc>
          <w:tcPr>
            <w:tcW w:w="3304"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未检出</w:t>
            </w:r>
          </w:p>
        </w:tc>
        <w:tc>
          <w:tcPr>
            <w:tcW w:w="1003" w:type="pct"/>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不得检出</w:t>
            </w:r>
          </w:p>
        </w:tc>
        <w:tc>
          <w:tcPr>
            <w:tcW w:w="733" w:type="pct"/>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6" w:type="pct"/>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9</w:t>
            </w:r>
          </w:p>
        </w:tc>
        <w:tc>
          <w:tcPr>
            <w:tcW w:w="919"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汞</w:t>
            </w:r>
          </w:p>
        </w:tc>
        <w:tc>
          <w:tcPr>
            <w:tcW w:w="3304"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4.6×10</w:t>
            </w:r>
            <w:r>
              <w:rPr>
                <w:rFonts w:hint="default" w:ascii="Times New Roman" w:hAnsi="Times New Roman" w:eastAsia="宋体" w:cs="Times New Roman"/>
                <w:color w:val="auto"/>
                <w:kern w:val="2"/>
                <w:sz w:val="21"/>
                <w:szCs w:val="21"/>
                <w:highlight w:val="none"/>
                <w:vertAlign w:val="superscript"/>
                <w:lang w:val="en-US" w:eastAsia="zh-CN" w:bidi="ar-SA"/>
              </w:rPr>
              <w:t>-4</w:t>
            </w:r>
          </w:p>
        </w:tc>
        <w:tc>
          <w:tcPr>
            <w:tcW w:w="1003" w:type="pct"/>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≤0.05</w:t>
            </w:r>
          </w:p>
        </w:tc>
        <w:tc>
          <w:tcPr>
            <w:tcW w:w="733" w:type="pct"/>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6" w:type="pct"/>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10</w:t>
            </w:r>
          </w:p>
        </w:tc>
        <w:tc>
          <w:tcPr>
            <w:tcW w:w="919" w:type="pct"/>
            <w:vAlign w:val="center"/>
          </w:tcPr>
          <w:p>
            <w:pPr>
              <w:pStyle w:val="53"/>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铍</w:t>
            </w:r>
          </w:p>
        </w:tc>
        <w:tc>
          <w:tcPr>
            <w:tcW w:w="3304"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1×10</w:t>
            </w:r>
            <w:r>
              <w:rPr>
                <w:rFonts w:hint="default" w:ascii="Times New Roman" w:hAnsi="Times New Roman" w:eastAsia="宋体" w:cs="Times New Roman"/>
                <w:color w:val="auto"/>
                <w:kern w:val="2"/>
                <w:sz w:val="21"/>
                <w:szCs w:val="21"/>
                <w:highlight w:val="none"/>
                <w:vertAlign w:val="superscript"/>
                <w:lang w:val="en-US" w:eastAsia="zh-CN" w:bidi="ar-SA"/>
              </w:rPr>
              <w:t>-4</w:t>
            </w:r>
            <w:r>
              <w:rPr>
                <w:rFonts w:hint="default" w:ascii="Times New Roman" w:hAnsi="Times New Roman" w:eastAsia="宋体" w:cs="Times New Roman"/>
                <w:color w:val="auto"/>
                <w:kern w:val="2"/>
                <w:sz w:val="21"/>
                <w:szCs w:val="21"/>
                <w:highlight w:val="none"/>
                <w:lang w:val="en-US" w:eastAsia="zh-CN" w:bidi="ar-SA"/>
              </w:rPr>
              <w:t>L</w:t>
            </w:r>
          </w:p>
        </w:tc>
        <w:tc>
          <w:tcPr>
            <w:tcW w:w="1003" w:type="pct"/>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≤0.005</w:t>
            </w:r>
          </w:p>
        </w:tc>
        <w:tc>
          <w:tcPr>
            <w:tcW w:w="733" w:type="pct"/>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6" w:type="pct"/>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11</w:t>
            </w:r>
          </w:p>
        </w:tc>
        <w:tc>
          <w:tcPr>
            <w:tcW w:w="919" w:type="pct"/>
            <w:vAlign w:val="center"/>
          </w:tcPr>
          <w:p>
            <w:pPr>
              <w:pStyle w:val="53"/>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钡</w:t>
            </w:r>
          </w:p>
        </w:tc>
        <w:tc>
          <w:tcPr>
            <w:tcW w:w="3304"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3.6×10</w:t>
            </w:r>
            <w:r>
              <w:rPr>
                <w:rFonts w:hint="default" w:ascii="Times New Roman" w:hAnsi="Times New Roman" w:eastAsia="宋体" w:cs="Times New Roman"/>
                <w:color w:val="auto"/>
                <w:kern w:val="2"/>
                <w:sz w:val="21"/>
                <w:szCs w:val="21"/>
                <w:highlight w:val="none"/>
                <w:vertAlign w:val="superscript"/>
                <w:lang w:val="en-US" w:eastAsia="zh-CN" w:bidi="ar-SA"/>
              </w:rPr>
              <w:t>-3</w:t>
            </w:r>
          </w:p>
        </w:tc>
        <w:tc>
          <w:tcPr>
            <w:tcW w:w="1003" w:type="pct"/>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w:t>
            </w:r>
          </w:p>
        </w:tc>
        <w:tc>
          <w:tcPr>
            <w:tcW w:w="733" w:type="pct"/>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6" w:type="pct"/>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12</w:t>
            </w:r>
          </w:p>
        </w:tc>
        <w:tc>
          <w:tcPr>
            <w:tcW w:w="919"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镍</w:t>
            </w:r>
          </w:p>
        </w:tc>
        <w:tc>
          <w:tcPr>
            <w:tcW w:w="3304"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0.03L</w:t>
            </w:r>
          </w:p>
        </w:tc>
        <w:tc>
          <w:tcPr>
            <w:tcW w:w="1003" w:type="pct"/>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≤1.0</w:t>
            </w:r>
          </w:p>
        </w:tc>
        <w:tc>
          <w:tcPr>
            <w:tcW w:w="733" w:type="pct"/>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6" w:type="pct"/>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13</w:t>
            </w:r>
          </w:p>
        </w:tc>
        <w:tc>
          <w:tcPr>
            <w:tcW w:w="919" w:type="pct"/>
            <w:vAlign w:val="center"/>
          </w:tcPr>
          <w:p>
            <w:pPr>
              <w:pStyle w:val="53"/>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银</w:t>
            </w:r>
          </w:p>
        </w:tc>
        <w:tc>
          <w:tcPr>
            <w:tcW w:w="3304"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0.01L</w:t>
            </w:r>
          </w:p>
        </w:tc>
        <w:tc>
          <w:tcPr>
            <w:tcW w:w="1003" w:type="pct"/>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≤0.5</w:t>
            </w:r>
          </w:p>
        </w:tc>
        <w:tc>
          <w:tcPr>
            <w:tcW w:w="733" w:type="pct"/>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6" w:type="pct"/>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14</w:t>
            </w:r>
          </w:p>
        </w:tc>
        <w:tc>
          <w:tcPr>
            <w:tcW w:w="919"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砷</w:t>
            </w:r>
          </w:p>
        </w:tc>
        <w:tc>
          <w:tcPr>
            <w:tcW w:w="3304"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1.0×10</w:t>
            </w:r>
            <w:r>
              <w:rPr>
                <w:rFonts w:hint="default" w:ascii="Times New Roman" w:hAnsi="Times New Roman" w:eastAsia="宋体" w:cs="Times New Roman"/>
                <w:color w:val="auto"/>
                <w:kern w:val="2"/>
                <w:sz w:val="21"/>
                <w:szCs w:val="21"/>
                <w:highlight w:val="none"/>
                <w:vertAlign w:val="superscript"/>
                <w:lang w:val="en-US" w:eastAsia="zh-CN" w:bidi="ar-SA"/>
              </w:rPr>
              <w:t>-4</w:t>
            </w:r>
            <w:r>
              <w:rPr>
                <w:rFonts w:hint="default" w:ascii="Times New Roman" w:hAnsi="Times New Roman" w:eastAsia="宋体" w:cs="Times New Roman"/>
                <w:color w:val="auto"/>
                <w:kern w:val="2"/>
                <w:sz w:val="21"/>
                <w:szCs w:val="21"/>
                <w:highlight w:val="none"/>
                <w:vertAlign w:val="baseline"/>
                <w:lang w:val="en-US" w:eastAsia="zh-CN" w:bidi="ar-SA"/>
              </w:rPr>
              <w:t>L</w:t>
            </w:r>
          </w:p>
        </w:tc>
        <w:tc>
          <w:tcPr>
            <w:tcW w:w="1003" w:type="pct"/>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≤0.5</w:t>
            </w:r>
          </w:p>
        </w:tc>
        <w:tc>
          <w:tcPr>
            <w:tcW w:w="733" w:type="pct"/>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6" w:type="pct"/>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15</w:t>
            </w:r>
          </w:p>
        </w:tc>
        <w:tc>
          <w:tcPr>
            <w:tcW w:w="919" w:type="pct"/>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硒</w:t>
            </w:r>
          </w:p>
        </w:tc>
        <w:tc>
          <w:tcPr>
            <w:tcW w:w="3304"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2.1×10</w:t>
            </w:r>
            <w:r>
              <w:rPr>
                <w:rFonts w:hint="default" w:ascii="Times New Roman" w:hAnsi="Times New Roman" w:eastAsia="宋体" w:cs="Times New Roman"/>
                <w:color w:val="auto"/>
                <w:kern w:val="2"/>
                <w:sz w:val="21"/>
                <w:szCs w:val="21"/>
                <w:highlight w:val="none"/>
                <w:vertAlign w:val="superscript"/>
                <w:lang w:val="en-US" w:eastAsia="zh-CN" w:bidi="ar-SA"/>
              </w:rPr>
              <w:t>-4</w:t>
            </w:r>
          </w:p>
        </w:tc>
        <w:tc>
          <w:tcPr>
            <w:tcW w:w="1003" w:type="pct"/>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≤0.1</w:t>
            </w:r>
          </w:p>
        </w:tc>
        <w:tc>
          <w:tcPr>
            <w:tcW w:w="733" w:type="pct"/>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6" w:type="pct"/>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16</w:t>
            </w:r>
          </w:p>
        </w:tc>
        <w:tc>
          <w:tcPr>
            <w:tcW w:w="919" w:type="pct"/>
            <w:vAlign w:val="center"/>
          </w:tcPr>
          <w:p>
            <w:pPr>
              <w:pStyle w:val="53"/>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氟化物</w:t>
            </w:r>
          </w:p>
        </w:tc>
        <w:tc>
          <w:tcPr>
            <w:tcW w:w="3304"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4.63</w:t>
            </w:r>
          </w:p>
        </w:tc>
        <w:tc>
          <w:tcPr>
            <w:tcW w:w="1003" w:type="pct"/>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≤10</w:t>
            </w:r>
          </w:p>
        </w:tc>
        <w:tc>
          <w:tcPr>
            <w:tcW w:w="733" w:type="pct"/>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6" w:type="pct"/>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17</w:t>
            </w:r>
          </w:p>
        </w:tc>
        <w:tc>
          <w:tcPr>
            <w:tcW w:w="919" w:type="pct"/>
            <w:vAlign w:val="center"/>
          </w:tcPr>
          <w:p>
            <w:pPr>
              <w:pStyle w:val="53"/>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氰化物</w:t>
            </w:r>
          </w:p>
        </w:tc>
        <w:tc>
          <w:tcPr>
            <w:tcW w:w="3304"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4×10</w:t>
            </w:r>
            <w:r>
              <w:rPr>
                <w:rFonts w:hint="default" w:ascii="Times New Roman" w:hAnsi="Times New Roman" w:eastAsia="宋体" w:cs="Times New Roman"/>
                <w:color w:val="auto"/>
                <w:kern w:val="2"/>
                <w:sz w:val="21"/>
                <w:szCs w:val="21"/>
                <w:highlight w:val="none"/>
                <w:vertAlign w:val="superscript"/>
                <w:lang w:val="en-US" w:eastAsia="zh-CN" w:bidi="ar-SA"/>
              </w:rPr>
              <w:t>-3</w:t>
            </w:r>
            <w:r>
              <w:rPr>
                <w:rFonts w:hint="default" w:ascii="Times New Roman" w:hAnsi="Times New Roman" w:eastAsia="宋体" w:cs="Times New Roman"/>
                <w:color w:val="auto"/>
                <w:kern w:val="2"/>
                <w:sz w:val="21"/>
                <w:szCs w:val="21"/>
                <w:highlight w:val="none"/>
                <w:lang w:val="en-US" w:eastAsia="zh-CN" w:bidi="ar-SA"/>
              </w:rPr>
              <w:t>L</w:t>
            </w:r>
          </w:p>
        </w:tc>
        <w:tc>
          <w:tcPr>
            <w:tcW w:w="1003" w:type="pct"/>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≤0.5</w:t>
            </w:r>
          </w:p>
        </w:tc>
        <w:tc>
          <w:tcPr>
            <w:tcW w:w="733" w:type="pct"/>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6" w:type="pct"/>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18</w:t>
            </w:r>
          </w:p>
        </w:tc>
        <w:tc>
          <w:tcPr>
            <w:tcW w:w="919" w:type="pct"/>
            <w:vAlign w:val="center"/>
          </w:tcPr>
          <w:p>
            <w:pPr>
              <w:pStyle w:val="53"/>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总铬</w:t>
            </w:r>
          </w:p>
        </w:tc>
        <w:tc>
          <w:tcPr>
            <w:tcW w:w="3304"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0.03L</w:t>
            </w:r>
          </w:p>
        </w:tc>
        <w:tc>
          <w:tcPr>
            <w:tcW w:w="1003" w:type="pct"/>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≤1.5</w:t>
            </w:r>
          </w:p>
        </w:tc>
        <w:tc>
          <w:tcPr>
            <w:tcW w:w="733" w:type="pct"/>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6" w:type="pct"/>
            <w:gridSpan w:val="2"/>
            <w:vAlign w:val="center"/>
          </w:tcPr>
          <w:p>
            <w:pPr>
              <w:keepNext w:val="0"/>
              <w:keepLines w:val="0"/>
              <w:pageBreakBefore w:val="0"/>
              <w:kinsoku/>
              <w:wordWrap/>
              <w:overflowPunct/>
              <w:topLinePunct w:val="0"/>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固体废物前处理方式</w:t>
            </w:r>
          </w:p>
        </w:tc>
        <w:tc>
          <w:tcPr>
            <w:tcW w:w="3673" w:type="pct"/>
            <w:gridSpan w:val="4"/>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《固体废物浸出毒性浸出方法水平震荡法》HJ557-2009；</w:t>
            </w:r>
          </w:p>
          <w:p>
            <w:pPr>
              <w:keepNext w:val="0"/>
              <w:keepLines w:val="0"/>
              <w:pageBreakBefore w:val="0"/>
              <w:kinsoku/>
              <w:wordWrap/>
              <w:overflowPunct/>
              <w:topLinePunct w:val="0"/>
              <w:autoSpaceDE/>
              <w:autoSpaceDN/>
              <w:bidi w:val="0"/>
              <w:adjustRightInd/>
              <w:snapToGrid/>
              <w:spacing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color w:val="auto"/>
                <w:kern w:val="0"/>
                <w:sz w:val="21"/>
                <w:szCs w:val="21"/>
                <w:highlight w:val="none"/>
                <w:u w:val="none"/>
                <w:lang w:val="en-US" w:eastAsia="zh-CN" w:bidi="ar"/>
              </w:rPr>
              <w:t>《固体废物腐蚀性测定玻璃电极法》GB/T15555.12-1995；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6" w:type="pct"/>
            <w:vAlign w:val="center"/>
          </w:tcPr>
          <w:p>
            <w:pPr>
              <w:keepNext w:val="0"/>
              <w:keepLines w:val="0"/>
              <w:pageBreakBefore w:val="0"/>
              <w:kinsoku/>
              <w:wordWrap/>
              <w:overflowPunct/>
              <w:topLinePunct w:val="0"/>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评价标准</w:t>
            </w:r>
          </w:p>
        </w:tc>
        <w:tc>
          <w:tcPr>
            <w:tcW w:w="4593" w:type="pct"/>
            <w:gridSpan w:val="5"/>
            <w:vAlign w:val="center"/>
          </w:tcPr>
          <w:p>
            <w:pPr>
              <w:keepNext w:val="0"/>
              <w:keepLines w:val="0"/>
              <w:pageBreakBefore w:val="0"/>
              <w:kinsoku/>
              <w:wordWrap/>
              <w:overflowPunct/>
              <w:topLinePunct w:val="0"/>
              <w:bidi w:val="0"/>
              <w:adjustRightInd/>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参照执行《污水综合排放标准》GB8978-1996，表1第一类污染物最高允许排放浓度，表4第二类污染物最高允许排放浓度（一级标准）。</w:t>
            </w:r>
          </w:p>
        </w:tc>
      </w:tr>
    </w:tbl>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val="en-US" w:eastAsia="zh-CN"/>
        </w:rPr>
        <w:t>综上，①根据《危险废物鉴别标准通则》（GB5085.7-2019）、《危险废物鉴别标准浸出毒性鉴别》（GB5085.3-2007）进行了浸出毒性实验，浸出液中各项监测指标均未超过《危险废物鉴别标准浸出毒性鉴别》（GB5085.3-2007）表1浸出毒性鉴别标准值，因此钼矿尾矿不属于危险废物；②根据《固体废物浸出毒性浸出方法水平振荡法》（HJ557-2010）进行了浸出毒性实验，浸出液中各项监测指标均未超过《污水综合排放标准》（GB8978-1996）最高允许排放浓度（第二类污染物最高允许排放浓度按照一级标准执行），且pH值在6～9范围之内，因此钼矿尾矿属于</w:t>
      </w:r>
      <w:r>
        <w:rPr>
          <w:rFonts w:hint="default" w:ascii="Times New Roman" w:hAnsi="Times New Roman" w:eastAsia="宋体" w:cs="Times New Roman"/>
          <w:color w:val="auto"/>
          <w:sz w:val="24"/>
          <w:highlight w:val="none"/>
        </w:rPr>
        <w:t>第</w:t>
      </w:r>
      <w:r>
        <w:rPr>
          <w:rFonts w:hint="default" w:ascii="Times New Roman" w:hAnsi="Times New Roman" w:eastAsia="宋体" w:cs="Times New Roman"/>
          <w:color w:val="auto"/>
          <w:sz w:val="24"/>
          <w:highlight w:val="none"/>
          <w:lang w:val="en-US" w:eastAsia="zh-CN"/>
        </w:rPr>
        <w:t>I</w:t>
      </w:r>
      <w:r>
        <w:rPr>
          <w:rFonts w:hint="default" w:ascii="Times New Roman" w:hAnsi="Times New Roman" w:eastAsia="宋体" w:cs="Times New Roman"/>
          <w:color w:val="auto"/>
          <w:sz w:val="24"/>
          <w:highlight w:val="none"/>
        </w:rPr>
        <w:t>类一般工业固体废物。</w:t>
      </w:r>
    </w:p>
    <w:p>
      <w:pPr>
        <w:pStyle w:val="4"/>
        <w:pageBreakBefore w:val="0"/>
        <w:numPr>
          <w:ilvl w:val="1"/>
          <w:numId w:val="0"/>
        </w:numPr>
        <w:wordWrap/>
        <w:bidi w:val="0"/>
        <w:ind w:left="0" w:leftChars="0" w:right="0" w:rightChars="0" w:firstLine="0" w:firstLineChars="0"/>
        <w:rPr>
          <w:rFonts w:hint="default" w:ascii="Times New Roman" w:hAnsi="Times New Roman" w:eastAsia="宋体" w:cs="Times New Roman"/>
          <w:b/>
          <w:bCs/>
          <w:color w:val="auto"/>
          <w:highlight w:val="none"/>
        </w:rPr>
      </w:pPr>
      <w:bookmarkStart w:id="711" w:name="_Toc7587"/>
      <w:bookmarkStart w:id="712" w:name="_Toc194733312"/>
      <w:bookmarkStart w:id="713" w:name="_Toc260567905"/>
      <w:bookmarkStart w:id="714" w:name="_Toc288306201"/>
      <w:bookmarkStart w:id="715" w:name="_Toc4577"/>
      <w:r>
        <w:rPr>
          <w:rFonts w:hint="default" w:ascii="Times New Roman" w:hAnsi="Times New Roman" w:eastAsia="宋体" w:cs="Times New Roman"/>
          <w:b/>
          <w:bCs/>
          <w:i w:val="0"/>
          <w:color w:val="auto"/>
          <w:kern w:val="2"/>
          <w:sz w:val="28"/>
          <w:szCs w:val="28"/>
          <w:highlight w:val="none"/>
          <w:lang w:val="en-US" w:eastAsia="zh-CN" w:bidi="ar-SA"/>
        </w:rPr>
        <w:t>3.3</w:t>
      </w:r>
      <w:r>
        <w:rPr>
          <w:rFonts w:hint="default" w:ascii="Times New Roman" w:hAnsi="Times New Roman" w:eastAsia="宋体" w:cs="Times New Roman"/>
          <w:b/>
          <w:bCs/>
          <w:color w:val="auto"/>
          <w:highlight w:val="none"/>
        </w:rPr>
        <w:t>污染物排放情况汇总</w:t>
      </w:r>
      <w:bookmarkEnd w:id="711"/>
      <w:bookmarkEnd w:id="712"/>
      <w:bookmarkEnd w:id="713"/>
      <w:bookmarkEnd w:id="714"/>
      <w:bookmarkEnd w:id="715"/>
    </w:p>
    <w:bookmarkEnd w:id="288"/>
    <w:bookmarkEnd w:id="676"/>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bookmarkStart w:id="716" w:name="_Toc108436607"/>
      <w:bookmarkStart w:id="717" w:name="_Toc108436873"/>
      <w:bookmarkStart w:id="718" w:name="_Hlt108436724"/>
      <w:bookmarkStart w:id="719" w:name="_Toc194733313"/>
      <w:bookmarkStart w:id="720" w:name="_Toc148080021"/>
      <w:bookmarkStart w:id="721" w:name="_Toc260567907"/>
      <w:bookmarkStart w:id="722" w:name="_Hlt108515592"/>
      <w:r>
        <w:rPr>
          <w:rFonts w:hint="default" w:ascii="Times New Roman" w:hAnsi="Times New Roman" w:eastAsia="宋体" w:cs="Times New Roman"/>
          <w:color w:val="auto"/>
          <w:sz w:val="24"/>
          <w:highlight w:val="none"/>
        </w:rPr>
        <w:t>本项目建成后污染物汇总情况见表3-</w:t>
      </w:r>
      <w:r>
        <w:rPr>
          <w:rFonts w:hint="default" w:ascii="Times New Roman" w:hAnsi="Times New Roman" w:eastAsia="宋体" w:cs="Times New Roman"/>
          <w:color w:val="auto"/>
          <w:sz w:val="24"/>
          <w:highlight w:val="none"/>
          <w:lang w:val="en-US" w:eastAsia="zh-CN"/>
        </w:rPr>
        <w:t>4</w:t>
      </w:r>
      <w:r>
        <w:rPr>
          <w:rFonts w:hint="default" w:ascii="Times New Roman" w:hAnsi="Times New Roman" w:eastAsia="宋体" w:cs="Times New Roman"/>
          <w:color w:val="auto"/>
          <w:sz w:val="24"/>
          <w:highlight w:val="none"/>
        </w:rPr>
        <w:t>。</w:t>
      </w:r>
    </w:p>
    <w:p>
      <w:pPr>
        <w:pageBreakBefore w:val="0"/>
        <w:tabs>
          <w:tab w:val="left" w:pos="3062"/>
        </w:tabs>
        <w:wordWrap/>
        <w:bidi w:val="0"/>
        <w:spacing w:line="360" w:lineRule="auto"/>
        <w:ind w:left="0" w:leftChars="0" w:right="0" w:rightChars="0"/>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表3-</w:t>
      </w:r>
      <w:r>
        <w:rPr>
          <w:rFonts w:hint="default" w:ascii="Times New Roman" w:hAnsi="Times New Roman" w:eastAsia="宋体" w:cs="Times New Roman"/>
          <w:b/>
          <w:bCs/>
          <w:color w:val="auto"/>
          <w:sz w:val="24"/>
          <w:highlight w:val="none"/>
          <w:lang w:val="en-US" w:eastAsia="zh-CN"/>
        </w:rPr>
        <w:t>4</w:t>
      </w:r>
      <w:r>
        <w:rPr>
          <w:rFonts w:hint="default" w:ascii="Times New Roman" w:hAnsi="Times New Roman" w:eastAsia="宋体" w:cs="Times New Roman"/>
          <w:b/>
          <w:bCs/>
          <w:color w:val="auto"/>
          <w:sz w:val="24"/>
          <w:highlight w:val="none"/>
        </w:rPr>
        <w:t>本项目建成后污染物汇总情况表</w:t>
      </w:r>
    </w:p>
    <w:tbl>
      <w:tblPr>
        <w:tblStyle w:val="54"/>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28" w:type="dxa"/>
          <w:bottom w:w="0" w:type="dxa"/>
          <w:right w:w="28" w:type="dxa"/>
        </w:tblCellMar>
      </w:tblPr>
      <w:tblGrid>
        <w:gridCol w:w="1671"/>
        <w:gridCol w:w="1671"/>
        <w:gridCol w:w="1673"/>
        <w:gridCol w:w="1673"/>
        <w:gridCol w:w="167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trPr>
        <w:tc>
          <w:tcPr>
            <w:tcW w:w="999"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color w:val="auto"/>
                <w:sz w:val="21"/>
                <w:szCs w:val="21"/>
                <w:highlight w:val="none"/>
              </w:rPr>
            </w:pPr>
            <w:bookmarkStart w:id="723" w:name="OLE_LINK24"/>
            <w:r>
              <w:rPr>
                <w:rFonts w:hint="default" w:ascii="Times New Roman" w:hAnsi="Times New Roman" w:eastAsia="宋体" w:cs="Times New Roman"/>
                <w:b/>
                <w:color w:val="auto"/>
                <w:sz w:val="21"/>
                <w:szCs w:val="21"/>
                <w:highlight w:val="none"/>
              </w:rPr>
              <w:t>项目</w:t>
            </w:r>
          </w:p>
        </w:tc>
        <w:tc>
          <w:tcPr>
            <w:tcW w:w="1999" w:type="pct"/>
            <w:gridSpan w:val="2"/>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名称</w:t>
            </w:r>
          </w:p>
        </w:tc>
        <w:tc>
          <w:tcPr>
            <w:tcW w:w="1000"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单位</w:t>
            </w:r>
          </w:p>
        </w:tc>
        <w:tc>
          <w:tcPr>
            <w:tcW w:w="1000"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排放量</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trPr>
        <w:tc>
          <w:tcPr>
            <w:tcW w:w="999"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废气</w:t>
            </w:r>
          </w:p>
        </w:tc>
        <w:tc>
          <w:tcPr>
            <w:tcW w:w="999"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无组织</w:t>
            </w:r>
          </w:p>
        </w:tc>
        <w:tc>
          <w:tcPr>
            <w:tcW w:w="1000"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颗粒物</w:t>
            </w:r>
          </w:p>
        </w:tc>
        <w:tc>
          <w:tcPr>
            <w:tcW w:w="1000"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t/a</w:t>
            </w:r>
          </w:p>
        </w:tc>
        <w:tc>
          <w:tcPr>
            <w:tcW w:w="1000"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0.867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trPr>
        <w:tc>
          <w:tcPr>
            <w:tcW w:w="999"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固废</w:t>
            </w:r>
          </w:p>
        </w:tc>
        <w:tc>
          <w:tcPr>
            <w:tcW w:w="999"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一般固废</w:t>
            </w:r>
          </w:p>
        </w:tc>
        <w:tc>
          <w:tcPr>
            <w:tcW w:w="1000"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尾矿</w:t>
            </w:r>
          </w:p>
        </w:tc>
        <w:tc>
          <w:tcPr>
            <w:tcW w:w="1000"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t/a</w:t>
            </w:r>
          </w:p>
        </w:tc>
        <w:tc>
          <w:tcPr>
            <w:tcW w:w="1000"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0</w:t>
            </w:r>
          </w:p>
        </w:tc>
      </w:tr>
      <w:bookmarkEnd w:id="723"/>
    </w:tbl>
    <w:p>
      <w:pPr>
        <w:pStyle w:val="4"/>
        <w:pageBreakBefore w:val="0"/>
        <w:numPr>
          <w:ilvl w:val="1"/>
          <w:numId w:val="0"/>
        </w:numPr>
        <w:wordWrap/>
        <w:bidi w:val="0"/>
        <w:ind w:left="0" w:leftChars="0" w:right="0" w:rightChars="0" w:firstLine="0" w:firstLineChars="0"/>
        <w:rPr>
          <w:rFonts w:hint="default" w:ascii="Times New Roman" w:hAnsi="Times New Roman" w:eastAsia="宋体" w:cs="Times New Roman"/>
          <w:b/>
          <w:bCs/>
          <w:color w:val="auto"/>
          <w:highlight w:val="none"/>
        </w:rPr>
      </w:pPr>
      <w:bookmarkStart w:id="724" w:name="_Toc13997"/>
      <w:bookmarkStart w:id="725" w:name="_Toc2746"/>
      <w:r>
        <w:rPr>
          <w:rFonts w:hint="default" w:ascii="Times New Roman" w:hAnsi="Times New Roman" w:eastAsia="宋体" w:cs="Times New Roman"/>
          <w:b/>
          <w:bCs/>
          <w:i w:val="0"/>
          <w:color w:val="auto"/>
          <w:kern w:val="2"/>
          <w:sz w:val="28"/>
          <w:szCs w:val="28"/>
          <w:highlight w:val="none"/>
          <w:lang w:val="en-US" w:eastAsia="zh-CN" w:bidi="ar-SA"/>
        </w:rPr>
        <w:t>3.4</w:t>
      </w:r>
      <w:r>
        <w:rPr>
          <w:rFonts w:hint="default" w:ascii="Times New Roman" w:hAnsi="Times New Roman" w:eastAsia="宋体" w:cs="Times New Roman"/>
          <w:b/>
          <w:bCs/>
          <w:color w:val="auto"/>
          <w:highlight w:val="none"/>
        </w:rPr>
        <w:t>本项目扩建</w:t>
      </w:r>
      <w:r>
        <w:rPr>
          <w:rFonts w:hint="default" w:ascii="Times New Roman" w:hAnsi="Times New Roman" w:eastAsia="宋体" w:cs="Times New Roman"/>
          <w:b/>
          <w:bCs/>
          <w:color w:val="auto"/>
          <w:highlight w:val="none"/>
          <w:lang w:eastAsia="zh-CN"/>
        </w:rPr>
        <w:t>前</w:t>
      </w:r>
      <w:r>
        <w:rPr>
          <w:rFonts w:hint="default" w:ascii="Times New Roman" w:hAnsi="Times New Roman" w:eastAsia="宋体" w:cs="Times New Roman"/>
          <w:b/>
          <w:bCs/>
          <w:color w:val="auto"/>
          <w:highlight w:val="none"/>
        </w:rPr>
        <w:t>后污染物排放“三本账”</w:t>
      </w:r>
      <w:bookmarkEnd w:id="724"/>
      <w:bookmarkEnd w:id="725"/>
    </w:p>
    <w:p>
      <w:pPr>
        <w:pageBreakBefore w:val="0"/>
        <w:tabs>
          <w:tab w:val="left" w:pos="3062"/>
        </w:tabs>
        <w:wordWrap/>
        <w:bidi w:val="0"/>
        <w:spacing w:line="360" w:lineRule="auto"/>
        <w:ind w:left="0" w:leftChars="0" w:right="0" w:rightChars="0"/>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表3-</w:t>
      </w:r>
      <w:r>
        <w:rPr>
          <w:rFonts w:hint="default" w:ascii="Times New Roman" w:hAnsi="Times New Roman" w:eastAsia="宋体" w:cs="Times New Roman"/>
          <w:b/>
          <w:bCs/>
          <w:color w:val="auto"/>
          <w:sz w:val="24"/>
          <w:highlight w:val="none"/>
          <w:lang w:val="en-US" w:eastAsia="zh-CN"/>
        </w:rPr>
        <w:t>5</w:t>
      </w:r>
      <w:r>
        <w:rPr>
          <w:rFonts w:hint="default" w:ascii="Times New Roman" w:hAnsi="Times New Roman" w:eastAsia="宋体" w:cs="Times New Roman"/>
          <w:b/>
          <w:bCs/>
          <w:color w:val="auto"/>
          <w:sz w:val="24"/>
          <w:highlight w:val="none"/>
        </w:rPr>
        <w:t>工程</w:t>
      </w:r>
      <w:r>
        <w:rPr>
          <w:rFonts w:hint="default" w:ascii="Times New Roman" w:hAnsi="Times New Roman" w:eastAsia="宋体" w:cs="Times New Roman"/>
          <w:b/>
          <w:bCs/>
          <w:color w:val="auto"/>
          <w:sz w:val="24"/>
          <w:highlight w:val="none"/>
          <w:lang w:eastAsia="zh-CN"/>
        </w:rPr>
        <w:t>扩建前</w:t>
      </w:r>
      <w:r>
        <w:rPr>
          <w:rFonts w:hint="default" w:ascii="Times New Roman" w:hAnsi="Times New Roman" w:eastAsia="宋体" w:cs="Times New Roman"/>
          <w:b/>
          <w:bCs/>
          <w:color w:val="auto"/>
          <w:sz w:val="24"/>
          <w:highlight w:val="none"/>
        </w:rPr>
        <w:t>后污染物排放“三本账”t/a</w:t>
      </w:r>
    </w:p>
    <w:tbl>
      <w:tblPr>
        <w:tblStyle w:val="54"/>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28" w:type="dxa"/>
          <w:bottom w:w="0" w:type="dxa"/>
          <w:right w:w="28" w:type="dxa"/>
        </w:tblCellMar>
      </w:tblPr>
      <w:tblGrid>
        <w:gridCol w:w="566"/>
        <w:gridCol w:w="1019"/>
        <w:gridCol w:w="1094"/>
        <w:gridCol w:w="1541"/>
        <w:gridCol w:w="1463"/>
        <w:gridCol w:w="1565"/>
        <w:gridCol w:w="111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trPr>
        <w:tc>
          <w:tcPr>
            <w:tcW w:w="947" w:type="pct"/>
            <w:gridSpan w:val="2"/>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污染物</w:t>
            </w:r>
          </w:p>
        </w:tc>
        <w:tc>
          <w:tcPr>
            <w:tcW w:w="654"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color w:val="auto"/>
                <w:sz w:val="21"/>
                <w:szCs w:val="21"/>
                <w:highlight w:val="none"/>
                <w:lang w:eastAsia="zh-CN"/>
              </w:rPr>
            </w:pPr>
            <w:r>
              <w:rPr>
                <w:rFonts w:hint="default" w:ascii="Times New Roman" w:hAnsi="Times New Roman" w:eastAsia="宋体" w:cs="Times New Roman"/>
                <w:b/>
                <w:color w:val="auto"/>
                <w:sz w:val="21"/>
                <w:szCs w:val="21"/>
                <w:highlight w:val="none"/>
              </w:rPr>
              <w:t>现有</w:t>
            </w:r>
            <w:r>
              <w:rPr>
                <w:rFonts w:hint="default" w:ascii="Times New Roman" w:hAnsi="Times New Roman" w:eastAsia="宋体" w:cs="Times New Roman"/>
                <w:b/>
                <w:color w:val="auto"/>
                <w:sz w:val="21"/>
                <w:szCs w:val="21"/>
                <w:highlight w:val="none"/>
                <w:lang w:eastAsia="zh-CN"/>
              </w:rPr>
              <w:t>尾矿库</w:t>
            </w:r>
          </w:p>
        </w:tc>
        <w:tc>
          <w:tcPr>
            <w:tcW w:w="921"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lang w:eastAsia="zh-CN"/>
              </w:rPr>
              <w:t>扩建尾矿库</w:t>
            </w:r>
          </w:p>
        </w:tc>
        <w:tc>
          <w:tcPr>
            <w:tcW w:w="874"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以新</w:t>
            </w:r>
            <w:r>
              <w:rPr>
                <w:rFonts w:hint="default" w:ascii="Times New Roman" w:hAnsi="Times New Roman" w:eastAsia="宋体" w:cs="Times New Roman"/>
                <w:b/>
                <w:color w:val="auto"/>
                <w:sz w:val="21"/>
                <w:szCs w:val="21"/>
                <w:highlight w:val="none"/>
                <w:lang w:eastAsia="zh-CN"/>
              </w:rPr>
              <w:t>代</w:t>
            </w:r>
            <w:r>
              <w:rPr>
                <w:rFonts w:hint="default" w:ascii="Times New Roman" w:hAnsi="Times New Roman" w:eastAsia="宋体" w:cs="Times New Roman"/>
                <w:b/>
                <w:color w:val="auto"/>
                <w:sz w:val="21"/>
                <w:szCs w:val="21"/>
                <w:highlight w:val="none"/>
              </w:rPr>
              <w:t>老</w:t>
            </w:r>
          </w:p>
        </w:tc>
        <w:tc>
          <w:tcPr>
            <w:tcW w:w="935"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lang w:eastAsia="zh-CN"/>
              </w:rPr>
              <w:t>扩建尾矿库</w:t>
            </w:r>
            <w:r>
              <w:rPr>
                <w:rFonts w:hint="default" w:ascii="Times New Roman" w:hAnsi="Times New Roman" w:eastAsia="宋体" w:cs="Times New Roman"/>
                <w:b/>
                <w:color w:val="auto"/>
                <w:sz w:val="21"/>
                <w:szCs w:val="21"/>
                <w:highlight w:val="none"/>
              </w:rPr>
              <w:t>后排放量</w:t>
            </w:r>
          </w:p>
        </w:tc>
        <w:tc>
          <w:tcPr>
            <w:tcW w:w="666"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增减情况</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trPr>
        <w:tc>
          <w:tcPr>
            <w:tcW w:w="338"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废气</w:t>
            </w:r>
          </w:p>
        </w:tc>
        <w:tc>
          <w:tcPr>
            <w:tcW w:w="609"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颗粒物</w:t>
            </w:r>
          </w:p>
        </w:tc>
        <w:tc>
          <w:tcPr>
            <w:tcW w:w="654"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3.26</w:t>
            </w:r>
          </w:p>
        </w:tc>
        <w:tc>
          <w:tcPr>
            <w:tcW w:w="921"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0.867</w:t>
            </w:r>
          </w:p>
        </w:tc>
        <w:tc>
          <w:tcPr>
            <w:tcW w:w="874"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-3.26</w:t>
            </w:r>
          </w:p>
        </w:tc>
        <w:tc>
          <w:tcPr>
            <w:tcW w:w="935"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0.867</w:t>
            </w:r>
          </w:p>
        </w:tc>
        <w:tc>
          <w:tcPr>
            <w:tcW w:w="666"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eastAsia="zh-CN"/>
              </w:rPr>
              <w:t>2.393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trPr>
        <w:tc>
          <w:tcPr>
            <w:tcW w:w="338"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固废</w:t>
            </w:r>
          </w:p>
        </w:tc>
        <w:tc>
          <w:tcPr>
            <w:tcW w:w="609"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一般固废</w:t>
            </w:r>
          </w:p>
        </w:tc>
        <w:tc>
          <w:tcPr>
            <w:tcW w:w="654"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w:t>
            </w:r>
          </w:p>
        </w:tc>
        <w:tc>
          <w:tcPr>
            <w:tcW w:w="921"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0</w:t>
            </w:r>
          </w:p>
        </w:tc>
        <w:tc>
          <w:tcPr>
            <w:tcW w:w="874"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0</w:t>
            </w:r>
          </w:p>
        </w:tc>
        <w:tc>
          <w:tcPr>
            <w:tcW w:w="935"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0</w:t>
            </w:r>
          </w:p>
        </w:tc>
        <w:tc>
          <w:tcPr>
            <w:tcW w:w="666"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w:t>
            </w:r>
          </w:p>
        </w:tc>
      </w:tr>
    </w:tbl>
    <w:p>
      <w:pPr>
        <w:pageBreakBefore w:val="0"/>
        <w:wordWrap/>
        <w:bidi w:val="0"/>
        <w:adjustRightInd w:val="0"/>
        <w:spacing w:line="360" w:lineRule="auto"/>
        <w:ind w:left="0" w:leftChars="0" w:right="0" w:rightChars="0" w:firstLine="504" w:firstLineChars="200"/>
        <w:textAlignment w:val="baseline"/>
        <w:rPr>
          <w:rFonts w:hint="default" w:ascii="Times New Roman" w:hAnsi="Times New Roman" w:eastAsia="宋体" w:cs="Times New Roman"/>
          <w:color w:val="auto"/>
          <w:spacing w:val="6"/>
          <w:sz w:val="24"/>
          <w:highlight w:val="none"/>
          <w:lang w:val="zh-CN"/>
        </w:rPr>
      </w:pP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sectPr>
          <w:pgSz w:w="11906" w:h="16838"/>
          <w:pgMar w:top="1440" w:right="1800" w:bottom="1440" w:left="1800" w:header="851" w:footer="851" w:gutter="0"/>
          <w:pgNumType w:fmt="decimal"/>
          <w:cols w:space="720" w:num="1"/>
          <w:docGrid w:linePitch="312" w:charSpace="0"/>
        </w:sectPr>
      </w:pPr>
    </w:p>
    <w:p>
      <w:pPr>
        <w:pStyle w:val="3"/>
        <w:pageBreakBefore w:val="0"/>
        <w:widowControl w:val="0"/>
        <w:numPr>
          <w:ilvl w:val="0"/>
          <w:numId w:val="0"/>
        </w:numPr>
        <w:kinsoku/>
        <w:wordWrap/>
        <w:overflowPunct/>
        <w:topLinePunct w:val="0"/>
        <w:autoSpaceDE/>
        <w:autoSpaceDN/>
        <w:bidi w:val="0"/>
        <w:ind w:left="0" w:leftChars="0" w:right="0" w:rightChars="0" w:firstLine="0" w:firstLineChars="0"/>
        <w:textAlignment w:val="auto"/>
        <w:outlineLvl w:val="2"/>
        <w:rPr>
          <w:rFonts w:hint="default" w:ascii="Times New Roman" w:hAnsi="Times New Roman" w:eastAsia="宋体" w:cs="Times New Roman"/>
          <w:b/>
          <w:bCs w:val="0"/>
          <w:color w:val="auto"/>
          <w:sz w:val="32"/>
          <w:szCs w:val="32"/>
          <w:highlight w:val="none"/>
        </w:rPr>
      </w:pPr>
      <w:bookmarkStart w:id="726" w:name="_Toc2289"/>
      <w:bookmarkStart w:id="727" w:name="_Toc288306205"/>
      <w:bookmarkStart w:id="728" w:name="_Toc9168"/>
      <w:r>
        <w:rPr>
          <w:rFonts w:hint="default" w:ascii="Times New Roman" w:hAnsi="Times New Roman" w:eastAsia="宋体" w:cs="Times New Roman"/>
          <w:b/>
          <w:bCs w:val="0"/>
          <w:i w:val="0"/>
          <w:color w:val="auto"/>
          <w:kern w:val="44"/>
          <w:sz w:val="30"/>
          <w:szCs w:val="30"/>
          <w:highlight w:val="none"/>
          <w:lang w:val="en-US" w:eastAsia="zh-CN" w:bidi="ar-SA"/>
        </w:rPr>
        <w:t>4</w:t>
      </w:r>
      <w:r>
        <w:rPr>
          <w:rFonts w:hint="default" w:ascii="Times New Roman" w:hAnsi="Times New Roman" w:eastAsia="宋体" w:cs="Times New Roman"/>
          <w:b/>
          <w:bCs w:val="0"/>
          <w:color w:val="auto"/>
          <w:sz w:val="32"/>
          <w:szCs w:val="32"/>
          <w:highlight w:val="none"/>
        </w:rPr>
        <w:t>环境</w:t>
      </w:r>
      <w:bookmarkEnd w:id="716"/>
      <w:bookmarkEnd w:id="717"/>
      <w:bookmarkEnd w:id="718"/>
      <w:r>
        <w:rPr>
          <w:rFonts w:hint="default" w:ascii="Times New Roman" w:hAnsi="Times New Roman" w:eastAsia="宋体" w:cs="Times New Roman"/>
          <w:b/>
          <w:bCs w:val="0"/>
          <w:color w:val="auto"/>
          <w:sz w:val="32"/>
          <w:szCs w:val="32"/>
          <w:highlight w:val="none"/>
        </w:rPr>
        <w:t>概况</w:t>
      </w:r>
      <w:bookmarkEnd w:id="719"/>
      <w:bookmarkEnd w:id="720"/>
      <w:bookmarkEnd w:id="721"/>
      <w:bookmarkEnd w:id="726"/>
      <w:bookmarkEnd w:id="727"/>
      <w:bookmarkEnd w:id="728"/>
    </w:p>
    <w:bookmarkEnd w:id="722"/>
    <w:p>
      <w:pPr>
        <w:pStyle w:val="4"/>
        <w:pageBreakBefore w:val="0"/>
        <w:numPr>
          <w:ilvl w:val="1"/>
          <w:numId w:val="0"/>
        </w:numPr>
        <w:wordWrap/>
        <w:bidi w:val="0"/>
        <w:ind w:left="0" w:leftChars="0" w:right="0" w:rightChars="0" w:firstLine="0" w:firstLineChars="0"/>
        <w:rPr>
          <w:rFonts w:hint="default" w:ascii="Times New Roman" w:hAnsi="Times New Roman" w:eastAsia="宋体" w:cs="Times New Roman"/>
          <w:b/>
          <w:bCs/>
          <w:i w:val="0"/>
          <w:color w:val="auto"/>
          <w:kern w:val="2"/>
          <w:sz w:val="28"/>
          <w:szCs w:val="28"/>
          <w:highlight w:val="none"/>
          <w:lang w:val="en-US" w:eastAsia="zh-CN" w:bidi="ar-SA"/>
        </w:rPr>
      </w:pPr>
      <w:bookmarkStart w:id="729" w:name="_Toc68490693"/>
      <w:bookmarkStart w:id="730" w:name="_Toc39114997"/>
      <w:bookmarkStart w:id="731" w:name="_Toc288306207"/>
      <w:bookmarkStart w:id="732" w:name="_Toc68488922"/>
      <w:bookmarkStart w:id="733" w:name="_Toc260567909"/>
      <w:bookmarkStart w:id="734" w:name="_Toc24325"/>
      <w:bookmarkStart w:id="735" w:name="_Toc76486886"/>
      <w:bookmarkStart w:id="736" w:name="_Toc20859"/>
      <w:bookmarkStart w:id="737" w:name="_Toc340"/>
      <w:r>
        <w:rPr>
          <w:rFonts w:hint="default" w:ascii="Times New Roman" w:hAnsi="Times New Roman" w:eastAsia="宋体" w:cs="Times New Roman"/>
          <w:b/>
          <w:bCs/>
          <w:i w:val="0"/>
          <w:color w:val="auto"/>
          <w:kern w:val="2"/>
          <w:sz w:val="28"/>
          <w:szCs w:val="28"/>
          <w:highlight w:val="none"/>
          <w:lang w:val="en-US" w:eastAsia="zh-CN" w:bidi="ar-SA"/>
        </w:rPr>
        <w:t>4.1地理位置</w:t>
      </w:r>
      <w:bookmarkEnd w:id="729"/>
      <w:bookmarkEnd w:id="730"/>
      <w:bookmarkEnd w:id="731"/>
      <w:bookmarkEnd w:id="732"/>
      <w:bookmarkEnd w:id="733"/>
      <w:bookmarkEnd w:id="734"/>
      <w:bookmarkEnd w:id="735"/>
      <w:bookmarkEnd w:id="736"/>
      <w:bookmarkEnd w:id="737"/>
    </w:p>
    <w:p>
      <w:pPr>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highlight w:val="none"/>
        </w:rPr>
      </w:pPr>
      <w:bookmarkStart w:id="738" w:name="_Toc76486888"/>
      <w:bookmarkStart w:id="739" w:name="_Toc39114999"/>
      <w:bookmarkStart w:id="740" w:name="_Toc68488924"/>
      <w:bookmarkStart w:id="741" w:name="_Toc68490695"/>
      <w:r>
        <w:rPr>
          <w:rFonts w:hint="default" w:ascii="Times New Roman" w:hAnsi="Times New Roman" w:eastAsia="宋体" w:cs="Times New Roman"/>
          <w:color w:val="auto"/>
          <w:sz w:val="24"/>
          <w:highlight w:val="none"/>
        </w:rPr>
        <w:t>乌拉特前旗位于内蒙古自治区西部</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巴彦淖尔市东南部</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黄河北岸</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河套平原东端。地理位置在东经108°11'～109°54'、北纬40°28'～41°16'。东与包头毗邻</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西与五原县相连</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南至黄河与鄂尔多斯市杭锦旗和达拉特旗隔河相望</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北与乌拉特中旗接壤。旗政府所在地乌拉山镇</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距呼和浩特市288km</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距巴彦淖尔市市政府所在地临河区142km。</w:t>
      </w:r>
    </w:p>
    <w:p>
      <w:pPr>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textAlignment w:val="auto"/>
        <w:rPr>
          <w:rFonts w:hint="default" w:ascii="Times New Roman" w:hAnsi="Times New Roman" w:eastAsia="宋体" w:cs="Times New Roman"/>
          <w:b/>
          <w:color w:val="auto"/>
          <w:sz w:val="24"/>
          <w:highlight w:val="none"/>
        </w:rPr>
      </w:pPr>
      <w:r>
        <w:rPr>
          <w:rFonts w:hint="default" w:ascii="Times New Roman" w:hAnsi="Times New Roman" w:eastAsia="宋体" w:cs="Times New Roman"/>
          <w:color w:val="auto"/>
          <w:sz w:val="24"/>
          <w:highlight w:val="none"/>
          <w:lang w:val="en-US" w:eastAsia="zh-CN"/>
        </w:rPr>
        <w:t>本项目</w:t>
      </w:r>
      <w:r>
        <w:rPr>
          <w:rFonts w:hint="default" w:ascii="Times New Roman" w:hAnsi="Times New Roman" w:eastAsia="宋体" w:cs="Times New Roman"/>
          <w:color w:val="auto"/>
          <w:sz w:val="24"/>
          <w:highlight w:val="none"/>
        </w:rPr>
        <w:t>位于乌拉特前旗政府所在乌拉山镇东北方向72km</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行政区划隶</w:t>
      </w:r>
      <w:r>
        <w:rPr>
          <w:rFonts w:hint="default" w:ascii="Times New Roman" w:hAnsi="Times New Roman" w:eastAsia="宋体" w:cs="Times New Roman"/>
          <w:color w:val="auto"/>
          <w:sz w:val="24"/>
          <w:highlight w:val="none"/>
          <w:lang w:eastAsia="zh-CN"/>
        </w:rPr>
        <w:t>属</w:t>
      </w:r>
      <w:r>
        <w:rPr>
          <w:rFonts w:hint="default" w:ascii="Times New Roman" w:hAnsi="Times New Roman" w:eastAsia="宋体" w:cs="Times New Roman"/>
          <w:color w:val="auto"/>
          <w:sz w:val="24"/>
          <w:highlight w:val="none"/>
        </w:rPr>
        <w:t>沙德格苏木</w:t>
      </w:r>
      <w:r>
        <w:rPr>
          <w:rFonts w:hint="default" w:ascii="Times New Roman" w:hAnsi="Times New Roman" w:eastAsia="宋体" w:cs="Times New Roman"/>
          <w:color w:val="auto"/>
          <w:sz w:val="24"/>
          <w:highlight w:val="none"/>
          <w:lang w:eastAsia="zh-CN"/>
        </w:rPr>
        <w:t>，中心坐标为东经109°25'35.85"，北纬40°47'58.26"</w:t>
      </w:r>
      <w:r>
        <w:rPr>
          <w:rFonts w:hint="default" w:ascii="Times New Roman" w:hAnsi="Times New Roman" w:eastAsia="宋体" w:cs="Times New Roman"/>
          <w:color w:val="auto"/>
          <w:sz w:val="24"/>
          <w:highlight w:val="none"/>
        </w:rPr>
        <w:t>。</w:t>
      </w:r>
    </w:p>
    <w:bookmarkEnd w:id="738"/>
    <w:bookmarkEnd w:id="739"/>
    <w:bookmarkEnd w:id="740"/>
    <w:bookmarkEnd w:id="741"/>
    <w:p>
      <w:pPr>
        <w:pStyle w:val="4"/>
        <w:pageBreakBefore w:val="0"/>
        <w:numPr>
          <w:ilvl w:val="1"/>
          <w:numId w:val="0"/>
        </w:numPr>
        <w:wordWrap/>
        <w:bidi w:val="0"/>
        <w:ind w:left="0" w:leftChars="0" w:right="0" w:rightChars="0" w:firstLine="0" w:firstLineChars="0"/>
        <w:rPr>
          <w:rFonts w:hint="default" w:ascii="Times New Roman" w:hAnsi="Times New Roman" w:eastAsia="宋体" w:cs="Times New Roman"/>
          <w:b/>
          <w:bCs/>
          <w:i w:val="0"/>
          <w:color w:val="auto"/>
          <w:kern w:val="2"/>
          <w:sz w:val="28"/>
          <w:szCs w:val="28"/>
          <w:highlight w:val="none"/>
          <w:lang w:val="en-US" w:eastAsia="zh-CN" w:bidi="ar-SA"/>
        </w:rPr>
      </w:pPr>
      <w:bookmarkStart w:id="742" w:name="_Toc5112"/>
      <w:bookmarkStart w:id="743" w:name="_Toc30210"/>
      <w:bookmarkStart w:id="744" w:name="_Toc21445"/>
      <w:bookmarkStart w:id="745" w:name="_Toc39115003"/>
      <w:bookmarkStart w:id="746" w:name="_Toc108436875"/>
      <w:bookmarkStart w:id="747" w:name="_Toc108436609"/>
      <w:bookmarkStart w:id="748" w:name="_Toc68490698"/>
      <w:bookmarkStart w:id="749" w:name="_Toc148080024"/>
      <w:bookmarkStart w:id="750" w:name="_Toc68488927"/>
      <w:bookmarkStart w:id="751" w:name="_Toc76486891"/>
      <w:r>
        <w:rPr>
          <w:rFonts w:hint="default" w:ascii="Times New Roman" w:hAnsi="Times New Roman" w:eastAsia="宋体" w:cs="Times New Roman"/>
          <w:b/>
          <w:bCs/>
          <w:i w:val="0"/>
          <w:color w:val="auto"/>
          <w:kern w:val="2"/>
          <w:sz w:val="28"/>
          <w:szCs w:val="28"/>
          <w:highlight w:val="none"/>
          <w:lang w:val="en-US" w:eastAsia="zh-CN" w:bidi="ar-SA"/>
        </w:rPr>
        <w:t>4.2地形地貌</w:t>
      </w:r>
      <w:bookmarkEnd w:id="742"/>
      <w:bookmarkEnd w:id="743"/>
      <w:bookmarkEnd w:id="744"/>
    </w:p>
    <w:p>
      <w:pPr>
        <w:pageBreakBefore w:val="0"/>
        <w:widowControl w:val="0"/>
        <w:kinsoku/>
        <w:wordWrap/>
        <w:overflowPunct/>
        <w:topLinePunct w:val="0"/>
        <w:autoSpaceDE/>
        <w:autoSpaceDN/>
        <w:bidi w:val="0"/>
        <w:snapToGrid w:val="0"/>
        <w:spacing w:line="360" w:lineRule="auto"/>
        <w:ind w:left="0" w:leftChars="0" w:right="0" w:rightChars="0" w:firstLine="480" w:firstLineChars="200"/>
        <w:textAlignment w:val="auto"/>
        <w:rPr>
          <w:rFonts w:hint="default" w:ascii="Times New Roman" w:hAnsi="Times New Roman" w:eastAsia="宋体" w:cs="Times New Roman"/>
          <w:color w:val="auto"/>
          <w:sz w:val="24"/>
          <w:highlight w:val="none"/>
          <w:lang w:val="zh-CN"/>
        </w:rPr>
      </w:pPr>
      <w:r>
        <w:rPr>
          <w:rFonts w:hint="default" w:ascii="Times New Roman" w:hAnsi="Times New Roman" w:eastAsia="宋体" w:cs="Times New Roman"/>
          <w:color w:val="auto"/>
          <w:sz w:val="24"/>
          <w:highlight w:val="none"/>
          <w:lang w:val="zh-CN"/>
        </w:rPr>
        <w:t>乌拉特前旗属于黄河流域区，为第四系冲洪冲积层，地耐力能满足一般工业厂房的要求，没有断裂带等不良地质状况。表层为粘性土层，厚度4-15m，由砂壤土、壤土和粘土组成。下部厚层细砂夹薄黏土层，厚度约50m，砂层中含有砾石层。流域区的土壤类型为盐化灌淤土，占全旗总面积的64.3%，荒地为盐土，占总面积的35.7%。土壤表层质地为红泥土。黄灌区土壤的pH值为7.7。</w:t>
      </w:r>
    </w:p>
    <w:p>
      <w:pPr>
        <w:pageBreakBefore w:val="0"/>
        <w:widowControl w:val="0"/>
        <w:kinsoku/>
        <w:wordWrap/>
        <w:overflowPunct/>
        <w:topLinePunct w:val="0"/>
        <w:autoSpaceDE/>
        <w:autoSpaceDN/>
        <w:bidi w:val="0"/>
        <w:snapToGrid w:val="0"/>
        <w:spacing w:line="360" w:lineRule="auto"/>
        <w:ind w:left="0" w:leftChars="0" w:right="0" w:rightChars="0" w:firstLine="480" w:firstLineChars="200"/>
        <w:textAlignment w:val="auto"/>
        <w:rPr>
          <w:rFonts w:hint="default" w:ascii="Times New Roman" w:hAnsi="Times New Roman" w:eastAsia="宋体" w:cs="Times New Roman"/>
          <w:color w:val="auto"/>
          <w:sz w:val="24"/>
          <w:highlight w:val="none"/>
          <w:lang w:val="zh-CN"/>
        </w:rPr>
      </w:pPr>
      <w:r>
        <w:rPr>
          <w:rFonts w:hint="default" w:ascii="Times New Roman" w:hAnsi="Times New Roman" w:eastAsia="宋体" w:cs="Times New Roman"/>
          <w:color w:val="auto"/>
          <w:sz w:val="24"/>
          <w:highlight w:val="none"/>
          <w:lang w:val="zh-CN"/>
        </w:rPr>
        <w:t>乌拉特前旗地形属内蒙古高原的一部分，东北部为丘陵山区、西部、南部为黄河冲积平原（西部为河套平原，南部为三湖河平原），平原区海拔1007m。全旗地势在1000～2400m之间，东北高，西南低，东及东北有属于阴山山脉西段的乌拉山、白云常合山和渣尔泰山，西南及乌拉山南部为黄河冲积平原即广阔富饶的河套平原，三大山脉之间形成小佘太川、明安川。乌拉山西北部10多km有乌梁素海，山南10多km为黄河。</w:t>
      </w:r>
    </w:p>
    <w:p>
      <w:pPr>
        <w:pStyle w:val="4"/>
        <w:pageBreakBefore w:val="0"/>
        <w:numPr>
          <w:ilvl w:val="1"/>
          <w:numId w:val="0"/>
        </w:numPr>
        <w:wordWrap/>
        <w:bidi w:val="0"/>
        <w:ind w:left="0" w:leftChars="0" w:right="0" w:rightChars="0" w:firstLine="0" w:firstLineChars="0"/>
        <w:rPr>
          <w:rFonts w:hint="default" w:ascii="Times New Roman" w:hAnsi="Times New Roman" w:eastAsia="宋体" w:cs="Times New Roman"/>
          <w:b/>
          <w:bCs/>
          <w:i w:val="0"/>
          <w:color w:val="auto"/>
          <w:kern w:val="2"/>
          <w:sz w:val="28"/>
          <w:szCs w:val="28"/>
          <w:highlight w:val="none"/>
          <w:lang w:val="en-US" w:eastAsia="zh-CN" w:bidi="ar-SA"/>
        </w:rPr>
      </w:pPr>
      <w:bookmarkStart w:id="752" w:name="_Toc288306210"/>
      <w:bookmarkStart w:id="753" w:name="_Toc260567912"/>
      <w:bookmarkStart w:id="754" w:name="_Toc8563"/>
      <w:bookmarkStart w:id="755" w:name="_Toc14548"/>
      <w:bookmarkStart w:id="756" w:name="_Toc30443"/>
      <w:r>
        <w:rPr>
          <w:rFonts w:hint="default" w:ascii="Times New Roman" w:hAnsi="Times New Roman" w:eastAsia="宋体" w:cs="Times New Roman"/>
          <w:b/>
          <w:bCs/>
          <w:i w:val="0"/>
          <w:color w:val="auto"/>
          <w:kern w:val="2"/>
          <w:sz w:val="28"/>
          <w:szCs w:val="28"/>
          <w:highlight w:val="none"/>
          <w:lang w:val="en-US" w:eastAsia="zh-CN" w:bidi="ar-SA"/>
        </w:rPr>
        <w:t>4.3气候</w:t>
      </w:r>
      <w:bookmarkEnd w:id="752"/>
      <w:bookmarkEnd w:id="753"/>
      <w:r>
        <w:rPr>
          <w:rFonts w:hint="default" w:ascii="Times New Roman" w:hAnsi="Times New Roman" w:eastAsia="宋体" w:cs="Times New Roman"/>
          <w:b/>
          <w:bCs/>
          <w:i w:val="0"/>
          <w:color w:val="auto"/>
          <w:kern w:val="2"/>
          <w:sz w:val="28"/>
          <w:szCs w:val="28"/>
          <w:highlight w:val="none"/>
          <w:lang w:val="en-US" w:eastAsia="zh-CN" w:bidi="ar-SA"/>
        </w:rPr>
        <w:t>气象</w:t>
      </w:r>
      <w:bookmarkEnd w:id="754"/>
      <w:bookmarkEnd w:id="755"/>
      <w:bookmarkEnd w:id="756"/>
    </w:p>
    <w:p>
      <w:pPr>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snapToGrid w:val="0"/>
          <w:color w:val="auto"/>
          <w:kern w:val="0"/>
          <w:sz w:val="24"/>
          <w:highlight w:val="none"/>
        </w:rPr>
        <w:t>乌拉特前旗</w:t>
      </w:r>
      <w:r>
        <w:rPr>
          <w:rFonts w:hint="default" w:ascii="Times New Roman" w:hAnsi="Times New Roman" w:eastAsia="宋体" w:cs="Times New Roman"/>
          <w:snapToGrid w:val="0"/>
          <w:color w:val="auto"/>
          <w:kern w:val="0"/>
          <w:sz w:val="24"/>
          <w:highlight w:val="none"/>
          <w:lang w:eastAsia="zh-CN"/>
        </w:rPr>
        <w:t>属</w:t>
      </w:r>
      <w:r>
        <w:rPr>
          <w:rFonts w:hint="default" w:ascii="Times New Roman" w:hAnsi="Times New Roman" w:eastAsia="宋体" w:cs="Times New Roman"/>
          <w:snapToGrid w:val="0"/>
          <w:color w:val="auto"/>
          <w:kern w:val="0"/>
          <w:sz w:val="24"/>
          <w:highlight w:val="none"/>
        </w:rPr>
        <w:t>中温带大陆多风干旱气候区</w:t>
      </w:r>
      <w:r>
        <w:rPr>
          <w:rFonts w:hint="default" w:ascii="Times New Roman" w:hAnsi="Times New Roman" w:eastAsia="宋体" w:cs="Times New Roman"/>
          <w:snapToGrid w:val="0"/>
          <w:color w:val="auto"/>
          <w:kern w:val="0"/>
          <w:sz w:val="24"/>
          <w:highlight w:val="none"/>
          <w:lang w:eastAsia="zh-CN"/>
        </w:rPr>
        <w:t>，</w:t>
      </w:r>
      <w:r>
        <w:rPr>
          <w:rFonts w:hint="default" w:ascii="Times New Roman" w:hAnsi="Times New Roman" w:eastAsia="宋体" w:cs="Times New Roman"/>
          <w:snapToGrid w:val="0"/>
          <w:color w:val="auto"/>
          <w:kern w:val="0"/>
          <w:sz w:val="24"/>
          <w:highlight w:val="none"/>
        </w:rPr>
        <w:t>冬寒而长</w:t>
      </w:r>
      <w:r>
        <w:rPr>
          <w:rFonts w:hint="default" w:ascii="Times New Roman" w:hAnsi="Times New Roman" w:eastAsia="宋体" w:cs="Times New Roman"/>
          <w:snapToGrid w:val="0"/>
          <w:color w:val="auto"/>
          <w:kern w:val="0"/>
          <w:sz w:val="24"/>
          <w:highlight w:val="none"/>
          <w:lang w:eastAsia="zh-CN"/>
        </w:rPr>
        <w:t>，</w:t>
      </w:r>
      <w:r>
        <w:rPr>
          <w:rFonts w:hint="default" w:ascii="Times New Roman" w:hAnsi="Times New Roman" w:eastAsia="宋体" w:cs="Times New Roman"/>
          <w:snapToGrid w:val="0"/>
          <w:color w:val="auto"/>
          <w:kern w:val="0"/>
          <w:sz w:val="24"/>
          <w:highlight w:val="none"/>
        </w:rPr>
        <w:t>夏热而短</w:t>
      </w:r>
      <w:r>
        <w:rPr>
          <w:rFonts w:hint="default" w:ascii="Times New Roman" w:hAnsi="Times New Roman" w:eastAsia="宋体" w:cs="Times New Roman"/>
          <w:snapToGrid w:val="0"/>
          <w:color w:val="auto"/>
          <w:kern w:val="0"/>
          <w:sz w:val="24"/>
          <w:highlight w:val="none"/>
          <w:lang w:eastAsia="zh-CN"/>
        </w:rPr>
        <w:t>，</w:t>
      </w:r>
      <w:r>
        <w:rPr>
          <w:rFonts w:hint="default" w:ascii="Times New Roman" w:hAnsi="Times New Roman" w:eastAsia="宋体" w:cs="Times New Roman"/>
          <w:snapToGrid w:val="0"/>
          <w:color w:val="auto"/>
          <w:kern w:val="0"/>
          <w:sz w:val="24"/>
          <w:highlight w:val="none"/>
        </w:rPr>
        <w:t>昼夜温差大</w:t>
      </w:r>
      <w:r>
        <w:rPr>
          <w:rFonts w:hint="default" w:ascii="Times New Roman" w:hAnsi="Times New Roman" w:eastAsia="宋体" w:cs="Times New Roman"/>
          <w:snapToGrid w:val="0"/>
          <w:color w:val="auto"/>
          <w:kern w:val="0"/>
          <w:sz w:val="24"/>
          <w:highlight w:val="none"/>
          <w:lang w:eastAsia="zh-CN"/>
        </w:rPr>
        <w:t>，</w:t>
      </w:r>
      <w:r>
        <w:rPr>
          <w:rFonts w:hint="default" w:ascii="Times New Roman" w:hAnsi="Times New Roman" w:eastAsia="宋体" w:cs="Times New Roman"/>
          <w:snapToGrid w:val="0"/>
          <w:color w:val="auto"/>
          <w:kern w:val="0"/>
          <w:sz w:val="24"/>
          <w:highlight w:val="none"/>
        </w:rPr>
        <w:t>光照充分；春季风沙较大；雨热同季</w:t>
      </w:r>
      <w:r>
        <w:rPr>
          <w:rFonts w:hint="default" w:ascii="Times New Roman" w:hAnsi="Times New Roman" w:eastAsia="宋体" w:cs="Times New Roman"/>
          <w:snapToGrid w:val="0"/>
          <w:color w:val="auto"/>
          <w:kern w:val="0"/>
          <w:sz w:val="24"/>
          <w:highlight w:val="none"/>
          <w:lang w:eastAsia="zh-CN"/>
        </w:rPr>
        <w:t>，</w:t>
      </w:r>
      <w:r>
        <w:rPr>
          <w:rFonts w:hint="default" w:ascii="Times New Roman" w:hAnsi="Times New Roman" w:eastAsia="宋体" w:cs="Times New Roman"/>
          <w:snapToGrid w:val="0"/>
          <w:color w:val="auto"/>
          <w:kern w:val="0"/>
          <w:sz w:val="24"/>
          <w:highlight w:val="none"/>
        </w:rPr>
        <w:t>对农作物生长十分有利。年平均气温6～7℃</w:t>
      </w:r>
      <w:r>
        <w:rPr>
          <w:rFonts w:hint="default" w:ascii="Times New Roman" w:hAnsi="Times New Roman" w:eastAsia="宋体" w:cs="Times New Roman"/>
          <w:snapToGrid w:val="0"/>
          <w:color w:val="auto"/>
          <w:kern w:val="0"/>
          <w:sz w:val="24"/>
          <w:highlight w:val="none"/>
          <w:lang w:eastAsia="zh-CN"/>
        </w:rPr>
        <w:t>，</w:t>
      </w:r>
      <w:r>
        <w:rPr>
          <w:rFonts w:hint="default" w:ascii="Times New Roman" w:hAnsi="Times New Roman" w:eastAsia="宋体" w:cs="Times New Roman"/>
          <w:snapToGrid w:val="0"/>
          <w:color w:val="auto"/>
          <w:kern w:val="0"/>
          <w:sz w:val="24"/>
          <w:highlight w:val="none"/>
        </w:rPr>
        <w:t>年均日照3202小时</w:t>
      </w:r>
      <w:r>
        <w:rPr>
          <w:rFonts w:hint="default" w:ascii="Times New Roman" w:hAnsi="Times New Roman" w:eastAsia="宋体" w:cs="Times New Roman"/>
          <w:snapToGrid w:val="0"/>
          <w:color w:val="auto"/>
          <w:kern w:val="0"/>
          <w:sz w:val="24"/>
          <w:highlight w:val="none"/>
          <w:lang w:eastAsia="zh-CN"/>
        </w:rPr>
        <w:t>，</w:t>
      </w:r>
      <w:r>
        <w:rPr>
          <w:rFonts w:hint="default" w:ascii="Times New Roman" w:hAnsi="Times New Roman" w:eastAsia="宋体" w:cs="Times New Roman"/>
          <w:snapToGrid w:val="0"/>
          <w:color w:val="auto"/>
          <w:kern w:val="0"/>
          <w:sz w:val="24"/>
          <w:highlight w:val="none"/>
        </w:rPr>
        <w:t>积温3200℃</w:t>
      </w:r>
      <w:r>
        <w:rPr>
          <w:rFonts w:hint="default" w:ascii="Times New Roman" w:hAnsi="Times New Roman" w:eastAsia="宋体" w:cs="Times New Roman"/>
          <w:snapToGrid w:val="0"/>
          <w:color w:val="auto"/>
          <w:kern w:val="0"/>
          <w:sz w:val="24"/>
          <w:highlight w:val="none"/>
          <w:lang w:eastAsia="zh-CN"/>
        </w:rPr>
        <w:t>，</w:t>
      </w:r>
      <w:r>
        <w:rPr>
          <w:rFonts w:hint="default" w:ascii="Times New Roman" w:hAnsi="Times New Roman" w:eastAsia="宋体" w:cs="Times New Roman"/>
          <w:snapToGrid w:val="0"/>
          <w:color w:val="auto"/>
          <w:kern w:val="0"/>
          <w:sz w:val="24"/>
          <w:highlight w:val="none"/>
        </w:rPr>
        <w:t>无霜期110～145天</w:t>
      </w:r>
      <w:r>
        <w:rPr>
          <w:rFonts w:hint="default" w:ascii="Times New Roman" w:hAnsi="Times New Roman" w:eastAsia="宋体" w:cs="Times New Roman"/>
          <w:snapToGrid w:val="0"/>
          <w:color w:val="auto"/>
          <w:kern w:val="0"/>
          <w:sz w:val="24"/>
          <w:highlight w:val="none"/>
          <w:lang w:eastAsia="zh-CN"/>
        </w:rPr>
        <w:t>，</w:t>
      </w:r>
      <w:r>
        <w:rPr>
          <w:rFonts w:hint="default" w:ascii="Times New Roman" w:hAnsi="Times New Roman" w:eastAsia="宋体" w:cs="Times New Roman"/>
          <w:snapToGrid w:val="0"/>
          <w:color w:val="auto"/>
          <w:kern w:val="0"/>
          <w:sz w:val="24"/>
          <w:highlight w:val="none"/>
        </w:rPr>
        <w:t>年降雨量200～500mm</w:t>
      </w:r>
      <w:r>
        <w:rPr>
          <w:rFonts w:hint="default" w:ascii="Times New Roman" w:hAnsi="Times New Roman" w:eastAsia="宋体" w:cs="Times New Roman"/>
          <w:snapToGrid w:val="0"/>
          <w:color w:val="auto"/>
          <w:kern w:val="0"/>
          <w:sz w:val="24"/>
          <w:highlight w:val="none"/>
          <w:lang w:eastAsia="zh-CN"/>
        </w:rPr>
        <w:t>，</w:t>
      </w:r>
      <w:r>
        <w:rPr>
          <w:rFonts w:hint="default" w:ascii="Times New Roman" w:hAnsi="Times New Roman" w:eastAsia="宋体" w:cs="Times New Roman"/>
          <w:snapToGrid w:val="0"/>
          <w:color w:val="auto"/>
          <w:kern w:val="0"/>
          <w:sz w:val="24"/>
          <w:highlight w:val="none"/>
        </w:rPr>
        <w:t>年平均降水量为270mm</w:t>
      </w:r>
      <w:r>
        <w:rPr>
          <w:rFonts w:hint="default" w:ascii="Times New Roman" w:hAnsi="Times New Roman" w:eastAsia="宋体" w:cs="Times New Roman"/>
          <w:snapToGrid w:val="0"/>
          <w:color w:val="auto"/>
          <w:kern w:val="0"/>
          <w:sz w:val="24"/>
          <w:highlight w:val="none"/>
          <w:lang w:eastAsia="zh-CN"/>
        </w:rPr>
        <w:t>，</w:t>
      </w:r>
      <w:r>
        <w:rPr>
          <w:rFonts w:hint="default" w:ascii="Times New Roman" w:hAnsi="Times New Roman" w:eastAsia="宋体" w:cs="Times New Roman"/>
          <w:snapToGrid w:val="0"/>
          <w:color w:val="auto"/>
          <w:kern w:val="0"/>
          <w:sz w:val="24"/>
          <w:highlight w:val="none"/>
        </w:rPr>
        <w:t>最大降水量为8月</w:t>
      </w:r>
      <w:r>
        <w:rPr>
          <w:rFonts w:hint="default" w:ascii="Times New Roman" w:hAnsi="Times New Roman" w:eastAsia="宋体" w:cs="Times New Roman"/>
          <w:snapToGrid w:val="0"/>
          <w:color w:val="auto"/>
          <w:kern w:val="0"/>
          <w:sz w:val="24"/>
          <w:highlight w:val="none"/>
          <w:lang w:eastAsia="zh-CN"/>
        </w:rPr>
        <w:t>，</w:t>
      </w:r>
      <w:r>
        <w:rPr>
          <w:rFonts w:hint="default" w:ascii="Times New Roman" w:hAnsi="Times New Roman" w:eastAsia="宋体" w:cs="Times New Roman"/>
          <w:snapToGrid w:val="0"/>
          <w:color w:val="auto"/>
          <w:kern w:val="0"/>
          <w:sz w:val="24"/>
          <w:highlight w:val="none"/>
        </w:rPr>
        <w:t>极端日降水量达109.6mm</w:t>
      </w:r>
      <w:r>
        <w:rPr>
          <w:rFonts w:hint="default" w:ascii="Times New Roman" w:hAnsi="Times New Roman" w:eastAsia="宋体" w:cs="Times New Roman"/>
          <w:snapToGrid w:val="0"/>
          <w:color w:val="auto"/>
          <w:kern w:val="0"/>
          <w:sz w:val="24"/>
          <w:highlight w:val="none"/>
          <w:lang w:eastAsia="zh-CN"/>
        </w:rPr>
        <w:t>，</w:t>
      </w:r>
      <w:r>
        <w:rPr>
          <w:rFonts w:hint="default" w:ascii="Times New Roman" w:hAnsi="Times New Roman" w:eastAsia="宋体" w:cs="Times New Roman"/>
          <w:snapToGrid w:val="0"/>
          <w:color w:val="auto"/>
          <w:kern w:val="0"/>
          <w:sz w:val="24"/>
          <w:highlight w:val="none"/>
        </w:rPr>
        <w:t>蒸发量大</w:t>
      </w:r>
      <w:r>
        <w:rPr>
          <w:rFonts w:hint="default" w:ascii="Times New Roman" w:hAnsi="Times New Roman" w:eastAsia="宋体" w:cs="Times New Roman"/>
          <w:snapToGrid w:val="0"/>
          <w:color w:val="auto"/>
          <w:kern w:val="0"/>
          <w:sz w:val="24"/>
          <w:highlight w:val="none"/>
          <w:lang w:eastAsia="zh-CN"/>
        </w:rPr>
        <w:t>，</w:t>
      </w:r>
      <w:r>
        <w:rPr>
          <w:rFonts w:hint="default" w:ascii="Times New Roman" w:hAnsi="Times New Roman" w:eastAsia="宋体" w:cs="Times New Roman"/>
          <w:snapToGrid w:val="0"/>
          <w:color w:val="auto"/>
          <w:kern w:val="0"/>
          <w:sz w:val="24"/>
          <w:highlight w:val="none"/>
        </w:rPr>
        <w:t>年平均蒸发量为2388mm；年平均气温7.9℃</w:t>
      </w:r>
      <w:r>
        <w:rPr>
          <w:rFonts w:hint="default" w:ascii="Times New Roman" w:hAnsi="Times New Roman" w:eastAsia="宋体" w:cs="Times New Roman"/>
          <w:snapToGrid w:val="0"/>
          <w:color w:val="auto"/>
          <w:kern w:val="0"/>
          <w:sz w:val="24"/>
          <w:highlight w:val="none"/>
          <w:lang w:eastAsia="zh-CN"/>
        </w:rPr>
        <w:t>，</w:t>
      </w:r>
      <w:r>
        <w:rPr>
          <w:rFonts w:hint="default" w:ascii="Times New Roman" w:hAnsi="Times New Roman" w:eastAsia="宋体" w:cs="Times New Roman"/>
          <w:snapToGrid w:val="0"/>
          <w:color w:val="auto"/>
          <w:kern w:val="0"/>
          <w:sz w:val="24"/>
          <w:highlight w:val="none"/>
        </w:rPr>
        <w:t>1月平均气温零下10℃左右</w:t>
      </w:r>
      <w:r>
        <w:rPr>
          <w:rFonts w:hint="default" w:ascii="Times New Roman" w:hAnsi="Times New Roman" w:eastAsia="宋体" w:cs="Times New Roman"/>
          <w:snapToGrid w:val="0"/>
          <w:color w:val="auto"/>
          <w:kern w:val="0"/>
          <w:sz w:val="24"/>
          <w:highlight w:val="none"/>
          <w:lang w:eastAsia="zh-CN"/>
        </w:rPr>
        <w:t>，</w:t>
      </w:r>
      <w:r>
        <w:rPr>
          <w:rFonts w:hint="default" w:ascii="Times New Roman" w:hAnsi="Times New Roman" w:eastAsia="宋体" w:cs="Times New Roman"/>
          <w:snapToGrid w:val="0"/>
          <w:color w:val="auto"/>
          <w:kern w:val="0"/>
          <w:sz w:val="24"/>
          <w:highlight w:val="none"/>
        </w:rPr>
        <w:t>7月平均气温24℃左右</w:t>
      </w:r>
      <w:r>
        <w:rPr>
          <w:rFonts w:hint="default" w:ascii="Times New Roman" w:hAnsi="Times New Roman" w:eastAsia="宋体" w:cs="Times New Roman"/>
          <w:snapToGrid w:val="0"/>
          <w:color w:val="auto"/>
          <w:kern w:val="0"/>
          <w:sz w:val="24"/>
          <w:highlight w:val="none"/>
          <w:lang w:eastAsia="zh-CN"/>
        </w:rPr>
        <w:t>，</w:t>
      </w:r>
      <w:r>
        <w:rPr>
          <w:rFonts w:hint="default" w:ascii="Times New Roman" w:hAnsi="Times New Roman" w:eastAsia="宋体" w:cs="Times New Roman"/>
          <w:snapToGrid w:val="0"/>
          <w:color w:val="auto"/>
          <w:kern w:val="0"/>
          <w:sz w:val="24"/>
          <w:highlight w:val="none"/>
        </w:rPr>
        <w:t>7月份气温最高为36.5℃</w:t>
      </w:r>
      <w:r>
        <w:rPr>
          <w:rFonts w:hint="default" w:ascii="Times New Roman" w:hAnsi="Times New Roman" w:eastAsia="宋体" w:cs="Times New Roman"/>
          <w:snapToGrid w:val="0"/>
          <w:color w:val="auto"/>
          <w:kern w:val="0"/>
          <w:sz w:val="24"/>
          <w:highlight w:val="none"/>
          <w:lang w:eastAsia="zh-CN"/>
        </w:rPr>
        <w:t>，</w:t>
      </w:r>
      <w:r>
        <w:rPr>
          <w:rFonts w:hint="default" w:ascii="Times New Roman" w:hAnsi="Times New Roman" w:eastAsia="宋体" w:cs="Times New Roman"/>
          <w:snapToGrid w:val="0"/>
          <w:color w:val="auto"/>
          <w:kern w:val="0"/>
          <w:sz w:val="24"/>
          <w:highlight w:val="none"/>
        </w:rPr>
        <w:t>最低气温-22.7℃；年平均日照3196小时</w:t>
      </w:r>
      <w:r>
        <w:rPr>
          <w:rFonts w:hint="default" w:ascii="Times New Roman" w:hAnsi="Times New Roman" w:eastAsia="宋体" w:cs="Times New Roman"/>
          <w:snapToGrid w:val="0"/>
          <w:color w:val="auto"/>
          <w:kern w:val="0"/>
          <w:sz w:val="24"/>
          <w:highlight w:val="none"/>
          <w:lang w:eastAsia="zh-CN"/>
        </w:rPr>
        <w:t>，</w:t>
      </w:r>
      <w:r>
        <w:rPr>
          <w:rFonts w:hint="default" w:ascii="Times New Roman" w:hAnsi="Times New Roman" w:eastAsia="宋体" w:cs="Times New Roman"/>
          <w:snapToGrid w:val="0"/>
          <w:color w:val="auto"/>
          <w:kern w:val="0"/>
          <w:sz w:val="24"/>
          <w:highlight w:val="none"/>
        </w:rPr>
        <w:t>无霜期127天</w:t>
      </w:r>
      <w:r>
        <w:rPr>
          <w:rFonts w:hint="default" w:ascii="Times New Roman" w:hAnsi="Times New Roman" w:eastAsia="宋体" w:cs="Times New Roman"/>
          <w:snapToGrid w:val="0"/>
          <w:color w:val="auto"/>
          <w:kern w:val="0"/>
          <w:sz w:val="24"/>
          <w:highlight w:val="none"/>
          <w:lang w:eastAsia="zh-CN"/>
        </w:rPr>
        <w:t>，</w:t>
      </w:r>
      <w:r>
        <w:rPr>
          <w:rFonts w:hint="default" w:ascii="Times New Roman" w:hAnsi="Times New Roman" w:eastAsia="宋体" w:cs="Times New Roman"/>
          <w:snapToGrid w:val="0"/>
          <w:color w:val="auto"/>
          <w:kern w:val="0"/>
          <w:sz w:val="24"/>
          <w:highlight w:val="none"/>
        </w:rPr>
        <w:t>积温（大于10℃</w:t>
      </w:r>
      <w:r>
        <w:rPr>
          <w:rFonts w:hint="default" w:ascii="Times New Roman" w:hAnsi="Times New Roman" w:eastAsia="宋体" w:cs="Times New Roman"/>
          <w:snapToGrid w:val="0"/>
          <w:color w:val="auto"/>
          <w:kern w:val="0"/>
          <w:sz w:val="24"/>
          <w:highlight w:val="none"/>
          <w:lang w:eastAsia="zh-CN"/>
        </w:rPr>
        <w:t>）</w:t>
      </w:r>
      <w:r>
        <w:rPr>
          <w:rFonts w:hint="default" w:ascii="Times New Roman" w:hAnsi="Times New Roman" w:eastAsia="宋体" w:cs="Times New Roman"/>
          <w:snapToGrid w:val="0"/>
          <w:color w:val="auto"/>
          <w:kern w:val="0"/>
          <w:sz w:val="24"/>
          <w:highlight w:val="none"/>
        </w:rPr>
        <w:t>3200小时</w:t>
      </w:r>
      <w:r>
        <w:rPr>
          <w:rFonts w:hint="default" w:ascii="Times New Roman" w:hAnsi="Times New Roman" w:eastAsia="宋体" w:cs="Times New Roman"/>
          <w:snapToGrid w:val="0"/>
          <w:color w:val="auto"/>
          <w:kern w:val="0"/>
          <w:sz w:val="24"/>
          <w:highlight w:val="none"/>
          <w:lang w:eastAsia="zh-CN"/>
        </w:rPr>
        <w:t>，</w:t>
      </w:r>
      <w:r>
        <w:rPr>
          <w:rFonts w:hint="default" w:ascii="Times New Roman" w:hAnsi="Times New Roman" w:eastAsia="宋体" w:cs="Times New Roman"/>
          <w:snapToGrid w:val="0"/>
          <w:color w:val="auto"/>
          <w:kern w:val="0"/>
          <w:sz w:val="24"/>
          <w:highlight w:val="none"/>
        </w:rPr>
        <w:t>土壤最大冻结深度115cm。该地区年主导风向为SSE</w:t>
      </w:r>
      <w:r>
        <w:rPr>
          <w:rFonts w:hint="default" w:ascii="Times New Roman" w:hAnsi="Times New Roman" w:eastAsia="宋体" w:cs="Times New Roman"/>
          <w:snapToGrid w:val="0"/>
          <w:color w:val="auto"/>
          <w:kern w:val="0"/>
          <w:sz w:val="24"/>
          <w:highlight w:val="none"/>
          <w:lang w:eastAsia="zh-CN"/>
        </w:rPr>
        <w:t>，</w:t>
      </w:r>
      <w:r>
        <w:rPr>
          <w:rFonts w:hint="default" w:ascii="Times New Roman" w:hAnsi="Times New Roman" w:eastAsia="宋体" w:cs="Times New Roman"/>
          <w:snapToGrid w:val="0"/>
          <w:color w:val="auto"/>
          <w:kern w:val="0"/>
          <w:sz w:val="24"/>
          <w:highlight w:val="none"/>
        </w:rPr>
        <w:t>出现频率18.1%。且春、夏、秋和冬四季的主导风向为SSE</w:t>
      </w:r>
      <w:r>
        <w:rPr>
          <w:rFonts w:hint="default" w:ascii="Times New Roman" w:hAnsi="Times New Roman" w:eastAsia="宋体" w:cs="Times New Roman"/>
          <w:snapToGrid w:val="0"/>
          <w:color w:val="auto"/>
          <w:kern w:val="0"/>
          <w:sz w:val="24"/>
          <w:highlight w:val="none"/>
          <w:lang w:eastAsia="zh-CN"/>
        </w:rPr>
        <w:t>，</w:t>
      </w:r>
      <w:r>
        <w:rPr>
          <w:rFonts w:hint="default" w:ascii="Times New Roman" w:hAnsi="Times New Roman" w:eastAsia="宋体" w:cs="Times New Roman"/>
          <w:snapToGrid w:val="0"/>
          <w:color w:val="auto"/>
          <w:kern w:val="0"/>
          <w:sz w:val="24"/>
          <w:highlight w:val="none"/>
        </w:rPr>
        <w:t>出现频率分别为17.7%、21.9%、20.1%和14.1%；全年静风频率也高达17.3%</w:t>
      </w:r>
      <w:r>
        <w:rPr>
          <w:rFonts w:hint="default" w:ascii="Times New Roman" w:hAnsi="Times New Roman" w:eastAsia="宋体" w:cs="Times New Roman"/>
          <w:color w:val="auto"/>
          <w:sz w:val="24"/>
          <w:highlight w:val="none"/>
        </w:rPr>
        <w:t>。</w:t>
      </w:r>
    </w:p>
    <w:p>
      <w:pPr>
        <w:pStyle w:val="4"/>
        <w:pageBreakBefore w:val="0"/>
        <w:numPr>
          <w:ilvl w:val="1"/>
          <w:numId w:val="0"/>
        </w:numPr>
        <w:wordWrap/>
        <w:bidi w:val="0"/>
        <w:ind w:left="0" w:leftChars="0" w:right="0" w:rightChars="0" w:firstLine="0" w:firstLineChars="0"/>
        <w:rPr>
          <w:rFonts w:hint="default" w:ascii="Times New Roman" w:hAnsi="Times New Roman" w:eastAsia="宋体" w:cs="Times New Roman"/>
          <w:b/>
          <w:bCs/>
          <w:i w:val="0"/>
          <w:color w:val="auto"/>
          <w:kern w:val="2"/>
          <w:sz w:val="28"/>
          <w:szCs w:val="28"/>
          <w:highlight w:val="none"/>
          <w:lang w:val="en-US" w:eastAsia="zh-CN" w:bidi="ar-SA"/>
        </w:rPr>
      </w:pPr>
      <w:bookmarkStart w:id="757" w:name="_Toc1554"/>
      <w:bookmarkStart w:id="758" w:name="_Toc16283"/>
      <w:bookmarkStart w:id="759" w:name="_Toc11746"/>
      <w:r>
        <w:rPr>
          <w:rFonts w:hint="default" w:ascii="Times New Roman" w:hAnsi="Times New Roman" w:eastAsia="宋体" w:cs="Times New Roman"/>
          <w:b/>
          <w:bCs/>
          <w:i w:val="0"/>
          <w:color w:val="auto"/>
          <w:kern w:val="2"/>
          <w:sz w:val="28"/>
          <w:szCs w:val="28"/>
          <w:highlight w:val="none"/>
          <w:lang w:val="en-US" w:eastAsia="zh-CN" w:bidi="ar-SA"/>
        </w:rPr>
        <w:t>4.4地表水系及河流</w:t>
      </w:r>
      <w:bookmarkEnd w:id="757"/>
      <w:bookmarkEnd w:id="758"/>
      <w:bookmarkEnd w:id="759"/>
    </w:p>
    <w:p>
      <w:pPr>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乌拉特前旗境内水道均</w:t>
      </w:r>
      <w:r>
        <w:rPr>
          <w:rFonts w:hint="default" w:ascii="Times New Roman" w:hAnsi="Times New Roman" w:eastAsia="宋体" w:cs="Times New Roman"/>
          <w:color w:val="auto"/>
          <w:sz w:val="24"/>
          <w:highlight w:val="none"/>
          <w:lang w:eastAsia="zh-CN"/>
        </w:rPr>
        <w:t>属</w:t>
      </w:r>
      <w:r>
        <w:rPr>
          <w:rFonts w:hint="default" w:ascii="Times New Roman" w:hAnsi="Times New Roman" w:eastAsia="宋体" w:cs="Times New Roman"/>
          <w:color w:val="auto"/>
          <w:sz w:val="24"/>
          <w:highlight w:val="none"/>
        </w:rPr>
        <w:t>黄河水系。黄河由西向东流经旗南部。季节性河流有乌松秃力河、苏海河、昆独仑河、摩楞河</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山洪沟104条</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黄河灌渠有总干渠、长济渠、塔布渠、三湖河、华惠渠、义和渠、通济渠、总排干沟、通长干沟、长塔干沟、塔南干沟、三湖一分、二分、三分、四分干沟、新安分干沟、通北分干沟</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河流总长度为1817.9km</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河网密度0.24km/km</w:t>
      </w:r>
      <w:r>
        <w:rPr>
          <w:rFonts w:hint="default" w:ascii="Times New Roman" w:hAnsi="Times New Roman" w:eastAsia="宋体" w:cs="Times New Roman"/>
          <w:color w:val="auto"/>
          <w:sz w:val="24"/>
          <w:highlight w:val="none"/>
          <w:vertAlign w:val="superscript"/>
        </w:rPr>
        <w:t>2</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年径流总量11639×10</w:t>
      </w:r>
      <w:r>
        <w:rPr>
          <w:rFonts w:hint="default" w:ascii="Times New Roman" w:hAnsi="Times New Roman" w:eastAsia="宋体" w:cs="Times New Roman"/>
          <w:color w:val="auto"/>
          <w:sz w:val="24"/>
          <w:highlight w:val="none"/>
          <w:vertAlign w:val="superscript"/>
        </w:rPr>
        <w:t>4</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保证率为50%左右。浅层地下水6.46×10</w:t>
      </w:r>
      <w:r>
        <w:rPr>
          <w:rFonts w:hint="default" w:ascii="Times New Roman" w:hAnsi="Times New Roman" w:eastAsia="宋体" w:cs="Times New Roman"/>
          <w:color w:val="auto"/>
          <w:sz w:val="24"/>
          <w:highlight w:val="none"/>
          <w:vertAlign w:val="superscript"/>
        </w:rPr>
        <w:t>4</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引黄河水量年平均为6×10</w:t>
      </w:r>
      <w:r>
        <w:rPr>
          <w:rFonts w:hint="default" w:ascii="Times New Roman" w:hAnsi="Times New Roman" w:eastAsia="宋体" w:cs="Times New Roman"/>
          <w:color w:val="auto"/>
          <w:sz w:val="24"/>
          <w:highlight w:val="none"/>
          <w:vertAlign w:val="superscript"/>
        </w:rPr>
        <w:t>4</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。在流域区</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110国道及包兰铁路以北</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地下水矿化度多为小于1g/L</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110国道及包兰铁路南</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地下水矿化度逐渐变高。</w:t>
      </w:r>
    </w:p>
    <w:p>
      <w:pPr>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总排干是河套灌区排水系统的主体工程</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是乌梁素海的主要补给源</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其前身是乌加河古道。1967年总排干沟开挖初步完成</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乌加河古道正式废除</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到1985年</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总排干沟配套工程全部完成</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确定由总排干主干段、乌梁素海、出口退水渠三部分组成</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全长260.38km。</w:t>
      </w:r>
    </w:p>
    <w:p>
      <w:pPr>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乌梁素海是内蒙古自治区黄河流域内最大的淡水湖泊</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地处内蒙古河套平原东端乌拉特前旗境内</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面积293km</w:t>
      </w:r>
      <w:r>
        <w:rPr>
          <w:rFonts w:hint="default" w:ascii="Times New Roman" w:hAnsi="Times New Roman" w:eastAsia="宋体" w:cs="Times New Roman"/>
          <w:color w:val="auto"/>
          <w:sz w:val="24"/>
          <w:highlight w:val="none"/>
          <w:vertAlign w:val="superscript"/>
        </w:rPr>
        <w:t>2</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是黄河流域最大、地球上同一纬度最大的自然湿地</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也是全球范围内半荒漠地区极为少见的高生态效益湿地</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在我国湿地、荒漠及动物物种三大系统保护中均居于重要地位。</w:t>
      </w:r>
    </w:p>
    <w:p>
      <w:pPr>
        <w:pStyle w:val="4"/>
        <w:pageBreakBefore w:val="0"/>
        <w:numPr>
          <w:ilvl w:val="1"/>
          <w:numId w:val="0"/>
        </w:numPr>
        <w:wordWrap/>
        <w:bidi w:val="0"/>
        <w:ind w:left="0" w:leftChars="0" w:right="0" w:rightChars="0" w:firstLine="0" w:firstLineChars="0"/>
        <w:rPr>
          <w:rFonts w:hint="default" w:ascii="Times New Roman" w:hAnsi="Times New Roman" w:eastAsia="宋体" w:cs="Times New Roman"/>
          <w:b/>
          <w:bCs/>
          <w:i w:val="0"/>
          <w:color w:val="auto"/>
          <w:kern w:val="2"/>
          <w:sz w:val="28"/>
          <w:szCs w:val="28"/>
          <w:highlight w:val="none"/>
          <w:lang w:val="en-US" w:eastAsia="zh-CN" w:bidi="ar-SA"/>
        </w:rPr>
      </w:pPr>
      <w:bookmarkStart w:id="760" w:name="_Toc5654"/>
      <w:bookmarkStart w:id="761" w:name="_Toc3160"/>
      <w:bookmarkStart w:id="762" w:name="_Toc3328"/>
      <w:r>
        <w:rPr>
          <w:rFonts w:hint="default" w:ascii="Times New Roman" w:hAnsi="Times New Roman" w:eastAsia="宋体" w:cs="Times New Roman"/>
          <w:b/>
          <w:bCs/>
          <w:i w:val="0"/>
          <w:color w:val="auto"/>
          <w:kern w:val="2"/>
          <w:sz w:val="28"/>
          <w:szCs w:val="28"/>
          <w:highlight w:val="none"/>
          <w:lang w:val="en-US" w:eastAsia="zh-CN" w:bidi="ar-SA"/>
        </w:rPr>
        <w:t>4.5水文地质</w:t>
      </w:r>
      <w:bookmarkEnd w:id="760"/>
      <w:bookmarkEnd w:id="761"/>
      <w:bookmarkEnd w:id="762"/>
    </w:p>
    <w:p>
      <w:pPr>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本区</w:t>
      </w:r>
      <w:r>
        <w:rPr>
          <w:rFonts w:hint="default" w:ascii="Times New Roman" w:hAnsi="Times New Roman" w:eastAsia="宋体" w:cs="Times New Roman"/>
          <w:color w:val="auto"/>
          <w:sz w:val="24"/>
          <w:highlight w:val="none"/>
          <w:lang w:eastAsia="zh-CN"/>
        </w:rPr>
        <w:t>属</w:t>
      </w:r>
      <w:r>
        <w:rPr>
          <w:rFonts w:hint="default" w:ascii="Times New Roman" w:hAnsi="Times New Roman" w:eastAsia="宋体" w:cs="Times New Roman"/>
          <w:color w:val="auto"/>
          <w:sz w:val="24"/>
          <w:highlight w:val="none"/>
        </w:rPr>
        <w:t>阴山山地水文地质区</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低山丘陵基岩裂隙水亚区</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阴山西部岩浆岩变质岩裂隙水较贫地段。区域南侧为乌拉山山脉</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大面积分布晚中太古界乌拉山岩群第三岩组（Ar2wl3</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黑云角闪斜长片麻岩</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含有风化裂隙水</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富水性较弱；乌拉山北麓冲洪积倾斜平原有厚度不稳定的第四系砂砾石孔隙潜水含水层分布</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富水性较好</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地下水的主要补给来源为大气降水和地下水的迳流补给</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降雨的补给强度大</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但补给时间短。本区年降雨量146.0-458.6mm</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历年平均为375.7mm</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多以暴雨形式集中在7、8月内出现</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日降雨量最大可达56.3mm。本区</w:t>
      </w:r>
      <w:r>
        <w:rPr>
          <w:rFonts w:hint="default" w:ascii="Times New Roman" w:hAnsi="Times New Roman" w:eastAsia="宋体" w:cs="Times New Roman"/>
          <w:color w:val="auto"/>
          <w:sz w:val="24"/>
          <w:highlight w:val="none"/>
          <w:lang w:eastAsia="zh-CN"/>
        </w:rPr>
        <w:t>属</w:t>
      </w:r>
      <w:r>
        <w:rPr>
          <w:rFonts w:hint="default" w:ascii="Times New Roman" w:hAnsi="Times New Roman" w:eastAsia="宋体" w:cs="Times New Roman"/>
          <w:color w:val="auto"/>
          <w:sz w:val="24"/>
          <w:highlight w:val="none"/>
        </w:rPr>
        <w:t>干旱区</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蒸发强度较大</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年最大蒸发量为2636.47mm</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而历年平均蒸发量为2100mm。因此</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蒸发排泄是本区地下水的主要排泄方式之一。另外</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地下水以径流的方式排泄于区外、人畜的饮用及工农业用水也是本区地下水的排泄方式之一。地下水总体流向为从南向北。</w:t>
      </w:r>
    </w:p>
    <w:p>
      <w:pPr>
        <w:pStyle w:val="4"/>
        <w:pageBreakBefore w:val="0"/>
        <w:numPr>
          <w:ilvl w:val="1"/>
          <w:numId w:val="0"/>
        </w:numPr>
        <w:wordWrap/>
        <w:bidi w:val="0"/>
        <w:ind w:left="0" w:leftChars="0" w:right="0" w:rightChars="0" w:firstLine="0" w:firstLineChars="0"/>
        <w:rPr>
          <w:rFonts w:hint="default" w:ascii="Times New Roman" w:hAnsi="Times New Roman" w:eastAsia="宋体" w:cs="Times New Roman"/>
          <w:b/>
          <w:bCs/>
          <w:i w:val="0"/>
          <w:color w:val="auto"/>
          <w:kern w:val="2"/>
          <w:sz w:val="28"/>
          <w:szCs w:val="28"/>
          <w:highlight w:val="none"/>
          <w:lang w:val="en-US" w:eastAsia="zh-CN" w:bidi="ar-SA"/>
        </w:rPr>
      </w:pPr>
      <w:bookmarkStart w:id="763" w:name="_Toc15684"/>
      <w:bookmarkStart w:id="764" w:name="_Toc5523"/>
      <w:bookmarkStart w:id="765" w:name="_Toc13541"/>
      <w:r>
        <w:rPr>
          <w:rFonts w:hint="default" w:ascii="Times New Roman" w:hAnsi="Times New Roman" w:eastAsia="宋体" w:cs="Times New Roman"/>
          <w:b/>
          <w:bCs/>
          <w:i w:val="0"/>
          <w:color w:val="auto"/>
          <w:kern w:val="2"/>
          <w:sz w:val="28"/>
          <w:szCs w:val="28"/>
          <w:highlight w:val="none"/>
          <w:lang w:val="en-US" w:eastAsia="zh-CN" w:bidi="ar-SA"/>
        </w:rPr>
        <w:t>4.6自然生态概况</w:t>
      </w:r>
      <w:bookmarkEnd w:id="763"/>
      <w:bookmarkEnd w:id="764"/>
      <w:bookmarkEnd w:id="765"/>
    </w:p>
    <w:p>
      <w:pPr>
        <w:pageBreakBefore w:val="0"/>
        <w:widowControl w:val="0"/>
        <w:kinsoku/>
        <w:wordWrap/>
        <w:overflowPunct/>
        <w:topLinePunct w:val="0"/>
        <w:autoSpaceDE/>
        <w:autoSpaceDN/>
        <w:bidi w:val="0"/>
        <w:spacing w:line="360" w:lineRule="auto"/>
        <w:ind w:left="0" w:leftChars="0" w:right="0" w:rightChars="0" w:firstLine="480" w:firstLineChars="200"/>
        <w:textAlignment w:val="auto"/>
        <w:outlineLvl w:val="0"/>
        <w:rPr>
          <w:rFonts w:hint="default" w:ascii="Times New Roman" w:hAnsi="Times New Roman" w:eastAsia="宋体" w:cs="Times New Roman"/>
          <w:color w:val="auto"/>
          <w:sz w:val="24"/>
          <w:highlight w:val="none"/>
        </w:rPr>
      </w:pPr>
      <w:bookmarkStart w:id="766" w:name="_Toc16381"/>
      <w:bookmarkStart w:id="767" w:name="_Toc13799"/>
      <w:r>
        <w:rPr>
          <w:rFonts w:hint="default" w:ascii="Times New Roman" w:hAnsi="Times New Roman" w:eastAsia="宋体" w:cs="Times New Roman"/>
          <w:color w:val="auto"/>
          <w:sz w:val="24"/>
          <w:highlight w:val="none"/>
        </w:rPr>
        <w:t>（1</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土壤</w:t>
      </w:r>
      <w:bookmarkEnd w:id="766"/>
      <w:bookmarkEnd w:id="767"/>
    </w:p>
    <w:p>
      <w:pPr>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乌拉特前旗总面积7476km</w:t>
      </w:r>
      <w:r>
        <w:rPr>
          <w:rFonts w:hint="default" w:ascii="Times New Roman" w:hAnsi="Times New Roman" w:eastAsia="宋体" w:cs="Times New Roman"/>
          <w:color w:val="auto"/>
          <w:sz w:val="24"/>
          <w:highlight w:val="none"/>
          <w:vertAlign w:val="superscript"/>
        </w:rPr>
        <w:t>2</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其中平原占三分之二</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山地和川地面积约三分之一。全旗农民人均耕地0.53hm</w:t>
      </w:r>
      <w:r>
        <w:rPr>
          <w:rFonts w:hint="default" w:ascii="Times New Roman" w:hAnsi="Times New Roman" w:eastAsia="宋体" w:cs="Times New Roman"/>
          <w:color w:val="auto"/>
          <w:sz w:val="24"/>
          <w:highlight w:val="none"/>
          <w:vertAlign w:val="superscript"/>
        </w:rPr>
        <w:t>2</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有种植草地1.67万hm</w:t>
      </w:r>
      <w:r>
        <w:rPr>
          <w:rFonts w:hint="default" w:ascii="Times New Roman" w:hAnsi="Times New Roman" w:eastAsia="宋体" w:cs="Times New Roman"/>
          <w:color w:val="auto"/>
          <w:sz w:val="24"/>
          <w:highlight w:val="none"/>
          <w:vertAlign w:val="superscript"/>
        </w:rPr>
        <w:t>2</w:t>
      </w:r>
      <w:r>
        <w:rPr>
          <w:rFonts w:hint="default" w:ascii="Times New Roman" w:hAnsi="Times New Roman" w:eastAsia="宋体" w:cs="Times New Roman"/>
          <w:color w:val="auto"/>
          <w:sz w:val="24"/>
          <w:highlight w:val="none"/>
        </w:rPr>
        <w:t>。用于工、农业发展的土地资源丰富。</w:t>
      </w:r>
    </w:p>
    <w:p>
      <w:pPr>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根据土壤普查</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乌拉特前旗境内土壤共有6个土类</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18个亚类</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49个土</w:t>
      </w:r>
      <w:r>
        <w:rPr>
          <w:rFonts w:hint="default" w:ascii="Times New Roman" w:hAnsi="Times New Roman" w:eastAsia="宋体" w:cs="Times New Roman"/>
          <w:color w:val="auto"/>
          <w:sz w:val="24"/>
          <w:highlight w:val="none"/>
          <w:lang w:eastAsia="zh-CN"/>
        </w:rPr>
        <w:t>属，</w:t>
      </w:r>
      <w:r>
        <w:rPr>
          <w:rFonts w:hint="default" w:ascii="Times New Roman" w:hAnsi="Times New Roman" w:eastAsia="宋体" w:cs="Times New Roman"/>
          <w:color w:val="auto"/>
          <w:sz w:val="24"/>
          <w:highlight w:val="none"/>
        </w:rPr>
        <w:t>395个土种。分别为灌淤土、草甸土、盐土、风沙土、栗钙土和灰褐土。乌拉特前旗境内土壤盐渍化比较严重</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并有逐年发展的趋势</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与地下水位及矿化度相关。</w:t>
      </w:r>
    </w:p>
    <w:p>
      <w:pPr>
        <w:pageBreakBefore w:val="0"/>
        <w:widowControl w:val="0"/>
        <w:kinsoku/>
        <w:wordWrap/>
        <w:overflowPunct/>
        <w:topLinePunct w:val="0"/>
        <w:autoSpaceDE/>
        <w:autoSpaceDN/>
        <w:bidi w:val="0"/>
        <w:spacing w:line="360" w:lineRule="auto"/>
        <w:ind w:left="0" w:leftChars="0" w:right="0" w:rightChars="0" w:firstLine="480" w:firstLineChars="200"/>
        <w:textAlignment w:val="auto"/>
        <w:outlineLvl w:val="0"/>
        <w:rPr>
          <w:rFonts w:hint="default" w:ascii="Times New Roman" w:hAnsi="Times New Roman" w:eastAsia="宋体" w:cs="Times New Roman"/>
          <w:color w:val="auto"/>
          <w:sz w:val="24"/>
          <w:highlight w:val="none"/>
        </w:rPr>
      </w:pPr>
      <w:bookmarkStart w:id="768" w:name="_Toc4767"/>
      <w:bookmarkStart w:id="769" w:name="_Toc3586"/>
      <w:r>
        <w:rPr>
          <w:rFonts w:hint="default" w:ascii="Times New Roman" w:hAnsi="Times New Roman" w:eastAsia="宋体" w:cs="Times New Roman"/>
          <w:color w:val="auto"/>
          <w:sz w:val="24"/>
          <w:highlight w:val="none"/>
        </w:rPr>
        <w:t>（2</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植被</w:t>
      </w:r>
      <w:bookmarkEnd w:id="768"/>
      <w:bookmarkEnd w:id="769"/>
    </w:p>
    <w:p>
      <w:pPr>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乌拉特前旗因地形地貌复杂</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土壤类型多样</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小气候差异明显</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导致植物群落分布有显著的地带性和区域性。</w:t>
      </w:r>
    </w:p>
    <w:p>
      <w:pPr>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垂直分布</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乌拉山系旱生森林型植被</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在古代有茂密的原始森林</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近代已为天然次生植被所代替</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海拔1700m以上</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以山杨、白桦、油松、侧柏等乔木为主</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植被覆盖度为</w:t>
      </w:r>
      <w:r>
        <w:rPr>
          <w:rFonts w:hint="default" w:ascii="Times New Roman" w:hAnsi="Times New Roman" w:eastAsia="宋体" w:cs="Times New Roman"/>
          <w:color w:val="auto"/>
          <w:sz w:val="24"/>
          <w:highlight w:val="none"/>
          <w:lang w:eastAsia="zh-CN"/>
        </w:rPr>
        <w:t>70%-85%，</w:t>
      </w:r>
      <w:r>
        <w:rPr>
          <w:rFonts w:hint="default" w:ascii="Times New Roman" w:hAnsi="Times New Roman" w:eastAsia="宋体" w:cs="Times New Roman"/>
          <w:color w:val="auto"/>
          <w:sz w:val="24"/>
          <w:highlight w:val="none"/>
        </w:rPr>
        <w:t>海拔1700m以下</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以灌木与草本植物为主</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植被盖度为</w:t>
      </w:r>
      <w:r>
        <w:rPr>
          <w:rFonts w:hint="default" w:ascii="Times New Roman" w:hAnsi="Times New Roman" w:eastAsia="宋体" w:cs="Times New Roman"/>
          <w:color w:val="auto"/>
          <w:sz w:val="24"/>
          <w:highlight w:val="none"/>
          <w:lang w:eastAsia="zh-CN"/>
        </w:rPr>
        <w:t>50%-70%，</w:t>
      </w:r>
      <w:r>
        <w:rPr>
          <w:rFonts w:hint="default" w:ascii="Times New Roman" w:hAnsi="Times New Roman" w:eastAsia="宋体" w:cs="Times New Roman"/>
          <w:color w:val="auto"/>
          <w:sz w:val="24"/>
          <w:highlight w:val="none"/>
        </w:rPr>
        <w:t>海拔1200-1400m的洪积扇地带</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主要植被为草本植物和灌木群落</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在山脚边或沟谷出口处有山榆、酸枣等乔木伴生</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植被盖度为</w:t>
      </w:r>
      <w:r>
        <w:rPr>
          <w:rFonts w:hint="default" w:ascii="Times New Roman" w:hAnsi="Times New Roman" w:eastAsia="宋体" w:cs="Times New Roman"/>
          <w:color w:val="auto"/>
          <w:sz w:val="24"/>
          <w:highlight w:val="none"/>
          <w:lang w:eastAsia="zh-CN"/>
        </w:rPr>
        <w:t>35%-90%</w:t>
      </w:r>
      <w:r>
        <w:rPr>
          <w:rFonts w:hint="default" w:ascii="Times New Roman" w:hAnsi="Times New Roman" w:eastAsia="宋体" w:cs="Times New Roman"/>
          <w:color w:val="auto"/>
          <w:sz w:val="24"/>
          <w:highlight w:val="none"/>
        </w:rPr>
        <w:t>。</w:t>
      </w:r>
    </w:p>
    <w:p>
      <w:pPr>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色尔腾山区</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在古代也有原始森林植被</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在干旱寒冷的气候条件影响下</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目前已变为植被稀疏的水土流失区</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仅在查石太山的深山区有小面积藻木疏林和草丛互生。</w:t>
      </w:r>
    </w:p>
    <w:p>
      <w:pPr>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地域分布</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后山干旱地区</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由东向西</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雨量递减</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植物群落有明显的方向性</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生有干旱、半干旱草原植被。草群覆盖度</w:t>
      </w:r>
      <w:r>
        <w:rPr>
          <w:rFonts w:hint="default" w:ascii="Times New Roman" w:hAnsi="Times New Roman" w:eastAsia="宋体" w:cs="Times New Roman"/>
          <w:color w:val="auto"/>
          <w:sz w:val="24"/>
          <w:highlight w:val="none"/>
          <w:lang w:eastAsia="zh-CN"/>
        </w:rPr>
        <w:t>30%-70%，</w:t>
      </w:r>
      <w:r>
        <w:rPr>
          <w:rFonts w:hint="default" w:ascii="Times New Roman" w:hAnsi="Times New Roman" w:eastAsia="宋体" w:cs="Times New Roman"/>
          <w:color w:val="auto"/>
          <w:sz w:val="24"/>
          <w:highlight w:val="none"/>
        </w:rPr>
        <w:t>有灌溉条件的灌淤土区</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为农作物的多种杂草所覆盖。</w:t>
      </w:r>
    </w:p>
    <w:p>
      <w:pPr>
        <w:pageBreakBefore w:val="0"/>
        <w:widowControl w:val="0"/>
        <w:kinsoku/>
        <w:wordWrap/>
        <w:overflowPunct/>
        <w:topLinePunct w:val="0"/>
        <w:autoSpaceDE/>
        <w:autoSpaceDN/>
        <w:bidi w:val="0"/>
        <w:spacing w:line="360" w:lineRule="auto"/>
        <w:ind w:left="0" w:leftChars="0" w:right="0" w:rightChars="0" w:firstLine="480" w:firstLineChars="200"/>
        <w:textAlignment w:val="auto"/>
        <w:outlineLvl w:val="0"/>
        <w:rPr>
          <w:rFonts w:hint="default" w:ascii="Times New Roman" w:hAnsi="Times New Roman" w:eastAsia="宋体" w:cs="Times New Roman"/>
          <w:color w:val="auto"/>
          <w:sz w:val="24"/>
          <w:highlight w:val="none"/>
        </w:rPr>
      </w:pPr>
      <w:bookmarkStart w:id="770" w:name="_Toc30862"/>
      <w:bookmarkStart w:id="771" w:name="_Toc25790"/>
      <w:r>
        <w:rPr>
          <w:rFonts w:hint="default" w:ascii="Times New Roman" w:hAnsi="Times New Roman" w:eastAsia="宋体" w:cs="Times New Roman"/>
          <w:color w:val="auto"/>
          <w:sz w:val="24"/>
          <w:highlight w:val="none"/>
        </w:rPr>
        <w:t>（3</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野生动物</w:t>
      </w:r>
      <w:bookmarkEnd w:id="770"/>
      <w:bookmarkEnd w:id="771"/>
    </w:p>
    <w:p>
      <w:pPr>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因自然环境变化</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境内野生动物种类数量变化很大。通过现场调查、走访当地群众以及收集已有资料</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统计出评价区常见的野生动物。其中</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哺乳动物主要有</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蒙古兔、跳鼠；鸟类有野鸭、布谷鸟、家燕、喜鹊、乌鸦、石鸡、雉鸡、麻雀等</w:t>
      </w:r>
      <w:r>
        <w:rPr>
          <w:rFonts w:hint="default" w:ascii="Times New Roman" w:hAnsi="Times New Roman" w:eastAsia="宋体" w:cs="Times New Roman"/>
          <w:color w:val="auto"/>
          <w:sz w:val="24"/>
          <w:highlight w:val="none"/>
          <w:lang w:eastAsia="zh-CN"/>
        </w:rPr>
        <w:t>。</w:t>
      </w:r>
    </w:p>
    <w:p>
      <w:pPr>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highlight w:val="none"/>
          <w:lang w:eastAsia="zh-CN"/>
        </w:rPr>
      </w:pPr>
    </w:p>
    <w:p>
      <w:pPr>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highlight w:val="none"/>
          <w:lang w:eastAsia="zh-CN"/>
        </w:rPr>
      </w:pPr>
    </w:p>
    <w:p>
      <w:pPr>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highlight w:val="none"/>
        </w:rPr>
      </w:pP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sectPr>
          <w:pgSz w:w="11906" w:h="16838"/>
          <w:pgMar w:top="1440" w:right="1800" w:bottom="1440" w:left="1800" w:header="851" w:footer="992" w:gutter="0"/>
          <w:pgNumType w:fmt="decimal"/>
          <w:cols w:space="720" w:num="1"/>
          <w:docGrid w:type="lines" w:linePitch="312" w:charSpace="0"/>
        </w:sectPr>
      </w:pPr>
    </w:p>
    <w:bookmarkEnd w:id="745"/>
    <w:bookmarkEnd w:id="746"/>
    <w:bookmarkEnd w:id="747"/>
    <w:bookmarkEnd w:id="748"/>
    <w:bookmarkEnd w:id="749"/>
    <w:bookmarkEnd w:id="750"/>
    <w:bookmarkEnd w:id="751"/>
    <w:p>
      <w:pPr>
        <w:pStyle w:val="3"/>
        <w:pageBreakBefore w:val="0"/>
        <w:numPr>
          <w:ilvl w:val="0"/>
          <w:numId w:val="0"/>
        </w:numPr>
        <w:wordWrap/>
        <w:bidi w:val="0"/>
        <w:ind w:left="0" w:leftChars="0" w:right="0" w:rightChars="0" w:firstLine="0" w:firstLineChars="0"/>
        <w:outlineLvl w:val="1"/>
        <w:rPr>
          <w:rFonts w:hint="default" w:ascii="Times New Roman" w:hAnsi="Times New Roman" w:eastAsia="宋体" w:cs="Times New Roman"/>
          <w:b/>
          <w:bCs/>
          <w:color w:val="auto"/>
          <w:sz w:val="32"/>
          <w:szCs w:val="32"/>
          <w:highlight w:val="none"/>
        </w:rPr>
      </w:pPr>
      <w:bookmarkStart w:id="772" w:name="_Toc194733317"/>
      <w:bookmarkStart w:id="773" w:name="_Toc29424"/>
      <w:bookmarkStart w:id="774" w:name="_Toc187829088"/>
      <w:bookmarkStart w:id="775" w:name="_Toc288306218"/>
      <w:bookmarkStart w:id="776" w:name="_Toc260567922"/>
      <w:bookmarkStart w:id="777" w:name="_Toc18109"/>
      <w:r>
        <w:rPr>
          <w:rFonts w:hint="default" w:ascii="Times New Roman" w:hAnsi="Times New Roman" w:eastAsia="宋体" w:cs="Times New Roman"/>
          <w:b/>
          <w:bCs/>
          <w:i w:val="0"/>
          <w:color w:val="auto"/>
          <w:kern w:val="44"/>
          <w:sz w:val="30"/>
          <w:szCs w:val="30"/>
          <w:highlight w:val="none"/>
          <w:lang w:val="en-US" w:eastAsia="zh-CN" w:bidi="ar-SA"/>
        </w:rPr>
        <w:t>5</w:t>
      </w:r>
      <w:r>
        <w:rPr>
          <w:rFonts w:hint="default" w:ascii="Times New Roman" w:hAnsi="Times New Roman" w:eastAsia="宋体" w:cs="Times New Roman"/>
          <w:b/>
          <w:bCs/>
          <w:color w:val="auto"/>
          <w:sz w:val="32"/>
          <w:szCs w:val="32"/>
          <w:highlight w:val="none"/>
        </w:rPr>
        <w:t>环境质量现状</w:t>
      </w:r>
      <w:bookmarkEnd w:id="772"/>
      <w:bookmarkEnd w:id="773"/>
      <w:bookmarkEnd w:id="774"/>
      <w:bookmarkEnd w:id="775"/>
      <w:bookmarkEnd w:id="776"/>
      <w:bookmarkEnd w:id="777"/>
    </w:p>
    <w:p>
      <w:pPr>
        <w:pStyle w:val="4"/>
        <w:pageBreakBefore w:val="0"/>
        <w:numPr>
          <w:ilvl w:val="1"/>
          <w:numId w:val="0"/>
        </w:numPr>
        <w:wordWrap/>
        <w:bidi w:val="0"/>
        <w:ind w:left="0" w:leftChars="0" w:right="0" w:rightChars="0" w:firstLine="0" w:firstLineChars="0"/>
        <w:outlineLvl w:val="2"/>
        <w:rPr>
          <w:rFonts w:hint="default" w:ascii="Times New Roman" w:hAnsi="Times New Roman" w:eastAsia="宋体" w:cs="Times New Roman"/>
          <w:b/>
          <w:bCs/>
          <w:color w:val="auto"/>
          <w:highlight w:val="none"/>
        </w:rPr>
      </w:pPr>
      <w:bookmarkStart w:id="778" w:name="_Toc260567923"/>
      <w:bookmarkStart w:id="779" w:name="_Toc187829089"/>
      <w:bookmarkStart w:id="780" w:name="_Toc288306219"/>
      <w:bookmarkStart w:id="781" w:name="_Toc194733318"/>
      <w:bookmarkStart w:id="782" w:name="_Toc24374"/>
      <w:bookmarkStart w:id="783" w:name="_Toc28204"/>
      <w:r>
        <w:rPr>
          <w:rFonts w:hint="default" w:ascii="Times New Roman" w:hAnsi="Times New Roman" w:eastAsia="宋体" w:cs="Times New Roman"/>
          <w:b/>
          <w:bCs/>
          <w:i w:val="0"/>
          <w:color w:val="auto"/>
          <w:kern w:val="2"/>
          <w:sz w:val="28"/>
          <w:szCs w:val="28"/>
          <w:highlight w:val="none"/>
          <w:lang w:val="en-US" w:eastAsia="zh-CN" w:bidi="ar-SA"/>
        </w:rPr>
        <w:t>5.1</w:t>
      </w:r>
      <w:r>
        <w:rPr>
          <w:rFonts w:hint="default" w:ascii="Times New Roman" w:hAnsi="Times New Roman" w:eastAsia="宋体" w:cs="Times New Roman"/>
          <w:b/>
          <w:bCs/>
          <w:color w:val="auto"/>
          <w:highlight w:val="none"/>
        </w:rPr>
        <w:t>大气环境质量现状</w:t>
      </w:r>
      <w:bookmarkEnd w:id="778"/>
      <w:bookmarkEnd w:id="779"/>
      <w:bookmarkEnd w:id="780"/>
      <w:bookmarkEnd w:id="781"/>
      <w:r>
        <w:rPr>
          <w:rFonts w:hint="default" w:ascii="Times New Roman" w:hAnsi="Times New Roman" w:eastAsia="宋体" w:cs="Times New Roman"/>
          <w:b/>
          <w:bCs/>
          <w:color w:val="auto"/>
          <w:highlight w:val="none"/>
        </w:rPr>
        <w:t>监测与评价</w:t>
      </w:r>
      <w:bookmarkEnd w:id="782"/>
      <w:bookmarkEnd w:id="783"/>
    </w:p>
    <w:p>
      <w:pPr>
        <w:pageBreakBefore w:val="0"/>
        <w:wordWrap/>
        <w:bidi w:val="0"/>
        <w:adjustRightInd w:val="0"/>
        <w:snapToGrid w:val="0"/>
        <w:spacing w:line="360" w:lineRule="auto"/>
        <w:ind w:left="0" w:leftChars="0" w:right="0" w:rightChars="0" w:firstLine="480" w:firstLineChars="200"/>
        <w:outlineLvl w:val="0"/>
        <w:rPr>
          <w:rFonts w:hint="default" w:ascii="Times New Roman" w:hAnsi="Times New Roman" w:eastAsia="宋体" w:cs="Times New Roman"/>
          <w:color w:val="auto"/>
          <w:sz w:val="24"/>
          <w:highlight w:val="none"/>
        </w:rPr>
      </w:pPr>
      <w:bookmarkStart w:id="784" w:name="_Toc27100"/>
      <w:bookmarkStart w:id="785" w:name="_Toc12414"/>
      <w:r>
        <w:rPr>
          <w:rFonts w:hint="default" w:ascii="Times New Roman" w:hAnsi="Times New Roman" w:eastAsia="宋体" w:cs="Times New Roman"/>
          <w:color w:val="auto"/>
          <w:sz w:val="24"/>
          <w:highlight w:val="none"/>
        </w:rPr>
        <w:t>（1</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区域达标情况及基本污染物环境质量现状</w:t>
      </w:r>
      <w:bookmarkEnd w:id="784"/>
      <w:bookmarkEnd w:id="785"/>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w:t>
      </w:r>
      <w:r>
        <w:rPr>
          <w:rFonts w:hint="default" w:ascii="Times New Roman" w:hAnsi="Times New Roman" w:eastAsia="宋体" w:cs="Times New Roman"/>
          <w:color w:val="auto"/>
          <w:sz w:val="24"/>
          <w:highlight w:val="none"/>
          <w:lang w:eastAsia="zh-CN"/>
        </w:rPr>
        <w:t>环境影响评价技术导则</w:t>
      </w:r>
      <w:r>
        <w:rPr>
          <w:rFonts w:hint="default" w:ascii="Times New Roman" w:hAnsi="Times New Roman" w:eastAsia="宋体" w:cs="Times New Roman"/>
          <w:color w:val="auto"/>
          <w:sz w:val="24"/>
          <w:highlight w:val="none"/>
        </w:rPr>
        <w:t>大气环境》（HJ2.2-2018</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项目所在区域达标判定</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优先采用国家或地方生态环境主管部门公开发布的评价基准年环境质量公告或环境质量报告中的数据或结论。其中评价基准年为近3年中数据相对完整的1个日历年作为评价基准年。</w:t>
      </w:r>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根据《</w:t>
      </w:r>
      <w:r>
        <w:rPr>
          <w:rFonts w:hint="default" w:ascii="Times New Roman" w:hAnsi="Times New Roman" w:eastAsia="宋体" w:cs="Times New Roman"/>
          <w:color w:val="auto"/>
          <w:sz w:val="24"/>
          <w:highlight w:val="none"/>
          <w:lang w:eastAsia="zh-CN"/>
        </w:rPr>
        <w:t>环境影响评价技术导则</w:t>
      </w:r>
      <w:r>
        <w:rPr>
          <w:rFonts w:hint="default" w:ascii="Times New Roman" w:hAnsi="Times New Roman" w:eastAsia="宋体" w:cs="Times New Roman"/>
          <w:color w:val="auto"/>
          <w:sz w:val="24"/>
          <w:highlight w:val="none"/>
        </w:rPr>
        <w:t>大气环境》（HJ2.2-2018</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中6.4.1.1中的内容“城市环境空气质量达标评价指标为SO</w:t>
      </w:r>
      <w:r>
        <w:rPr>
          <w:rFonts w:hint="default" w:ascii="Times New Roman" w:hAnsi="Times New Roman" w:eastAsia="宋体" w:cs="Times New Roman"/>
          <w:color w:val="auto"/>
          <w:sz w:val="24"/>
          <w:highlight w:val="none"/>
          <w:vertAlign w:val="subscript"/>
        </w:rPr>
        <w:t>2</w:t>
      </w:r>
      <w:r>
        <w:rPr>
          <w:rFonts w:hint="default" w:ascii="Times New Roman" w:hAnsi="Times New Roman" w:eastAsia="宋体" w:cs="Times New Roman"/>
          <w:color w:val="auto"/>
          <w:sz w:val="24"/>
          <w:highlight w:val="none"/>
        </w:rPr>
        <w:t>、NO</w:t>
      </w:r>
      <w:r>
        <w:rPr>
          <w:rFonts w:hint="default" w:ascii="Times New Roman" w:hAnsi="Times New Roman" w:eastAsia="宋体" w:cs="Times New Roman"/>
          <w:color w:val="auto"/>
          <w:sz w:val="24"/>
          <w:highlight w:val="none"/>
          <w:vertAlign w:val="subscript"/>
        </w:rPr>
        <w:t>2</w:t>
      </w:r>
      <w:r>
        <w:rPr>
          <w:rFonts w:hint="default" w:ascii="Times New Roman" w:hAnsi="Times New Roman" w:eastAsia="宋体" w:cs="Times New Roman"/>
          <w:color w:val="auto"/>
          <w:sz w:val="24"/>
          <w:highlight w:val="none"/>
        </w:rPr>
        <w:t>、PM</w:t>
      </w:r>
      <w:r>
        <w:rPr>
          <w:rFonts w:hint="default" w:ascii="Times New Roman" w:hAnsi="Times New Roman" w:eastAsia="宋体" w:cs="Times New Roman"/>
          <w:color w:val="auto"/>
          <w:sz w:val="24"/>
          <w:highlight w:val="none"/>
          <w:vertAlign w:val="subscript"/>
        </w:rPr>
        <w:t>10</w:t>
      </w:r>
      <w:r>
        <w:rPr>
          <w:rFonts w:hint="default" w:ascii="Times New Roman" w:hAnsi="Times New Roman" w:eastAsia="宋体" w:cs="Times New Roman"/>
          <w:color w:val="auto"/>
          <w:sz w:val="24"/>
          <w:highlight w:val="none"/>
        </w:rPr>
        <w:t>、PM</w:t>
      </w:r>
      <w:r>
        <w:rPr>
          <w:rFonts w:hint="default" w:ascii="Times New Roman" w:hAnsi="Times New Roman" w:eastAsia="宋体" w:cs="Times New Roman"/>
          <w:color w:val="auto"/>
          <w:sz w:val="24"/>
          <w:highlight w:val="none"/>
          <w:vertAlign w:val="subscript"/>
        </w:rPr>
        <w:t>2.5</w:t>
      </w:r>
      <w:r>
        <w:rPr>
          <w:rFonts w:hint="default" w:ascii="Times New Roman" w:hAnsi="Times New Roman" w:eastAsia="宋体" w:cs="Times New Roman"/>
          <w:color w:val="auto"/>
          <w:sz w:val="24"/>
          <w:highlight w:val="none"/>
        </w:rPr>
        <w:t>、CO、O</w:t>
      </w:r>
      <w:r>
        <w:rPr>
          <w:rFonts w:hint="default" w:ascii="Times New Roman" w:hAnsi="Times New Roman" w:eastAsia="宋体" w:cs="Times New Roman"/>
          <w:color w:val="auto"/>
          <w:sz w:val="24"/>
          <w:highlight w:val="none"/>
          <w:vertAlign w:val="subscript"/>
        </w:rPr>
        <w:t>3</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六项污染物全部达标即为城市环境空气质量达标”。本项目设定的评价基准年为202</w:t>
      </w:r>
      <w:r>
        <w:rPr>
          <w:rFonts w:hint="default" w:ascii="Times New Roman" w:hAnsi="Times New Roman" w:eastAsia="宋体" w:cs="Times New Roman"/>
          <w:color w:val="auto"/>
          <w:sz w:val="24"/>
          <w:highlight w:val="none"/>
          <w:lang w:val="en-US" w:eastAsia="zh-CN"/>
        </w:rPr>
        <w:t>2</w:t>
      </w:r>
      <w:r>
        <w:rPr>
          <w:rFonts w:hint="default" w:ascii="Times New Roman" w:hAnsi="Times New Roman" w:eastAsia="宋体" w:cs="Times New Roman"/>
          <w:color w:val="auto"/>
          <w:sz w:val="24"/>
          <w:highlight w:val="none"/>
        </w:rPr>
        <w:t>年</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根据《</w:t>
      </w:r>
      <w:r>
        <w:rPr>
          <w:rFonts w:hint="default" w:ascii="Times New Roman" w:hAnsi="Times New Roman" w:eastAsia="宋体" w:cs="Times New Roman"/>
          <w:color w:val="auto"/>
          <w:sz w:val="24"/>
          <w:szCs w:val="32"/>
          <w:highlight w:val="none"/>
        </w:rPr>
        <w:t>巴彦淖尔市环境质量状况公报（202</w:t>
      </w:r>
      <w:r>
        <w:rPr>
          <w:rFonts w:hint="default" w:ascii="Times New Roman" w:hAnsi="Times New Roman" w:eastAsia="宋体" w:cs="Times New Roman"/>
          <w:color w:val="auto"/>
          <w:sz w:val="24"/>
          <w:szCs w:val="32"/>
          <w:highlight w:val="none"/>
          <w:lang w:val="en-US" w:eastAsia="zh-CN"/>
        </w:rPr>
        <w:t>2</w:t>
      </w:r>
      <w:r>
        <w:rPr>
          <w:rFonts w:hint="default" w:ascii="Times New Roman" w:hAnsi="Times New Roman" w:eastAsia="宋体" w:cs="Times New Roman"/>
          <w:color w:val="auto"/>
          <w:sz w:val="24"/>
          <w:szCs w:val="32"/>
          <w:highlight w:val="none"/>
        </w:rPr>
        <w:t>年</w:t>
      </w:r>
      <w:r>
        <w:rPr>
          <w:rFonts w:hint="default"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highlight w:val="none"/>
        </w:rPr>
        <w:t>》数据</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202</w:t>
      </w:r>
      <w:r>
        <w:rPr>
          <w:rFonts w:hint="default" w:ascii="Times New Roman" w:hAnsi="Times New Roman" w:eastAsia="宋体" w:cs="Times New Roman"/>
          <w:color w:val="auto"/>
          <w:sz w:val="24"/>
          <w:highlight w:val="none"/>
          <w:lang w:val="en-US" w:eastAsia="zh-CN"/>
        </w:rPr>
        <w:t>2</w:t>
      </w:r>
      <w:r>
        <w:rPr>
          <w:rFonts w:hint="default" w:ascii="Times New Roman" w:hAnsi="Times New Roman" w:eastAsia="宋体" w:cs="Times New Roman"/>
          <w:color w:val="auto"/>
          <w:sz w:val="24"/>
          <w:highlight w:val="none"/>
        </w:rPr>
        <w:t>年乌拉特前旗环境空气质量现状数据如下表5-1所示</w:t>
      </w:r>
      <w:r>
        <w:rPr>
          <w:rFonts w:hint="default" w:ascii="Times New Roman" w:hAnsi="Times New Roman" w:eastAsia="宋体" w:cs="Times New Roman"/>
          <w:color w:val="auto"/>
          <w:sz w:val="24"/>
          <w:highlight w:val="none"/>
          <w:lang w:eastAsia="zh-CN"/>
        </w:rPr>
        <w:t>：</w:t>
      </w:r>
    </w:p>
    <w:p>
      <w:pPr>
        <w:pageBreakBefore w:val="0"/>
        <w:wordWrap/>
        <w:autoSpaceDE w:val="0"/>
        <w:autoSpaceDN w:val="0"/>
        <w:bidi w:val="0"/>
        <w:spacing w:line="360" w:lineRule="auto"/>
        <w:ind w:left="0" w:leftChars="0" w:right="0" w:rightChars="0"/>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表5-1基本污染物环境质量一览表</w:t>
      </w:r>
    </w:p>
    <w:tbl>
      <w:tblPr>
        <w:tblStyle w:val="54"/>
        <w:tblW w:w="500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27"/>
        <w:gridCol w:w="2714"/>
        <w:gridCol w:w="1057"/>
        <w:gridCol w:w="1233"/>
        <w:gridCol w:w="790"/>
        <w:gridCol w:w="80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26" w:type="dxa"/>
            <w:tcBorders>
              <w:top w:val="single" w:color="auto" w:sz="4" w:space="0"/>
              <w:left w:val="single" w:color="auto" w:sz="4" w:space="0"/>
            </w:tcBorders>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评价因子</w:t>
            </w:r>
          </w:p>
        </w:tc>
        <w:tc>
          <w:tcPr>
            <w:tcW w:w="2713" w:type="dxa"/>
            <w:tcBorders>
              <w:top w:val="single" w:color="auto" w:sz="4" w:space="0"/>
            </w:tcBorders>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平均时段</w:t>
            </w:r>
          </w:p>
        </w:tc>
        <w:tc>
          <w:tcPr>
            <w:tcW w:w="1057" w:type="dxa"/>
            <w:tcBorders>
              <w:top w:val="single" w:color="auto" w:sz="4" w:space="0"/>
            </w:tcBorders>
            <w:tcMar>
              <w:left w:w="0" w:type="dxa"/>
              <w:right w:w="0" w:type="dxa"/>
            </w:tcMar>
            <w:vAlign w:val="center"/>
          </w:tcPr>
          <w:p>
            <w:pPr>
              <w:pageBreakBefore w:val="0"/>
              <w:wordWrap/>
              <w:bidi w:val="0"/>
              <w:snapToGrid w:val="0"/>
              <w:spacing w:line="240" w:lineRule="auto"/>
              <w:ind w:left="0" w:leftChars="0" w:right="0" w:rightChars="0"/>
              <w:jc w:val="center"/>
              <w:rPr>
                <w:rFonts w:hint="default" w:ascii="Times New Roman" w:hAnsi="Times New Roman" w:eastAsia="宋体" w:cs="Times New Roman"/>
                <w:b/>
                <w:color w:val="auto"/>
                <w:szCs w:val="21"/>
                <w:highlight w:val="none"/>
                <w:lang w:eastAsia="zh-CN"/>
              </w:rPr>
            </w:pPr>
            <w:r>
              <w:rPr>
                <w:rFonts w:hint="default" w:ascii="Times New Roman" w:hAnsi="Times New Roman" w:eastAsia="宋体" w:cs="Times New Roman"/>
                <w:b/>
                <w:color w:val="auto"/>
                <w:szCs w:val="21"/>
                <w:highlight w:val="none"/>
              </w:rPr>
              <w:t>现状浓度（</w:t>
            </w:r>
            <w:r>
              <w:rPr>
                <w:rFonts w:hint="default" w:ascii="Times New Roman" w:hAnsi="Times New Roman" w:eastAsia="宋体" w:cs="Times New Roman"/>
                <w:b/>
                <w:color w:val="auto"/>
                <w:szCs w:val="21"/>
                <w:highlight w:val="none"/>
                <w:lang w:eastAsia="zh-CN"/>
              </w:rPr>
              <w:t>μg/m</w:t>
            </w:r>
            <w:r>
              <w:rPr>
                <w:rFonts w:hint="default" w:ascii="Times New Roman" w:hAnsi="Times New Roman" w:eastAsia="宋体" w:cs="Times New Roman"/>
                <w:b/>
                <w:color w:val="auto"/>
                <w:szCs w:val="21"/>
                <w:highlight w:val="none"/>
                <w:vertAlign w:val="superscript"/>
                <w:lang w:eastAsia="zh-CN"/>
              </w:rPr>
              <w:t>3</w:t>
            </w:r>
            <w:r>
              <w:rPr>
                <w:rFonts w:hint="default" w:ascii="Times New Roman" w:hAnsi="Times New Roman" w:eastAsia="宋体" w:cs="Times New Roman"/>
                <w:b/>
                <w:color w:val="auto"/>
                <w:szCs w:val="21"/>
                <w:highlight w:val="none"/>
                <w:lang w:val="sq-AL" w:eastAsia="zh-CN"/>
              </w:rPr>
              <w:t>）</w:t>
            </w:r>
          </w:p>
        </w:tc>
        <w:tc>
          <w:tcPr>
            <w:tcW w:w="1233" w:type="dxa"/>
            <w:tcBorders>
              <w:top w:val="single" w:color="auto" w:sz="4" w:space="0"/>
            </w:tcBorders>
            <w:tcMar>
              <w:left w:w="0" w:type="dxa"/>
              <w:right w:w="0" w:type="dxa"/>
            </w:tcMar>
            <w:vAlign w:val="center"/>
          </w:tcPr>
          <w:p>
            <w:pPr>
              <w:pageBreakBefore w:val="0"/>
              <w:wordWrap/>
              <w:bidi w:val="0"/>
              <w:snapToGrid w:val="0"/>
              <w:spacing w:line="240" w:lineRule="auto"/>
              <w:ind w:left="0" w:leftChars="0" w:right="0" w:rightChars="0"/>
              <w:jc w:val="center"/>
              <w:rPr>
                <w:rFonts w:hint="default" w:ascii="Times New Roman" w:hAnsi="Times New Roman" w:eastAsia="宋体" w:cs="Times New Roman"/>
                <w:b/>
                <w:color w:val="auto"/>
                <w:szCs w:val="21"/>
                <w:highlight w:val="none"/>
                <w:lang w:eastAsia="zh-CN"/>
              </w:rPr>
            </w:pPr>
            <w:r>
              <w:rPr>
                <w:rFonts w:hint="default" w:ascii="Times New Roman" w:hAnsi="Times New Roman" w:eastAsia="宋体" w:cs="Times New Roman"/>
                <w:b/>
                <w:color w:val="auto"/>
                <w:szCs w:val="21"/>
                <w:highlight w:val="none"/>
              </w:rPr>
              <w:t>二级标准值（</w:t>
            </w:r>
            <w:r>
              <w:rPr>
                <w:rFonts w:hint="default" w:ascii="Times New Roman" w:hAnsi="Times New Roman" w:eastAsia="宋体" w:cs="Times New Roman"/>
                <w:b/>
                <w:color w:val="auto"/>
                <w:szCs w:val="21"/>
                <w:highlight w:val="none"/>
                <w:lang w:eastAsia="zh-CN"/>
              </w:rPr>
              <w:t>μg/m</w:t>
            </w:r>
            <w:r>
              <w:rPr>
                <w:rFonts w:hint="default" w:ascii="Times New Roman" w:hAnsi="Times New Roman" w:eastAsia="宋体" w:cs="Times New Roman"/>
                <w:b/>
                <w:color w:val="auto"/>
                <w:szCs w:val="21"/>
                <w:highlight w:val="none"/>
                <w:vertAlign w:val="superscript"/>
                <w:lang w:eastAsia="zh-CN"/>
              </w:rPr>
              <w:t>3</w:t>
            </w:r>
            <w:r>
              <w:rPr>
                <w:rFonts w:hint="default" w:ascii="Times New Roman" w:hAnsi="Times New Roman" w:eastAsia="宋体" w:cs="Times New Roman"/>
                <w:b/>
                <w:color w:val="auto"/>
                <w:szCs w:val="21"/>
                <w:highlight w:val="none"/>
                <w:lang w:val="sq-AL" w:eastAsia="zh-CN"/>
              </w:rPr>
              <w:t>）</w:t>
            </w:r>
          </w:p>
        </w:tc>
        <w:tc>
          <w:tcPr>
            <w:tcW w:w="790" w:type="dxa"/>
            <w:tcBorders>
              <w:top w:val="single" w:color="auto" w:sz="4" w:space="0"/>
            </w:tcBorders>
            <w:tcMar>
              <w:left w:w="0" w:type="dxa"/>
              <w:right w:w="0" w:type="dxa"/>
            </w:tcMar>
            <w:vAlign w:val="center"/>
          </w:tcPr>
          <w:p>
            <w:pPr>
              <w:pageBreakBefore w:val="0"/>
              <w:wordWrap/>
              <w:bidi w:val="0"/>
              <w:snapToGrid w:val="0"/>
              <w:spacing w:line="240" w:lineRule="auto"/>
              <w:ind w:left="0" w:leftChars="0" w:right="0" w:rightChars="0"/>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占标率</w:t>
            </w:r>
          </w:p>
          <w:p>
            <w:pPr>
              <w:pageBreakBefore w:val="0"/>
              <w:wordWrap/>
              <w:bidi w:val="0"/>
              <w:snapToGrid w:val="0"/>
              <w:spacing w:line="240" w:lineRule="auto"/>
              <w:ind w:left="0" w:leftChars="0" w:right="0" w:rightChars="0"/>
              <w:jc w:val="center"/>
              <w:rPr>
                <w:rFonts w:hint="default" w:ascii="Times New Roman" w:hAnsi="Times New Roman" w:eastAsia="宋体" w:cs="Times New Roman"/>
                <w:b/>
                <w:color w:val="auto"/>
                <w:szCs w:val="21"/>
                <w:highlight w:val="none"/>
                <w:lang w:eastAsia="zh-CN"/>
              </w:rPr>
            </w:pPr>
            <w:r>
              <w:rPr>
                <w:rFonts w:hint="default" w:ascii="Times New Roman" w:hAnsi="Times New Roman" w:eastAsia="宋体" w:cs="Times New Roman"/>
                <w:b/>
                <w:color w:val="auto"/>
                <w:szCs w:val="21"/>
                <w:highlight w:val="none"/>
              </w:rPr>
              <w:t>（%</w:t>
            </w:r>
            <w:r>
              <w:rPr>
                <w:rFonts w:hint="default" w:ascii="Times New Roman" w:hAnsi="Times New Roman" w:eastAsia="宋体" w:cs="Times New Roman"/>
                <w:b/>
                <w:color w:val="auto"/>
                <w:szCs w:val="21"/>
                <w:highlight w:val="none"/>
                <w:lang w:eastAsia="zh-CN"/>
              </w:rPr>
              <w:t>）</w:t>
            </w:r>
          </w:p>
        </w:tc>
        <w:tc>
          <w:tcPr>
            <w:tcW w:w="802" w:type="dxa"/>
            <w:tcBorders>
              <w:top w:val="single" w:color="auto" w:sz="4" w:space="0"/>
              <w:right w:val="single" w:color="auto" w:sz="4" w:space="0"/>
            </w:tcBorders>
            <w:tcMar>
              <w:left w:w="0" w:type="dxa"/>
              <w:right w:w="0" w:type="dxa"/>
            </w:tcMar>
            <w:vAlign w:val="center"/>
          </w:tcPr>
          <w:p>
            <w:pPr>
              <w:pageBreakBefore w:val="0"/>
              <w:wordWrap/>
              <w:bidi w:val="0"/>
              <w:snapToGrid w:val="0"/>
              <w:spacing w:line="240" w:lineRule="auto"/>
              <w:ind w:left="0" w:leftChars="0" w:right="0" w:rightChars="0"/>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达标</w:t>
            </w:r>
          </w:p>
          <w:p>
            <w:pPr>
              <w:pageBreakBefore w:val="0"/>
              <w:wordWrap/>
              <w:bidi w:val="0"/>
              <w:snapToGrid w:val="0"/>
              <w:spacing w:line="240" w:lineRule="auto"/>
              <w:ind w:left="0" w:leftChars="0" w:right="0" w:rightChars="0"/>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26" w:type="dxa"/>
            <w:vMerge w:val="restart"/>
            <w:tcBorders>
              <w:left w:val="single" w:color="auto" w:sz="4" w:space="0"/>
            </w:tcBorders>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SO</w:t>
            </w:r>
            <w:r>
              <w:rPr>
                <w:rFonts w:hint="default" w:ascii="Times New Roman" w:hAnsi="Times New Roman" w:eastAsia="宋体" w:cs="Times New Roman"/>
                <w:color w:val="auto"/>
                <w:szCs w:val="21"/>
                <w:highlight w:val="none"/>
                <w:vertAlign w:val="subscript"/>
              </w:rPr>
              <w:t>2</w:t>
            </w:r>
          </w:p>
        </w:tc>
        <w:tc>
          <w:tcPr>
            <w:tcW w:w="2713" w:type="dxa"/>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年平均</w:t>
            </w:r>
          </w:p>
        </w:tc>
        <w:tc>
          <w:tcPr>
            <w:tcW w:w="1057" w:type="dxa"/>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14</w:t>
            </w:r>
          </w:p>
        </w:tc>
        <w:tc>
          <w:tcPr>
            <w:tcW w:w="1233" w:type="dxa"/>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60</w:t>
            </w:r>
          </w:p>
        </w:tc>
        <w:tc>
          <w:tcPr>
            <w:tcW w:w="790" w:type="dxa"/>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rPr>
              <w:t>2</w:t>
            </w:r>
            <w:r>
              <w:rPr>
                <w:rFonts w:hint="default" w:ascii="Times New Roman" w:hAnsi="Times New Roman" w:eastAsia="宋体" w:cs="Times New Roman"/>
                <w:color w:val="auto"/>
                <w:szCs w:val="21"/>
                <w:highlight w:val="none"/>
                <w:lang w:val="en-US" w:eastAsia="zh-CN"/>
              </w:rPr>
              <w:t>3.3</w:t>
            </w:r>
          </w:p>
        </w:tc>
        <w:tc>
          <w:tcPr>
            <w:tcW w:w="802" w:type="dxa"/>
            <w:tcBorders>
              <w:right w:val="single" w:color="auto" w:sz="4" w:space="0"/>
            </w:tcBorders>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26" w:type="dxa"/>
            <w:vMerge w:val="continue"/>
            <w:tcBorders>
              <w:left w:val="single" w:color="auto" w:sz="4" w:space="0"/>
            </w:tcBorders>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p>
        </w:tc>
        <w:tc>
          <w:tcPr>
            <w:tcW w:w="2713" w:type="dxa"/>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24小时平均第98百分位数</w:t>
            </w:r>
          </w:p>
        </w:tc>
        <w:tc>
          <w:tcPr>
            <w:tcW w:w="1057" w:type="dxa"/>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1233" w:type="dxa"/>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150</w:t>
            </w:r>
          </w:p>
        </w:tc>
        <w:tc>
          <w:tcPr>
            <w:tcW w:w="790" w:type="dxa"/>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802" w:type="dxa"/>
            <w:tcBorders>
              <w:right w:val="single" w:color="auto" w:sz="4" w:space="0"/>
            </w:tcBorders>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26" w:type="dxa"/>
            <w:vMerge w:val="restart"/>
            <w:tcBorders>
              <w:left w:val="single" w:color="auto" w:sz="4" w:space="0"/>
            </w:tcBorders>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NO</w:t>
            </w:r>
            <w:r>
              <w:rPr>
                <w:rFonts w:hint="default" w:ascii="Times New Roman" w:hAnsi="Times New Roman" w:eastAsia="宋体" w:cs="Times New Roman"/>
                <w:color w:val="auto"/>
                <w:szCs w:val="21"/>
                <w:highlight w:val="none"/>
                <w:vertAlign w:val="subscript"/>
              </w:rPr>
              <w:t>2</w:t>
            </w:r>
          </w:p>
        </w:tc>
        <w:tc>
          <w:tcPr>
            <w:tcW w:w="2713" w:type="dxa"/>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年平均质量浓度</w:t>
            </w:r>
          </w:p>
        </w:tc>
        <w:tc>
          <w:tcPr>
            <w:tcW w:w="1057" w:type="dxa"/>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17</w:t>
            </w:r>
          </w:p>
        </w:tc>
        <w:tc>
          <w:tcPr>
            <w:tcW w:w="1233" w:type="dxa"/>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40</w:t>
            </w:r>
          </w:p>
        </w:tc>
        <w:tc>
          <w:tcPr>
            <w:tcW w:w="790" w:type="dxa"/>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42.5</w:t>
            </w:r>
          </w:p>
        </w:tc>
        <w:tc>
          <w:tcPr>
            <w:tcW w:w="802" w:type="dxa"/>
            <w:tcBorders>
              <w:right w:val="single" w:color="auto" w:sz="4" w:space="0"/>
            </w:tcBorders>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26" w:type="dxa"/>
            <w:vMerge w:val="continue"/>
            <w:tcBorders>
              <w:left w:val="single" w:color="auto" w:sz="4" w:space="0"/>
            </w:tcBorders>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p>
        </w:tc>
        <w:tc>
          <w:tcPr>
            <w:tcW w:w="2713" w:type="dxa"/>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24小时平均第98百分位数</w:t>
            </w:r>
          </w:p>
        </w:tc>
        <w:tc>
          <w:tcPr>
            <w:tcW w:w="1057" w:type="dxa"/>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1233" w:type="dxa"/>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80</w:t>
            </w:r>
          </w:p>
        </w:tc>
        <w:tc>
          <w:tcPr>
            <w:tcW w:w="790" w:type="dxa"/>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802" w:type="dxa"/>
            <w:tcBorders>
              <w:right w:val="single" w:color="auto" w:sz="4" w:space="0"/>
            </w:tcBorders>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26" w:type="dxa"/>
            <w:tcBorders>
              <w:left w:val="single" w:color="auto" w:sz="4" w:space="0"/>
            </w:tcBorders>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CO</w:t>
            </w:r>
          </w:p>
        </w:tc>
        <w:tc>
          <w:tcPr>
            <w:tcW w:w="2713" w:type="dxa"/>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24小时平均第95百分位数</w:t>
            </w:r>
          </w:p>
        </w:tc>
        <w:tc>
          <w:tcPr>
            <w:tcW w:w="1057" w:type="dxa"/>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1200</w:t>
            </w:r>
          </w:p>
        </w:tc>
        <w:tc>
          <w:tcPr>
            <w:tcW w:w="1233" w:type="dxa"/>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4000</w:t>
            </w:r>
          </w:p>
        </w:tc>
        <w:tc>
          <w:tcPr>
            <w:tcW w:w="790" w:type="dxa"/>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30</w:t>
            </w:r>
          </w:p>
        </w:tc>
        <w:tc>
          <w:tcPr>
            <w:tcW w:w="802" w:type="dxa"/>
            <w:tcBorders>
              <w:right w:val="single" w:color="auto" w:sz="4" w:space="0"/>
            </w:tcBorders>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26" w:type="dxa"/>
            <w:tcBorders>
              <w:left w:val="single" w:color="auto" w:sz="4" w:space="0"/>
            </w:tcBorders>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O</w:t>
            </w:r>
            <w:r>
              <w:rPr>
                <w:rFonts w:hint="default" w:ascii="Times New Roman" w:hAnsi="Times New Roman" w:eastAsia="宋体" w:cs="Times New Roman"/>
                <w:color w:val="auto"/>
                <w:szCs w:val="21"/>
                <w:highlight w:val="none"/>
                <w:vertAlign w:val="subscript"/>
              </w:rPr>
              <w:t>3</w:t>
            </w:r>
          </w:p>
        </w:tc>
        <w:tc>
          <w:tcPr>
            <w:tcW w:w="2713" w:type="dxa"/>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日最大8小时第90百分位数</w:t>
            </w:r>
          </w:p>
        </w:tc>
        <w:tc>
          <w:tcPr>
            <w:tcW w:w="1057" w:type="dxa"/>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rPr>
              <w:t>14</w:t>
            </w:r>
            <w:r>
              <w:rPr>
                <w:rFonts w:hint="default" w:ascii="Times New Roman" w:hAnsi="Times New Roman" w:eastAsia="宋体" w:cs="Times New Roman"/>
                <w:color w:val="auto"/>
                <w:szCs w:val="21"/>
                <w:highlight w:val="none"/>
                <w:lang w:val="en-US" w:eastAsia="zh-CN"/>
              </w:rPr>
              <w:t>2</w:t>
            </w:r>
          </w:p>
        </w:tc>
        <w:tc>
          <w:tcPr>
            <w:tcW w:w="1233" w:type="dxa"/>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160</w:t>
            </w:r>
          </w:p>
        </w:tc>
        <w:tc>
          <w:tcPr>
            <w:tcW w:w="790" w:type="dxa"/>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rPr>
              <w:t>8</w:t>
            </w:r>
            <w:r>
              <w:rPr>
                <w:rFonts w:hint="default" w:ascii="Times New Roman" w:hAnsi="Times New Roman" w:eastAsia="宋体" w:cs="Times New Roman"/>
                <w:color w:val="auto"/>
                <w:szCs w:val="21"/>
                <w:highlight w:val="none"/>
                <w:lang w:val="en-US" w:eastAsia="zh-CN"/>
              </w:rPr>
              <w:t>8.8</w:t>
            </w:r>
          </w:p>
        </w:tc>
        <w:tc>
          <w:tcPr>
            <w:tcW w:w="802" w:type="dxa"/>
            <w:tcBorders>
              <w:right w:val="single" w:color="auto" w:sz="4" w:space="0"/>
            </w:tcBorders>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26" w:type="dxa"/>
            <w:vMerge w:val="restart"/>
            <w:tcBorders>
              <w:left w:val="single" w:color="auto" w:sz="4" w:space="0"/>
            </w:tcBorders>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PM</w:t>
            </w:r>
            <w:r>
              <w:rPr>
                <w:rFonts w:hint="default" w:ascii="Times New Roman" w:hAnsi="Times New Roman" w:eastAsia="宋体" w:cs="Times New Roman"/>
                <w:color w:val="auto"/>
                <w:szCs w:val="21"/>
                <w:highlight w:val="none"/>
                <w:vertAlign w:val="subscript"/>
              </w:rPr>
              <w:t>10</w:t>
            </w:r>
          </w:p>
        </w:tc>
        <w:tc>
          <w:tcPr>
            <w:tcW w:w="2713" w:type="dxa"/>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年平均质量浓度</w:t>
            </w:r>
          </w:p>
        </w:tc>
        <w:tc>
          <w:tcPr>
            <w:tcW w:w="1057" w:type="dxa"/>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41</w:t>
            </w:r>
          </w:p>
        </w:tc>
        <w:tc>
          <w:tcPr>
            <w:tcW w:w="1233" w:type="dxa"/>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70</w:t>
            </w:r>
          </w:p>
        </w:tc>
        <w:tc>
          <w:tcPr>
            <w:tcW w:w="790" w:type="dxa"/>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58.6</w:t>
            </w:r>
          </w:p>
        </w:tc>
        <w:tc>
          <w:tcPr>
            <w:tcW w:w="802" w:type="dxa"/>
            <w:tcBorders>
              <w:right w:val="single" w:color="auto" w:sz="4" w:space="0"/>
            </w:tcBorders>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26" w:type="dxa"/>
            <w:vMerge w:val="continue"/>
            <w:tcBorders>
              <w:left w:val="single" w:color="auto" w:sz="4" w:space="0"/>
            </w:tcBorders>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p>
        </w:tc>
        <w:tc>
          <w:tcPr>
            <w:tcW w:w="2713" w:type="dxa"/>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24小时平均第95百分位数</w:t>
            </w:r>
          </w:p>
        </w:tc>
        <w:tc>
          <w:tcPr>
            <w:tcW w:w="1057" w:type="dxa"/>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1233" w:type="dxa"/>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150</w:t>
            </w:r>
          </w:p>
        </w:tc>
        <w:tc>
          <w:tcPr>
            <w:tcW w:w="790" w:type="dxa"/>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802" w:type="dxa"/>
            <w:tcBorders>
              <w:right w:val="single" w:color="auto" w:sz="4" w:space="0"/>
            </w:tcBorders>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26" w:type="dxa"/>
            <w:vMerge w:val="restart"/>
            <w:tcBorders>
              <w:left w:val="single" w:color="auto" w:sz="4" w:space="0"/>
            </w:tcBorders>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PM</w:t>
            </w:r>
            <w:r>
              <w:rPr>
                <w:rFonts w:hint="default" w:ascii="Times New Roman" w:hAnsi="Times New Roman" w:eastAsia="宋体" w:cs="Times New Roman"/>
                <w:color w:val="auto"/>
                <w:szCs w:val="21"/>
                <w:highlight w:val="none"/>
                <w:vertAlign w:val="subscript"/>
              </w:rPr>
              <w:t>2.5</w:t>
            </w:r>
          </w:p>
        </w:tc>
        <w:tc>
          <w:tcPr>
            <w:tcW w:w="2713" w:type="dxa"/>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年平均质量浓度</w:t>
            </w:r>
          </w:p>
        </w:tc>
        <w:tc>
          <w:tcPr>
            <w:tcW w:w="1057" w:type="dxa"/>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17</w:t>
            </w:r>
          </w:p>
        </w:tc>
        <w:tc>
          <w:tcPr>
            <w:tcW w:w="1233" w:type="dxa"/>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35</w:t>
            </w:r>
          </w:p>
        </w:tc>
        <w:tc>
          <w:tcPr>
            <w:tcW w:w="790" w:type="dxa"/>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48.6</w:t>
            </w:r>
          </w:p>
        </w:tc>
        <w:tc>
          <w:tcPr>
            <w:tcW w:w="802" w:type="dxa"/>
            <w:tcBorders>
              <w:right w:val="single" w:color="auto" w:sz="4" w:space="0"/>
            </w:tcBorders>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26" w:type="dxa"/>
            <w:vMerge w:val="continue"/>
            <w:tcBorders>
              <w:left w:val="single" w:color="auto" w:sz="4" w:space="0"/>
              <w:bottom w:val="single" w:color="auto" w:sz="4" w:space="0"/>
            </w:tcBorders>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p>
        </w:tc>
        <w:tc>
          <w:tcPr>
            <w:tcW w:w="2713" w:type="dxa"/>
            <w:tcBorders>
              <w:bottom w:val="single" w:color="auto" w:sz="4" w:space="0"/>
            </w:tcBorders>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24小时平均第95百分位数</w:t>
            </w:r>
          </w:p>
        </w:tc>
        <w:tc>
          <w:tcPr>
            <w:tcW w:w="1057" w:type="dxa"/>
            <w:tcBorders>
              <w:bottom w:val="single" w:color="auto" w:sz="4" w:space="0"/>
            </w:tcBorders>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1233" w:type="dxa"/>
            <w:tcBorders>
              <w:bottom w:val="single" w:color="auto" w:sz="4" w:space="0"/>
            </w:tcBorders>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75</w:t>
            </w:r>
          </w:p>
        </w:tc>
        <w:tc>
          <w:tcPr>
            <w:tcW w:w="790" w:type="dxa"/>
            <w:tcBorders>
              <w:bottom w:val="single" w:color="auto" w:sz="4" w:space="0"/>
            </w:tcBorders>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802" w:type="dxa"/>
            <w:tcBorders>
              <w:bottom w:val="single" w:color="auto" w:sz="4" w:space="0"/>
              <w:right w:val="single" w:color="auto" w:sz="4" w:space="0"/>
            </w:tcBorders>
            <w:tcMar>
              <w:left w:w="0" w:type="dxa"/>
              <w:right w:w="0" w:type="dxa"/>
            </w:tcMar>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r>
    </w:tbl>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202</w:t>
      </w:r>
      <w:r>
        <w:rPr>
          <w:rFonts w:hint="default" w:ascii="Times New Roman" w:hAnsi="Times New Roman" w:eastAsia="宋体" w:cs="Times New Roman"/>
          <w:color w:val="auto"/>
          <w:sz w:val="24"/>
          <w:highlight w:val="none"/>
          <w:lang w:val="en-US" w:eastAsia="zh-CN"/>
        </w:rPr>
        <w:t>2</w:t>
      </w:r>
      <w:r>
        <w:rPr>
          <w:rFonts w:hint="default" w:ascii="Times New Roman" w:hAnsi="Times New Roman" w:eastAsia="宋体" w:cs="Times New Roman"/>
          <w:color w:val="auto"/>
          <w:sz w:val="24"/>
          <w:highlight w:val="none"/>
        </w:rPr>
        <w:t>年</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乌拉特前旗环境空气质量达标评价指标SO</w:t>
      </w:r>
      <w:r>
        <w:rPr>
          <w:rFonts w:hint="default" w:ascii="Times New Roman" w:hAnsi="Times New Roman" w:eastAsia="宋体" w:cs="Times New Roman"/>
          <w:color w:val="auto"/>
          <w:sz w:val="24"/>
          <w:highlight w:val="none"/>
          <w:vertAlign w:val="subscript"/>
        </w:rPr>
        <w:t>2</w:t>
      </w:r>
      <w:r>
        <w:rPr>
          <w:rFonts w:hint="default" w:ascii="Times New Roman" w:hAnsi="Times New Roman" w:eastAsia="宋体" w:cs="Times New Roman"/>
          <w:color w:val="auto"/>
          <w:sz w:val="24"/>
          <w:highlight w:val="none"/>
        </w:rPr>
        <w:t>、NO</w:t>
      </w:r>
      <w:r>
        <w:rPr>
          <w:rFonts w:hint="default" w:ascii="Times New Roman" w:hAnsi="Times New Roman" w:eastAsia="宋体" w:cs="Times New Roman"/>
          <w:color w:val="auto"/>
          <w:sz w:val="24"/>
          <w:highlight w:val="none"/>
          <w:vertAlign w:val="subscript"/>
        </w:rPr>
        <w:t>2</w:t>
      </w:r>
      <w:r>
        <w:rPr>
          <w:rFonts w:hint="default" w:ascii="Times New Roman" w:hAnsi="Times New Roman" w:eastAsia="宋体" w:cs="Times New Roman"/>
          <w:color w:val="auto"/>
          <w:sz w:val="24"/>
          <w:highlight w:val="none"/>
        </w:rPr>
        <w:t>、PM</w:t>
      </w:r>
      <w:r>
        <w:rPr>
          <w:rFonts w:hint="default" w:ascii="Times New Roman" w:hAnsi="Times New Roman" w:eastAsia="宋体" w:cs="Times New Roman"/>
          <w:color w:val="auto"/>
          <w:sz w:val="24"/>
          <w:highlight w:val="none"/>
          <w:vertAlign w:val="subscript"/>
        </w:rPr>
        <w:t>2.5</w:t>
      </w:r>
      <w:r>
        <w:rPr>
          <w:rFonts w:hint="default" w:ascii="Times New Roman" w:hAnsi="Times New Roman" w:eastAsia="宋体" w:cs="Times New Roman"/>
          <w:color w:val="auto"/>
          <w:sz w:val="24"/>
          <w:highlight w:val="none"/>
        </w:rPr>
        <w:t>、PM</w:t>
      </w:r>
      <w:r>
        <w:rPr>
          <w:rFonts w:hint="default" w:ascii="Times New Roman" w:hAnsi="Times New Roman" w:eastAsia="宋体" w:cs="Times New Roman"/>
          <w:color w:val="auto"/>
          <w:sz w:val="24"/>
          <w:highlight w:val="none"/>
          <w:vertAlign w:val="subscript"/>
        </w:rPr>
        <w:t>10</w:t>
      </w:r>
      <w:r>
        <w:rPr>
          <w:rFonts w:hint="default" w:ascii="Times New Roman" w:hAnsi="Times New Roman" w:eastAsia="宋体" w:cs="Times New Roman"/>
          <w:color w:val="auto"/>
          <w:sz w:val="24"/>
          <w:highlight w:val="none"/>
        </w:rPr>
        <w:t>、O</w:t>
      </w:r>
      <w:r>
        <w:rPr>
          <w:rFonts w:hint="default" w:ascii="Times New Roman" w:hAnsi="Times New Roman" w:eastAsia="宋体" w:cs="Times New Roman"/>
          <w:color w:val="auto"/>
          <w:sz w:val="24"/>
          <w:highlight w:val="none"/>
          <w:vertAlign w:val="subscript"/>
        </w:rPr>
        <w:t>3</w:t>
      </w:r>
      <w:r>
        <w:rPr>
          <w:rFonts w:hint="default" w:ascii="Times New Roman" w:hAnsi="Times New Roman" w:eastAsia="宋体" w:cs="Times New Roman"/>
          <w:color w:val="auto"/>
          <w:sz w:val="24"/>
          <w:highlight w:val="none"/>
        </w:rPr>
        <w:t>、CO全部达标</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由此可判断乌拉特前旗为城市环境空气质量达标区。</w:t>
      </w:r>
    </w:p>
    <w:p>
      <w:pPr>
        <w:pageBreakBefore w:val="0"/>
        <w:wordWrap/>
        <w:bidi w:val="0"/>
        <w:adjustRightInd w:val="0"/>
        <w:snapToGrid w:val="0"/>
        <w:spacing w:line="360" w:lineRule="auto"/>
        <w:ind w:left="0" w:leftChars="0" w:right="0" w:rightChars="0" w:firstLine="480" w:firstLineChars="200"/>
        <w:outlineLvl w:val="0"/>
        <w:rPr>
          <w:rFonts w:hint="default" w:ascii="Times New Roman" w:hAnsi="Times New Roman" w:eastAsia="宋体" w:cs="Times New Roman"/>
          <w:color w:val="auto"/>
          <w:sz w:val="24"/>
          <w:highlight w:val="none"/>
        </w:rPr>
      </w:pPr>
      <w:bookmarkStart w:id="786" w:name="_Toc13283"/>
      <w:bookmarkStart w:id="787" w:name="_Toc26841"/>
      <w:r>
        <w:rPr>
          <w:rFonts w:hint="default" w:ascii="Times New Roman" w:hAnsi="Times New Roman" w:eastAsia="宋体" w:cs="Times New Roman"/>
          <w:color w:val="auto"/>
          <w:sz w:val="24"/>
          <w:highlight w:val="none"/>
        </w:rPr>
        <w:t>（2</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其他污染物环境质量现状</w:t>
      </w:r>
      <w:bookmarkEnd w:id="786"/>
      <w:bookmarkEnd w:id="787"/>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为掌握本项目所在地区的TSP环境质量现状</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为影响评价提供基础资料和数据</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本评价委托内蒙古加通环境检测治理有限公司对项目区尾矿库进行监测。</w:t>
      </w:r>
    </w:p>
    <w:p>
      <w:pPr>
        <w:pageBreakBefore w:val="0"/>
        <w:wordWrap/>
        <w:bidi w:val="0"/>
        <w:adjustRightInd w:val="0"/>
        <w:snapToGrid w:val="0"/>
        <w:spacing w:line="360" w:lineRule="auto"/>
        <w:ind w:left="0" w:leftChars="0" w:right="0" w:rightChars="0" w:firstLine="480" w:firstLineChars="200"/>
        <w:outlineLvl w:val="1"/>
        <w:rPr>
          <w:rFonts w:hint="default" w:ascii="Times New Roman" w:hAnsi="Times New Roman" w:eastAsia="宋体" w:cs="Times New Roman"/>
          <w:color w:val="auto"/>
          <w:sz w:val="24"/>
          <w:highlight w:val="none"/>
        </w:rPr>
      </w:pPr>
      <w:bookmarkStart w:id="788" w:name="_Toc22354"/>
      <w:bookmarkStart w:id="789" w:name="_Toc20483"/>
      <w:r>
        <w:rPr>
          <w:rFonts w:hint="default" w:ascii="Times New Roman" w:hAnsi="Times New Roman" w:eastAsia="宋体" w:cs="Times New Roman"/>
          <w:color w:val="auto"/>
          <w:sz w:val="24"/>
          <w:highlight w:val="none"/>
        </w:rPr>
        <w:t>①监测布点及因子</w:t>
      </w:r>
      <w:bookmarkEnd w:id="788"/>
      <w:bookmarkEnd w:id="789"/>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本项目共布设1个环境质量现状监测点位</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具体点位见表5-2。</w:t>
      </w:r>
    </w:p>
    <w:p>
      <w:pPr>
        <w:pageBreakBefore w:val="0"/>
        <w:tabs>
          <w:tab w:val="left" w:pos="3062"/>
        </w:tabs>
        <w:wordWrap/>
        <w:bidi w:val="0"/>
        <w:spacing w:line="360" w:lineRule="auto"/>
        <w:ind w:left="0" w:leftChars="0" w:right="0" w:rightChars="0"/>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表5-2大气监测点位表</w:t>
      </w:r>
    </w:p>
    <w:tbl>
      <w:tblPr>
        <w:tblStyle w:val="54"/>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621"/>
        <w:gridCol w:w="1353"/>
        <w:gridCol w:w="1081"/>
        <w:gridCol w:w="2431"/>
        <w:gridCol w:w="283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73" w:type="pct"/>
            <w:tcBorders>
              <w:top w:val="single" w:color="auto" w:sz="4" w:space="0"/>
              <w:lef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编号</w:t>
            </w:r>
          </w:p>
        </w:tc>
        <w:tc>
          <w:tcPr>
            <w:tcW w:w="813" w:type="pct"/>
            <w:tcBorders>
              <w:top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监测点名称</w:t>
            </w:r>
          </w:p>
        </w:tc>
        <w:tc>
          <w:tcPr>
            <w:tcW w:w="650" w:type="pct"/>
            <w:tcBorders>
              <w:top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监测因子</w:t>
            </w:r>
          </w:p>
        </w:tc>
        <w:tc>
          <w:tcPr>
            <w:tcW w:w="1461" w:type="pct"/>
            <w:tcBorders>
              <w:top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监测时段</w:t>
            </w:r>
          </w:p>
        </w:tc>
        <w:tc>
          <w:tcPr>
            <w:tcW w:w="1701" w:type="pct"/>
            <w:tcBorders>
              <w:top w:val="single" w:color="auto" w:sz="4" w:space="0"/>
              <w:righ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373" w:type="pct"/>
            <w:tcBorders>
              <w:left w:val="single" w:color="auto" w:sz="4" w:space="0"/>
              <w:bottom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w:t>
            </w:r>
          </w:p>
        </w:tc>
        <w:tc>
          <w:tcPr>
            <w:tcW w:w="813" w:type="pct"/>
            <w:tcBorders>
              <w:bottom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项目区</w:t>
            </w:r>
          </w:p>
        </w:tc>
        <w:tc>
          <w:tcPr>
            <w:tcW w:w="650" w:type="pct"/>
            <w:tcBorders>
              <w:bottom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TSP</w:t>
            </w:r>
          </w:p>
        </w:tc>
        <w:tc>
          <w:tcPr>
            <w:tcW w:w="1461" w:type="pct"/>
            <w:tcBorders>
              <w:bottom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2023.4.11-2023.4.18日</w:t>
            </w:r>
          </w:p>
        </w:tc>
        <w:tc>
          <w:tcPr>
            <w:tcW w:w="1701" w:type="pct"/>
            <w:tcBorders>
              <w:bottom w:val="single" w:color="auto" w:sz="4" w:space="0"/>
              <w:righ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尾矿库坝址处</w:t>
            </w:r>
          </w:p>
        </w:tc>
      </w:tr>
    </w:tbl>
    <w:p>
      <w:pPr>
        <w:pageBreakBefore w:val="0"/>
        <w:wordWrap/>
        <w:bidi w:val="0"/>
        <w:spacing w:line="360" w:lineRule="auto"/>
        <w:ind w:left="0" w:leftChars="0" w:right="0" w:rightChars="0" w:firstLine="480" w:firstLineChars="200"/>
        <w:outlineLvl w:val="1"/>
        <w:rPr>
          <w:rFonts w:hint="default" w:ascii="Times New Roman" w:hAnsi="Times New Roman" w:eastAsia="宋体" w:cs="Times New Roman"/>
          <w:color w:val="auto"/>
          <w:sz w:val="24"/>
          <w:highlight w:val="none"/>
        </w:rPr>
      </w:pPr>
      <w:bookmarkStart w:id="790" w:name="_Toc7447"/>
      <w:bookmarkStart w:id="791" w:name="_Toc32284"/>
      <w:r>
        <w:rPr>
          <w:rFonts w:hint="default" w:ascii="Times New Roman" w:hAnsi="Times New Roman" w:eastAsia="宋体" w:cs="Times New Roman"/>
          <w:color w:val="auto"/>
          <w:sz w:val="24"/>
          <w:highlight w:val="none"/>
        </w:rPr>
        <w:t>②监测时间与频率</w:t>
      </w:r>
      <w:bookmarkEnd w:id="790"/>
      <w:bookmarkEnd w:id="791"/>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在2023年4月11日至2023年4月18日（共连续监测7天有效数据</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进行监测。</w:t>
      </w:r>
    </w:p>
    <w:p>
      <w:pPr>
        <w:pageBreakBefore w:val="0"/>
        <w:tabs>
          <w:tab w:val="left" w:pos="3062"/>
        </w:tabs>
        <w:wordWrap/>
        <w:bidi w:val="0"/>
        <w:spacing w:line="360" w:lineRule="auto"/>
        <w:ind w:left="0" w:leftChars="0" w:right="0" w:rightChars="0"/>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表5-3各污染物采样时间及频率</w:t>
      </w:r>
    </w:p>
    <w:tbl>
      <w:tblPr>
        <w:tblStyle w:val="54"/>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531"/>
        <w:gridCol w:w="3105"/>
        <w:gridCol w:w="1053"/>
        <w:gridCol w:w="2833"/>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blHeader/>
          <w:jc w:val="center"/>
        </w:trPr>
        <w:tc>
          <w:tcPr>
            <w:tcW w:w="898" w:type="pct"/>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污染物</w:t>
            </w:r>
          </w:p>
        </w:tc>
        <w:tc>
          <w:tcPr>
            <w:tcW w:w="1822" w:type="pct"/>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监测时段</w:t>
            </w:r>
          </w:p>
        </w:tc>
        <w:tc>
          <w:tcPr>
            <w:tcW w:w="618" w:type="pct"/>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b/>
                <w:color w:val="auto"/>
                <w:spacing w:val="-11"/>
                <w:szCs w:val="21"/>
                <w:highlight w:val="none"/>
              </w:rPr>
            </w:pPr>
            <w:r>
              <w:rPr>
                <w:rFonts w:hint="default" w:ascii="Times New Roman" w:hAnsi="Times New Roman" w:eastAsia="宋体" w:cs="Times New Roman"/>
                <w:b/>
                <w:color w:val="auto"/>
                <w:spacing w:val="-11"/>
                <w:szCs w:val="21"/>
                <w:highlight w:val="none"/>
              </w:rPr>
              <w:t>采样频率</w:t>
            </w:r>
          </w:p>
          <w:p>
            <w:pPr>
              <w:pageBreakBefore w:val="0"/>
              <w:wordWrap/>
              <w:autoSpaceDE w:val="0"/>
              <w:bidi w:val="0"/>
              <w:ind w:left="0" w:leftChars="0" w:right="0" w:rightChars="0"/>
              <w:jc w:val="center"/>
              <w:rPr>
                <w:rFonts w:hint="default" w:ascii="Times New Roman" w:hAnsi="Times New Roman" w:eastAsia="宋体" w:cs="Times New Roman"/>
                <w:b/>
                <w:color w:val="auto"/>
                <w:szCs w:val="21"/>
                <w:highlight w:val="none"/>
                <w:lang w:eastAsia="zh-CN"/>
              </w:rPr>
            </w:pPr>
            <w:r>
              <w:rPr>
                <w:rFonts w:hint="default" w:ascii="Times New Roman" w:hAnsi="Times New Roman" w:eastAsia="宋体" w:cs="Times New Roman"/>
                <w:b/>
                <w:color w:val="auto"/>
                <w:spacing w:val="-11"/>
                <w:szCs w:val="21"/>
                <w:highlight w:val="none"/>
              </w:rPr>
              <w:t>（次/日</w:t>
            </w:r>
            <w:r>
              <w:rPr>
                <w:rFonts w:hint="default" w:ascii="Times New Roman" w:hAnsi="Times New Roman" w:eastAsia="宋体" w:cs="Times New Roman"/>
                <w:b/>
                <w:color w:val="auto"/>
                <w:spacing w:val="-11"/>
                <w:szCs w:val="21"/>
                <w:highlight w:val="none"/>
                <w:lang w:eastAsia="zh-CN"/>
              </w:rPr>
              <w:t>）</w:t>
            </w:r>
          </w:p>
        </w:tc>
        <w:tc>
          <w:tcPr>
            <w:tcW w:w="1662" w:type="pct"/>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检测时间</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898" w:type="pct"/>
            <w:tcBorders>
              <w:top w:val="single" w:color="auto" w:sz="4" w:space="0"/>
              <w:left w:val="single" w:color="auto" w:sz="4" w:space="0"/>
              <w:bottom w:val="single" w:color="auto" w:sz="4" w:space="0"/>
              <w:righ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TSP</w:t>
            </w:r>
          </w:p>
        </w:tc>
        <w:tc>
          <w:tcPr>
            <w:tcW w:w="1822" w:type="pct"/>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lang w:bidi="ar"/>
              </w:rPr>
              <w:t>24小时</w:t>
            </w:r>
            <w:r>
              <w:rPr>
                <w:rFonts w:hint="default" w:ascii="Times New Roman" w:hAnsi="Times New Roman" w:eastAsia="宋体" w:cs="Times New Roman"/>
                <w:color w:val="auto"/>
                <w:szCs w:val="21"/>
                <w:highlight w:val="none"/>
                <w:lang w:eastAsia="zh-CN" w:bidi="ar"/>
              </w:rPr>
              <w:t>平均</w:t>
            </w:r>
            <w:r>
              <w:rPr>
                <w:rFonts w:hint="default" w:ascii="Times New Roman" w:hAnsi="Times New Roman" w:eastAsia="宋体" w:cs="Times New Roman"/>
                <w:color w:val="auto"/>
                <w:szCs w:val="21"/>
                <w:highlight w:val="none"/>
                <w:lang w:bidi="ar"/>
              </w:rPr>
              <w:t>浓度</w:t>
            </w:r>
            <w:r>
              <w:rPr>
                <w:rFonts w:hint="default" w:ascii="Times New Roman" w:hAnsi="Times New Roman" w:eastAsia="宋体" w:cs="Times New Roman"/>
                <w:color w:val="auto"/>
                <w:szCs w:val="21"/>
                <w:highlight w:val="none"/>
                <w:lang w:eastAsia="zh-CN" w:bidi="ar"/>
              </w:rPr>
              <w:t>：</w:t>
            </w:r>
            <w:r>
              <w:rPr>
                <w:rFonts w:hint="default" w:ascii="Times New Roman" w:hAnsi="Times New Roman" w:eastAsia="宋体" w:cs="Times New Roman"/>
                <w:color w:val="auto"/>
                <w:szCs w:val="21"/>
                <w:highlight w:val="none"/>
                <w:lang w:bidi="ar"/>
              </w:rPr>
              <w:t>24小时</w:t>
            </w:r>
          </w:p>
        </w:tc>
        <w:tc>
          <w:tcPr>
            <w:tcW w:w="618" w:type="pct"/>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lang w:bidi="ar"/>
              </w:rPr>
              <w:t>1</w:t>
            </w:r>
          </w:p>
        </w:tc>
        <w:tc>
          <w:tcPr>
            <w:tcW w:w="1662" w:type="pct"/>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lang w:bidi="ar"/>
              </w:rPr>
              <w:t>11</w:t>
            </w:r>
            <w:r>
              <w:rPr>
                <w:rFonts w:hint="default" w:ascii="Times New Roman" w:hAnsi="Times New Roman" w:eastAsia="宋体" w:cs="Times New Roman"/>
                <w:color w:val="auto"/>
                <w:szCs w:val="21"/>
                <w:highlight w:val="none"/>
                <w:lang w:eastAsia="zh-CN" w:bidi="ar"/>
              </w:rPr>
              <w:t>：</w:t>
            </w:r>
            <w:r>
              <w:rPr>
                <w:rFonts w:hint="default" w:ascii="Times New Roman" w:hAnsi="Times New Roman" w:eastAsia="宋体" w:cs="Times New Roman"/>
                <w:color w:val="auto"/>
                <w:szCs w:val="21"/>
                <w:highlight w:val="none"/>
                <w:lang w:bidi="ar"/>
              </w:rPr>
              <w:t>00</w:t>
            </w:r>
            <w:r>
              <w:rPr>
                <w:rFonts w:hint="default" w:ascii="Times New Roman" w:hAnsi="Times New Roman" w:eastAsia="宋体" w:cs="Times New Roman"/>
                <w:color w:val="auto"/>
                <w:szCs w:val="21"/>
                <w:highlight w:val="none"/>
                <w:lang w:eastAsia="zh-CN" w:bidi="ar"/>
              </w:rPr>
              <w:t>～</w:t>
            </w:r>
            <w:r>
              <w:rPr>
                <w:rFonts w:hint="default" w:ascii="Times New Roman" w:hAnsi="Times New Roman" w:eastAsia="宋体" w:cs="Times New Roman"/>
                <w:color w:val="auto"/>
                <w:szCs w:val="21"/>
                <w:highlight w:val="none"/>
                <w:lang w:bidi="ar"/>
              </w:rPr>
              <w:t>次日11</w:t>
            </w:r>
            <w:r>
              <w:rPr>
                <w:rFonts w:hint="default" w:ascii="Times New Roman" w:hAnsi="Times New Roman" w:eastAsia="宋体" w:cs="Times New Roman"/>
                <w:color w:val="auto"/>
                <w:szCs w:val="21"/>
                <w:highlight w:val="none"/>
                <w:lang w:eastAsia="zh-CN" w:bidi="ar"/>
              </w:rPr>
              <w:t>：</w:t>
            </w:r>
            <w:r>
              <w:rPr>
                <w:rFonts w:hint="default" w:ascii="Times New Roman" w:hAnsi="Times New Roman" w:eastAsia="宋体" w:cs="Times New Roman"/>
                <w:color w:val="auto"/>
                <w:szCs w:val="21"/>
                <w:highlight w:val="none"/>
                <w:lang w:bidi="ar"/>
              </w:rPr>
              <w:t>00</w:t>
            </w:r>
          </w:p>
        </w:tc>
      </w:tr>
    </w:tbl>
    <w:p>
      <w:pPr>
        <w:pageBreakBefore w:val="0"/>
        <w:wordWrap/>
        <w:bidi w:val="0"/>
        <w:spacing w:line="360" w:lineRule="auto"/>
        <w:ind w:left="0" w:leftChars="0" w:right="0" w:rightChars="0" w:firstLine="480" w:firstLineChars="200"/>
        <w:outlineLvl w:val="1"/>
        <w:rPr>
          <w:rFonts w:hint="default" w:ascii="Times New Roman" w:hAnsi="Times New Roman" w:eastAsia="宋体" w:cs="Times New Roman"/>
          <w:color w:val="auto"/>
          <w:sz w:val="24"/>
          <w:highlight w:val="none"/>
        </w:rPr>
      </w:pPr>
      <w:bookmarkStart w:id="792" w:name="_Toc24915"/>
      <w:bookmarkStart w:id="793" w:name="_Toc18601"/>
      <w:r>
        <w:rPr>
          <w:rFonts w:hint="default" w:ascii="Times New Roman" w:hAnsi="Times New Roman" w:eastAsia="宋体" w:cs="Times New Roman"/>
          <w:color w:val="auto"/>
          <w:sz w:val="24"/>
          <w:highlight w:val="none"/>
        </w:rPr>
        <w:t>③采样依据及分析方法</w:t>
      </w:r>
      <w:bookmarkEnd w:id="792"/>
      <w:bookmarkEnd w:id="793"/>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采样和分析方法按国家环境保护总局颁布的《环境空气质量标准》（GB3095-2012</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及</w:t>
      </w:r>
      <w:r>
        <w:rPr>
          <w:rFonts w:hint="default" w:ascii="Times New Roman" w:hAnsi="Times New Roman" w:eastAsia="宋体" w:cs="Times New Roman"/>
          <w:color w:val="auto"/>
          <w:sz w:val="24"/>
          <w:highlight w:val="none"/>
          <w:lang w:eastAsia="zh-CN"/>
        </w:rPr>
        <w:t>生态环境部</w:t>
      </w:r>
      <w:r>
        <w:rPr>
          <w:rFonts w:hint="default" w:ascii="Times New Roman" w:hAnsi="Times New Roman" w:eastAsia="宋体" w:cs="Times New Roman"/>
          <w:color w:val="auto"/>
          <w:sz w:val="24"/>
          <w:highlight w:val="none"/>
        </w:rPr>
        <w:t>颁布的《环境检测技术规范》和《空气和废气检测分析方法》的有关要求和规定进行</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污染物分析方法详见表5-4。</w:t>
      </w:r>
    </w:p>
    <w:p>
      <w:pPr>
        <w:pageBreakBefore w:val="0"/>
        <w:tabs>
          <w:tab w:val="left" w:pos="3062"/>
        </w:tabs>
        <w:wordWrap/>
        <w:bidi w:val="0"/>
        <w:spacing w:line="360" w:lineRule="auto"/>
        <w:ind w:left="0" w:leftChars="0" w:right="0" w:rightChars="0"/>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表5-4环境空气检测分析方法</w:t>
      </w:r>
    </w:p>
    <w:tbl>
      <w:tblPr>
        <w:tblStyle w:val="54"/>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499"/>
        <w:gridCol w:w="1500"/>
        <w:gridCol w:w="4056"/>
        <w:gridCol w:w="689"/>
        <w:gridCol w:w="77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000"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bCs w:val="0"/>
                <w:color w:val="auto"/>
                <w:kern w:val="0"/>
                <w:sz w:val="21"/>
                <w:szCs w:val="21"/>
                <w:highlight w:val="none"/>
              </w:rPr>
            </w:pPr>
            <w:r>
              <w:rPr>
                <w:rFonts w:hint="default" w:ascii="Times New Roman" w:hAnsi="Times New Roman" w:eastAsia="宋体" w:cs="Times New Roman"/>
                <w:b/>
                <w:bCs w:val="0"/>
                <w:color w:val="auto"/>
                <w:kern w:val="0"/>
                <w:sz w:val="21"/>
                <w:szCs w:val="21"/>
                <w:highlight w:val="none"/>
              </w:rPr>
              <w:t>检测项目</w:t>
            </w:r>
          </w:p>
        </w:tc>
        <w:tc>
          <w:tcPr>
            <w:tcW w:w="1000"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bCs w:val="0"/>
                <w:color w:val="auto"/>
                <w:kern w:val="0"/>
                <w:sz w:val="21"/>
                <w:szCs w:val="21"/>
                <w:highlight w:val="none"/>
              </w:rPr>
            </w:pPr>
            <w:r>
              <w:rPr>
                <w:rFonts w:hint="default" w:ascii="Times New Roman" w:hAnsi="Times New Roman" w:eastAsia="宋体" w:cs="Times New Roman"/>
                <w:b/>
                <w:bCs w:val="0"/>
                <w:color w:val="auto"/>
                <w:kern w:val="0"/>
                <w:sz w:val="21"/>
                <w:szCs w:val="21"/>
                <w:highlight w:val="none"/>
              </w:rPr>
              <w:t>分析方法依据</w:t>
            </w:r>
          </w:p>
        </w:tc>
        <w:tc>
          <w:tcPr>
            <w:tcW w:w="2500" w:type="pct"/>
            <w:tcBorders>
              <w:top w:val="single" w:color="auto" w:sz="4" w:space="0"/>
              <w:left w:val="single" w:color="auto" w:sz="4" w:space="0"/>
              <w:bottom w:val="single" w:color="auto" w:sz="4" w:space="0"/>
              <w:right w:val="single" w:color="auto" w:sz="4" w:space="0"/>
            </w:tcBorders>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b/>
                <w:bCs w:val="0"/>
                <w:color w:val="auto"/>
                <w:sz w:val="21"/>
                <w:szCs w:val="21"/>
                <w:highlight w:val="none"/>
              </w:rPr>
            </w:pPr>
            <w:r>
              <w:rPr>
                <w:rFonts w:hint="default" w:ascii="Times New Roman" w:hAnsi="Times New Roman" w:eastAsia="宋体" w:cs="Times New Roman"/>
                <w:b/>
                <w:bCs w:val="0"/>
                <w:color w:val="auto"/>
                <w:sz w:val="21"/>
                <w:szCs w:val="21"/>
                <w:highlight w:val="none"/>
              </w:rPr>
              <w:t>检测仪器</w:t>
            </w:r>
          </w:p>
        </w:tc>
        <w:tc>
          <w:tcPr>
            <w:tcW w:w="1000"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bCs w:val="0"/>
                <w:color w:val="auto"/>
                <w:kern w:val="0"/>
                <w:sz w:val="21"/>
                <w:szCs w:val="21"/>
                <w:highlight w:val="none"/>
              </w:rPr>
            </w:pPr>
            <w:r>
              <w:rPr>
                <w:rFonts w:hint="default" w:ascii="Times New Roman" w:hAnsi="Times New Roman" w:eastAsia="宋体" w:cs="Times New Roman"/>
                <w:b/>
                <w:bCs w:val="0"/>
                <w:color w:val="auto"/>
                <w:kern w:val="0"/>
                <w:sz w:val="21"/>
                <w:szCs w:val="21"/>
                <w:highlight w:val="none"/>
              </w:rPr>
              <w:t>检出限</w:t>
            </w:r>
          </w:p>
        </w:tc>
        <w:tc>
          <w:tcPr>
            <w:tcW w:w="1000"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bCs w:val="0"/>
                <w:color w:val="auto"/>
                <w:kern w:val="0"/>
                <w:sz w:val="21"/>
                <w:szCs w:val="21"/>
                <w:highlight w:val="none"/>
              </w:rPr>
            </w:pPr>
            <w:r>
              <w:rPr>
                <w:rFonts w:hint="default" w:ascii="Times New Roman" w:hAnsi="Times New Roman" w:eastAsia="宋体" w:cs="Times New Roman"/>
                <w:b/>
                <w:bCs w:val="0"/>
                <w:color w:val="auto"/>
                <w:kern w:val="0"/>
                <w:sz w:val="21"/>
                <w:szCs w:val="21"/>
                <w:highlight w:val="none"/>
              </w:rPr>
              <w:t>单位</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000"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TSP</w:t>
            </w:r>
          </w:p>
        </w:tc>
        <w:tc>
          <w:tcPr>
            <w:tcW w:w="1000"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《环境空气总悬浮颗粒物的测定重量法》HJ1263-2022</w:t>
            </w:r>
          </w:p>
        </w:tc>
        <w:tc>
          <w:tcPr>
            <w:tcW w:w="2500" w:type="pct"/>
            <w:tcBorders>
              <w:top w:val="single" w:color="auto" w:sz="4" w:space="0"/>
              <w:left w:val="single" w:color="auto" w:sz="4" w:space="0"/>
              <w:bottom w:val="single" w:color="auto" w:sz="4" w:space="0"/>
              <w:right w:val="single" w:color="auto" w:sz="4" w:space="0"/>
            </w:tcBorders>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明华MH1200全自动大气/颗粒物采样器-16代JT-41、JT-42、JT-43、JT-63</w:t>
            </w:r>
          </w:p>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崂应2050型空气/智能TSP综合采样JT-12</w:t>
            </w:r>
          </w:p>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AUW120DASSY岛津分析天平JT-135</w:t>
            </w:r>
          </w:p>
        </w:tc>
        <w:tc>
          <w:tcPr>
            <w:tcW w:w="1000" w:type="pct"/>
            <w:tcBorders>
              <w:top w:val="single" w:color="auto" w:sz="4" w:space="0"/>
              <w:left w:val="single" w:color="auto" w:sz="4" w:space="0"/>
              <w:bottom w:val="single" w:color="auto" w:sz="4" w:space="0"/>
              <w:right w:val="single" w:color="auto" w:sz="4" w:space="0"/>
            </w:tcBorders>
            <w:vAlign w:val="center"/>
          </w:tcPr>
          <w:p>
            <w:pPr>
              <w:pageBreakBefore w:val="0"/>
              <w:tabs>
                <w:tab w:val="left" w:pos="3870"/>
              </w:tabs>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bCs/>
                <w:color w:val="auto"/>
                <w:kern w:val="0"/>
                <w:sz w:val="21"/>
                <w:szCs w:val="21"/>
                <w:highlight w:val="none"/>
              </w:rPr>
              <w:t>0.007</w:t>
            </w:r>
          </w:p>
        </w:tc>
        <w:tc>
          <w:tcPr>
            <w:tcW w:w="1000"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bCs/>
                <w:color w:val="auto"/>
                <w:kern w:val="0"/>
                <w:sz w:val="21"/>
                <w:szCs w:val="21"/>
                <w:highlight w:val="none"/>
              </w:rPr>
              <w:t>mg/m</w:t>
            </w:r>
            <w:r>
              <w:rPr>
                <w:rFonts w:hint="default" w:ascii="Times New Roman" w:hAnsi="Times New Roman" w:eastAsia="宋体" w:cs="Times New Roman"/>
                <w:bCs/>
                <w:color w:val="auto"/>
                <w:kern w:val="0"/>
                <w:sz w:val="21"/>
                <w:szCs w:val="21"/>
                <w:highlight w:val="none"/>
                <w:vertAlign w:val="superscript"/>
              </w:rPr>
              <w:t>3</w:t>
            </w:r>
          </w:p>
        </w:tc>
      </w:tr>
    </w:tbl>
    <w:p>
      <w:pPr>
        <w:pageBreakBefore w:val="0"/>
        <w:wordWrap/>
        <w:bidi w:val="0"/>
        <w:spacing w:line="360" w:lineRule="auto"/>
        <w:ind w:left="0" w:leftChars="0" w:right="0" w:rightChars="0" w:firstLine="480" w:firstLineChars="200"/>
        <w:outlineLvl w:val="1"/>
        <w:rPr>
          <w:rFonts w:hint="default" w:ascii="Times New Roman" w:hAnsi="Times New Roman" w:eastAsia="宋体" w:cs="Times New Roman"/>
          <w:color w:val="auto"/>
          <w:sz w:val="24"/>
          <w:highlight w:val="none"/>
        </w:rPr>
      </w:pPr>
      <w:bookmarkStart w:id="794" w:name="_Toc5551"/>
      <w:bookmarkStart w:id="795" w:name="_Toc14504"/>
      <w:r>
        <w:rPr>
          <w:rFonts w:hint="default" w:ascii="Times New Roman" w:hAnsi="Times New Roman" w:eastAsia="宋体" w:cs="Times New Roman"/>
          <w:color w:val="auto"/>
          <w:sz w:val="24"/>
          <w:highlight w:val="none"/>
        </w:rPr>
        <w:t>④检测数据结果</w:t>
      </w:r>
      <w:bookmarkEnd w:id="794"/>
      <w:bookmarkEnd w:id="795"/>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监测结果见表5-5。</w:t>
      </w:r>
    </w:p>
    <w:p>
      <w:pPr>
        <w:pageBreakBefore w:val="0"/>
        <w:tabs>
          <w:tab w:val="left" w:pos="3062"/>
        </w:tabs>
        <w:wordWrap/>
        <w:bidi w:val="0"/>
        <w:spacing w:line="360" w:lineRule="auto"/>
        <w:ind w:left="0" w:leftChars="0" w:right="0" w:rightChars="0"/>
        <w:jc w:val="center"/>
        <w:rPr>
          <w:rFonts w:hint="default" w:ascii="Times New Roman" w:hAnsi="Times New Roman" w:eastAsia="宋体" w:cs="Times New Roman"/>
          <w:b/>
          <w:bCs/>
          <w:color w:val="auto"/>
          <w:sz w:val="24"/>
          <w:highlight w:val="none"/>
          <w:vertAlign w:val="superscript"/>
        </w:rPr>
      </w:pPr>
      <w:r>
        <w:rPr>
          <w:rFonts w:hint="default" w:ascii="Times New Roman" w:hAnsi="Times New Roman" w:eastAsia="宋体" w:cs="Times New Roman"/>
          <w:b/>
          <w:bCs/>
          <w:color w:val="auto"/>
          <w:sz w:val="24"/>
          <w:highlight w:val="none"/>
        </w:rPr>
        <w:t>表5-5环境空气质量监测结果（日均值</w:t>
      </w:r>
      <w:r>
        <w:rPr>
          <w:rFonts w:hint="default" w:ascii="Times New Roman" w:hAnsi="Times New Roman" w:eastAsia="宋体" w:cs="Times New Roman"/>
          <w:b/>
          <w:bCs/>
          <w:color w:val="auto"/>
          <w:sz w:val="24"/>
          <w:highlight w:val="none"/>
          <w:lang w:eastAsia="zh-CN"/>
        </w:rPr>
        <w:t>）</w:t>
      </w:r>
      <w:r>
        <w:rPr>
          <w:rFonts w:hint="default" w:ascii="Times New Roman" w:hAnsi="Times New Roman" w:eastAsia="宋体" w:cs="Times New Roman"/>
          <w:b/>
          <w:bCs/>
          <w:color w:val="auto"/>
          <w:sz w:val="24"/>
          <w:highlight w:val="none"/>
        </w:rPr>
        <w:t>单位</w:t>
      </w:r>
      <w:r>
        <w:rPr>
          <w:rFonts w:hint="default" w:ascii="Times New Roman" w:hAnsi="Times New Roman" w:eastAsia="宋体" w:cs="Times New Roman"/>
          <w:b/>
          <w:bCs/>
          <w:color w:val="auto"/>
          <w:sz w:val="24"/>
          <w:highlight w:val="none"/>
          <w:lang w:eastAsia="zh-CN"/>
        </w:rPr>
        <w:t>：</w:t>
      </w:r>
      <w:r>
        <w:rPr>
          <w:rFonts w:hint="default" w:ascii="Times New Roman" w:hAnsi="Times New Roman" w:eastAsia="宋体" w:cs="Times New Roman"/>
          <w:b/>
          <w:bCs/>
          <w:color w:val="auto"/>
          <w:sz w:val="24"/>
          <w:highlight w:val="none"/>
        </w:rPr>
        <w:t>mg/m</w:t>
      </w:r>
      <w:r>
        <w:rPr>
          <w:rFonts w:hint="default" w:ascii="Times New Roman" w:hAnsi="Times New Roman" w:eastAsia="宋体" w:cs="Times New Roman"/>
          <w:b/>
          <w:bCs/>
          <w:color w:val="auto"/>
          <w:sz w:val="24"/>
          <w:highlight w:val="none"/>
          <w:vertAlign w:val="superscript"/>
        </w:rPr>
        <w:t>3</w:t>
      </w:r>
    </w:p>
    <w:tbl>
      <w:tblPr>
        <w:tblStyle w:val="54"/>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575"/>
        <w:gridCol w:w="1431"/>
        <w:gridCol w:w="717"/>
        <w:gridCol w:w="1498"/>
        <w:gridCol w:w="1522"/>
        <w:gridCol w:w="1019"/>
        <w:gridCol w:w="827"/>
        <w:gridCol w:w="77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75" w:type="dxa"/>
            <w:tcBorders>
              <w:top w:val="single" w:color="auto" w:sz="4" w:space="0"/>
              <w:left w:val="single" w:color="auto" w:sz="4" w:space="0"/>
              <w:bottom w:val="single" w:color="auto" w:sz="4" w:space="0"/>
              <w:right w:val="single" w:color="auto" w:sz="4" w:space="0"/>
            </w:tcBorders>
            <w:tcMar>
              <w:left w:w="28" w:type="dxa"/>
              <w:right w:w="28" w:type="dxa"/>
            </w:tcMar>
            <w:vAlign w:val="center"/>
          </w:tcPr>
          <w:p>
            <w:pPr>
              <w:pageBreakBefore w:val="0"/>
              <w:wordWrap/>
              <w:bidi w:val="0"/>
              <w:ind w:left="0" w:leftChars="0" w:right="0" w:rightChars="0"/>
              <w:jc w:val="center"/>
              <w:rPr>
                <w:rFonts w:hint="default" w:ascii="Times New Roman" w:hAnsi="Times New Roman" w:eastAsia="宋体" w:cs="Times New Roman"/>
                <w:b/>
                <w:color w:val="auto"/>
                <w:kern w:val="0"/>
                <w:szCs w:val="21"/>
                <w:highlight w:val="none"/>
              </w:rPr>
            </w:pPr>
            <w:r>
              <w:rPr>
                <w:rFonts w:hint="default" w:ascii="Times New Roman" w:hAnsi="Times New Roman" w:eastAsia="宋体" w:cs="Times New Roman"/>
                <w:b/>
                <w:color w:val="auto"/>
                <w:kern w:val="0"/>
                <w:szCs w:val="21"/>
                <w:highlight w:val="none"/>
              </w:rPr>
              <w:t>监测点位</w:t>
            </w:r>
          </w:p>
        </w:tc>
        <w:tc>
          <w:tcPr>
            <w:tcW w:w="1432" w:type="dxa"/>
            <w:tcBorders>
              <w:top w:val="single" w:color="auto" w:sz="4" w:space="0"/>
              <w:left w:val="single" w:color="auto" w:sz="4" w:space="0"/>
              <w:bottom w:val="single" w:color="auto" w:sz="4" w:space="0"/>
              <w:right w:val="single" w:color="auto" w:sz="4" w:space="0"/>
            </w:tcBorders>
            <w:tcMar>
              <w:left w:w="28" w:type="dxa"/>
              <w:right w:w="28" w:type="dxa"/>
            </w:tcMar>
            <w:vAlign w:val="center"/>
          </w:tcPr>
          <w:p>
            <w:pPr>
              <w:pageBreakBefore w:val="0"/>
              <w:wordWrap/>
              <w:bidi w:val="0"/>
              <w:ind w:left="0" w:leftChars="0" w:right="0" w:rightChars="0"/>
              <w:jc w:val="center"/>
              <w:rPr>
                <w:rFonts w:hint="default" w:ascii="Times New Roman" w:hAnsi="Times New Roman" w:eastAsia="宋体" w:cs="Times New Roman"/>
                <w:b/>
                <w:color w:val="auto"/>
                <w:kern w:val="0"/>
                <w:szCs w:val="21"/>
                <w:highlight w:val="none"/>
              </w:rPr>
            </w:pPr>
            <w:r>
              <w:rPr>
                <w:rFonts w:hint="default" w:ascii="Times New Roman" w:hAnsi="Times New Roman" w:eastAsia="宋体" w:cs="Times New Roman"/>
                <w:b/>
                <w:color w:val="auto"/>
                <w:kern w:val="0"/>
                <w:szCs w:val="21"/>
                <w:highlight w:val="none"/>
              </w:rPr>
              <w:t>监测点坐标</w:t>
            </w:r>
          </w:p>
        </w:tc>
        <w:tc>
          <w:tcPr>
            <w:tcW w:w="718" w:type="dxa"/>
            <w:tcBorders>
              <w:top w:val="single" w:color="auto" w:sz="4" w:space="0"/>
              <w:left w:val="single" w:color="auto" w:sz="4" w:space="0"/>
              <w:bottom w:val="single" w:color="auto" w:sz="4" w:space="0"/>
              <w:right w:val="single" w:color="auto" w:sz="4" w:space="0"/>
            </w:tcBorders>
            <w:tcMar>
              <w:left w:w="28" w:type="dxa"/>
              <w:right w:w="28" w:type="dxa"/>
            </w:tcMar>
            <w:vAlign w:val="center"/>
          </w:tcPr>
          <w:p>
            <w:pPr>
              <w:pageBreakBefore w:val="0"/>
              <w:wordWrap/>
              <w:bidi w:val="0"/>
              <w:ind w:left="0" w:leftChars="0" w:right="0" w:rightChars="0"/>
              <w:jc w:val="center"/>
              <w:rPr>
                <w:rFonts w:hint="default" w:ascii="Times New Roman" w:hAnsi="Times New Roman" w:eastAsia="宋体" w:cs="Times New Roman"/>
                <w:b/>
                <w:color w:val="auto"/>
                <w:kern w:val="0"/>
                <w:szCs w:val="21"/>
                <w:highlight w:val="none"/>
              </w:rPr>
            </w:pPr>
            <w:r>
              <w:rPr>
                <w:rFonts w:hint="default" w:ascii="Times New Roman" w:hAnsi="Times New Roman" w:eastAsia="宋体" w:cs="Times New Roman"/>
                <w:b/>
                <w:color w:val="auto"/>
                <w:kern w:val="0"/>
                <w:szCs w:val="21"/>
                <w:highlight w:val="none"/>
              </w:rPr>
              <w:t>污染物</w:t>
            </w:r>
          </w:p>
        </w:tc>
        <w:tc>
          <w:tcPr>
            <w:tcW w:w="1499" w:type="dxa"/>
            <w:tcBorders>
              <w:top w:val="single" w:color="auto" w:sz="4" w:space="0"/>
              <w:left w:val="single" w:color="auto" w:sz="4" w:space="0"/>
              <w:bottom w:val="single" w:color="auto" w:sz="4" w:space="0"/>
              <w:right w:val="single" w:color="auto" w:sz="4" w:space="0"/>
            </w:tcBorders>
            <w:tcMar>
              <w:left w:w="28" w:type="dxa"/>
              <w:right w:w="28" w:type="dxa"/>
            </w:tcMar>
            <w:vAlign w:val="center"/>
          </w:tcPr>
          <w:p>
            <w:pPr>
              <w:pageBreakBefore w:val="0"/>
              <w:wordWrap/>
              <w:bidi w:val="0"/>
              <w:ind w:left="0" w:leftChars="0" w:right="0" w:rightChars="0"/>
              <w:jc w:val="center"/>
              <w:rPr>
                <w:rFonts w:hint="default" w:ascii="Times New Roman" w:hAnsi="Times New Roman" w:eastAsia="宋体" w:cs="Times New Roman"/>
                <w:b/>
                <w:color w:val="auto"/>
                <w:kern w:val="0"/>
                <w:szCs w:val="21"/>
                <w:highlight w:val="none"/>
              </w:rPr>
            </w:pPr>
            <w:r>
              <w:rPr>
                <w:rFonts w:hint="default" w:ascii="Times New Roman" w:hAnsi="Times New Roman" w:eastAsia="宋体" w:cs="Times New Roman"/>
                <w:b/>
                <w:color w:val="auto"/>
                <w:kern w:val="0"/>
                <w:szCs w:val="21"/>
                <w:highlight w:val="none"/>
              </w:rPr>
              <w:t>评价标准/</w:t>
            </w:r>
          </w:p>
          <w:p>
            <w:pPr>
              <w:pageBreakBefore w:val="0"/>
              <w:wordWrap/>
              <w:bidi w:val="0"/>
              <w:ind w:left="0" w:leftChars="0" w:right="0" w:rightChars="0"/>
              <w:jc w:val="center"/>
              <w:rPr>
                <w:rFonts w:hint="default" w:ascii="Times New Roman" w:hAnsi="Times New Roman" w:eastAsia="宋体" w:cs="Times New Roman"/>
                <w:b/>
                <w:color w:val="auto"/>
                <w:kern w:val="0"/>
                <w:szCs w:val="21"/>
                <w:highlight w:val="none"/>
                <w:lang w:eastAsia="zh-CN"/>
              </w:rPr>
            </w:pPr>
            <w:r>
              <w:rPr>
                <w:rFonts w:hint="default" w:ascii="Times New Roman" w:hAnsi="Times New Roman" w:eastAsia="宋体" w:cs="Times New Roman"/>
                <w:b/>
                <w:color w:val="auto"/>
                <w:kern w:val="0"/>
                <w:szCs w:val="21"/>
                <w:highlight w:val="none"/>
              </w:rPr>
              <w:t>（mg/m</w:t>
            </w:r>
            <w:r>
              <w:rPr>
                <w:rFonts w:hint="default" w:ascii="Times New Roman" w:hAnsi="Times New Roman" w:eastAsia="宋体" w:cs="Times New Roman"/>
                <w:b/>
                <w:color w:val="auto"/>
                <w:kern w:val="0"/>
                <w:szCs w:val="21"/>
                <w:highlight w:val="none"/>
                <w:vertAlign w:val="superscript"/>
              </w:rPr>
              <w:t>3</w:t>
            </w:r>
            <w:r>
              <w:rPr>
                <w:rFonts w:hint="default" w:ascii="Times New Roman" w:hAnsi="Times New Roman" w:eastAsia="宋体" w:cs="Times New Roman"/>
                <w:b/>
                <w:color w:val="auto"/>
                <w:kern w:val="0"/>
                <w:szCs w:val="21"/>
                <w:highlight w:val="none"/>
                <w:lang w:eastAsia="zh-CN"/>
              </w:rPr>
              <w:t>）</w:t>
            </w:r>
          </w:p>
        </w:tc>
        <w:tc>
          <w:tcPr>
            <w:tcW w:w="1523" w:type="dxa"/>
            <w:tcBorders>
              <w:top w:val="single" w:color="auto" w:sz="4" w:space="0"/>
              <w:left w:val="single" w:color="auto" w:sz="4" w:space="0"/>
              <w:bottom w:val="single" w:color="auto" w:sz="4" w:space="0"/>
              <w:right w:val="single" w:color="auto" w:sz="4" w:space="0"/>
            </w:tcBorders>
            <w:tcMar>
              <w:left w:w="28" w:type="dxa"/>
              <w:right w:w="28" w:type="dxa"/>
            </w:tcMar>
            <w:vAlign w:val="center"/>
          </w:tcPr>
          <w:p>
            <w:pPr>
              <w:pageBreakBefore w:val="0"/>
              <w:wordWrap/>
              <w:bidi w:val="0"/>
              <w:ind w:left="0" w:leftChars="0" w:right="0" w:rightChars="0"/>
              <w:jc w:val="center"/>
              <w:rPr>
                <w:rFonts w:hint="default" w:ascii="Times New Roman" w:hAnsi="Times New Roman" w:eastAsia="宋体" w:cs="Times New Roman"/>
                <w:b/>
                <w:color w:val="auto"/>
                <w:kern w:val="0"/>
                <w:szCs w:val="21"/>
                <w:highlight w:val="none"/>
              </w:rPr>
            </w:pPr>
            <w:r>
              <w:rPr>
                <w:rFonts w:hint="default" w:ascii="Times New Roman" w:hAnsi="Times New Roman" w:eastAsia="宋体" w:cs="Times New Roman"/>
                <w:b/>
                <w:color w:val="auto"/>
                <w:kern w:val="0"/>
                <w:szCs w:val="21"/>
                <w:highlight w:val="none"/>
              </w:rPr>
              <w:t>监测浓度范围/</w:t>
            </w:r>
          </w:p>
          <w:p>
            <w:pPr>
              <w:pageBreakBefore w:val="0"/>
              <w:wordWrap/>
              <w:bidi w:val="0"/>
              <w:ind w:left="0" w:leftChars="0" w:right="0" w:rightChars="0"/>
              <w:jc w:val="center"/>
              <w:rPr>
                <w:rFonts w:hint="default" w:ascii="Times New Roman" w:hAnsi="Times New Roman" w:eastAsia="宋体" w:cs="Times New Roman"/>
                <w:b/>
                <w:color w:val="auto"/>
                <w:kern w:val="0"/>
                <w:szCs w:val="21"/>
                <w:highlight w:val="none"/>
                <w:lang w:eastAsia="zh-CN"/>
              </w:rPr>
            </w:pPr>
            <w:r>
              <w:rPr>
                <w:rFonts w:hint="default" w:ascii="Times New Roman" w:hAnsi="Times New Roman" w:eastAsia="宋体" w:cs="Times New Roman"/>
                <w:b/>
                <w:color w:val="auto"/>
                <w:kern w:val="0"/>
                <w:szCs w:val="21"/>
                <w:highlight w:val="none"/>
              </w:rPr>
              <w:t>（mg/m</w:t>
            </w:r>
            <w:r>
              <w:rPr>
                <w:rFonts w:hint="default" w:ascii="Times New Roman" w:hAnsi="Times New Roman" w:eastAsia="宋体" w:cs="Times New Roman"/>
                <w:b/>
                <w:color w:val="auto"/>
                <w:kern w:val="0"/>
                <w:szCs w:val="21"/>
                <w:highlight w:val="none"/>
                <w:vertAlign w:val="superscript"/>
              </w:rPr>
              <w:t>3</w:t>
            </w:r>
            <w:r>
              <w:rPr>
                <w:rFonts w:hint="default" w:ascii="Times New Roman" w:hAnsi="Times New Roman" w:eastAsia="宋体" w:cs="Times New Roman"/>
                <w:b/>
                <w:color w:val="auto"/>
                <w:kern w:val="0"/>
                <w:szCs w:val="21"/>
                <w:highlight w:val="none"/>
                <w:lang w:eastAsia="zh-CN"/>
              </w:rPr>
              <w:t>）</w:t>
            </w:r>
          </w:p>
        </w:tc>
        <w:tc>
          <w:tcPr>
            <w:tcW w:w="1020" w:type="dxa"/>
            <w:tcBorders>
              <w:top w:val="single" w:color="auto" w:sz="4" w:space="0"/>
              <w:left w:val="single" w:color="auto" w:sz="4" w:space="0"/>
              <w:bottom w:val="single" w:color="auto" w:sz="4" w:space="0"/>
              <w:right w:val="single" w:color="auto" w:sz="4" w:space="0"/>
            </w:tcBorders>
            <w:tcMar>
              <w:left w:w="28" w:type="dxa"/>
              <w:right w:w="28" w:type="dxa"/>
            </w:tcMar>
            <w:vAlign w:val="center"/>
          </w:tcPr>
          <w:p>
            <w:pPr>
              <w:pageBreakBefore w:val="0"/>
              <w:wordWrap/>
              <w:bidi w:val="0"/>
              <w:ind w:left="0" w:leftChars="0" w:right="0" w:rightChars="0"/>
              <w:jc w:val="center"/>
              <w:rPr>
                <w:rFonts w:hint="default" w:ascii="Times New Roman" w:hAnsi="Times New Roman" w:eastAsia="宋体" w:cs="Times New Roman"/>
                <w:b/>
                <w:color w:val="auto"/>
                <w:kern w:val="0"/>
                <w:szCs w:val="21"/>
                <w:highlight w:val="none"/>
              </w:rPr>
            </w:pPr>
            <w:r>
              <w:rPr>
                <w:rFonts w:hint="default" w:ascii="Times New Roman" w:hAnsi="Times New Roman" w:eastAsia="宋体" w:cs="Times New Roman"/>
                <w:b/>
                <w:color w:val="auto"/>
                <w:kern w:val="0"/>
                <w:szCs w:val="21"/>
                <w:highlight w:val="none"/>
              </w:rPr>
              <w:t>最大浓度</w:t>
            </w:r>
          </w:p>
          <w:p>
            <w:pPr>
              <w:pageBreakBefore w:val="0"/>
              <w:wordWrap/>
              <w:bidi w:val="0"/>
              <w:ind w:left="0" w:leftChars="0" w:right="0" w:rightChars="0"/>
              <w:jc w:val="center"/>
              <w:rPr>
                <w:rFonts w:hint="default" w:ascii="Times New Roman" w:hAnsi="Times New Roman" w:eastAsia="宋体" w:cs="Times New Roman"/>
                <w:b/>
                <w:color w:val="auto"/>
                <w:kern w:val="0"/>
                <w:szCs w:val="21"/>
                <w:highlight w:val="none"/>
              </w:rPr>
            </w:pPr>
            <w:r>
              <w:rPr>
                <w:rFonts w:hint="default" w:ascii="Times New Roman" w:hAnsi="Times New Roman" w:eastAsia="宋体" w:cs="Times New Roman"/>
                <w:b/>
                <w:color w:val="auto"/>
                <w:kern w:val="0"/>
                <w:szCs w:val="21"/>
                <w:highlight w:val="none"/>
              </w:rPr>
              <w:t>占标率/%</w:t>
            </w:r>
          </w:p>
        </w:tc>
        <w:tc>
          <w:tcPr>
            <w:tcW w:w="827" w:type="dxa"/>
            <w:tcBorders>
              <w:top w:val="single" w:color="auto" w:sz="4" w:space="0"/>
              <w:left w:val="single" w:color="auto" w:sz="4" w:space="0"/>
              <w:bottom w:val="single" w:color="auto" w:sz="4" w:space="0"/>
              <w:right w:val="single" w:color="auto" w:sz="4" w:space="0"/>
            </w:tcBorders>
            <w:tcMar>
              <w:left w:w="28" w:type="dxa"/>
              <w:right w:w="28" w:type="dxa"/>
            </w:tcMar>
            <w:vAlign w:val="center"/>
          </w:tcPr>
          <w:p>
            <w:pPr>
              <w:pageBreakBefore w:val="0"/>
              <w:wordWrap/>
              <w:bidi w:val="0"/>
              <w:ind w:left="0" w:leftChars="0" w:right="0" w:rightChars="0"/>
              <w:jc w:val="center"/>
              <w:rPr>
                <w:rFonts w:hint="default" w:ascii="Times New Roman" w:hAnsi="Times New Roman" w:eastAsia="宋体" w:cs="Times New Roman"/>
                <w:b/>
                <w:color w:val="auto"/>
                <w:kern w:val="0"/>
                <w:szCs w:val="21"/>
                <w:highlight w:val="none"/>
              </w:rPr>
            </w:pPr>
            <w:r>
              <w:rPr>
                <w:rFonts w:hint="default" w:ascii="Times New Roman" w:hAnsi="Times New Roman" w:eastAsia="宋体" w:cs="Times New Roman"/>
                <w:b/>
                <w:color w:val="auto"/>
                <w:kern w:val="0"/>
                <w:szCs w:val="21"/>
                <w:highlight w:val="none"/>
              </w:rPr>
              <w:t>超标率/</w:t>
            </w:r>
          </w:p>
          <w:p>
            <w:pPr>
              <w:pageBreakBefore w:val="0"/>
              <w:wordWrap/>
              <w:bidi w:val="0"/>
              <w:ind w:left="0" w:leftChars="0" w:right="0" w:rightChars="0"/>
              <w:jc w:val="center"/>
              <w:rPr>
                <w:rFonts w:hint="default" w:ascii="Times New Roman" w:hAnsi="Times New Roman" w:eastAsia="宋体" w:cs="Times New Roman"/>
                <w:b/>
                <w:color w:val="auto"/>
                <w:kern w:val="0"/>
                <w:szCs w:val="21"/>
                <w:highlight w:val="none"/>
              </w:rPr>
            </w:pPr>
            <w:r>
              <w:rPr>
                <w:rFonts w:hint="default" w:ascii="Times New Roman" w:hAnsi="Times New Roman" w:eastAsia="宋体" w:cs="Times New Roman"/>
                <w:b/>
                <w:color w:val="auto"/>
                <w:kern w:val="0"/>
                <w:szCs w:val="21"/>
                <w:highlight w:val="none"/>
              </w:rPr>
              <w:t>%</w:t>
            </w:r>
          </w:p>
        </w:tc>
        <w:tc>
          <w:tcPr>
            <w:tcW w:w="774" w:type="dxa"/>
            <w:tcBorders>
              <w:top w:val="single" w:color="auto" w:sz="4" w:space="0"/>
              <w:left w:val="single" w:color="auto" w:sz="4" w:space="0"/>
              <w:bottom w:val="single" w:color="auto" w:sz="4" w:space="0"/>
              <w:right w:val="single" w:color="auto" w:sz="4" w:space="0"/>
            </w:tcBorders>
            <w:tcMar>
              <w:left w:w="28" w:type="dxa"/>
              <w:right w:w="28" w:type="dxa"/>
            </w:tcMar>
            <w:vAlign w:val="center"/>
          </w:tcPr>
          <w:p>
            <w:pPr>
              <w:pageBreakBefore w:val="0"/>
              <w:wordWrap/>
              <w:bidi w:val="0"/>
              <w:ind w:left="0" w:leftChars="0" w:right="0" w:rightChars="0"/>
              <w:jc w:val="center"/>
              <w:rPr>
                <w:rFonts w:hint="default" w:ascii="Times New Roman" w:hAnsi="Times New Roman" w:eastAsia="宋体" w:cs="Times New Roman"/>
                <w:b/>
                <w:color w:val="auto"/>
                <w:kern w:val="0"/>
                <w:szCs w:val="21"/>
                <w:highlight w:val="none"/>
              </w:rPr>
            </w:pPr>
            <w:r>
              <w:rPr>
                <w:rFonts w:hint="default" w:ascii="Times New Roman" w:hAnsi="Times New Roman" w:eastAsia="宋体" w:cs="Times New Roman"/>
                <w:b/>
                <w:color w:val="auto"/>
                <w:kern w:val="0"/>
                <w:szCs w:val="21"/>
                <w:highlight w:val="none"/>
              </w:rPr>
              <w:t>达标</w:t>
            </w:r>
          </w:p>
          <w:p>
            <w:pPr>
              <w:pageBreakBefore w:val="0"/>
              <w:wordWrap/>
              <w:bidi w:val="0"/>
              <w:ind w:left="0" w:leftChars="0" w:right="0" w:rightChars="0"/>
              <w:jc w:val="center"/>
              <w:rPr>
                <w:rFonts w:hint="default" w:ascii="Times New Roman" w:hAnsi="Times New Roman" w:eastAsia="宋体" w:cs="Times New Roman"/>
                <w:b/>
                <w:color w:val="auto"/>
                <w:kern w:val="0"/>
                <w:szCs w:val="21"/>
                <w:highlight w:val="none"/>
              </w:rPr>
            </w:pPr>
            <w:r>
              <w:rPr>
                <w:rFonts w:hint="default" w:ascii="Times New Roman" w:hAnsi="Times New Roman" w:eastAsia="宋体" w:cs="Times New Roman"/>
                <w:b/>
                <w:color w:val="auto"/>
                <w:kern w:val="0"/>
                <w:szCs w:val="21"/>
                <w:highlight w:val="none"/>
              </w:rPr>
              <w:t>情况</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75" w:type="dxa"/>
            <w:tcBorders>
              <w:top w:val="single" w:color="auto" w:sz="4" w:space="0"/>
              <w:left w:val="single" w:color="auto" w:sz="4" w:space="0"/>
              <w:bottom w:val="single" w:color="auto" w:sz="4" w:space="0"/>
              <w:right w:val="single" w:color="auto" w:sz="4" w:space="0"/>
            </w:tcBorders>
            <w:tcMar>
              <w:left w:w="28" w:type="dxa"/>
              <w:right w:w="28" w:type="dxa"/>
            </w:tcMar>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kern w:val="0"/>
                <w:szCs w:val="21"/>
                <w:highlight w:val="none"/>
              </w:rPr>
              <w:t>项目区</w:t>
            </w:r>
          </w:p>
        </w:tc>
        <w:tc>
          <w:tcPr>
            <w:tcW w:w="1432" w:type="dxa"/>
            <w:tcBorders>
              <w:top w:val="single" w:color="auto" w:sz="4" w:space="0"/>
              <w:left w:val="single" w:color="auto" w:sz="4" w:space="0"/>
              <w:bottom w:val="single" w:color="auto" w:sz="4" w:space="0"/>
              <w:right w:val="single" w:color="auto" w:sz="4" w:space="0"/>
            </w:tcBorders>
            <w:tcMar>
              <w:left w:w="28" w:type="dxa"/>
              <w:right w:w="28" w:type="dxa"/>
            </w:tcMar>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E109°25′39.06″</w:t>
            </w:r>
          </w:p>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N40°48′07.03</w:t>
            </w:r>
          </w:p>
        </w:tc>
        <w:tc>
          <w:tcPr>
            <w:tcW w:w="718" w:type="dxa"/>
            <w:tcBorders>
              <w:top w:val="single" w:color="auto" w:sz="4" w:space="0"/>
              <w:left w:val="single" w:color="auto" w:sz="4" w:space="0"/>
              <w:bottom w:val="single" w:color="auto" w:sz="4" w:space="0"/>
              <w:right w:val="single" w:color="auto" w:sz="4" w:space="0"/>
            </w:tcBorders>
            <w:tcMar>
              <w:left w:w="28" w:type="dxa"/>
              <w:right w:w="28" w:type="dxa"/>
            </w:tcMar>
            <w:vAlign w:val="center"/>
          </w:tcPr>
          <w:p>
            <w:pPr>
              <w:pageBreakBefore w:val="0"/>
              <w:wordWrap/>
              <w:bidi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TSP</w:t>
            </w:r>
          </w:p>
        </w:tc>
        <w:tc>
          <w:tcPr>
            <w:tcW w:w="1499" w:type="dxa"/>
            <w:tcBorders>
              <w:top w:val="single" w:color="auto" w:sz="4" w:space="0"/>
              <w:left w:val="single" w:color="auto" w:sz="4" w:space="0"/>
              <w:bottom w:val="single" w:color="auto" w:sz="4" w:space="0"/>
              <w:right w:val="single" w:color="auto" w:sz="4" w:space="0"/>
            </w:tcBorders>
            <w:tcMar>
              <w:left w:w="28" w:type="dxa"/>
              <w:right w:w="28" w:type="dxa"/>
            </w:tcMar>
            <w:vAlign w:val="center"/>
          </w:tcPr>
          <w:p>
            <w:pPr>
              <w:pageBreakBefore w:val="0"/>
              <w:wordWrap/>
              <w:bidi w:val="0"/>
              <w:ind w:left="0" w:leftChars="0" w:right="0" w:rightChars="0"/>
              <w:jc w:val="center"/>
              <w:rPr>
                <w:rFonts w:hint="default" w:ascii="Times New Roman" w:hAnsi="Times New Roman" w:eastAsia="宋体" w:cs="Times New Roman"/>
                <w:color w:val="auto"/>
                <w:kern w:val="0"/>
                <w:szCs w:val="21"/>
                <w:highlight w:val="none"/>
                <w:lang w:eastAsia="zh-CN"/>
              </w:rPr>
            </w:pPr>
            <w:r>
              <w:rPr>
                <w:rFonts w:hint="default" w:ascii="Times New Roman" w:hAnsi="Times New Roman" w:eastAsia="宋体" w:cs="Times New Roman"/>
                <w:color w:val="auto"/>
                <w:kern w:val="0"/>
                <w:szCs w:val="21"/>
                <w:highlight w:val="none"/>
              </w:rPr>
              <w:t>0.3（24小时平均浓度</w:t>
            </w:r>
            <w:r>
              <w:rPr>
                <w:rFonts w:hint="default" w:ascii="Times New Roman" w:hAnsi="Times New Roman" w:eastAsia="宋体" w:cs="Times New Roman"/>
                <w:color w:val="auto"/>
                <w:kern w:val="0"/>
                <w:szCs w:val="21"/>
                <w:highlight w:val="none"/>
                <w:lang w:eastAsia="zh-CN"/>
              </w:rPr>
              <w:t>）</w:t>
            </w:r>
          </w:p>
        </w:tc>
        <w:tc>
          <w:tcPr>
            <w:tcW w:w="1523" w:type="dxa"/>
            <w:tcBorders>
              <w:top w:val="single" w:color="auto" w:sz="4" w:space="0"/>
              <w:left w:val="single" w:color="auto" w:sz="4" w:space="0"/>
              <w:bottom w:val="single" w:color="auto" w:sz="4" w:space="0"/>
              <w:right w:val="single" w:color="auto" w:sz="4" w:space="0"/>
            </w:tcBorders>
            <w:tcMar>
              <w:left w:w="28" w:type="dxa"/>
              <w:right w:w="28" w:type="dxa"/>
            </w:tcMar>
            <w:vAlign w:val="center"/>
          </w:tcPr>
          <w:p>
            <w:pPr>
              <w:pageBreakBefore w:val="0"/>
              <w:wordWrap/>
              <w:bidi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0.231~0.259</w:t>
            </w:r>
          </w:p>
        </w:tc>
        <w:tc>
          <w:tcPr>
            <w:tcW w:w="1020" w:type="dxa"/>
            <w:tcBorders>
              <w:top w:val="single" w:color="auto" w:sz="4" w:space="0"/>
              <w:left w:val="single" w:color="auto" w:sz="4" w:space="0"/>
              <w:bottom w:val="single" w:color="auto" w:sz="4" w:space="0"/>
              <w:right w:val="single" w:color="auto" w:sz="4" w:space="0"/>
            </w:tcBorders>
            <w:tcMar>
              <w:left w:w="28" w:type="dxa"/>
              <w:right w:w="28" w:type="dxa"/>
            </w:tcMar>
            <w:vAlign w:val="center"/>
          </w:tcPr>
          <w:p>
            <w:pPr>
              <w:pageBreakBefore w:val="0"/>
              <w:wordWrap/>
              <w:bidi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86.3%</w:t>
            </w:r>
          </w:p>
        </w:tc>
        <w:tc>
          <w:tcPr>
            <w:tcW w:w="827" w:type="dxa"/>
            <w:tcBorders>
              <w:top w:val="single" w:color="auto" w:sz="4" w:space="0"/>
              <w:left w:val="single" w:color="auto" w:sz="4" w:space="0"/>
              <w:bottom w:val="single" w:color="auto" w:sz="4" w:space="0"/>
              <w:right w:val="single" w:color="auto" w:sz="4" w:space="0"/>
            </w:tcBorders>
            <w:tcMar>
              <w:left w:w="28" w:type="dxa"/>
              <w:right w:w="28" w:type="dxa"/>
            </w:tcMar>
            <w:vAlign w:val="center"/>
          </w:tcPr>
          <w:p>
            <w:pPr>
              <w:pageBreakBefore w:val="0"/>
              <w:wordWrap/>
              <w:bidi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w:t>
            </w:r>
          </w:p>
        </w:tc>
        <w:tc>
          <w:tcPr>
            <w:tcW w:w="774" w:type="dxa"/>
            <w:tcBorders>
              <w:top w:val="single" w:color="auto" w:sz="4" w:space="0"/>
              <w:left w:val="single" w:color="auto" w:sz="4" w:space="0"/>
              <w:bottom w:val="single" w:color="auto" w:sz="4" w:space="0"/>
              <w:right w:val="single" w:color="auto" w:sz="4" w:space="0"/>
            </w:tcBorders>
            <w:tcMar>
              <w:left w:w="28" w:type="dxa"/>
              <w:right w:w="28" w:type="dxa"/>
            </w:tcMar>
            <w:vAlign w:val="center"/>
          </w:tcPr>
          <w:p>
            <w:pPr>
              <w:pageBreakBefore w:val="0"/>
              <w:wordWrap/>
              <w:bidi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达标</w:t>
            </w:r>
          </w:p>
        </w:tc>
      </w:tr>
    </w:tbl>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由以上的监测数据可知</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监测点TSP监测浓度为0.231</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0.259mg/m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最大浓度占标率为86.3%</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超标率为0。因此</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本项目所在区域的TSP日均值能满足《环境空气质量标准》（HJ3095-2012</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中的二级标准限值要求。</w:t>
      </w:r>
    </w:p>
    <w:p>
      <w:pPr>
        <w:pStyle w:val="4"/>
        <w:pageBreakBefore w:val="0"/>
        <w:numPr>
          <w:ilvl w:val="1"/>
          <w:numId w:val="0"/>
        </w:numPr>
        <w:wordWrap/>
        <w:bidi w:val="0"/>
        <w:ind w:left="0" w:leftChars="0" w:right="0" w:rightChars="0" w:firstLine="0" w:firstLineChars="0"/>
        <w:outlineLvl w:val="2"/>
        <w:rPr>
          <w:rFonts w:hint="default" w:ascii="Times New Roman" w:hAnsi="Times New Roman" w:eastAsia="宋体" w:cs="Times New Roman"/>
          <w:b/>
          <w:bCs/>
          <w:color w:val="auto"/>
          <w:highlight w:val="none"/>
        </w:rPr>
      </w:pPr>
      <w:bookmarkStart w:id="796" w:name="_Toc194733319"/>
      <w:bookmarkStart w:id="797" w:name="_Toc288306220"/>
      <w:bookmarkStart w:id="798" w:name="_Toc260567924"/>
      <w:bookmarkStart w:id="799" w:name="_Toc8526"/>
      <w:bookmarkStart w:id="800" w:name="_Toc11334"/>
      <w:r>
        <w:rPr>
          <w:rFonts w:hint="default" w:ascii="Times New Roman" w:hAnsi="Times New Roman" w:eastAsia="宋体" w:cs="Times New Roman"/>
          <w:b/>
          <w:bCs/>
          <w:i w:val="0"/>
          <w:color w:val="auto"/>
          <w:kern w:val="2"/>
          <w:sz w:val="28"/>
          <w:szCs w:val="28"/>
          <w:highlight w:val="none"/>
          <w:lang w:val="en-US" w:eastAsia="zh-CN" w:bidi="ar-SA"/>
        </w:rPr>
        <w:t>5.2</w:t>
      </w:r>
      <w:r>
        <w:rPr>
          <w:rFonts w:hint="default" w:ascii="Times New Roman" w:hAnsi="Times New Roman" w:eastAsia="宋体" w:cs="Times New Roman"/>
          <w:b/>
          <w:bCs/>
          <w:color w:val="auto"/>
          <w:highlight w:val="none"/>
        </w:rPr>
        <w:t>声环境质量现状</w:t>
      </w:r>
      <w:bookmarkEnd w:id="796"/>
      <w:bookmarkEnd w:id="797"/>
      <w:bookmarkEnd w:id="798"/>
      <w:r>
        <w:rPr>
          <w:rFonts w:hint="default" w:ascii="Times New Roman" w:hAnsi="Times New Roman" w:eastAsia="宋体" w:cs="Times New Roman"/>
          <w:b/>
          <w:bCs/>
          <w:color w:val="auto"/>
          <w:highlight w:val="none"/>
        </w:rPr>
        <w:t>监测与评价</w:t>
      </w:r>
      <w:bookmarkEnd w:id="799"/>
      <w:bookmarkEnd w:id="800"/>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bCs/>
          <w:color w:val="auto"/>
          <w:sz w:val="24"/>
          <w:highlight w:val="none"/>
        </w:rPr>
        <w:t>本项目委托内蒙古加通环境检测治理有限公司对本项目四周噪声进行监测。</w:t>
      </w:r>
    </w:p>
    <w:p>
      <w:pPr>
        <w:pStyle w:val="5"/>
        <w:pageBreakBefore w:val="0"/>
        <w:numPr>
          <w:ilvl w:val="2"/>
          <w:numId w:val="0"/>
        </w:numPr>
        <w:wordWrap/>
        <w:bidi w:val="0"/>
        <w:ind w:left="0" w:leftChars="0" w:right="0" w:rightChars="0"/>
        <w:rPr>
          <w:rFonts w:hint="default" w:ascii="Times New Roman" w:hAnsi="Times New Roman" w:eastAsia="宋体" w:cs="Times New Roman"/>
          <w:b/>
          <w:bCs/>
          <w:color w:val="auto"/>
          <w:highlight w:val="none"/>
        </w:rPr>
      </w:pPr>
      <w:bookmarkStart w:id="801" w:name="_Toc114910534"/>
      <w:bookmarkStart w:id="802" w:name="_Toc112166109"/>
      <w:bookmarkStart w:id="803" w:name="_Toc112640308"/>
      <w:bookmarkStart w:id="804" w:name="_Toc9337"/>
      <w:bookmarkStart w:id="805" w:name="_Toc31216"/>
      <w:bookmarkStart w:id="806" w:name="_Toc260567925"/>
      <w:bookmarkStart w:id="807" w:name="_Toc147046725"/>
      <w:bookmarkStart w:id="808" w:name="_Toc288306221"/>
      <w:r>
        <w:rPr>
          <w:rFonts w:hint="default" w:ascii="Times New Roman" w:hAnsi="Times New Roman" w:eastAsia="宋体" w:cs="Times New Roman"/>
          <w:b/>
          <w:bCs/>
          <w:i w:val="0"/>
          <w:iCs w:val="0"/>
          <w:caps w:val="0"/>
          <w:smallCaps w:val="0"/>
          <w:strike w:val="0"/>
          <w:dstrike w:val="0"/>
          <w:vanish w:val="0"/>
          <w:color w:val="auto"/>
          <w:spacing w:val="0"/>
          <w:kern w:val="2"/>
          <w:position w:val="0"/>
          <w:sz w:val="24"/>
          <w:szCs w:val="24"/>
          <w:highlight w:val="none"/>
          <w:u w:val="none"/>
          <w:vertAlign w:val="baseline"/>
          <w:lang w:val="en-US" w:eastAsia="zh-CN" w:bidi="ar-SA"/>
          <w14:shadow w14:blurRad="0" w14:dist="0" w14:dir="0" w14:sx="0" w14:sy="0" w14:kx="0" w14:ky="0" w14:algn="none">
            <w14:srgbClr w14:val="000000"/>
          </w14:shadow>
        </w:rPr>
        <w:t>5.2.1</w:t>
      </w:r>
      <w:r>
        <w:rPr>
          <w:rFonts w:hint="default" w:ascii="Times New Roman" w:hAnsi="Times New Roman" w:eastAsia="宋体" w:cs="Times New Roman"/>
          <w:b/>
          <w:bCs/>
          <w:color w:val="auto"/>
          <w:highlight w:val="none"/>
        </w:rPr>
        <w:t>环境噪声现状测量</w:t>
      </w:r>
      <w:bookmarkEnd w:id="801"/>
      <w:bookmarkEnd w:id="802"/>
      <w:bookmarkEnd w:id="803"/>
      <w:bookmarkEnd w:id="804"/>
      <w:bookmarkEnd w:id="805"/>
      <w:bookmarkEnd w:id="806"/>
      <w:bookmarkEnd w:id="807"/>
      <w:bookmarkEnd w:id="808"/>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0"/>
        <w:rPr>
          <w:rFonts w:hint="default" w:ascii="Times New Roman" w:hAnsi="Times New Roman" w:eastAsia="宋体" w:cs="Times New Roman"/>
          <w:color w:val="auto"/>
          <w:sz w:val="24"/>
          <w:szCs w:val="24"/>
          <w:highlight w:val="none"/>
        </w:rPr>
      </w:pPr>
      <w:bookmarkStart w:id="809" w:name="_Toc19295"/>
      <w:bookmarkStart w:id="810" w:name="_Toc10541"/>
      <w:r>
        <w:rPr>
          <w:rFonts w:hint="default" w:ascii="Times New Roman" w:hAnsi="Times New Roman" w:eastAsia="宋体" w:cs="Times New Roman"/>
          <w:color w:val="auto"/>
          <w:sz w:val="24"/>
          <w:szCs w:val="24"/>
          <w:highlight w:val="none"/>
        </w:rPr>
        <w:t>（1</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测量仪器与方法</w:t>
      </w:r>
      <w:bookmarkEnd w:id="809"/>
      <w:bookmarkEnd w:id="810"/>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504" w:firstLineChars="200"/>
        <w:jc w:val="left"/>
        <w:textAlignment w:val="auto"/>
        <w:rPr>
          <w:rFonts w:hint="default" w:ascii="Times New Roman" w:hAnsi="Times New Roman" w:eastAsia="宋体" w:cs="Times New Roman"/>
          <w:bCs/>
          <w:color w:val="auto"/>
          <w:spacing w:val="6"/>
          <w:kern w:val="0"/>
          <w:sz w:val="24"/>
          <w:szCs w:val="24"/>
          <w:highlight w:val="none"/>
        </w:rPr>
      </w:pPr>
      <w:r>
        <w:rPr>
          <w:rFonts w:hint="default" w:ascii="Times New Roman" w:hAnsi="Times New Roman" w:eastAsia="宋体" w:cs="Times New Roman"/>
          <w:bCs/>
          <w:color w:val="auto"/>
          <w:spacing w:val="6"/>
          <w:kern w:val="0"/>
          <w:sz w:val="24"/>
          <w:szCs w:val="24"/>
          <w:highlight w:val="none"/>
        </w:rPr>
        <w:t>环境噪声现状测量使用AWA6228+多功能声级计JT-190</w:t>
      </w:r>
      <w:r>
        <w:rPr>
          <w:rFonts w:hint="default" w:ascii="Times New Roman" w:hAnsi="Times New Roman" w:eastAsia="宋体" w:cs="Times New Roman"/>
          <w:bCs/>
          <w:color w:val="auto"/>
          <w:spacing w:val="6"/>
          <w:kern w:val="0"/>
          <w:sz w:val="24"/>
          <w:szCs w:val="24"/>
          <w:highlight w:val="none"/>
          <w:lang w:eastAsia="zh-CN"/>
        </w:rPr>
        <w:t>，</w:t>
      </w:r>
      <w:r>
        <w:rPr>
          <w:rFonts w:hint="default" w:ascii="Times New Roman" w:hAnsi="Times New Roman" w:eastAsia="宋体" w:cs="Times New Roman"/>
          <w:bCs/>
          <w:color w:val="auto"/>
          <w:spacing w:val="6"/>
          <w:kern w:val="0"/>
          <w:sz w:val="24"/>
          <w:szCs w:val="24"/>
          <w:highlight w:val="none"/>
        </w:rPr>
        <w:t>测量前进行校正。测量方法采用《声环境质量标准》（GB3096-2008</w:t>
      </w:r>
      <w:r>
        <w:rPr>
          <w:rFonts w:hint="default" w:ascii="Times New Roman" w:hAnsi="Times New Roman" w:eastAsia="宋体" w:cs="Times New Roman"/>
          <w:bCs/>
          <w:color w:val="auto"/>
          <w:spacing w:val="6"/>
          <w:kern w:val="0"/>
          <w:sz w:val="24"/>
          <w:szCs w:val="24"/>
          <w:highlight w:val="none"/>
          <w:lang w:eastAsia="zh-CN"/>
        </w:rPr>
        <w:t>）</w:t>
      </w:r>
      <w:r>
        <w:rPr>
          <w:rFonts w:hint="default" w:ascii="Times New Roman" w:hAnsi="Times New Roman" w:eastAsia="宋体" w:cs="Times New Roman"/>
          <w:bCs/>
          <w:color w:val="auto"/>
          <w:spacing w:val="6"/>
          <w:kern w:val="0"/>
          <w:sz w:val="24"/>
          <w:szCs w:val="24"/>
          <w:highlight w:val="none"/>
        </w:rPr>
        <w:t>中规定的方法。</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0"/>
        <w:rPr>
          <w:rFonts w:hint="default" w:ascii="Times New Roman" w:hAnsi="Times New Roman" w:eastAsia="宋体" w:cs="Times New Roman"/>
          <w:color w:val="auto"/>
          <w:sz w:val="24"/>
          <w:szCs w:val="24"/>
          <w:highlight w:val="none"/>
        </w:rPr>
      </w:pPr>
      <w:bookmarkStart w:id="811" w:name="_Toc10771"/>
      <w:bookmarkStart w:id="812" w:name="_Toc12188"/>
      <w:r>
        <w:rPr>
          <w:rFonts w:hint="default" w:ascii="Times New Roman" w:hAnsi="Times New Roman" w:eastAsia="宋体" w:cs="Times New Roman"/>
          <w:color w:val="auto"/>
          <w:sz w:val="24"/>
          <w:szCs w:val="24"/>
          <w:highlight w:val="none"/>
        </w:rPr>
        <w:t>（2</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测量时间与条件</w:t>
      </w:r>
      <w:bookmarkEnd w:id="811"/>
      <w:bookmarkEnd w:id="812"/>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left"/>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测量于2023年4月16日白天和夜间（昼夜各一次</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。测量时天气晴朗、风速小于5m/s</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符合噪声测量气象条件。</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0"/>
        <w:rPr>
          <w:rFonts w:hint="default" w:ascii="Times New Roman" w:hAnsi="Times New Roman" w:eastAsia="宋体" w:cs="Times New Roman"/>
          <w:color w:val="auto"/>
          <w:sz w:val="24"/>
          <w:szCs w:val="24"/>
          <w:highlight w:val="none"/>
        </w:rPr>
      </w:pPr>
      <w:bookmarkStart w:id="813" w:name="_Toc10638"/>
      <w:bookmarkStart w:id="814" w:name="_Toc2398"/>
      <w:r>
        <w:rPr>
          <w:rFonts w:hint="default" w:ascii="Times New Roman" w:hAnsi="Times New Roman" w:eastAsia="宋体" w:cs="Times New Roman"/>
          <w:color w:val="auto"/>
          <w:sz w:val="24"/>
          <w:szCs w:val="24"/>
          <w:highlight w:val="none"/>
        </w:rPr>
        <w:t>（3</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测量布点</w:t>
      </w:r>
      <w:bookmarkEnd w:id="813"/>
      <w:bookmarkEnd w:id="814"/>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left"/>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选择本项目四周共布设检测点6处。</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0"/>
        <w:rPr>
          <w:rFonts w:hint="default" w:ascii="Times New Roman" w:hAnsi="Times New Roman" w:eastAsia="宋体" w:cs="Times New Roman"/>
          <w:color w:val="auto"/>
          <w:sz w:val="24"/>
          <w:szCs w:val="24"/>
          <w:highlight w:val="none"/>
        </w:rPr>
      </w:pPr>
      <w:bookmarkStart w:id="815" w:name="_Toc19781"/>
      <w:bookmarkStart w:id="816" w:name="_Toc29914"/>
      <w:r>
        <w:rPr>
          <w:rFonts w:hint="default" w:ascii="Times New Roman" w:hAnsi="Times New Roman" w:eastAsia="宋体" w:cs="Times New Roman"/>
          <w:color w:val="auto"/>
          <w:sz w:val="24"/>
          <w:szCs w:val="24"/>
          <w:highlight w:val="none"/>
        </w:rPr>
        <w:t>（4</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检测项目</w:t>
      </w:r>
      <w:bookmarkEnd w:id="815"/>
      <w:bookmarkEnd w:id="816"/>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left"/>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等效连续A声级L</w:t>
      </w:r>
      <w:r>
        <w:rPr>
          <w:rFonts w:hint="default" w:ascii="Times New Roman" w:hAnsi="Times New Roman" w:eastAsia="宋体" w:cs="Times New Roman"/>
          <w:color w:val="auto"/>
          <w:sz w:val="24"/>
          <w:szCs w:val="24"/>
          <w:highlight w:val="none"/>
          <w:vertAlign w:val="subscript"/>
        </w:rPr>
        <w:t>Aeq</w:t>
      </w:r>
      <w:r>
        <w:rPr>
          <w:rFonts w:hint="default" w:ascii="Times New Roman" w:hAnsi="Times New Roman" w:eastAsia="宋体" w:cs="Times New Roman"/>
          <w:color w:val="auto"/>
          <w:sz w:val="24"/>
          <w:szCs w:val="24"/>
          <w:highlight w:val="none"/>
        </w:rPr>
        <w:t>（昼间L</w:t>
      </w:r>
      <w:r>
        <w:rPr>
          <w:rFonts w:hint="default" w:ascii="Times New Roman" w:hAnsi="Times New Roman" w:eastAsia="宋体" w:cs="Times New Roman"/>
          <w:color w:val="auto"/>
          <w:sz w:val="24"/>
          <w:szCs w:val="24"/>
          <w:highlight w:val="none"/>
          <w:vertAlign w:val="subscript"/>
        </w:rPr>
        <w:t>d</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夜间L</w:t>
      </w:r>
      <w:r>
        <w:rPr>
          <w:rFonts w:hint="default" w:ascii="Times New Roman" w:hAnsi="Times New Roman" w:eastAsia="宋体" w:cs="Times New Roman"/>
          <w:color w:val="auto"/>
          <w:sz w:val="24"/>
          <w:szCs w:val="24"/>
          <w:highlight w:val="none"/>
          <w:vertAlign w:val="subscript"/>
        </w:rPr>
        <w:t>n</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w:t>
      </w:r>
    </w:p>
    <w:p>
      <w:pPr>
        <w:pStyle w:val="5"/>
        <w:pageBreakBefore w:val="0"/>
        <w:numPr>
          <w:ilvl w:val="2"/>
          <w:numId w:val="0"/>
        </w:numPr>
        <w:wordWrap/>
        <w:bidi w:val="0"/>
        <w:ind w:left="0" w:leftChars="0" w:right="0" w:rightChars="0"/>
        <w:outlineLvl w:val="1"/>
        <w:rPr>
          <w:rFonts w:hint="default" w:ascii="Times New Roman" w:hAnsi="Times New Roman" w:eastAsia="宋体" w:cs="Times New Roman"/>
          <w:b/>
          <w:bCs/>
          <w:color w:val="auto"/>
          <w:highlight w:val="none"/>
        </w:rPr>
      </w:pPr>
      <w:bookmarkStart w:id="817" w:name="_Toc260567926"/>
      <w:bookmarkStart w:id="818" w:name="_Toc3834"/>
      <w:bookmarkStart w:id="819" w:name="_Toc23771"/>
      <w:bookmarkStart w:id="820" w:name="_Toc288306222"/>
      <w:bookmarkStart w:id="821" w:name="_Toc18509"/>
      <w:r>
        <w:rPr>
          <w:rFonts w:hint="default" w:ascii="Times New Roman" w:hAnsi="Times New Roman" w:eastAsia="宋体" w:cs="Times New Roman"/>
          <w:b/>
          <w:bCs/>
          <w:i w:val="0"/>
          <w:iCs w:val="0"/>
          <w:caps w:val="0"/>
          <w:smallCaps w:val="0"/>
          <w:strike w:val="0"/>
          <w:dstrike w:val="0"/>
          <w:vanish w:val="0"/>
          <w:color w:val="auto"/>
          <w:spacing w:val="0"/>
          <w:kern w:val="2"/>
          <w:position w:val="0"/>
          <w:sz w:val="24"/>
          <w:szCs w:val="24"/>
          <w:highlight w:val="none"/>
          <w:u w:val="none"/>
          <w:vertAlign w:val="baseline"/>
          <w:lang w:val="en-US" w:eastAsia="zh-CN" w:bidi="ar-SA"/>
          <w14:shadow w14:blurRad="0" w14:dist="0" w14:dir="0" w14:sx="0" w14:sy="0" w14:kx="0" w14:ky="0" w14:algn="none">
            <w14:srgbClr w14:val="000000"/>
          </w14:shadow>
        </w:rPr>
        <w:t>5.2.2</w:t>
      </w:r>
      <w:r>
        <w:rPr>
          <w:rFonts w:hint="default" w:ascii="Times New Roman" w:hAnsi="Times New Roman" w:eastAsia="宋体" w:cs="Times New Roman"/>
          <w:b/>
          <w:bCs/>
          <w:color w:val="auto"/>
          <w:highlight w:val="none"/>
        </w:rPr>
        <w:t>测量结果</w:t>
      </w:r>
      <w:bookmarkEnd w:id="817"/>
      <w:bookmarkEnd w:id="818"/>
      <w:bookmarkEnd w:id="819"/>
      <w:bookmarkEnd w:id="820"/>
      <w:bookmarkEnd w:id="821"/>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工程厂界噪声现状测量结果见表5-6。</w:t>
      </w:r>
    </w:p>
    <w:p>
      <w:pPr>
        <w:pageBreakBefore w:val="0"/>
        <w:tabs>
          <w:tab w:val="left" w:pos="3062"/>
        </w:tabs>
        <w:wordWrap/>
        <w:bidi w:val="0"/>
        <w:spacing w:line="360" w:lineRule="auto"/>
        <w:ind w:left="0" w:leftChars="0" w:right="0" w:rightChars="0"/>
        <w:jc w:val="center"/>
        <w:rPr>
          <w:rFonts w:hint="default" w:ascii="Times New Roman" w:hAnsi="Times New Roman" w:eastAsia="宋体" w:cs="Times New Roman"/>
          <w:b/>
          <w:bCs/>
          <w:color w:val="auto"/>
          <w:sz w:val="24"/>
          <w:highlight w:val="none"/>
          <w:lang w:eastAsia="zh-CN"/>
        </w:rPr>
      </w:pPr>
      <w:r>
        <w:rPr>
          <w:rFonts w:hint="default" w:ascii="Times New Roman" w:hAnsi="Times New Roman" w:eastAsia="宋体" w:cs="Times New Roman"/>
          <w:b/>
          <w:bCs/>
          <w:color w:val="auto"/>
          <w:sz w:val="24"/>
          <w:highlight w:val="none"/>
        </w:rPr>
        <w:t>表5-6噪声测量结果统计表单位</w:t>
      </w:r>
      <w:r>
        <w:rPr>
          <w:rFonts w:hint="default" w:ascii="Times New Roman" w:hAnsi="Times New Roman" w:eastAsia="宋体" w:cs="Times New Roman"/>
          <w:b/>
          <w:bCs/>
          <w:color w:val="auto"/>
          <w:sz w:val="24"/>
          <w:highlight w:val="none"/>
          <w:lang w:eastAsia="zh-CN"/>
        </w:rPr>
        <w:t>：</w:t>
      </w:r>
      <w:r>
        <w:rPr>
          <w:rFonts w:hint="default" w:ascii="Times New Roman" w:hAnsi="Times New Roman" w:eastAsia="宋体" w:cs="Times New Roman"/>
          <w:b/>
          <w:bCs/>
          <w:color w:val="auto"/>
          <w:sz w:val="24"/>
          <w:highlight w:val="none"/>
        </w:rPr>
        <w:t>dB</w:t>
      </w:r>
      <w:r>
        <w:rPr>
          <w:rFonts w:hint="default" w:ascii="Times New Roman" w:hAnsi="Times New Roman" w:eastAsia="宋体" w:cs="Times New Roman"/>
          <w:b/>
          <w:bCs/>
          <w:color w:val="auto"/>
          <w:sz w:val="24"/>
          <w:highlight w:val="none"/>
          <w:lang w:eastAsia="zh-CN"/>
        </w:rPr>
        <w:t>（A）</w:t>
      </w:r>
    </w:p>
    <w:tbl>
      <w:tblPr>
        <w:tblStyle w:val="54"/>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079"/>
        <w:gridCol w:w="1251"/>
        <w:gridCol w:w="1545"/>
        <w:gridCol w:w="2099"/>
        <w:gridCol w:w="154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20" w:type="pct"/>
            <w:vMerge w:val="restart"/>
            <w:tcBorders>
              <w:top w:val="single" w:color="auto" w:sz="4" w:space="0"/>
              <w:left w:val="single" w:color="auto" w:sz="4" w:space="0"/>
            </w:tcBorders>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rPr>
              <w:t>检测时间</w:t>
            </w:r>
          </w:p>
        </w:tc>
        <w:tc>
          <w:tcPr>
            <w:tcW w:w="734" w:type="pct"/>
            <w:vMerge w:val="restart"/>
            <w:tcBorders>
              <w:top w:val="single" w:color="auto" w:sz="4" w:space="0"/>
            </w:tcBorders>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rPr>
              <w:t>点位编号</w:t>
            </w:r>
          </w:p>
        </w:tc>
        <w:tc>
          <w:tcPr>
            <w:tcW w:w="905" w:type="pct"/>
            <w:vMerge w:val="restart"/>
            <w:tcBorders>
              <w:top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rPr>
              <w:t>测量位置</w:t>
            </w:r>
          </w:p>
        </w:tc>
        <w:tc>
          <w:tcPr>
            <w:tcW w:w="2139" w:type="pct"/>
            <w:gridSpan w:val="2"/>
            <w:tcBorders>
              <w:top w:val="single" w:color="auto" w:sz="4" w:space="0"/>
              <w:right w:val="single" w:color="auto" w:sz="4" w:space="0"/>
            </w:tcBorders>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b/>
                <w:bCs/>
                <w:color w:val="auto"/>
                <w:kern w:val="0"/>
                <w:szCs w:val="21"/>
                <w:highlight w:val="none"/>
                <w:lang w:eastAsia="zh-CN"/>
              </w:rPr>
            </w:pPr>
            <w:r>
              <w:rPr>
                <w:rFonts w:hint="default" w:ascii="Times New Roman" w:hAnsi="Times New Roman" w:eastAsia="宋体" w:cs="Times New Roman"/>
                <w:b/>
                <w:bCs/>
                <w:color w:val="auto"/>
                <w:kern w:val="0"/>
                <w:szCs w:val="21"/>
                <w:highlight w:val="none"/>
              </w:rPr>
              <w:t>检测结果dB</w:t>
            </w:r>
            <w:r>
              <w:rPr>
                <w:rFonts w:hint="default" w:ascii="Times New Roman" w:hAnsi="Times New Roman" w:eastAsia="宋体" w:cs="Times New Roman"/>
                <w:b/>
                <w:bCs/>
                <w:color w:val="auto"/>
                <w:kern w:val="0"/>
                <w:szCs w:val="21"/>
                <w:highlight w:val="none"/>
                <w:lang w:eastAsia="zh-CN"/>
              </w:rPr>
              <w: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20" w:type="pct"/>
            <w:vMerge w:val="continue"/>
            <w:tcBorders>
              <w:left w:val="single" w:color="auto" w:sz="4" w:space="0"/>
            </w:tcBorders>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b/>
                <w:bCs/>
                <w:color w:val="auto"/>
                <w:szCs w:val="21"/>
                <w:highlight w:val="none"/>
              </w:rPr>
            </w:pPr>
          </w:p>
        </w:tc>
        <w:tc>
          <w:tcPr>
            <w:tcW w:w="734" w:type="pct"/>
            <w:vMerge w:val="continue"/>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b/>
                <w:bCs/>
                <w:color w:val="auto"/>
                <w:szCs w:val="21"/>
                <w:highlight w:val="none"/>
              </w:rPr>
            </w:pPr>
          </w:p>
        </w:tc>
        <w:tc>
          <w:tcPr>
            <w:tcW w:w="905" w:type="pct"/>
            <w:vMerge w:val="continue"/>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bCs/>
                <w:color w:val="auto"/>
                <w:kern w:val="0"/>
                <w:szCs w:val="21"/>
                <w:highlight w:val="none"/>
              </w:rPr>
            </w:pPr>
          </w:p>
        </w:tc>
        <w:tc>
          <w:tcPr>
            <w:tcW w:w="1231" w:type="pct"/>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rPr>
              <w:t>昼间Leq值</w:t>
            </w:r>
          </w:p>
        </w:tc>
        <w:tc>
          <w:tcPr>
            <w:tcW w:w="908" w:type="pct"/>
            <w:tcBorders>
              <w:right w:val="single" w:color="auto" w:sz="4" w:space="0"/>
            </w:tcBorders>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rPr>
              <w:t>夜间Leq值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20" w:type="pct"/>
            <w:vMerge w:val="restart"/>
            <w:tcBorders>
              <w:left w:val="single" w:color="auto" w:sz="4" w:space="0"/>
            </w:tcBorders>
            <w:vAlign w:val="center"/>
          </w:tcPr>
          <w:p>
            <w:pPr>
              <w:pageBreakBefore w:val="0"/>
              <w:tabs>
                <w:tab w:val="left" w:pos="3870"/>
              </w:tabs>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2023年4月16日</w:t>
            </w:r>
          </w:p>
        </w:tc>
        <w:tc>
          <w:tcPr>
            <w:tcW w:w="734" w:type="pct"/>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w:t>
            </w:r>
          </w:p>
        </w:tc>
        <w:tc>
          <w:tcPr>
            <w:tcW w:w="905" w:type="pct"/>
            <w:vAlign w:val="center"/>
          </w:tcPr>
          <w:p>
            <w:pPr>
              <w:pageBreakBefore w:val="0"/>
              <w:wordWrap/>
              <w:bidi w:val="0"/>
              <w:spacing w:line="240" w:lineRule="auto"/>
              <w:ind w:left="0" w:leftChars="0" w:right="0" w:rightChars="0"/>
              <w:jc w:val="center"/>
              <w:textAlignment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厂界北侧</w:t>
            </w:r>
          </w:p>
        </w:tc>
        <w:tc>
          <w:tcPr>
            <w:tcW w:w="1231" w:type="pct"/>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44.4</w:t>
            </w:r>
          </w:p>
        </w:tc>
        <w:tc>
          <w:tcPr>
            <w:tcW w:w="908" w:type="pct"/>
            <w:tcBorders>
              <w:right w:val="single" w:color="auto" w:sz="4" w:space="0"/>
            </w:tcBorders>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42.9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20" w:type="pct"/>
            <w:vMerge w:val="continue"/>
            <w:tcBorders>
              <w:lef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p>
        </w:tc>
        <w:tc>
          <w:tcPr>
            <w:tcW w:w="734" w:type="pct"/>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2#</w:t>
            </w:r>
          </w:p>
        </w:tc>
        <w:tc>
          <w:tcPr>
            <w:tcW w:w="905" w:type="pct"/>
            <w:vAlign w:val="center"/>
          </w:tcPr>
          <w:p>
            <w:pPr>
              <w:pageBreakBefore w:val="0"/>
              <w:wordWrap/>
              <w:bidi w:val="0"/>
              <w:spacing w:line="240" w:lineRule="auto"/>
              <w:ind w:left="0" w:leftChars="0" w:right="0" w:rightChars="0"/>
              <w:jc w:val="center"/>
              <w:textAlignment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厂界北侧</w:t>
            </w:r>
          </w:p>
        </w:tc>
        <w:tc>
          <w:tcPr>
            <w:tcW w:w="1231" w:type="pct"/>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44.6</w:t>
            </w:r>
          </w:p>
        </w:tc>
        <w:tc>
          <w:tcPr>
            <w:tcW w:w="908" w:type="pct"/>
            <w:tcBorders>
              <w:right w:val="single" w:color="auto" w:sz="4" w:space="0"/>
            </w:tcBorders>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41.6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20" w:type="pct"/>
            <w:vMerge w:val="continue"/>
            <w:tcBorders>
              <w:lef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p>
        </w:tc>
        <w:tc>
          <w:tcPr>
            <w:tcW w:w="734" w:type="pct"/>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3#</w:t>
            </w:r>
          </w:p>
        </w:tc>
        <w:tc>
          <w:tcPr>
            <w:tcW w:w="905" w:type="pct"/>
            <w:vAlign w:val="center"/>
          </w:tcPr>
          <w:p>
            <w:pPr>
              <w:pageBreakBefore w:val="0"/>
              <w:wordWrap/>
              <w:bidi w:val="0"/>
              <w:spacing w:line="240" w:lineRule="auto"/>
              <w:ind w:left="0" w:leftChars="0" w:right="0" w:rightChars="0"/>
              <w:jc w:val="center"/>
              <w:textAlignment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厂界西北侧</w:t>
            </w:r>
          </w:p>
        </w:tc>
        <w:tc>
          <w:tcPr>
            <w:tcW w:w="1231" w:type="pct"/>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45.3</w:t>
            </w:r>
          </w:p>
        </w:tc>
        <w:tc>
          <w:tcPr>
            <w:tcW w:w="908" w:type="pct"/>
            <w:tcBorders>
              <w:right w:val="single" w:color="auto" w:sz="4" w:space="0"/>
            </w:tcBorders>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41.3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20" w:type="pct"/>
            <w:vMerge w:val="continue"/>
            <w:tcBorders>
              <w:lef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p>
        </w:tc>
        <w:tc>
          <w:tcPr>
            <w:tcW w:w="734" w:type="pct"/>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4#</w:t>
            </w:r>
          </w:p>
        </w:tc>
        <w:tc>
          <w:tcPr>
            <w:tcW w:w="905"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厂界西南侧</w:t>
            </w:r>
          </w:p>
        </w:tc>
        <w:tc>
          <w:tcPr>
            <w:tcW w:w="1231" w:type="pct"/>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45.7</w:t>
            </w:r>
          </w:p>
        </w:tc>
        <w:tc>
          <w:tcPr>
            <w:tcW w:w="908" w:type="pct"/>
            <w:tcBorders>
              <w:right w:val="single" w:color="auto" w:sz="4" w:space="0"/>
            </w:tcBorders>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42.1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20" w:type="pct"/>
            <w:vMerge w:val="continue"/>
            <w:tcBorders>
              <w:lef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p>
        </w:tc>
        <w:tc>
          <w:tcPr>
            <w:tcW w:w="734" w:type="pct"/>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5#</w:t>
            </w:r>
          </w:p>
        </w:tc>
        <w:tc>
          <w:tcPr>
            <w:tcW w:w="905"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厂界南侧</w:t>
            </w:r>
          </w:p>
        </w:tc>
        <w:tc>
          <w:tcPr>
            <w:tcW w:w="1231" w:type="pct"/>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44.9</w:t>
            </w:r>
          </w:p>
        </w:tc>
        <w:tc>
          <w:tcPr>
            <w:tcW w:w="908" w:type="pct"/>
            <w:tcBorders>
              <w:right w:val="single" w:color="auto" w:sz="4" w:space="0"/>
            </w:tcBorders>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42.7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20" w:type="pct"/>
            <w:vMerge w:val="continue"/>
            <w:tcBorders>
              <w:lef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p>
        </w:tc>
        <w:tc>
          <w:tcPr>
            <w:tcW w:w="734" w:type="pct"/>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6#</w:t>
            </w:r>
          </w:p>
        </w:tc>
        <w:tc>
          <w:tcPr>
            <w:tcW w:w="905"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厂界东南侧</w:t>
            </w:r>
          </w:p>
        </w:tc>
        <w:tc>
          <w:tcPr>
            <w:tcW w:w="1231" w:type="pct"/>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45.9</w:t>
            </w:r>
          </w:p>
        </w:tc>
        <w:tc>
          <w:tcPr>
            <w:tcW w:w="908" w:type="pct"/>
            <w:tcBorders>
              <w:right w:val="single" w:color="auto" w:sz="4" w:space="0"/>
            </w:tcBorders>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42.0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60" w:type="pct"/>
            <w:gridSpan w:val="3"/>
            <w:tcBorders>
              <w:left w:val="single" w:color="auto" w:sz="4" w:space="0"/>
              <w:bottom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限值</w:t>
            </w:r>
          </w:p>
        </w:tc>
        <w:tc>
          <w:tcPr>
            <w:tcW w:w="1231" w:type="pct"/>
            <w:tcBorders>
              <w:bottom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60</w:t>
            </w:r>
          </w:p>
        </w:tc>
        <w:tc>
          <w:tcPr>
            <w:tcW w:w="908" w:type="pct"/>
            <w:tcBorders>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50</w:t>
            </w:r>
          </w:p>
        </w:tc>
      </w:tr>
    </w:tbl>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从监测结果可以看出</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bCs/>
          <w:color w:val="auto"/>
          <w:sz w:val="24"/>
          <w:highlight w:val="none"/>
        </w:rPr>
        <w:t>项目区的噪声现状值昼间在44.4-45.9dB</w:t>
      </w:r>
      <w:r>
        <w:rPr>
          <w:rFonts w:hint="default" w:ascii="Times New Roman" w:hAnsi="Times New Roman" w:eastAsia="宋体" w:cs="Times New Roman"/>
          <w:bCs/>
          <w:color w:val="auto"/>
          <w:sz w:val="24"/>
          <w:highlight w:val="none"/>
          <w:lang w:eastAsia="zh-CN"/>
        </w:rPr>
        <w:t>（A）</w:t>
      </w:r>
      <w:r>
        <w:rPr>
          <w:rFonts w:hint="default" w:ascii="Times New Roman" w:hAnsi="Times New Roman" w:eastAsia="宋体" w:cs="Times New Roman"/>
          <w:bCs/>
          <w:color w:val="auto"/>
          <w:sz w:val="24"/>
          <w:highlight w:val="none"/>
        </w:rPr>
        <w:t>之间</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夜间在41.3-42.9dB</w:t>
      </w:r>
      <w:r>
        <w:rPr>
          <w:rFonts w:hint="default" w:ascii="Times New Roman" w:hAnsi="Times New Roman" w:eastAsia="宋体" w:cs="Times New Roman"/>
          <w:bCs/>
          <w:color w:val="auto"/>
          <w:sz w:val="24"/>
          <w:highlight w:val="none"/>
          <w:lang w:eastAsia="zh-CN"/>
        </w:rPr>
        <w:t>（A）</w:t>
      </w:r>
      <w:r>
        <w:rPr>
          <w:rFonts w:hint="default" w:ascii="Times New Roman" w:hAnsi="Times New Roman" w:eastAsia="宋体" w:cs="Times New Roman"/>
          <w:bCs/>
          <w:color w:val="auto"/>
          <w:sz w:val="24"/>
          <w:highlight w:val="none"/>
        </w:rPr>
        <w:t>之间</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color w:val="auto"/>
          <w:sz w:val="24"/>
          <w:highlight w:val="none"/>
        </w:rPr>
        <w:t>满足《声环境质量标准》（GB3096-2008</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中2类（昼间60dB</w:t>
      </w:r>
      <w:r>
        <w:rPr>
          <w:rFonts w:hint="default" w:ascii="Times New Roman" w:hAnsi="Times New Roman" w:eastAsia="宋体" w:cs="Times New Roman"/>
          <w:color w:val="auto"/>
          <w:sz w:val="24"/>
          <w:highlight w:val="none"/>
          <w:lang w:eastAsia="zh-CN"/>
        </w:rPr>
        <w:t>（A），</w:t>
      </w:r>
      <w:r>
        <w:rPr>
          <w:rFonts w:hint="default" w:ascii="Times New Roman" w:hAnsi="Times New Roman" w:eastAsia="宋体" w:cs="Times New Roman"/>
          <w:color w:val="auto"/>
          <w:sz w:val="24"/>
          <w:highlight w:val="none"/>
        </w:rPr>
        <w:t>夜间50dB</w:t>
      </w:r>
      <w:r>
        <w:rPr>
          <w:rFonts w:hint="default" w:ascii="Times New Roman" w:hAnsi="Times New Roman" w:eastAsia="宋体" w:cs="Times New Roman"/>
          <w:color w:val="auto"/>
          <w:sz w:val="24"/>
          <w:highlight w:val="none"/>
          <w:lang w:eastAsia="zh-CN"/>
        </w:rPr>
        <w:t>（A））</w:t>
      </w:r>
      <w:r>
        <w:rPr>
          <w:rFonts w:hint="default" w:ascii="Times New Roman" w:hAnsi="Times New Roman" w:eastAsia="宋体" w:cs="Times New Roman"/>
          <w:color w:val="auto"/>
          <w:sz w:val="24"/>
          <w:highlight w:val="none"/>
        </w:rPr>
        <w:t>的标准限值要求。</w:t>
      </w:r>
    </w:p>
    <w:p>
      <w:pPr>
        <w:pStyle w:val="4"/>
        <w:pageBreakBefore w:val="0"/>
        <w:numPr>
          <w:ilvl w:val="1"/>
          <w:numId w:val="0"/>
        </w:numPr>
        <w:wordWrap/>
        <w:bidi w:val="0"/>
        <w:spacing w:line="360" w:lineRule="auto"/>
        <w:ind w:left="0" w:leftChars="0" w:right="0" w:rightChars="0" w:firstLine="0" w:firstLineChars="0"/>
        <w:outlineLvl w:val="2"/>
        <w:rPr>
          <w:rFonts w:hint="default" w:ascii="Times New Roman" w:hAnsi="Times New Roman" w:eastAsia="宋体" w:cs="Times New Roman"/>
          <w:b/>
          <w:bCs/>
          <w:color w:val="auto"/>
          <w:highlight w:val="none"/>
        </w:rPr>
      </w:pPr>
      <w:bookmarkStart w:id="822" w:name="_Toc19370"/>
      <w:bookmarkStart w:id="823" w:name="_Toc16385"/>
      <w:r>
        <w:rPr>
          <w:rFonts w:hint="default" w:ascii="Times New Roman" w:hAnsi="Times New Roman" w:eastAsia="宋体" w:cs="Times New Roman"/>
          <w:b/>
          <w:bCs/>
          <w:i w:val="0"/>
          <w:color w:val="auto"/>
          <w:kern w:val="2"/>
          <w:sz w:val="28"/>
          <w:szCs w:val="28"/>
          <w:highlight w:val="none"/>
          <w:lang w:val="en-US" w:eastAsia="zh-CN" w:bidi="ar-SA"/>
        </w:rPr>
        <w:t>5.3</w:t>
      </w:r>
      <w:r>
        <w:rPr>
          <w:rFonts w:hint="default" w:ascii="Times New Roman" w:hAnsi="Times New Roman" w:eastAsia="宋体" w:cs="Times New Roman"/>
          <w:b/>
          <w:bCs/>
          <w:color w:val="auto"/>
          <w:highlight w:val="none"/>
        </w:rPr>
        <w:t>地下水环境质量现状监测与评价</w:t>
      </w:r>
      <w:bookmarkEnd w:id="822"/>
      <w:bookmarkEnd w:id="823"/>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bCs/>
          <w:color w:val="auto"/>
          <w:sz w:val="24"/>
          <w:highlight w:val="none"/>
        </w:rPr>
        <w:t>为了</w:t>
      </w:r>
      <w:r>
        <w:rPr>
          <w:rFonts w:hint="default" w:ascii="Times New Roman" w:hAnsi="Times New Roman" w:eastAsia="宋体" w:cs="Times New Roman"/>
          <w:color w:val="auto"/>
          <w:sz w:val="24"/>
          <w:highlight w:val="none"/>
        </w:rPr>
        <w:t>解本项目所在区域地下水水质现状</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并为影响评价提供基础资料和数据</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本评价委托</w:t>
      </w:r>
      <w:r>
        <w:rPr>
          <w:rFonts w:hint="default" w:ascii="Times New Roman" w:hAnsi="Times New Roman" w:eastAsia="宋体" w:cs="Times New Roman"/>
          <w:bCs/>
          <w:color w:val="auto"/>
          <w:sz w:val="24"/>
          <w:highlight w:val="none"/>
        </w:rPr>
        <w:t>内蒙古加通环境检测治理有限公司对</w:t>
      </w:r>
      <w:r>
        <w:rPr>
          <w:rFonts w:hint="default" w:ascii="Times New Roman" w:hAnsi="Times New Roman" w:eastAsia="宋体" w:cs="Times New Roman"/>
          <w:color w:val="auto"/>
          <w:sz w:val="24"/>
          <w:highlight w:val="none"/>
        </w:rPr>
        <w:t>项目区周边水井进行了检测；检测报告见附件。</w:t>
      </w:r>
    </w:p>
    <w:p>
      <w:pPr>
        <w:pageBreakBefore w:val="0"/>
        <w:wordWrap/>
        <w:bidi w:val="0"/>
        <w:spacing w:line="360" w:lineRule="auto"/>
        <w:ind w:left="0" w:leftChars="0" w:right="0" w:rightChars="0"/>
        <w:rPr>
          <w:rFonts w:hint="default" w:ascii="Times New Roman" w:hAnsi="Times New Roman" w:eastAsia="宋体" w:cs="Times New Roman"/>
          <w:b/>
          <w:bCs/>
          <w:color w:val="auto"/>
          <w:sz w:val="24"/>
          <w:szCs w:val="32"/>
          <w:highlight w:val="none"/>
        </w:rPr>
      </w:pPr>
      <w:r>
        <w:rPr>
          <w:rFonts w:hint="default" w:ascii="Times New Roman" w:hAnsi="Times New Roman" w:eastAsia="宋体" w:cs="Times New Roman"/>
          <w:b/>
          <w:bCs/>
          <w:color w:val="auto"/>
          <w:sz w:val="24"/>
          <w:szCs w:val="32"/>
          <w:highlight w:val="none"/>
          <w:lang w:val="en-US" w:eastAsia="zh-CN"/>
        </w:rPr>
        <w:t>5.3.1.1</w:t>
      </w:r>
      <w:r>
        <w:rPr>
          <w:rFonts w:hint="default" w:ascii="Times New Roman" w:hAnsi="Times New Roman" w:eastAsia="宋体" w:cs="Times New Roman"/>
          <w:b/>
          <w:bCs/>
          <w:color w:val="auto"/>
          <w:sz w:val="24"/>
          <w:szCs w:val="32"/>
          <w:highlight w:val="none"/>
        </w:rPr>
        <w:t>监测布点</w:t>
      </w:r>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本评价在评价范围内设置了5个地下水水质水位监测点和10个地下水水质监测点</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点位</w:t>
      </w:r>
      <w:r>
        <w:rPr>
          <w:rFonts w:hint="default" w:ascii="Times New Roman" w:hAnsi="Times New Roman" w:eastAsia="宋体" w:cs="Times New Roman"/>
          <w:color w:val="auto"/>
          <w:sz w:val="24"/>
          <w:highlight w:val="none"/>
          <w:lang w:eastAsia="zh-CN"/>
        </w:rPr>
        <w:t>概况</w:t>
      </w:r>
      <w:r>
        <w:rPr>
          <w:rFonts w:hint="default" w:ascii="Times New Roman" w:hAnsi="Times New Roman" w:eastAsia="宋体" w:cs="Times New Roman"/>
          <w:color w:val="auto"/>
          <w:sz w:val="24"/>
          <w:highlight w:val="none"/>
        </w:rPr>
        <w:t>见表5-</w:t>
      </w:r>
      <w:r>
        <w:rPr>
          <w:rFonts w:hint="default" w:ascii="Times New Roman" w:hAnsi="Times New Roman" w:eastAsia="宋体" w:cs="Times New Roman"/>
          <w:color w:val="auto"/>
          <w:sz w:val="24"/>
          <w:highlight w:val="none"/>
          <w:lang w:val="en-US" w:eastAsia="zh-CN"/>
        </w:rPr>
        <w:t>7</w:t>
      </w:r>
      <w:r>
        <w:rPr>
          <w:rFonts w:hint="default" w:ascii="Times New Roman" w:hAnsi="Times New Roman" w:eastAsia="宋体" w:cs="Times New Roman"/>
          <w:color w:val="auto"/>
          <w:sz w:val="24"/>
          <w:highlight w:val="none"/>
        </w:rPr>
        <w:t>。</w:t>
      </w:r>
    </w:p>
    <w:p>
      <w:pPr>
        <w:pageBreakBefore w:val="0"/>
        <w:tabs>
          <w:tab w:val="left" w:pos="3062"/>
        </w:tabs>
        <w:wordWrap/>
        <w:bidi w:val="0"/>
        <w:spacing w:line="360" w:lineRule="auto"/>
        <w:ind w:left="0" w:leftChars="0" w:right="0" w:rightChars="0"/>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表5-</w:t>
      </w:r>
      <w:r>
        <w:rPr>
          <w:rFonts w:hint="default" w:ascii="Times New Roman" w:hAnsi="Times New Roman" w:eastAsia="宋体" w:cs="Times New Roman"/>
          <w:b/>
          <w:bCs/>
          <w:color w:val="auto"/>
          <w:sz w:val="24"/>
          <w:highlight w:val="none"/>
          <w:lang w:val="en-US" w:eastAsia="zh-CN"/>
        </w:rPr>
        <w:t>7</w:t>
      </w:r>
      <w:r>
        <w:rPr>
          <w:rFonts w:hint="default" w:ascii="Times New Roman" w:hAnsi="Times New Roman" w:eastAsia="宋体" w:cs="Times New Roman"/>
          <w:b/>
          <w:bCs/>
          <w:color w:val="auto"/>
          <w:sz w:val="24"/>
          <w:highlight w:val="none"/>
        </w:rPr>
        <w:t>地下水环境质量监测点一览表</w:t>
      </w:r>
    </w:p>
    <w:tbl>
      <w:tblPr>
        <w:tblStyle w:val="54"/>
        <w:tblW w:w="5000" w:type="pct"/>
        <w:tblInd w:w="0" w:type="dxa"/>
        <w:tblLayout w:type="fixed"/>
        <w:tblCellMar>
          <w:top w:w="0" w:type="dxa"/>
          <w:left w:w="108" w:type="dxa"/>
          <w:bottom w:w="0" w:type="dxa"/>
          <w:right w:w="108" w:type="dxa"/>
        </w:tblCellMar>
      </w:tblPr>
      <w:tblGrid>
        <w:gridCol w:w="432"/>
        <w:gridCol w:w="1381"/>
        <w:gridCol w:w="958"/>
        <w:gridCol w:w="958"/>
        <w:gridCol w:w="958"/>
        <w:gridCol w:w="958"/>
        <w:gridCol w:w="961"/>
        <w:gridCol w:w="958"/>
        <w:gridCol w:w="958"/>
      </w:tblGrid>
      <w:tr>
        <w:tblPrEx>
          <w:tblCellMar>
            <w:top w:w="0" w:type="dxa"/>
            <w:left w:w="108" w:type="dxa"/>
            <w:bottom w:w="0" w:type="dxa"/>
            <w:right w:w="108" w:type="dxa"/>
          </w:tblCellMar>
        </w:tblPrEx>
        <w:trPr>
          <w:trHeight w:val="340" w:hRule="atLeast"/>
        </w:trPr>
        <w:tc>
          <w:tcPr>
            <w:tcW w:w="250" w:type="pct"/>
            <w:vMerge w:val="restart"/>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kern w:val="0"/>
                <w:sz w:val="21"/>
                <w:szCs w:val="21"/>
                <w:highlight w:val="none"/>
                <w:lang w:bidi="ar"/>
              </w:rPr>
              <w:t>序号</w:t>
            </w:r>
          </w:p>
        </w:tc>
        <w:tc>
          <w:tcPr>
            <w:tcW w:w="800" w:type="pct"/>
            <w:vMerge w:val="restart"/>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kern w:val="0"/>
                <w:sz w:val="21"/>
                <w:szCs w:val="21"/>
                <w:highlight w:val="none"/>
                <w:lang w:bidi="ar"/>
              </w:rPr>
              <w:t>监测井编号</w:t>
            </w:r>
          </w:p>
        </w:tc>
        <w:tc>
          <w:tcPr>
            <w:tcW w:w="555" w:type="pct"/>
            <w:vMerge w:val="restart"/>
            <w:tcBorders>
              <w:top w:val="single" w:color="000000" w:sz="4" w:space="0"/>
              <w:left w:val="single" w:color="000000" w:sz="4" w:space="0"/>
              <w:right w:val="single" w:color="000000" w:sz="4" w:space="0"/>
            </w:tcBorders>
            <w:vAlign w:val="center"/>
          </w:tcPr>
          <w:p>
            <w:pPr>
              <w:pStyle w:val="517"/>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sz w:val="21"/>
                <w:szCs w:val="21"/>
                <w:highlight w:val="none"/>
              </w:rPr>
              <w:t>方位</w:t>
            </w:r>
          </w:p>
        </w:tc>
        <w:tc>
          <w:tcPr>
            <w:tcW w:w="555" w:type="pct"/>
            <w:vMerge w:val="restart"/>
            <w:tcBorders>
              <w:top w:val="single" w:color="000000" w:sz="4" w:space="0"/>
              <w:left w:val="single" w:color="000000" w:sz="4" w:space="0"/>
              <w:right w:val="single" w:color="000000" w:sz="4" w:space="0"/>
            </w:tcBorders>
            <w:vAlign w:val="center"/>
          </w:tcPr>
          <w:p>
            <w:pPr>
              <w:pStyle w:val="517"/>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sz w:val="21"/>
                <w:szCs w:val="21"/>
                <w:highlight w:val="none"/>
                <w:lang w:eastAsia="zh-CN"/>
              </w:rPr>
              <w:t>距离</w:t>
            </w:r>
          </w:p>
        </w:tc>
        <w:tc>
          <w:tcPr>
            <w:tcW w:w="555" w:type="pct"/>
            <w:vMerge w:val="restart"/>
            <w:tcBorders>
              <w:top w:val="single" w:color="000000" w:sz="4" w:space="0"/>
              <w:left w:val="single" w:color="000000" w:sz="4" w:space="0"/>
              <w:right w:val="single" w:color="000000" w:sz="4" w:space="0"/>
            </w:tcBorders>
            <w:vAlign w:val="center"/>
          </w:tcPr>
          <w:p>
            <w:pPr>
              <w:pStyle w:val="517"/>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sz w:val="21"/>
                <w:szCs w:val="21"/>
                <w:highlight w:val="none"/>
                <w:lang w:eastAsia="zh-CN"/>
              </w:rPr>
              <w:t>地下水方向</w:t>
            </w:r>
          </w:p>
        </w:tc>
        <w:tc>
          <w:tcPr>
            <w:tcW w:w="1112" w:type="pct"/>
            <w:gridSpan w:val="2"/>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kern w:val="0"/>
                <w:sz w:val="21"/>
                <w:szCs w:val="21"/>
                <w:highlight w:val="none"/>
                <w:lang w:bidi="ar"/>
              </w:rPr>
              <w:t>WGS84坐标</w:t>
            </w:r>
          </w:p>
        </w:tc>
        <w:tc>
          <w:tcPr>
            <w:tcW w:w="555" w:type="pct"/>
            <w:vMerge w:val="restart"/>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kern w:val="0"/>
                <w:sz w:val="21"/>
                <w:szCs w:val="21"/>
                <w:highlight w:val="none"/>
                <w:lang w:bidi="ar"/>
              </w:rPr>
              <w:t>用途</w:t>
            </w:r>
          </w:p>
        </w:tc>
        <w:tc>
          <w:tcPr>
            <w:tcW w:w="555" w:type="pct"/>
            <w:vMerge w:val="restart"/>
            <w:tcBorders>
              <w:top w:val="single" w:color="000000" w:sz="4" w:space="0"/>
              <w:left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b/>
                <w:bCs/>
                <w:color w:val="auto"/>
                <w:kern w:val="0"/>
                <w:sz w:val="21"/>
                <w:szCs w:val="21"/>
                <w:highlight w:val="none"/>
                <w:lang w:bidi="ar"/>
              </w:rPr>
            </w:pPr>
            <w:r>
              <w:rPr>
                <w:rFonts w:hint="default" w:ascii="Times New Roman" w:hAnsi="Times New Roman" w:eastAsia="宋体" w:cs="Times New Roman"/>
                <w:b/>
                <w:bCs/>
                <w:color w:val="auto"/>
                <w:sz w:val="21"/>
                <w:szCs w:val="21"/>
                <w:highlight w:val="none"/>
              </w:rPr>
              <w:t>监测内容</w:t>
            </w:r>
          </w:p>
        </w:tc>
      </w:tr>
      <w:tr>
        <w:tblPrEx>
          <w:tblCellMar>
            <w:top w:w="0" w:type="dxa"/>
            <w:left w:w="108" w:type="dxa"/>
            <w:bottom w:w="0" w:type="dxa"/>
            <w:right w:w="108" w:type="dxa"/>
          </w:tblCellMar>
        </w:tblPrEx>
        <w:trPr>
          <w:trHeight w:val="340" w:hRule="atLeast"/>
        </w:trPr>
        <w:tc>
          <w:tcPr>
            <w:tcW w:w="250" w:type="pct"/>
            <w:vMerge w:val="continue"/>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b/>
                <w:bCs/>
                <w:color w:val="auto"/>
                <w:sz w:val="21"/>
                <w:szCs w:val="21"/>
                <w:highlight w:val="none"/>
              </w:rPr>
            </w:pPr>
          </w:p>
        </w:tc>
        <w:tc>
          <w:tcPr>
            <w:tcW w:w="800" w:type="pct"/>
            <w:vMerge w:val="continue"/>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b/>
                <w:bCs/>
                <w:color w:val="auto"/>
                <w:sz w:val="21"/>
                <w:szCs w:val="21"/>
                <w:highlight w:val="none"/>
              </w:rPr>
            </w:pPr>
          </w:p>
        </w:tc>
        <w:tc>
          <w:tcPr>
            <w:tcW w:w="555" w:type="pct"/>
            <w:vMerge w:val="continue"/>
            <w:tcBorders>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b/>
                <w:bCs/>
                <w:color w:val="auto"/>
                <w:kern w:val="0"/>
                <w:sz w:val="21"/>
                <w:szCs w:val="21"/>
                <w:highlight w:val="none"/>
                <w:lang w:bidi="ar"/>
              </w:rPr>
            </w:pPr>
          </w:p>
        </w:tc>
        <w:tc>
          <w:tcPr>
            <w:tcW w:w="555" w:type="pct"/>
            <w:vMerge w:val="continue"/>
            <w:tcBorders>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b/>
                <w:bCs/>
                <w:color w:val="auto"/>
                <w:kern w:val="0"/>
                <w:sz w:val="21"/>
                <w:szCs w:val="21"/>
                <w:highlight w:val="none"/>
                <w:lang w:bidi="ar"/>
              </w:rPr>
            </w:pPr>
          </w:p>
        </w:tc>
        <w:tc>
          <w:tcPr>
            <w:tcW w:w="555" w:type="pct"/>
            <w:vMerge w:val="continue"/>
            <w:tcBorders>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b/>
                <w:bCs/>
                <w:color w:val="auto"/>
                <w:kern w:val="0"/>
                <w:sz w:val="21"/>
                <w:szCs w:val="21"/>
                <w:highlight w:val="none"/>
                <w:lang w:bidi="ar"/>
              </w:rPr>
            </w:pPr>
          </w:p>
        </w:tc>
        <w:tc>
          <w:tcPr>
            <w:tcW w:w="555" w:type="pct"/>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kern w:val="0"/>
                <w:sz w:val="21"/>
                <w:szCs w:val="21"/>
                <w:highlight w:val="none"/>
                <w:lang w:bidi="ar"/>
              </w:rPr>
              <w:t>经度</w:t>
            </w:r>
          </w:p>
        </w:tc>
        <w:tc>
          <w:tcPr>
            <w:tcW w:w="556" w:type="pct"/>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kern w:val="0"/>
                <w:sz w:val="21"/>
                <w:szCs w:val="21"/>
                <w:highlight w:val="none"/>
                <w:lang w:bidi="ar"/>
              </w:rPr>
              <w:t>纬度</w:t>
            </w:r>
          </w:p>
        </w:tc>
        <w:tc>
          <w:tcPr>
            <w:tcW w:w="555" w:type="pct"/>
            <w:vMerge w:val="continue"/>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b/>
                <w:bCs/>
                <w:color w:val="auto"/>
                <w:sz w:val="21"/>
                <w:szCs w:val="21"/>
                <w:highlight w:val="none"/>
              </w:rPr>
            </w:pPr>
          </w:p>
        </w:tc>
        <w:tc>
          <w:tcPr>
            <w:tcW w:w="555" w:type="pct"/>
            <w:vMerge w:val="continue"/>
            <w:tcBorders>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b/>
                <w:bCs/>
                <w:color w:val="auto"/>
                <w:sz w:val="21"/>
                <w:szCs w:val="21"/>
                <w:highlight w:val="none"/>
              </w:rPr>
            </w:pPr>
          </w:p>
        </w:tc>
      </w:tr>
      <w:tr>
        <w:tblPrEx>
          <w:tblCellMar>
            <w:top w:w="0" w:type="dxa"/>
            <w:left w:w="108" w:type="dxa"/>
            <w:bottom w:w="0" w:type="dxa"/>
            <w:right w:w="108" w:type="dxa"/>
          </w:tblCellMar>
        </w:tblPrEx>
        <w:trPr>
          <w:trHeight w:val="340" w:hRule="atLeast"/>
        </w:trPr>
        <w:tc>
          <w:tcPr>
            <w:tcW w:w="250" w:type="pct"/>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1</w:t>
            </w:r>
          </w:p>
        </w:tc>
        <w:tc>
          <w:tcPr>
            <w:tcW w:w="800" w:type="pct"/>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kern w:val="0"/>
                <w:sz w:val="21"/>
                <w:szCs w:val="21"/>
                <w:highlight w:val="none"/>
                <w:lang w:bidi="ar"/>
              </w:rPr>
              <w:t>1#水井（水质水位</w:t>
            </w:r>
            <w:r>
              <w:rPr>
                <w:rFonts w:hint="default" w:ascii="Times New Roman" w:hAnsi="Times New Roman" w:eastAsia="宋体" w:cs="Times New Roman"/>
                <w:color w:val="auto"/>
                <w:kern w:val="0"/>
                <w:sz w:val="21"/>
                <w:szCs w:val="21"/>
                <w:highlight w:val="none"/>
                <w:lang w:eastAsia="zh-CN" w:bidi="ar"/>
              </w:rPr>
              <w:t>）</w:t>
            </w:r>
          </w:p>
        </w:tc>
        <w:tc>
          <w:tcPr>
            <w:tcW w:w="555" w:type="pct"/>
            <w:tcBorders>
              <w:top w:val="single" w:color="000000" w:sz="4" w:space="0"/>
              <w:left w:val="single" w:color="000000" w:sz="4" w:space="0"/>
              <w:bottom w:val="single" w:color="000000" w:sz="4" w:space="0"/>
              <w:right w:val="single" w:color="000000"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尾矿库</w:t>
            </w:r>
            <w:r>
              <w:rPr>
                <w:rFonts w:hint="default" w:ascii="Times New Roman" w:hAnsi="Times New Roman" w:eastAsia="宋体" w:cs="Times New Roman"/>
                <w:color w:val="auto"/>
                <w:sz w:val="21"/>
                <w:szCs w:val="21"/>
                <w:highlight w:val="none"/>
                <w:lang w:eastAsia="zh-CN"/>
              </w:rPr>
              <w:t>北侧</w:t>
            </w:r>
          </w:p>
        </w:tc>
        <w:tc>
          <w:tcPr>
            <w:tcW w:w="555" w:type="pct"/>
            <w:tcBorders>
              <w:top w:val="single" w:color="000000" w:sz="4" w:space="0"/>
              <w:left w:val="single" w:color="000000" w:sz="4" w:space="0"/>
              <w:bottom w:val="single" w:color="000000" w:sz="4" w:space="0"/>
              <w:right w:val="single" w:color="000000"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1440</w:t>
            </w:r>
          </w:p>
        </w:tc>
        <w:tc>
          <w:tcPr>
            <w:tcW w:w="555" w:type="pct"/>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2"/>
                <w:sz w:val="21"/>
                <w:szCs w:val="21"/>
                <w:highlight w:val="none"/>
                <w:lang w:val="en-US" w:eastAsia="zh-CN" w:bidi="ar-SA"/>
              </w:rPr>
              <w:t>下游</w:t>
            </w:r>
          </w:p>
        </w:tc>
        <w:tc>
          <w:tcPr>
            <w:tcW w:w="555" w:type="pct"/>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109°25'32.33"</w:t>
            </w:r>
          </w:p>
        </w:tc>
        <w:tc>
          <w:tcPr>
            <w:tcW w:w="556" w:type="pct"/>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40°48'56.79"</w:t>
            </w:r>
          </w:p>
        </w:tc>
        <w:tc>
          <w:tcPr>
            <w:tcW w:w="555" w:type="pct"/>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lang w:eastAsia="zh-CN"/>
              </w:rPr>
              <w:t>牧户</w:t>
            </w:r>
            <w:r>
              <w:rPr>
                <w:rFonts w:hint="default" w:ascii="Times New Roman" w:hAnsi="Times New Roman" w:eastAsia="宋体" w:cs="Times New Roman"/>
                <w:color w:val="auto"/>
                <w:sz w:val="21"/>
                <w:szCs w:val="21"/>
                <w:highlight w:val="none"/>
                <w:lang w:val="en-US" w:eastAsia="zh-CN"/>
              </w:rPr>
              <w:t>养殖用水</w:t>
            </w:r>
          </w:p>
        </w:tc>
        <w:tc>
          <w:tcPr>
            <w:tcW w:w="555" w:type="pct"/>
            <w:tcBorders>
              <w:top w:val="single" w:color="000000" w:sz="4" w:space="0"/>
              <w:left w:val="single" w:color="000000" w:sz="4" w:space="0"/>
              <w:bottom w:val="single" w:color="000000" w:sz="4" w:space="0"/>
              <w:right w:val="single" w:color="000000" w:sz="4" w:space="0"/>
            </w:tcBorders>
            <w:vAlign w:val="center"/>
          </w:tcPr>
          <w:p>
            <w:pPr>
              <w:pStyle w:val="517"/>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水质、水位</w:t>
            </w:r>
          </w:p>
        </w:tc>
      </w:tr>
      <w:tr>
        <w:tblPrEx>
          <w:tblCellMar>
            <w:top w:w="0" w:type="dxa"/>
            <w:left w:w="108" w:type="dxa"/>
            <w:bottom w:w="0" w:type="dxa"/>
            <w:right w:w="108" w:type="dxa"/>
          </w:tblCellMar>
        </w:tblPrEx>
        <w:trPr>
          <w:trHeight w:val="340" w:hRule="atLeast"/>
        </w:trPr>
        <w:tc>
          <w:tcPr>
            <w:tcW w:w="250" w:type="pct"/>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2</w:t>
            </w:r>
          </w:p>
        </w:tc>
        <w:tc>
          <w:tcPr>
            <w:tcW w:w="800" w:type="pct"/>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kern w:val="0"/>
                <w:sz w:val="21"/>
                <w:szCs w:val="21"/>
                <w:highlight w:val="none"/>
                <w:lang w:bidi="ar"/>
              </w:rPr>
              <w:t>2#水井（水质水位</w:t>
            </w:r>
            <w:r>
              <w:rPr>
                <w:rFonts w:hint="default" w:ascii="Times New Roman" w:hAnsi="Times New Roman" w:eastAsia="宋体" w:cs="Times New Roman"/>
                <w:color w:val="auto"/>
                <w:kern w:val="0"/>
                <w:sz w:val="21"/>
                <w:szCs w:val="21"/>
                <w:highlight w:val="none"/>
                <w:lang w:eastAsia="zh-CN" w:bidi="ar"/>
              </w:rPr>
              <w:t>）</w:t>
            </w:r>
          </w:p>
        </w:tc>
        <w:tc>
          <w:tcPr>
            <w:tcW w:w="555" w:type="pct"/>
            <w:tcBorders>
              <w:top w:val="single" w:color="000000" w:sz="4" w:space="0"/>
              <w:left w:val="single" w:color="000000" w:sz="4" w:space="0"/>
              <w:bottom w:val="single" w:color="000000" w:sz="4" w:space="0"/>
              <w:right w:val="single" w:color="000000"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尾矿库</w:t>
            </w:r>
            <w:r>
              <w:rPr>
                <w:rFonts w:hint="default" w:ascii="Times New Roman" w:hAnsi="Times New Roman" w:eastAsia="宋体" w:cs="Times New Roman"/>
                <w:bCs/>
                <w:color w:val="auto"/>
                <w:sz w:val="21"/>
                <w:szCs w:val="21"/>
                <w:highlight w:val="none"/>
                <w:lang w:eastAsia="zh-CN"/>
              </w:rPr>
              <w:t>东侧</w:t>
            </w:r>
          </w:p>
        </w:tc>
        <w:tc>
          <w:tcPr>
            <w:tcW w:w="555" w:type="pct"/>
            <w:tcBorders>
              <w:top w:val="single" w:color="000000" w:sz="4" w:space="0"/>
              <w:left w:val="single" w:color="000000" w:sz="4" w:space="0"/>
              <w:bottom w:val="single" w:color="000000" w:sz="4" w:space="0"/>
              <w:right w:val="single" w:color="000000"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sz w:val="21"/>
                <w:szCs w:val="21"/>
                <w:highlight w:val="none"/>
                <w:lang w:val="en-US" w:eastAsia="zh-CN"/>
              </w:rPr>
              <w:t>210</w:t>
            </w:r>
          </w:p>
        </w:tc>
        <w:tc>
          <w:tcPr>
            <w:tcW w:w="555" w:type="pct"/>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2"/>
                <w:sz w:val="21"/>
                <w:szCs w:val="21"/>
                <w:highlight w:val="none"/>
                <w:lang w:val="en-US" w:eastAsia="zh-CN" w:bidi="ar-SA"/>
              </w:rPr>
              <w:t>下游</w:t>
            </w:r>
          </w:p>
        </w:tc>
        <w:tc>
          <w:tcPr>
            <w:tcW w:w="555" w:type="pct"/>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109°26'06.67"</w:t>
            </w:r>
          </w:p>
        </w:tc>
        <w:tc>
          <w:tcPr>
            <w:tcW w:w="556" w:type="pct"/>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40°48'16.35"</w:t>
            </w:r>
          </w:p>
        </w:tc>
        <w:tc>
          <w:tcPr>
            <w:tcW w:w="555" w:type="pct"/>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牧户</w:t>
            </w:r>
            <w:r>
              <w:rPr>
                <w:rFonts w:hint="default" w:ascii="Times New Roman" w:hAnsi="Times New Roman" w:eastAsia="宋体" w:cs="Times New Roman"/>
                <w:color w:val="auto"/>
                <w:sz w:val="21"/>
                <w:szCs w:val="21"/>
                <w:highlight w:val="none"/>
                <w:lang w:val="en-US" w:eastAsia="zh-CN"/>
              </w:rPr>
              <w:t>养殖用水</w:t>
            </w:r>
          </w:p>
        </w:tc>
        <w:tc>
          <w:tcPr>
            <w:tcW w:w="555" w:type="pct"/>
            <w:tcBorders>
              <w:top w:val="single" w:color="000000" w:sz="4" w:space="0"/>
              <w:left w:val="single" w:color="000000" w:sz="4" w:space="0"/>
              <w:bottom w:val="single" w:color="000000" w:sz="4" w:space="0"/>
              <w:right w:val="single" w:color="000000" w:sz="4" w:space="0"/>
            </w:tcBorders>
            <w:vAlign w:val="center"/>
          </w:tcPr>
          <w:p>
            <w:pPr>
              <w:pStyle w:val="517"/>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水质、水位</w:t>
            </w:r>
          </w:p>
        </w:tc>
      </w:tr>
      <w:tr>
        <w:tblPrEx>
          <w:tblCellMar>
            <w:top w:w="0" w:type="dxa"/>
            <w:left w:w="108" w:type="dxa"/>
            <w:bottom w:w="0" w:type="dxa"/>
            <w:right w:w="108" w:type="dxa"/>
          </w:tblCellMar>
        </w:tblPrEx>
        <w:trPr>
          <w:trHeight w:val="340" w:hRule="atLeast"/>
        </w:trPr>
        <w:tc>
          <w:tcPr>
            <w:tcW w:w="250" w:type="pct"/>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3</w:t>
            </w:r>
          </w:p>
        </w:tc>
        <w:tc>
          <w:tcPr>
            <w:tcW w:w="800" w:type="pct"/>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kern w:val="0"/>
                <w:sz w:val="21"/>
                <w:szCs w:val="21"/>
                <w:highlight w:val="none"/>
                <w:lang w:bidi="ar"/>
              </w:rPr>
              <w:t>3#水井（水质水位</w:t>
            </w:r>
            <w:r>
              <w:rPr>
                <w:rFonts w:hint="default" w:ascii="Times New Roman" w:hAnsi="Times New Roman" w:eastAsia="宋体" w:cs="Times New Roman"/>
                <w:color w:val="auto"/>
                <w:kern w:val="0"/>
                <w:sz w:val="21"/>
                <w:szCs w:val="21"/>
                <w:highlight w:val="none"/>
                <w:lang w:eastAsia="zh-CN" w:bidi="ar"/>
              </w:rPr>
              <w:t>）</w:t>
            </w:r>
          </w:p>
        </w:tc>
        <w:tc>
          <w:tcPr>
            <w:tcW w:w="555" w:type="pct"/>
            <w:tcBorders>
              <w:top w:val="single" w:color="000000" w:sz="4" w:space="0"/>
              <w:left w:val="single" w:color="000000" w:sz="4" w:space="0"/>
              <w:bottom w:val="single" w:color="000000" w:sz="4" w:space="0"/>
              <w:right w:val="single" w:color="000000"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尾矿库</w:t>
            </w:r>
            <w:r>
              <w:rPr>
                <w:rFonts w:hint="default" w:ascii="Times New Roman" w:hAnsi="Times New Roman" w:eastAsia="宋体" w:cs="Times New Roman"/>
                <w:bCs/>
                <w:color w:val="auto"/>
                <w:sz w:val="21"/>
                <w:szCs w:val="21"/>
                <w:highlight w:val="none"/>
                <w:lang w:eastAsia="zh-CN"/>
              </w:rPr>
              <w:t>东南侧</w:t>
            </w:r>
          </w:p>
        </w:tc>
        <w:tc>
          <w:tcPr>
            <w:tcW w:w="555" w:type="pct"/>
            <w:tcBorders>
              <w:top w:val="single" w:color="000000" w:sz="4" w:space="0"/>
              <w:left w:val="single" w:color="000000" w:sz="4" w:space="0"/>
              <w:bottom w:val="single" w:color="000000" w:sz="4" w:space="0"/>
              <w:right w:val="single" w:color="000000"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sz w:val="21"/>
                <w:szCs w:val="21"/>
                <w:highlight w:val="none"/>
                <w:lang w:val="en-US" w:eastAsia="zh-CN"/>
              </w:rPr>
              <w:t>1450</w:t>
            </w:r>
          </w:p>
        </w:tc>
        <w:tc>
          <w:tcPr>
            <w:tcW w:w="555" w:type="pct"/>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eastAsia="zh-CN" w:bidi="ar"/>
              </w:rPr>
            </w:pPr>
            <w:r>
              <w:rPr>
                <w:rFonts w:hint="default" w:ascii="Times New Roman" w:hAnsi="Times New Roman" w:eastAsia="宋体" w:cs="Times New Roman"/>
                <w:color w:val="auto"/>
                <w:kern w:val="0"/>
                <w:sz w:val="21"/>
                <w:szCs w:val="21"/>
                <w:highlight w:val="none"/>
                <w:lang w:eastAsia="zh-CN" w:bidi="ar"/>
              </w:rPr>
              <w:t>两侧</w:t>
            </w:r>
          </w:p>
        </w:tc>
        <w:tc>
          <w:tcPr>
            <w:tcW w:w="555" w:type="pct"/>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109°26'31.28"</w:t>
            </w:r>
          </w:p>
        </w:tc>
        <w:tc>
          <w:tcPr>
            <w:tcW w:w="556" w:type="pct"/>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40°47'19.26"</w:t>
            </w:r>
          </w:p>
        </w:tc>
        <w:tc>
          <w:tcPr>
            <w:tcW w:w="555" w:type="pct"/>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牧户</w:t>
            </w:r>
            <w:r>
              <w:rPr>
                <w:rFonts w:hint="default" w:ascii="Times New Roman" w:hAnsi="Times New Roman" w:eastAsia="宋体" w:cs="Times New Roman"/>
                <w:color w:val="auto"/>
                <w:sz w:val="21"/>
                <w:szCs w:val="21"/>
                <w:highlight w:val="none"/>
                <w:lang w:val="en-US" w:eastAsia="zh-CN"/>
              </w:rPr>
              <w:t>养殖用水</w:t>
            </w:r>
          </w:p>
        </w:tc>
        <w:tc>
          <w:tcPr>
            <w:tcW w:w="555" w:type="pct"/>
            <w:tcBorders>
              <w:top w:val="single" w:color="000000" w:sz="4" w:space="0"/>
              <w:left w:val="single" w:color="000000" w:sz="4" w:space="0"/>
              <w:bottom w:val="single" w:color="000000" w:sz="4" w:space="0"/>
              <w:right w:val="single" w:color="000000" w:sz="4" w:space="0"/>
            </w:tcBorders>
            <w:vAlign w:val="center"/>
          </w:tcPr>
          <w:p>
            <w:pPr>
              <w:pStyle w:val="517"/>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水质、水位</w:t>
            </w:r>
          </w:p>
        </w:tc>
      </w:tr>
      <w:tr>
        <w:tblPrEx>
          <w:tblCellMar>
            <w:top w:w="0" w:type="dxa"/>
            <w:left w:w="108" w:type="dxa"/>
            <w:bottom w:w="0" w:type="dxa"/>
            <w:right w:w="108" w:type="dxa"/>
          </w:tblCellMar>
        </w:tblPrEx>
        <w:trPr>
          <w:trHeight w:val="340" w:hRule="atLeast"/>
        </w:trPr>
        <w:tc>
          <w:tcPr>
            <w:tcW w:w="250" w:type="pct"/>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4</w:t>
            </w:r>
          </w:p>
        </w:tc>
        <w:tc>
          <w:tcPr>
            <w:tcW w:w="800" w:type="pct"/>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kern w:val="0"/>
                <w:sz w:val="21"/>
                <w:szCs w:val="21"/>
                <w:highlight w:val="none"/>
                <w:lang w:bidi="ar"/>
              </w:rPr>
              <w:t>4#水井（水质水位</w:t>
            </w:r>
            <w:r>
              <w:rPr>
                <w:rFonts w:hint="default" w:ascii="Times New Roman" w:hAnsi="Times New Roman" w:eastAsia="宋体" w:cs="Times New Roman"/>
                <w:color w:val="auto"/>
                <w:kern w:val="0"/>
                <w:sz w:val="21"/>
                <w:szCs w:val="21"/>
                <w:highlight w:val="none"/>
                <w:lang w:eastAsia="zh-CN" w:bidi="ar"/>
              </w:rPr>
              <w:t>）</w:t>
            </w:r>
          </w:p>
        </w:tc>
        <w:tc>
          <w:tcPr>
            <w:tcW w:w="555" w:type="pct"/>
            <w:tcBorders>
              <w:top w:val="single" w:color="000000" w:sz="4" w:space="0"/>
              <w:left w:val="single" w:color="000000" w:sz="4" w:space="0"/>
              <w:bottom w:val="single" w:color="000000" w:sz="4" w:space="0"/>
              <w:right w:val="single" w:color="000000"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尾矿库</w:t>
            </w:r>
            <w:r>
              <w:rPr>
                <w:rFonts w:hint="default" w:ascii="Times New Roman" w:hAnsi="Times New Roman" w:eastAsia="宋体" w:cs="Times New Roman"/>
                <w:bCs/>
                <w:color w:val="auto"/>
                <w:sz w:val="21"/>
                <w:szCs w:val="21"/>
                <w:highlight w:val="none"/>
                <w:lang w:eastAsia="zh-CN"/>
              </w:rPr>
              <w:t>南侧</w:t>
            </w:r>
          </w:p>
        </w:tc>
        <w:tc>
          <w:tcPr>
            <w:tcW w:w="555" w:type="pct"/>
            <w:tcBorders>
              <w:top w:val="single" w:color="000000" w:sz="4" w:space="0"/>
              <w:left w:val="single" w:color="000000" w:sz="4" w:space="0"/>
              <w:bottom w:val="single" w:color="000000" w:sz="4" w:space="0"/>
              <w:right w:val="single" w:color="000000"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sz w:val="21"/>
                <w:szCs w:val="21"/>
                <w:highlight w:val="none"/>
                <w:lang w:val="en-US" w:eastAsia="zh-CN"/>
              </w:rPr>
              <w:t>650</w:t>
            </w:r>
          </w:p>
        </w:tc>
        <w:tc>
          <w:tcPr>
            <w:tcW w:w="555" w:type="pct"/>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2"/>
                <w:sz w:val="21"/>
                <w:szCs w:val="21"/>
                <w:highlight w:val="none"/>
                <w:lang w:val="en-US" w:eastAsia="zh-CN" w:bidi="ar-SA"/>
              </w:rPr>
              <w:t>上游</w:t>
            </w:r>
          </w:p>
        </w:tc>
        <w:tc>
          <w:tcPr>
            <w:tcW w:w="555" w:type="pct"/>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109°25'16.02"</w:t>
            </w:r>
          </w:p>
        </w:tc>
        <w:tc>
          <w:tcPr>
            <w:tcW w:w="556" w:type="pct"/>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40°47'18.73"</w:t>
            </w:r>
          </w:p>
        </w:tc>
        <w:tc>
          <w:tcPr>
            <w:tcW w:w="555" w:type="pct"/>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牧户</w:t>
            </w:r>
            <w:r>
              <w:rPr>
                <w:rFonts w:hint="default" w:ascii="Times New Roman" w:hAnsi="Times New Roman" w:eastAsia="宋体" w:cs="Times New Roman"/>
                <w:color w:val="auto"/>
                <w:sz w:val="21"/>
                <w:szCs w:val="21"/>
                <w:highlight w:val="none"/>
                <w:lang w:val="en-US" w:eastAsia="zh-CN"/>
              </w:rPr>
              <w:t>养殖用水</w:t>
            </w:r>
          </w:p>
        </w:tc>
        <w:tc>
          <w:tcPr>
            <w:tcW w:w="555" w:type="pct"/>
            <w:tcBorders>
              <w:top w:val="single" w:color="000000" w:sz="4" w:space="0"/>
              <w:left w:val="single" w:color="000000" w:sz="4" w:space="0"/>
              <w:bottom w:val="single" w:color="000000" w:sz="4" w:space="0"/>
              <w:right w:val="single" w:color="000000" w:sz="4" w:space="0"/>
            </w:tcBorders>
            <w:vAlign w:val="center"/>
          </w:tcPr>
          <w:p>
            <w:pPr>
              <w:pStyle w:val="517"/>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水质、水位</w:t>
            </w:r>
          </w:p>
        </w:tc>
      </w:tr>
      <w:tr>
        <w:tblPrEx>
          <w:tblCellMar>
            <w:top w:w="0" w:type="dxa"/>
            <w:left w:w="108" w:type="dxa"/>
            <w:bottom w:w="0" w:type="dxa"/>
            <w:right w:w="108" w:type="dxa"/>
          </w:tblCellMar>
        </w:tblPrEx>
        <w:trPr>
          <w:trHeight w:val="340" w:hRule="atLeast"/>
        </w:trPr>
        <w:tc>
          <w:tcPr>
            <w:tcW w:w="250" w:type="pct"/>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5</w:t>
            </w:r>
          </w:p>
        </w:tc>
        <w:tc>
          <w:tcPr>
            <w:tcW w:w="800" w:type="pct"/>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kern w:val="0"/>
                <w:sz w:val="21"/>
                <w:szCs w:val="21"/>
                <w:highlight w:val="none"/>
                <w:lang w:bidi="ar"/>
              </w:rPr>
              <w:t>5#水井（水质水位</w:t>
            </w:r>
            <w:r>
              <w:rPr>
                <w:rFonts w:hint="default" w:ascii="Times New Roman" w:hAnsi="Times New Roman" w:eastAsia="宋体" w:cs="Times New Roman"/>
                <w:color w:val="auto"/>
                <w:kern w:val="0"/>
                <w:sz w:val="21"/>
                <w:szCs w:val="21"/>
                <w:highlight w:val="none"/>
                <w:lang w:eastAsia="zh-CN" w:bidi="ar"/>
              </w:rPr>
              <w:t>）</w:t>
            </w:r>
          </w:p>
        </w:tc>
        <w:tc>
          <w:tcPr>
            <w:tcW w:w="555" w:type="pct"/>
            <w:tcBorders>
              <w:top w:val="single" w:color="000000" w:sz="4" w:space="0"/>
              <w:left w:val="single" w:color="000000" w:sz="4" w:space="0"/>
              <w:bottom w:val="single" w:color="000000" w:sz="4" w:space="0"/>
              <w:right w:val="single" w:color="000000"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尾矿库</w:t>
            </w:r>
            <w:r>
              <w:rPr>
                <w:rFonts w:hint="default" w:ascii="Times New Roman" w:hAnsi="Times New Roman" w:eastAsia="宋体" w:cs="Times New Roman"/>
                <w:bCs/>
                <w:color w:val="auto"/>
                <w:sz w:val="21"/>
                <w:szCs w:val="21"/>
                <w:highlight w:val="none"/>
                <w:lang w:eastAsia="zh-CN"/>
              </w:rPr>
              <w:t>西侧</w:t>
            </w:r>
          </w:p>
        </w:tc>
        <w:tc>
          <w:tcPr>
            <w:tcW w:w="555" w:type="pct"/>
            <w:tcBorders>
              <w:top w:val="single" w:color="000000" w:sz="4" w:space="0"/>
              <w:left w:val="single" w:color="000000" w:sz="4" w:space="0"/>
              <w:bottom w:val="single" w:color="000000" w:sz="4" w:space="0"/>
              <w:right w:val="single" w:color="000000"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sz w:val="21"/>
                <w:szCs w:val="21"/>
                <w:highlight w:val="none"/>
                <w:lang w:val="en-US" w:eastAsia="zh-CN"/>
              </w:rPr>
              <w:t>1030</w:t>
            </w:r>
          </w:p>
        </w:tc>
        <w:tc>
          <w:tcPr>
            <w:tcW w:w="555" w:type="pct"/>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2"/>
                <w:sz w:val="21"/>
                <w:szCs w:val="21"/>
                <w:highlight w:val="none"/>
                <w:lang w:val="en-US" w:eastAsia="zh-CN" w:bidi="ar-SA"/>
              </w:rPr>
              <w:t>上游</w:t>
            </w:r>
          </w:p>
        </w:tc>
        <w:tc>
          <w:tcPr>
            <w:tcW w:w="555" w:type="pct"/>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109°24'26.00"</w:t>
            </w:r>
          </w:p>
        </w:tc>
        <w:tc>
          <w:tcPr>
            <w:tcW w:w="556" w:type="pct"/>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40°47'38.62"</w:t>
            </w:r>
          </w:p>
        </w:tc>
        <w:tc>
          <w:tcPr>
            <w:tcW w:w="555" w:type="pct"/>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牧户</w:t>
            </w:r>
            <w:r>
              <w:rPr>
                <w:rFonts w:hint="default" w:ascii="Times New Roman" w:hAnsi="Times New Roman" w:eastAsia="宋体" w:cs="Times New Roman"/>
                <w:color w:val="auto"/>
                <w:sz w:val="21"/>
                <w:szCs w:val="21"/>
                <w:highlight w:val="none"/>
                <w:lang w:val="en-US" w:eastAsia="zh-CN"/>
              </w:rPr>
              <w:t>养殖用水</w:t>
            </w:r>
          </w:p>
        </w:tc>
        <w:tc>
          <w:tcPr>
            <w:tcW w:w="555" w:type="pct"/>
            <w:tcBorders>
              <w:top w:val="single" w:color="000000" w:sz="4" w:space="0"/>
              <w:left w:val="single" w:color="000000" w:sz="4" w:space="0"/>
              <w:bottom w:val="single" w:color="000000" w:sz="4" w:space="0"/>
              <w:right w:val="single" w:color="000000" w:sz="4" w:space="0"/>
            </w:tcBorders>
            <w:vAlign w:val="center"/>
          </w:tcPr>
          <w:p>
            <w:pPr>
              <w:pStyle w:val="517"/>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水质、水位</w:t>
            </w:r>
          </w:p>
        </w:tc>
      </w:tr>
      <w:tr>
        <w:tblPrEx>
          <w:tblCellMar>
            <w:top w:w="0" w:type="dxa"/>
            <w:left w:w="108" w:type="dxa"/>
            <w:bottom w:w="0" w:type="dxa"/>
            <w:right w:w="108" w:type="dxa"/>
          </w:tblCellMar>
        </w:tblPrEx>
        <w:trPr>
          <w:trHeight w:val="340" w:hRule="atLeast"/>
        </w:trPr>
        <w:tc>
          <w:tcPr>
            <w:tcW w:w="250" w:type="pct"/>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6</w:t>
            </w:r>
          </w:p>
        </w:tc>
        <w:tc>
          <w:tcPr>
            <w:tcW w:w="800" w:type="pct"/>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kern w:val="0"/>
                <w:sz w:val="21"/>
                <w:szCs w:val="21"/>
                <w:highlight w:val="none"/>
                <w:lang w:bidi="ar"/>
              </w:rPr>
              <w:t>6#水井（水位</w:t>
            </w:r>
            <w:r>
              <w:rPr>
                <w:rFonts w:hint="default" w:ascii="Times New Roman" w:hAnsi="Times New Roman" w:eastAsia="宋体" w:cs="Times New Roman"/>
                <w:color w:val="auto"/>
                <w:kern w:val="0"/>
                <w:sz w:val="21"/>
                <w:szCs w:val="21"/>
                <w:highlight w:val="none"/>
                <w:lang w:eastAsia="zh-CN" w:bidi="ar"/>
              </w:rPr>
              <w:t>）</w:t>
            </w:r>
          </w:p>
        </w:tc>
        <w:tc>
          <w:tcPr>
            <w:tcW w:w="555" w:type="pct"/>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rPr>
              <w:t>尾矿库</w:t>
            </w:r>
            <w:r>
              <w:rPr>
                <w:rFonts w:hint="default" w:ascii="Times New Roman" w:hAnsi="Times New Roman" w:eastAsia="宋体" w:cs="Times New Roman"/>
                <w:color w:val="auto"/>
                <w:kern w:val="0"/>
                <w:sz w:val="21"/>
                <w:szCs w:val="21"/>
                <w:highlight w:val="none"/>
                <w:lang w:val="en-US" w:eastAsia="zh-CN" w:bidi="ar"/>
              </w:rPr>
              <w:t>北侧</w:t>
            </w:r>
          </w:p>
        </w:tc>
        <w:tc>
          <w:tcPr>
            <w:tcW w:w="555" w:type="pct"/>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bidi="ar"/>
              </w:rPr>
            </w:pPr>
            <w:r>
              <w:rPr>
                <w:rFonts w:hint="default" w:ascii="Times New Roman" w:hAnsi="Times New Roman" w:eastAsia="宋体" w:cs="Times New Roman"/>
                <w:color w:val="auto"/>
                <w:kern w:val="0"/>
                <w:sz w:val="21"/>
                <w:szCs w:val="21"/>
                <w:highlight w:val="none"/>
                <w:lang w:val="en-US" w:eastAsia="zh-CN" w:bidi="ar"/>
              </w:rPr>
              <w:t>1360</w:t>
            </w:r>
          </w:p>
        </w:tc>
        <w:tc>
          <w:tcPr>
            <w:tcW w:w="555" w:type="pct"/>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2"/>
                <w:sz w:val="21"/>
                <w:szCs w:val="21"/>
                <w:highlight w:val="none"/>
                <w:lang w:val="en-US" w:eastAsia="zh-CN" w:bidi="ar-SA"/>
              </w:rPr>
              <w:t>下游</w:t>
            </w:r>
          </w:p>
        </w:tc>
        <w:tc>
          <w:tcPr>
            <w:tcW w:w="555" w:type="pct"/>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109°26'05.59"</w:t>
            </w:r>
          </w:p>
        </w:tc>
        <w:tc>
          <w:tcPr>
            <w:tcW w:w="556" w:type="pct"/>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40°48'55.38"</w:t>
            </w:r>
          </w:p>
        </w:tc>
        <w:tc>
          <w:tcPr>
            <w:tcW w:w="555" w:type="pct"/>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牧户</w:t>
            </w:r>
            <w:r>
              <w:rPr>
                <w:rFonts w:hint="default" w:ascii="Times New Roman" w:hAnsi="Times New Roman" w:eastAsia="宋体" w:cs="Times New Roman"/>
                <w:color w:val="auto"/>
                <w:sz w:val="21"/>
                <w:szCs w:val="21"/>
                <w:highlight w:val="none"/>
                <w:lang w:val="en-US" w:eastAsia="zh-CN"/>
              </w:rPr>
              <w:t>养殖用水</w:t>
            </w:r>
          </w:p>
        </w:tc>
        <w:tc>
          <w:tcPr>
            <w:tcW w:w="555" w:type="pct"/>
            <w:tcBorders>
              <w:top w:val="single" w:color="000000" w:sz="4" w:space="0"/>
              <w:left w:val="single" w:color="000000" w:sz="4" w:space="0"/>
              <w:bottom w:val="single" w:color="000000" w:sz="4" w:space="0"/>
              <w:right w:val="single" w:color="000000" w:sz="4" w:space="0"/>
            </w:tcBorders>
            <w:vAlign w:val="center"/>
          </w:tcPr>
          <w:p>
            <w:pPr>
              <w:pStyle w:val="517"/>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水位</w:t>
            </w:r>
          </w:p>
        </w:tc>
      </w:tr>
      <w:tr>
        <w:tblPrEx>
          <w:tblCellMar>
            <w:top w:w="0" w:type="dxa"/>
            <w:left w:w="108" w:type="dxa"/>
            <w:bottom w:w="0" w:type="dxa"/>
            <w:right w:w="108" w:type="dxa"/>
          </w:tblCellMar>
        </w:tblPrEx>
        <w:trPr>
          <w:trHeight w:val="340" w:hRule="atLeast"/>
        </w:trPr>
        <w:tc>
          <w:tcPr>
            <w:tcW w:w="250" w:type="pct"/>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7</w:t>
            </w:r>
          </w:p>
        </w:tc>
        <w:tc>
          <w:tcPr>
            <w:tcW w:w="800" w:type="pct"/>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kern w:val="0"/>
                <w:sz w:val="21"/>
                <w:szCs w:val="21"/>
                <w:highlight w:val="none"/>
                <w:lang w:bidi="ar"/>
              </w:rPr>
              <w:t>7#水井（水位</w:t>
            </w:r>
            <w:r>
              <w:rPr>
                <w:rFonts w:hint="default" w:ascii="Times New Roman" w:hAnsi="Times New Roman" w:eastAsia="宋体" w:cs="Times New Roman"/>
                <w:color w:val="auto"/>
                <w:kern w:val="0"/>
                <w:sz w:val="21"/>
                <w:szCs w:val="21"/>
                <w:highlight w:val="none"/>
                <w:lang w:eastAsia="zh-CN" w:bidi="ar"/>
              </w:rPr>
              <w:t>）</w:t>
            </w:r>
          </w:p>
        </w:tc>
        <w:tc>
          <w:tcPr>
            <w:tcW w:w="555" w:type="pct"/>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sz w:val="21"/>
                <w:szCs w:val="21"/>
                <w:highlight w:val="none"/>
                <w:lang w:val="en-US" w:eastAsia="zh-CN"/>
              </w:rPr>
              <w:t>尾矿库</w:t>
            </w:r>
            <w:r>
              <w:rPr>
                <w:rFonts w:hint="default" w:ascii="Times New Roman" w:hAnsi="Times New Roman" w:eastAsia="宋体" w:cs="Times New Roman"/>
                <w:color w:val="auto"/>
                <w:kern w:val="0"/>
                <w:sz w:val="21"/>
                <w:szCs w:val="21"/>
                <w:highlight w:val="none"/>
                <w:lang w:val="en-US" w:eastAsia="zh-CN" w:bidi="ar"/>
              </w:rPr>
              <w:t>东北侧</w:t>
            </w:r>
          </w:p>
        </w:tc>
        <w:tc>
          <w:tcPr>
            <w:tcW w:w="555" w:type="pct"/>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bidi="ar"/>
              </w:rPr>
            </w:pPr>
            <w:r>
              <w:rPr>
                <w:rFonts w:hint="default" w:ascii="Times New Roman" w:hAnsi="Times New Roman" w:eastAsia="宋体" w:cs="Times New Roman"/>
                <w:color w:val="auto"/>
                <w:kern w:val="0"/>
                <w:sz w:val="21"/>
                <w:szCs w:val="21"/>
                <w:highlight w:val="none"/>
                <w:lang w:val="en-US" w:eastAsia="zh-CN" w:bidi="ar"/>
              </w:rPr>
              <w:t>1000</w:t>
            </w:r>
          </w:p>
        </w:tc>
        <w:tc>
          <w:tcPr>
            <w:tcW w:w="555" w:type="pct"/>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2"/>
                <w:sz w:val="21"/>
                <w:szCs w:val="21"/>
                <w:highlight w:val="none"/>
                <w:lang w:val="en-US" w:eastAsia="zh-CN" w:bidi="ar-SA"/>
              </w:rPr>
              <w:t>下游</w:t>
            </w:r>
          </w:p>
        </w:tc>
        <w:tc>
          <w:tcPr>
            <w:tcW w:w="555" w:type="pct"/>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109°26'23.79"</w:t>
            </w:r>
          </w:p>
        </w:tc>
        <w:tc>
          <w:tcPr>
            <w:tcW w:w="556" w:type="pct"/>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40°48'32.19"</w:t>
            </w:r>
          </w:p>
        </w:tc>
        <w:tc>
          <w:tcPr>
            <w:tcW w:w="555" w:type="pct"/>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牧户</w:t>
            </w:r>
            <w:r>
              <w:rPr>
                <w:rFonts w:hint="default" w:ascii="Times New Roman" w:hAnsi="Times New Roman" w:eastAsia="宋体" w:cs="Times New Roman"/>
                <w:color w:val="auto"/>
                <w:sz w:val="21"/>
                <w:szCs w:val="21"/>
                <w:highlight w:val="none"/>
                <w:lang w:val="en-US" w:eastAsia="zh-CN"/>
              </w:rPr>
              <w:t>养殖用水</w:t>
            </w:r>
          </w:p>
        </w:tc>
        <w:tc>
          <w:tcPr>
            <w:tcW w:w="555" w:type="pct"/>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kern w:val="2"/>
                <w:sz w:val="21"/>
                <w:szCs w:val="21"/>
                <w:highlight w:val="none"/>
                <w:lang w:val="en-US" w:eastAsia="zh-CN" w:bidi="ar-SA"/>
              </w:rPr>
              <w:t>水位</w:t>
            </w:r>
          </w:p>
        </w:tc>
      </w:tr>
      <w:tr>
        <w:tblPrEx>
          <w:tblCellMar>
            <w:top w:w="0" w:type="dxa"/>
            <w:left w:w="108" w:type="dxa"/>
            <w:bottom w:w="0" w:type="dxa"/>
            <w:right w:w="108" w:type="dxa"/>
          </w:tblCellMar>
        </w:tblPrEx>
        <w:trPr>
          <w:trHeight w:val="340" w:hRule="atLeast"/>
        </w:trPr>
        <w:tc>
          <w:tcPr>
            <w:tcW w:w="250" w:type="pct"/>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8</w:t>
            </w:r>
          </w:p>
        </w:tc>
        <w:tc>
          <w:tcPr>
            <w:tcW w:w="800" w:type="pct"/>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kern w:val="0"/>
                <w:sz w:val="21"/>
                <w:szCs w:val="21"/>
                <w:highlight w:val="none"/>
                <w:lang w:bidi="ar"/>
              </w:rPr>
              <w:t>8#（水位</w:t>
            </w:r>
            <w:r>
              <w:rPr>
                <w:rFonts w:hint="default" w:ascii="Times New Roman" w:hAnsi="Times New Roman" w:eastAsia="宋体" w:cs="Times New Roman"/>
                <w:color w:val="auto"/>
                <w:kern w:val="0"/>
                <w:sz w:val="21"/>
                <w:szCs w:val="21"/>
                <w:highlight w:val="none"/>
                <w:lang w:eastAsia="zh-CN" w:bidi="ar"/>
              </w:rPr>
              <w:t>）</w:t>
            </w:r>
          </w:p>
        </w:tc>
        <w:tc>
          <w:tcPr>
            <w:tcW w:w="555" w:type="pct"/>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sz w:val="21"/>
                <w:szCs w:val="21"/>
                <w:highlight w:val="none"/>
                <w:lang w:val="en-US" w:eastAsia="zh-CN"/>
              </w:rPr>
              <w:t>尾矿库</w:t>
            </w:r>
            <w:r>
              <w:rPr>
                <w:rFonts w:hint="default" w:ascii="Times New Roman" w:hAnsi="Times New Roman" w:eastAsia="宋体" w:cs="Times New Roman"/>
                <w:color w:val="auto"/>
                <w:kern w:val="0"/>
                <w:sz w:val="21"/>
                <w:szCs w:val="21"/>
                <w:highlight w:val="none"/>
                <w:lang w:val="en-US" w:eastAsia="zh-CN" w:bidi="ar"/>
              </w:rPr>
              <w:t>东侧</w:t>
            </w:r>
          </w:p>
        </w:tc>
        <w:tc>
          <w:tcPr>
            <w:tcW w:w="555" w:type="pct"/>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bidi="ar"/>
              </w:rPr>
            </w:pPr>
            <w:r>
              <w:rPr>
                <w:rFonts w:hint="default" w:ascii="Times New Roman" w:hAnsi="Times New Roman" w:eastAsia="宋体" w:cs="Times New Roman"/>
                <w:color w:val="auto"/>
                <w:kern w:val="0"/>
                <w:sz w:val="21"/>
                <w:szCs w:val="21"/>
                <w:highlight w:val="none"/>
                <w:lang w:val="en-US" w:eastAsia="zh-CN" w:bidi="ar"/>
              </w:rPr>
              <w:t>465</w:t>
            </w:r>
          </w:p>
        </w:tc>
        <w:tc>
          <w:tcPr>
            <w:tcW w:w="555" w:type="pct"/>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eastAsia="zh-CN" w:bidi="ar"/>
              </w:rPr>
              <w:t>两侧</w:t>
            </w:r>
          </w:p>
        </w:tc>
        <w:tc>
          <w:tcPr>
            <w:tcW w:w="555" w:type="pct"/>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109°26'10.97"</w:t>
            </w:r>
          </w:p>
        </w:tc>
        <w:tc>
          <w:tcPr>
            <w:tcW w:w="556" w:type="pct"/>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40°47'50.62"</w:t>
            </w:r>
          </w:p>
        </w:tc>
        <w:tc>
          <w:tcPr>
            <w:tcW w:w="555" w:type="pct"/>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牧户</w:t>
            </w:r>
            <w:r>
              <w:rPr>
                <w:rFonts w:hint="default" w:ascii="Times New Roman" w:hAnsi="Times New Roman" w:eastAsia="宋体" w:cs="Times New Roman"/>
                <w:color w:val="auto"/>
                <w:sz w:val="21"/>
                <w:szCs w:val="21"/>
                <w:highlight w:val="none"/>
                <w:lang w:val="en-US" w:eastAsia="zh-CN"/>
              </w:rPr>
              <w:t>养殖用水</w:t>
            </w:r>
          </w:p>
        </w:tc>
        <w:tc>
          <w:tcPr>
            <w:tcW w:w="555" w:type="pct"/>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kern w:val="2"/>
                <w:sz w:val="21"/>
                <w:szCs w:val="21"/>
                <w:highlight w:val="none"/>
                <w:lang w:val="en-US" w:eastAsia="zh-CN" w:bidi="ar-SA"/>
              </w:rPr>
              <w:t>水位</w:t>
            </w:r>
          </w:p>
        </w:tc>
      </w:tr>
      <w:tr>
        <w:tblPrEx>
          <w:tblCellMar>
            <w:top w:w="0" w:type="dxa"/>
            <w:left w:w="108" w:type="dxa"/>
            <w:bottom w:w="0" w:type="dxa"/>
            <w:right w:w="108" w:type="dxa"/>
          </w:tblCellMar>
        </w:tblPrEx>
        <w:trPr>
          <w:trHeight w:val="340" w:hRule="atLeast"/>
        </w:trPr>
        <w:tc>
          <w:tcPr>
            <w:tcW w:w="250" w:type="pct"/>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9</w:t>
            </w:r>
          </w:p>
        </w:tc>
        <w:tc>
          <w:tcPr>
            <w:tcW w:w="800" w:type="pct"/>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kern w:val="0"/>
                <w:sz w:val="21"/>
                <w:szCs w:val="21"/>
                <w:highlight w:val="none"/>
                <w:lang w:bidi="ar"/>
              </w:rPr>
              <w:t>9#（水位</w:t>
            </w:r>
            <w:r>
              <w:rPr>
                <w:rFonts w:hint="default" w:ascii="Times New Roman" w:hAnsi="Times New Roman" w:eastAsia="宋体" w:cs="Times New Roman"/>
                <w:color w:val="auto"/>
                <w:kern w:val="0"/>
                <w:sz w:val="21"/>
                <w:szCs w:val="21"/>
                <w:highlight w:val="none"/>
                <w:lang w:eastAsia="zh-CN" w:bidi="ar"/>
              </w:rPr>
              <w:t>）</w:t>
            </w:r>
          </w:p>
        </w:tc>
        <w:tc>
          <w:tcPr>
            <w:tcW w:w="555" w:type="pct"/>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sz w:val="21"/>
                <w:szCs w:val="21"/>
                <w:highlight w:val="none"/>
                <w:lang w:val="en-US" w:eastAsia="zh-CN"/>
              </w:rPr>
              <w:t>尾矿库</w:t>
            </w:r>
            <w:r>
              <w:rPr>
                <w:rFonts w:hint="default" w:ascii="Times New Roman" w:hAnsi="Times New Roman" w:eastAsia="宋体" w:cs="Times New Roman"/>
                <w:color w:val="auto"/>
                <w:kern w:val="0"/>
                <w:sz w:val="21"/>
                <w:szCs w:val="21"/>
                <w:highlight w:val="none"/>
                <w:lang w:val="en-US" w:eastAsia="zh-CN" w:bidi="ar"/>
              </w:rPr>
              <w:t>北侧</w:t>
            </w:r>
          </w:p>
        </w:tc>
        <w:tc>
          <w:tcPr>
            <w:tcW w:w="555" w:type="pct"/>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bidi="ar"/>
              </w:rPr>
            </w:pPr>
            <w:r>
              <w:rPr>
                <w:rFonts w:hint="default" w:ascii="Times New Roman" w:hAnsi="Times New Roman" w:eastAsia="宋体" w:cs="Times New Roman"/>
                <w:color w:val="auto"/>
                <w:kern w:val="0"/>
                <w:sz w:val="21"/>
                <w:szCs w:val="21"/>
                <w:highlight w:val="none"/>
                <w:lang w:val="en-US" w:eastAsia="zh-CN" w:bidi="ar"/>
              </w:rPr>
              <w:t>840</w:t>
            </w:r>
          </w:p>
        </w:tc>
        <w:tc>
          <w:tcPr>
            <w:tcW w:w="555" w:type="pct"/>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2"/>
                <w:sz w:val="21"/>
                <w:szCs w:val="21"/>
                <w:highlight w:val="none"/>
                <w:lang w:val="en-US" w:eastAsia="zh-CN" w:bidi="ar-SA"/>
              </w:rPr>
              <w:t>下游</w:t>
            </w:r>
          </w:p>
        </w:tc>
        <w:tc>
          <w:tcPr>
            <w:tcW w:w="555" w:type="pct"/>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109°25'32.46"</w:t>
            </w:r>
          </w:p>
        </w:tc>
        <w:tc>
          <w:tcPr>
            <w:tcW w:w="556" w:type="pct"/>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40°48'37.87"</w:t>
            </w:r>
          </w:p>
        </w:tc>
        <w:tc>
          <w:tcPr>
            <w:tcW w:w="555" w:type="pct"/>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牧户</w:t>
            </w:r>
            <w:r>
              <w:rPr>
                <w:rFonts w:hint="default" w:ascii="Times New Roman" w:hAnsi="Times New Roman" w:eastAsia="宋体" w:cs="Times New Roman"/>
                <w:color w:val="auto"/>
                <w:sz w:val="21"/>
                <w:szCs w:val="21"/>
                <w:highlight w:val="none"/>
                <w:lang w:val="en-US" w:eastAsia="zh-CN"/>
              </w:rPr>
              <w:t>养殖用水</w:t>
            </w:r>
          </w:p>
        </w:tc>
        <w:tc>
          <w:tcPr>
            <w:tcW w:w="555" w:type="pct"/>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kern w:val="2"/>
                <w:sz w:val="21"/>
                <w:szCs w:val="21"/>
                <w:highlight w:val="none"/>
                <w:lang w:val="en-US" w:eastAsia="zh-CN" w:bidi="ar-SA"/>
              </w:rPr>
              <w:t>水位</w:t>
            </w:r>
          </w:p>
        </w:tc>
      </w:tr>
      <w:tr>
        <w:tblPrEx>
          <w:tblCellMar>
            <w:top w:w="0" w:type="dxa"/>
            <w:left w:w="108" w:type="dxa"/>
            <w:bottom w:w="0" w:type="dxa"/>
            <w:right w:w="108" w:type="dxa"/>
          </w:tblCellMar>
        </w:tblPrEx>
        <w:trPr>
          <w:trHeight w:val="340" w:hRule="atLeast"/>
        </w:trPr>
        <w:tc>
          <w:tcPr>
            <w:tcW w:w="250" w:type="pct"/>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10</w:t>
            </w:r>
          </w:p>
        </w:tc>
        <w:tc>
          <w:tcPr>
            <w:tcW w:w="800" w:type="pct"/>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kern w:val="0"/>
                <w:sz w:val="21"/>
                <w:szCs w:val="21"/>
                <w:highlight w:val="none"/>
                <w:lang w:bidi="ar"/>
              </w:rPr>
              <w:t>10#（水位</w:t>
            </w:r>
            <w:r>
              <w:rPr>
                <w:rFonts w:hint="default" w:ascii="Times New Roman" w:hAnsi="Times New Roman" w:eastAsia="宋体" w:cs="Times New Roman"/>
                <w:color w:val="auto"/>
                <w:kern w:val="0"/>
                <w:sz w:val="21"/>
                <w:szCs w:val="21"/>
                <w:highlight w:val="none"/>
                <w:lang w:eastAsia="zh-CN" w:bidi="ar"/>
              </w:rPr>
              <w:t>）</w:t>
            </w:r>
          </w:p>
        </w:tc>
        <w:tc>
          <w:tcPr>
            <w:tcW w:w="555" w:type="pct"/>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sz w:val="21"/>
                <w:szCs w:val="21"/>
                <w:highlight w:val="none"/>
                <w:lang w:val="en-US" w:eastAsia="zh-CN"/>
              </w:rPr>
              <w:t>尾矿库</w:t>
            </w:r>
            <w:r>
              <w:rPr>
                <w:rFonts w:hint="default" w:ascii="Times New Roman" w:hAnsi="Times New Roman" w:eastAsia="宋体" w:cs="Times New Roman"/>
                <w:color w:val="auto"/>
                <w:kern w:val="0"/>
                <w:sz w:val="21"/>
                <w:szCs w:val="21"/>
                <w:highlight w:val="none"/>
                <w:lang w:val="en-US" w:eastAsia="zh-CN" w:bidi="ar"/>
              </w:rPr>
              <w:t>东侧</w:t>
            </w:r>
          </w:p>
        </w:tc>
        <w:tc>
          <w:tcPr>
            <w:tcW w:w="555" w:type="pct"/>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460</w:t>
            </w:r>
          </w:p>
        </w:tc>
        <w:tc>
          <w:tcPr>
            <w:tcW w:w="555" w:type="pct"/>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eastAsia="zh-CN" w:bidi="ar"/>
              </w:rPr>
              <w:t>两侧</w:t>
            </w:r>
          </w:p>
        </w:tc>
        <w:tc>
          <w:tcPr>
            <w:tcW w:w="555" w:type="pct"/>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109°26'15.75"</w:t>
            </w:r>
          </w:p>
        </w:tc>
        <w:tc>
          <w:tcPr>
            <w:tcW w:w="556" w:type="pct"/>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40°48'06.42"</w:t>
            </w:r>
          </w:p>
        </w:tc>
        <w:tc>
          <w:tcPr>
            <w:tcW w:w="555" w:type="pct"/>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牧户</w:t>
            </w:r>
            <w:r>
              <w:rPr>
                <w:rFonts w:hint="default" w:ascii="Times New Roman" w:hAnsi="Times New Roman" w:eastAsia="宋体" w:cs="Times New Roman"/>
                <w:color w:val="auto"/>
                <w:sz w:val="21"/>
                <w:szCs w:val="21"/>
                <w:highlight w:val="none"/>
                <w:lang w:val="en-US" w:eastAsia="zh-CN"/>
              </w:rPr>
              <w:t>养殖用水</w:t>
            </w:r>
          </w:p>
        </w:tc>
        <w:tc>
          <w:tcPr>
            <w:tcW w:w="555" w:type="pct"/>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kern w:val="2"/>
                <w:sz w:val="21"/>
                <w:szCs w:val="21"/>
                <w:highlight w:val="none"/>
                <w:lang w:val="en-US" w:eastAsia="zh-CN" w:bidi="ar-SA"/>
              </w:rPr>
              <w:t>水位</w:t>
            </w:r>
          </w:p>
        </w:tc>
      </w:tr>
    </w:tbl>
    <w:p>
      <w:pPr>
        <w:pageBreakBefore w:val="0"/>
        <w:wordWrap/>
        <w:bidi w:val="0"/>
        <w:spacing w:line="360" w:lineRule="auto"/>
        <w:ind w:left="0" w:leftChars="0" w:right="0" w:rightChars="0"/>
        <w:rPr>
          <w:rFonts w:hint="default" w:ascii="Times New Roman" w:hAnsi="Times New Roman" w:eastAsia="宋体" w:cs="Times New Roman"/>
          <w:b/>
          <w:bCs/>
          <w:color w:val="auto"/>
          <w:sz w:val="24"/>
          <w:szCs w:val="32"/>
          <w:highlight w:val="none"/>
          <w:lang w:val="en-US" w:eastAsia="zh-CN"/>
        </w:rPr>
      </w:pPr>
      <w:r>
        <w:rPr>
          <w:rFonts w:hint="default" w:ascii="Times New Roman" w:hAnsi="Times New Roman" w:eastAsia="宋体" w:cs="Times New Roman"/>
          <w:b/>
          <w:bCs/>
          <w:color w:val="auto"/>
          <w:sz w:val="24"/>
          <w:szCs w:val="32"/>
          <w:highlight w:val="none"/>
          <w:lang w:val="en-US" w:eastAsia="zh-CN"/>
        </w:rPr>
        <w:t>5.3.1.2监测项目</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pH值、氨氮、硝酸盐氮、亚硝酸盐氮、挥发酚、氰化物、砷、汞、铬（六价</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、总硬度、铅、镉、铁、锰、溶解性总固体、耗氧量、硫酸盐、氯化物、</w:t>
      </w:r>
      <w:r>
        <w:rPr>
          <w:rFonts w:hint="default" w:ascii="Times New Roman" w:hAnsi="Times New Roman" w:eastAsia="宋体" w:cs="Times New Roman"/>
          <w:color w:val="auto"/>
          <w:sz w:val="24"/>
          <w:highlight w:val="none"/>
          <w:lang w:eastAsia="zh-CN"/>
        </w:rPr>
        <w:t>菌落总数</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eastAsia="zh-CN"/>
        </w:rPr>
        <w:t>钼</w:t>
      </w:r>
      <w:r>
        <w:rPr>
          <w:rFonts w:hint="default" w:ascii="Times New Roman" w:hAnsi="Times New Roman" w:eastAsia="宋体" w:cs="Times New Roman"/>
          <w:color w:val="auto"/>
          <w:sz w:val="24"/>
          <w:highlight w:val="none"/>
        </w:rPr>
        <w:t>、钾、钠、钙、镁、CO</w:t>
      </w:r>
      <w:r>
        <w:rPr>
          <w:rFonts w:hint="default" w:ascii="Times New Roman" w:hAnsi="Times New Roman" w:eastAsia="宋体" w:cs="Times New Roman"/>
          <w:color w:val="auto"/>
          <w:sz w:val="24"/>
          <w:highlight w:val="none"/>
          <w:vertAlign w:val="subscript"/>
        </w:rPr>
        <w:t>3</w:t>
      </w:r>
      <w:r>
        <w:rPr>
          <w:rFonts w:hint="default" w:ascii="Times New Roman" w:hAnsi="Times New Roman" w:eastAsia="宋体" w:cs="Times New Roman"/>
          <w:color w:val="auto"/>
          <w:sz w:val="24"/>
          <w:highlight w:val="none"/>
          <w:vertAlign w:val="superscript"/>
        </w:rPr>
        <w:t>2-</w:t>
      </w:r>
      <w:r>
        <w:rPr>
          <w:rFonts w:hint="default" w:ascii="Times New Roman" w:hAnsi="Times New Roman" w:eastAsia="宋体" w:cs="Times New Roman"/>
          <w:color w:val="auto"/>
          <w:sz w:val="24"/>
          <w:highlight w:val="none"/>
        </w:rPr>
        <w:t>、HCO</w:t>
      </w:r>
      <w:r>
        <w:rPr>
          <w:rFonts w:hint="default" w:ascii="Times New Roman" w:hAnsi="Times New Roman" w:eastAsia="宋体" w:cs="Times New Roman"/>
          <w:color w:val="auto"/>
          <w:sz w:val="24"/>
          <w:highlight w:val="none"/>
          <w:vertAlign w:val="subscript"/>
        </w:rPr>
        <w:t>3</w:t>
      </w:r>
      <w:r>
        <w:rPr>
          <w:rFonts w:hint="default" w:ascii="Times New Roman" w:hAnsi="Times New Roman" w:eastAsia="宋体" w:cs="Times New Roman"/>
          <w:color w:val="auto"/>
          <w:sz w:val="24"/>
          <w:highlight w:val="none"/>
          <w:vertAlign w:val="superscript"/>
        </w:rPr>
        <w:t>-</w:t>
      </w:r>
      <w:r>
        <w:rPr>
          <w:rFonts w:hint="default" w:ascii="Times New Roman" w:hAnsi="Times New Roman" w:eastAsia="宋体" w:cs="Times New Roman"/>
          <w:color w:val="auto"/>
          <w:sz w:val="24"/>
          <w:highlight w:val="none"/>
        </w:rPr>
        <w:t>。</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水位监测项目</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水位、井深、井口坐标。</w:t>
      </w:r>
    </w:p>
    <w:p>
      <w:pPr>
        <w:pageBreakBefore w:val="0"/>
        <w:tabs>
          <w:tab w:val="left" w:pos="3062"/>
        </w:tabs>
        <w:wordWrap/>
        <w:bidi w:val="0"/>
        <w:spacing w:line="360" w:lineRule="auto"/>
        <w:ind w:left="0" w:leftChars="0" w:right="0" w:rightChars="0"/>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表</w:t>
      </w:r>
      <w:r>
        <w:rPr>
          <w:rFonts w:hint="default" w:ascii="Times New Roman" w:hAnsi="Times New Roman" w:eastAsia="宋体" w:cs="Times New Roman"/>
          <w:b/>
          <w:bCs/>
          <w:color w:val="auto"/>
          <w:sz w:val="24"/>
          <w:highlight w:val="none"/>
          <w:lang w:val="en-US" w:eastAsia="zh-CN"/>
        </w:rPr>
        <w:t>5-8</w:t>
      </w:r>
      <w:r>
        <w:rPr>
          <w:rFonts w:hint="default" w:ascii="Times New Roman" w:hAnsi="Times New Roman" w:eastAsia="宋体" w:cs="Times New Roman"/>
          <w:b/>
          <w:bCs/>
          <w:color w:val="auto"/>
          <w:sz w:val="24"/>
          <w:highlight w:val="none"/>
        </w:rPr>
        <w:t>各地下水环境现状监测点井深水位一览表</w:t>
      </w:r>
    </w:p>
    <w:tbl>
      <w:tblPr>
        <w:tblStyle w:val="54"/>
        <w:tblW w:w="5011" w:type="pct"/>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0" w:type="dxa"/>
          <w:bottom w:w="0" w:type="dxa"/>
          <w:right w:w="0" w:type="dxa"/>
        </w:tblCellMar>
      </w:tblPr>
      <w:tblGrid>
        <w:gridCol w:w="1722"/>
        <w:gridCol w:w="3173"/>
        <w:gridCol w:w="1188"/>
        <w:gridCol w:w="1062"/>
        <w:gridCol w:w="1188"/>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cantSplit/>
          <w:trHeight w:val="340" w:hRule="atLeast"/>
          <w:jc w:val="center"/>
        </w:trPr>
        <w:tc>
          <w:tcPr>
            <w:tcW w:w="1720" w:type="dxa"/>
            <w:tcBorders>
              <w:top w:val="single" w:color="auto" w:sz="4" w:space="0"/>
              <w:left w:val="single" w:color="auto" w:sz="4" w:space="0"/>
              <w:bottom w:val="single" w:color="auto" w:sz="4" w:space="0"/>
              <w:right w:val="single" w:color="auto" w:sz="4" w:space="0"/>
            </w:tcBorders>
            <w:noWrap w:val="0"/>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bCs/>
                <w:color w:val="auto"/>
                <w:sz w:val="21"/>
                <w:szCs w:val="21"/>
                <w:highlight w:val="none"/>
              </w:rPr>
              <w:t>点位</w:t>
            </w:r>
          </w:p>
        </w:tc>
        <w:tc>
          <w:tcPr>
            <w:tcW w:w="3170" w:type="dxa"/>
            <w:tcBorders>
              <w:top w:val="single" w:color="auto" w:sz="4" w:space="0"/>
              <w:left w:val="single" w:color="auto" w:sz="4" w:space="0"/>
              <w:bottom w:val="single" w:color="auto" w:sz="4" w:space="0"/>
              <w:right w:val="single" w:color="auto" w:sz="4" w:space="0"/>
            </w:tcBorders>
            <w:noWrap w:val="0"/>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bCs/>
                <w:color w:val="auto"/>
                <w:sz w:val="21"/>
                <w:szCs w:val="21"/>
                <w:highlight w:val="none"/>
                <w:lang w:eastAsia="zh-CN"/>
              </w:rPr>
              <w:t>坐标</w:t>
            </w:r>
          </w:p>
        </w:tc>
        <w:tc>
          <w:tcPr>
            <w:tcW w:w="1187"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井深</w:t>
            </w:r>
            <w:r>
              <w:rPr>
                <w:rFonts w:hint="default" w:ascii="Times New Roman" w:hAnsi="Times New Roman" w:eastAsia="宋体" w:cs="Times New Roman"/>
                <w:color w:val="auto"/>
                <w:sz w:val="21"/>
                <w:szCs w:val="21"/>
                <w:highlight w:val="none"/>
                <w:lang w:val="en-US" w:eastAsia="zh-CN"/>
              </w:rPr>
              <w:t>m</w:t>
            </w:r>
          </w:p>
        </w:tc>
        <w:tc>
          <w:tcPr>
            <w:tcW w:w="1061"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水位埋深</w:t>
            </w:r>
            <w:r>
              <w:rPr>
                <w:rFonts w:hint="default" w:ascii="Times New Roman" w:hAnsi="Times New Roman" w:eastAsia="宋体" w:cs="Times New Roman"/>
                <w:color w:val="auto"/>
                <w:sz w:val="21"/>
                <w:szCs w:val="21"/>
                <w:highlight w:val="none"/>
                <w:lang w:val="en-US" w:eastAsia="zh-CN"/>
              </w:rPr>
              <w:t>m</w:t>
            </w:r>
          </w:p>
        </w:tc>
        <w:tc>
          <w:tcPr>
            <w:tcW w:w="1187"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水温</w:t>
            </w:r>
            <w:r>
              <w:rPr>
                <w:rFonts w:hint="default" w:ascii="Times New Roman" w:hAnsi="Times New Roman" w:eastAsia="宋体" w:cs="Times New Roman"/>
                <w:color w:val="auto"/>
                <w:sz w:val="21"/>
                <w:szCs w:val="21"/>
                <w:highlight w:val="none"/>
                <w:lang w:eastAsia="zh-CN"/>
              </w:rPr>
              <w:t>℃</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cantSplit/>
          <w:trHeight w:val="340" w:hRule="atLeast"/>
          <w:jc w:val="center"/>
        </w:trPr>
        <w:tc>
          <w:tcPr>
            <w:tcW w:w="1720" w:type="dxa"/>
            <w:tcBorders>
              <w:top w:val="single" w:color="auto" w:sz="4" w:space="0"/>
              <w:left w:val="single" w:color="auto" w:sz="4" w:space="0"/>
              <w:bottom w:val="single" w:color="auto" w:sz="4" w:space="0"/>
              <w:right w:val="single" w:color="auto" w:sz="4" w:space="0"/>
            </w:tcBorders>
            <w:noWrap w:val="0"/>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bidi="ar"/>
              </w:rPr>
              <w:t>1#水井（水质水位</w:t>
            </w:r>
            <w:r>
              <w:rPr>
                <w:rFonts w:hint="default" w:ascii="Times New Roman" w:hAnsi="Times New Roman" w:eastAsia="宋体" w:cs="Times New Roman"/>
                <w:color w:val="auto"/>
                <w:kern w:val="0"/>
                <w:sz w:val="21"/>
                <w:szCs w:val="21"/>
                <w:highlight w:val="none"/>
                <w:lang w:eastAsia="zh-CN" w:bidi="ar"/>
              </w:rPr>
              <w:t>）</w:t>
            </w:r>
          </w:p>
        </w:tc>
        <w:tc>
          <w:tcPr>
            <w:tcW w:w="3170" w:type="dxa"/>
            <w:tcBorders>
              <w:top w:val="single" w:color="auto" w:sz="4" w:space="0"/>
              <w:left w:val="single" w:color="auto" w:sz="4" w:space="0"/>
              <w:bottom w:val="single" w:color="auto" w:sz="4" w:space="0"/>
              <w:right w:val="single" w:color="auto" w:sz="4" w:space="0"/>
            </w:tcBorders>
            <w:noWrap w:val="0"/>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bidi="ar"/>
              </w:rPr>
              <w:t>109°25'32.33"</w:t>
            </w:r>
            <w:r>
              <w:rPr>
                <w:rFonts w:hint="default" w:ascii="Times New Roman" w:hAnsi="Times New Roman" w:eastAsia="宋体" w:cs="Times New Roman"/>
                <w:color w:val="auto"/>
                <w:kern w:val="0"/>
                <w:sz w:val="21"/>
                <w:szCs w:val="21"/>
                <w:highlight w:val="none"/>
                <w:lang w:eastAsia="zh-CN" w:bidi="ar"/>
              </w:rPr>
              <w:t>；</w:t>
            </w:r>
            <w:r>
              <w:rPr>
                <w:rFonts w:hint="default" w:ascii="Times New Roman" w:hAnsi="Times New Roman" w:eastAsia="宋体" w:cs="Times New Roman"/>
                <w:color w:val="auto"/>
                <w:kern w:val="0"/>
                <w:sz w:val="21"/>
                <w:szCs w:val="21"/>
                <w:highlight w:val="none"/>
                <w:lang w:bidi="ar"/>
              </w:rPr>
              <w:t>40°48'56.79"</w:t>
            </w:r>
          </w:p>
        </w:tc>
        <w:tc>
          <w:tcPr>
            <w:tcW w:w="1187"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18</w:t>
            </w:r>
          </w:p>
        </w:tc>
        <w:tc>
          <w:tcPr>
            <w:tcW w:w="1061"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7</w:t>
            </w:r>
          </w:p>
        </w:tc>
        <w:tc>
          <w:tcPr>
            <w:tcW w:w="1187"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12.3</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cantSplit/>
          <w:trHeight w:val="340" w:hRule="atLeast"/>
          <w:jc w:val="center"/>
        </w:trPr>
        <w:tc>
          <w:tcPr>
            <w:tcW w:w="1720" w:type="dxa"/>
            <w:tcBorders>
              <w:top w:val="single" w:color="auto" w:sz="4" w:space="0"/>
              <w:left w:val="single" w:color="auto" w:sz="4" w:space="0"/>
              <w:bottom w:val="single" w:color="auto" w:sz="4" w:space="0"/>
              <w:right w:val="single" w:color="auto" w:sz="4" w:space="0"/>
            </w:tcBorders>
            <w:noWrap w:val="0"/>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bidi="ar"/>
              </w:rPr>
              <w:t>2#水井（水质水位</w:t>
            </w:r>
            <w:r>
              <w:rPr>
                <w:rFonts w:hint="default" w:ascii="Times New Roman" w:hAnsi="Times New Roman" w:eastAsia="宋体" w:cs="Times New Roman"/>
                <w:color w:val="auto"/>
                <w:kern w:val="0"/>
                <w:sz w:val="21"/>
                <w:szCs w:val="21"/>
                <w:highlight w:val="none"/>
                <w:lang w:eastAsia="zh-CN" w:bidi="ar"/>
              </w:rPr>
              <w:t>）</w:t>
            </w:r>
          </w:p>
        </w:tc>
        <w:tc>
          <w:tcPr>
            <w:tcW w:w="3170" w:type="dxa"/>
            <w:tcBorders>
              <w:top w:val="single" w:color="auto" w:sz="4" w:space="0"/>
              <w:left w:val="single" w:color="auto" w:sz="4" w:space="0"/>
              <w:bottom w:val="single" w:color="auto" w:sz="4" w:space="0"/>
              <w:right w:val="single" w:color="auto" w:sz="4" w:space="0"/>
            </w:tcBorders>
            <w:noWrap w:val="0"/>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bidi="ar"/>
              </w:rPr>
              <w:t>109°26'06.67"</w:t>
            </w:r>
            <w:r>
              <w:rPr>
                <w:rFonts w:hint="default" w:ascii="Times New Roman" w:hAnsi="Times New Roman" w:eastAsia="宋体" w:cs="Times New Roman"/>
                <w:color w:val="auto"/>
                <w:kern w:val="0"/>
                <w:sz w:val="21"/>
                <w:szCs w:val="21"/>
                <w:highlight w:val="none"/>
                <w:lang w:eastAsia="zh-CN" w:bidi="ar"/>
              </w:rPr>
              <w:t>；</w:t>
            </w:r>
            <w:r>
              <w:rPr>
                <w:rFonts w:hint="default" w:ascii="Times New Roman" w:hAnsi="Times New Roman" w:eastAsia="宋体" w:cs="Times New Roman"/>
                <w:color w:val="auto"/>
                <w:kern w:val="0"/>
                <w:sz w:val="21"/>
                <w:szCs w:val="21"/>
                <w:highlight w:val="none"/>
                <w:lang w:bidi="ar"/>
              </w:rPr>
              <w:t>40°48'16.35"</w:t>
            </w:r>
          </w:p>
        </w:tc>
        <w:tc>
          <w:tcPr>
            <w:tcW w:w="1187" w:type="dxa"/>
            <w:tcBorders>
              <w:top w:val="single" w:color="auto" w:sz="4" w:space="0"/>
              <w:left w:val="single" w:color="auto" w:sz="4" w:space="0"/>
              <w:bottom w:val="single" w:color="auto" w:sz="4" w:space="0"/>
              <w:right w:val="single" w:color="auto" w:sz="4" w:space="0"/>
            </w:tcBorders>
            <w:noWrap w:val="0"/>
            <w:vAlign w:val="center"/>
          </w:tcPr>
          <w:p>
            <w:pPr>
              <w:pStyle w:val="53"/>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22</w:t>
            </w:r>
          </w:p>
        </w:tc>
        <w:tc>
          <w:tcPr>
            <w:tcW w:w="1061" w:type="dxa"/>
            <w:tcBorders>
              <w:top w:val="single" w:color="auto" w:sz="4" w:space="0"/>
              <w:left w:val="single" w:color="auto" w:sz="4" w:space="0"/>
              <w:bottom w:val="single" w:color="auto" w:sz="4" w:space="0"/>
              <w:right w:val="single" w:color="auto" w:sz="4" w:space="0"/>
            </w:tcBorders>
            <w:noWrap w:val="0"/>
            <w:vAlign w:val="center"/>
          </w:tcPr>
          <w:p>
            <w:pPr>
              <w:pStyle w:val="53"/>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8</w:t>
            </w:r>
          </w:p>
        </w:tc>
        <w:tc>
          <w:tcPr>
            <w:tcW w:w="1187" w:type="dxa"/>
            <w:tcBorders>
              <w:top w:val="single" w:color="auto" w:sz="4" w:space="0"/>
              <w:left w:val="single" w:color="auto" w:sz="4" w:space="0"/>
              <w:bottom w:val="single" w:color="auto" w:sz="4" w:space="0"/>
              <w:right w:val="single" w:color="auto" w:sz="4" w:space="0"/>
            </w:tcBorders>
            <w:noWrap w:val="0"/>
            <w:vAlign w:val="center"/>
          </w:tcPr>
          <w:p>
            <w:pPr>
              <w:pStyle w:val="53"/>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12.2</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cantSplit/>
          <w:trHeight w:val="340" w:hRule="atLeast"/>
          <w:jc w:val="center"/>
        </w:trPr>
        <w:tc>
          <w:tcPr>
            <w:tcW w:w="1720" w:type="dxa"/>
            <w:tcBorders>
              <w:top w:val="single" w:color="auto" w:sz="4" w:space="0"/>
              <w:left w:val="single" w:color="auto" w:sz="4" w:space="0"/>
              <w:bottom w:val="single" w:color="auto" w:sz="4" w:space="0"/>
              <w:right w:val="single" w:color="auto" w:sz="4" w:space="0"/>
            </w:tcBorders>
            <w:noWrap w:val="0"/>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bidi="ar"/>
              </w:rPr>
              <w:t>3#水井（水质水位</w:t>
            </w:r>
            <w:r>
              <w:rPr>
                <w:rFonts w:hint="default" w:ascii="Times New Roman" w:hAnsi="Times New Roman" w:eastAsia="宋体" w:cs="Times New Roman"/>
                <w:color w:val="auto"/>
                <w:kern w:val="0"/>
                <w:sz w:val="21"/>
                <w:szCs w:val="21"/>
                <w:highlight w:val="none"/>
                <w:lang w:eastAsia="zh-CN" w:bidi="ar"/>
              </w:rPr>
              <w:t>）</w:t>
            </w:r>
          </w:p>
        </w:tc>
        <w:tc>
          <w:tcPr>
            <w:tcW w:w="3170" w:type="dxa"/>
            <w:tcBorders>
              <w:top w:val="single" w:color="auto" w:sz="4" w:space="0"/>
              <w:left w:val="single" w:color="auto" w:sz="4" w:space="0"/>
              <w:bottom w:val="single" w:color="auto" w:sz="4" w:space="0"/>
              <w:right w:val="single" w:color="auto" w:sz="4" w:space="0"/>
            </w:tcBorders>
            <w:noWrap w:val="0"/>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bidi="ar"/>
              </w:rPr>
              <w:t>109°26'31.28"</w:t>
            </w:r>
            <w:r>
              <w:rPr>
                <w:rFonts w:hint="default" w:ascii="Times New Roman" w:hAnsi="Times New Roman" w:eastAsia="宋体" w:cs="Times New Roman"/>
                <w:color w:val="auto"/>
                <w:kern w:val="0"/>
                <w:sz w:val="21"/>
                <w:szCs w:val="21"/>
                <w:highlight w:val="none"/>
                <w:lang w:eastAsia="zh-CN" w:bidi="ar"/>
              </w:rPr>
              <w:t>；</w:t>
            </w:r>
            <w:r>
              <w:rPr>
                <w:rFonts w:hint="default" w:ascii="Times New Roman" w:hAnsi="Times New Roman" w:eastAsia="宋体" w:cs="Times New Roman"/>
                <w:color w:val="auto"/>
                <w:kern w:val="0"/>
                <w:sz w:val="21"/>
                <w:szCs w:val="21"/>
                <w:highlight w:val="none"/>
                <w:lang w:bidi="ar"/>
              </w:rPr>
              <w:t>40°47'19.26"</w:t>
            </w:r>
          </w:p>
        </w:tc>
        <w:tc>
          <w:tcPr>
            <w:tcW w:w="1187" w:type="dxa"/>
            <w:tcBorders>
              <w:top w:val="single" w:color="auto" w:sz="4" w:space="0"/>
              <w:left w:val="single" w:color="auto" w:sz="4" w:space="0"/>
              <w:bottom w:val="single" w:color="auto" w:sz="4" w:space="0"/>
              <w:right w:val="single" w:color="auto" w:sz="4" w:space="0"/>
            </w:tcBorders>
            <w:noWrap w:val="0"/>
            <w:vAlign w:val="center"/>
          </w:tcPr>
          <w:p>
            <w:pPr>
              <w:pStyle w:val="53"/>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35</w:t>
            </w:r>
          </w:p>
        </w:tc>
        <w:tc>
          <w:tcPr>
            <w:tcW w:w="1061" w:type="dxa"/>
            <w:tcBorders>
              <w:top w:val="single" w:color="auto" w:sz="4" w:space="0"/>
              <w:left w:val="single" w:color="auto" w:sz="4" w:space="0"/>
              <w:bottom w:val="single" w:color="auto" w:sz="4" w:space="0"/>
              <w:right w:val="single" w:color="auto" w:sz="4" w:space="0"/>
            </w:tcBorders>
            <w:noWrap w:val="0"/>
            <w:vAlign w:val="center"/>
          </w:tcPr>
          <w:p>
            <w:pPr>
              <w:pStyle w:val="53"/>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10</w:t>
            </w:r>
          </w:p>
        </w:tc>
        <w:tc>
          <w:tcPr>
            <w:tcW w:w="1187" w:type="dxa"/>
            <w:tcBorders>
              <w:top w:val="single" w:color="auto" w:sz="4" w:space="0"/>
              <w:left w:val="single" w:color="auto" w:sz="4" w:space="0"/>
              <w:bottom w:val="single" w:color="auto" w:sz="4" w:space="0"/>
              <w:right w:val="single" w:color="auto" w:sz="4" w:space="0"/>
            </w:tcBorders>
            <w:noWrap w:val="0"/>
            <w:vAlign w:val="center"/>
          </w:tcPr>
          <w:p>
            <w:pPr>
              <w:pStyle w:val="53"/>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12.1</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cantSplit/>
          <w:trHeight w:val="340" w:hRule="atLeast"/>
          <w:jc w:val="center"/>
        </w:trPr>
        <w:tc>
          <w:tcPr>
            <w:tcW w:w="1720" w:type="dxa"/>
            <w:tcBorders>
              <w:top w:val="single" w:color="auto" w:sz="4" w:space="0"/>
              <w:left w:val="single" w:color="auto" w:sz="4" w:space="0"/>
              <w:bottom w:val="single" w:color="auto" w:sz="4" w:space="0"/>
              <w:right w:val="single" w:color="auto" w:sz="4" w:space="0"/>
            </w:tcBorders>
            <w:noWrap w:val="0"/>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bidi="ar"/>
              </w:rPr>
              <w:t>4#水井（水质水位</w:t>
            </w:r>
            <w:r>
              <w:rPr>
                <w:rFonts w:hint="default" w:ascii="Times New Roman" w:hAnsi="Times New Roman" w:eastAsia="宋体" w:cs="Times New Roman"/>
                <w:color w:val="auto"/>
                <w:kern w:val="0"/>
                <w:sz w:val="21"/>
                <w:szCs w:val="21"/>
                <w:highlight w:val="none"/>
                <w:lang w:eastAsia="zh-CN" w:bidi="ar"/>
              </w:rPr>
              <w:t>）</w:t>
            </w:r>
          </w:p>
        </w:tc>
        <w:tc>
          <w:tcPr>
            <w:tcW w:w="3170" w:type="dxa"/>
            <w:tcBorders>
              <w:top w:val="single" w:color="auto" w:sz="4" w:space="0"/>
              <w:left w:val="single" w:color="auto" w:sz="4" w:space="0"/>
              <w:bottom w:val="single" w:color="auto" w:sz="4" w:space="0"/>
              <w:right w:val="single" w:color="auto" w:sz="4" w:space="0"/>
            </w:tcBorders>
            <w:noWrap w:val="0"/>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bidi="ar"/>
              </w:rPr>
              <w:t>109°25'16.02"</w:t>
            </w:r>
            <w:r>
              <w:rPr>
                <w:rFonts w:hint="default" w:ascii="Times New Roman" w:hAnsi="Times New Roman" w:eastAsia="宋体" w:cs="Times New Roman"/>
                <w:color w:val="auto"/>
                <w:kern w:val="0"/>
                <w:sz w:val="21"/>
                <w:szCs w:val="21"/>
                <w:highlight w:val="none"/>
                <w:lang w:eastAsia="zh-CN" w:bidi="ar"/>
              </w:rPr>
              <w:t>；</w:t>
            </w:r>
            <w:r>
              <w:rPr>
                <w:rFonts w:hint="default" w:ascii="Times New Roman" w:hAnsi="Times New Roman" w:eastAsia="宋体" w:cs="Times New Roman"/>
                <w:color w:val="auto"/>
                <w:kern w:val="0"/>
                <w:sz w:val="21"/>
                <w:szCs w:val="21"/>
                <w:highlight w:val="none"/>
                <w:lang w:bidi="ar"/>
              </w:rPr>
              <w:t>40°47'18.73"</w:t>
            </w:r>
          </w:p>
        </w:tc>
        <w:tc>
          <w:tcPr>
            <w:tcW w:w="1187"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50</w:t>
            </w:r>
          </w:p>
        </w:tc>
        <w:tc>
          <w:tcPr>
            <w:tcW w:w="1061"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15</w:t>
            </w:r>
          </w:p>
        </w:tc>
        <w:tc>
          <w:tcPr>
            <w:tcW w:w="1187"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12.1</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cantSplit/>
          <w:trHeight w:val="340" w:hRule="atLeast"/>
          <w:jc w:val="center"/>
        </w:trPr>
        <w:tc>
          <w:tcPr>
            <w:tcW w:w="1720" w:type="dxa"/>
            <w:tcBorders>
              <w:top w:val="single" w:color="auto" w:sz="4" w:space="0"/>
              <w:left w:val="single" w:color="auto" w:sz="4" w:space="0"/>
              <w:bottom w:val="single" w:color="auto" w:sz="4" w:space="0"/>
              <w:right w:val="single" w:color="auto" w:sz="4" w:space="0"/>
            </w:tcBorders>
            <w:noWrap w:val="0"/>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bidi="ar"/>
              </w:rPr>
              <w:t>5#水井（水质水位</w:t>
            </w:r>
            <w:r>
              <w:rPr>
                <w:rFonts w:hint="default" w:ascii="Times New Roman" w:hAnsi="Times New Roman" w:eastAsia="宋体" w:cs="Times New Roman"/>
                <w:color w:val="auto"/>
                <w:kern w:val="0"/>
                <w:sz w:val="21"/>
                <w:szCs w:val="21"/>
                <w:highlight w:val="none"/>
                <w:lang w:eastAsia="zh-CN" w:bidi="ar"/>
              </w:rPr>
              <w:t>）</w:t>
            </w:r>
          </w:p>
        </w:tc>
        <w:tc>
          <w:tcPr>
            <w:tcW w:w="3170" w:type="dxa"/>
            <w:tcBorders>
              <w:top w:val="single" w:color="auto" w:sz="4" w:space="0"/>
              <w:left w:val="single" w:color="auto" w:sz="4" w:space="0"/>
              <w:bottom w:val="single" w:color="auto" w:sz="4" w:space="0"/>
              <w:right w:val="single" w:color="auto" w:sz="4" w:space="0"/>
            </w:tcBorders>
            <w:noWrap w:val="0"/>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bidi="ar"/>
              </w:rPr>
              <w:t>109°24'26.00"</w:t>
            </w:r>
            <w:r>
              <w:rPr>
                <w:rFonts w:hint="default" w:ascii="Times New Roman" w:hAnsi="Times New Roman" w:eastAsia="宋体" w:cs="Times New Roman"/>
                <w:color w:val="auto"/>
                <w:kern w:val="0"/>
                <w:sz w:val="21"/>
                <w:szCs w:val="21"/>
                <w:highlight w:val="none"/>
                <w:lang w:eastAsia="zh-CN" w:bidi="ar"/>
              </w:rPr>
              <w:t>；</w:t>
            </w:r>
            <w:r>
              <w:rPr>
                <w:rFonts w:hint="default" w:ascii="Times New Roman" w:hAnsi="Times New Roman" w:eastAsia="宋体" w:cs="Times New Roman"/>
                <w:color w:val="auto"/>
                <w:kern w:val="0"/>
                <w:sz w:val="21"/>
                <w:szCs w:val="21"/>
                <w:highlight w:val="none"/>
                <w:lang w:bidi="ar"/>
              </w:rPr>
              <w:t>40°47'38.62"</w:t>
            </w:r>
          </w:p>
        </w:tc>
        <w:tc>
          <w:tcPr>
            <w:tcW w:w="1187" w:type="dxa"/>
            <w:tcBorders>
              <w:top w:val="single" w:color="auto" w:sz="4" w:space="0"/>
              <w:left w:val="single" w:color="auto" w:sz="4" w:space="0"/>
              <w:bottom w:val="single" w:color="auto" w:sz="4" w:space="0"/>
              <w:right w:val="single" w:color="auto" w:sz="4" w:space="0"/>
            </w:tcBorders>
            <w:noWrap w:val="0"/>
            <w:vAlign w:val="center"/>
          </w:tcPr>
          <w:p>
            <w:pPr>
              <w:pStyle w:val="53"/>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50</w:t>
            </w:r>
          </w:p>
        </w:tc>
        <w:tc>
          <w:tcPr>
            <w:tcW w:w="1061" w:type="dxa"/>
            <w:tcBorders>
              <w:top w:val="single" w:color="auto" w:sz="4" w:space="0"/>
              <w:left w:val="single" w:color="auto" w:sz="4" w:space="0"/>
              <w:bottom w:val="single" w:color="auto" w:sz="4" w:space="0"/>
              <w:right w:val="single" w:color="auto" w:sz="4" w:space="0"/>
            </w:tcBorders>
            <w:noWrap w:val="0"/>
            <w:vAlign w:val="center"/>
          </w:tcPr>
          <w:p>
            <w:pPr>
              <w:pStyle w:val="53"/>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12</w:t>
            </w:r>
          </w:p>
        </w:tc>
        <w:tc>
          <w:tcPr>
            <w:tcW w:w="1187" w:type="dxa"/>
            <w:tcBorders>
              <w:top w:val="single" w:color="auto" w:sz="4" w:space="0"/>
              <w:left w:val="single" w:color="auto" w:sz="4" w:space="0"/>
              <w:bottom w:val="single" w:color="auto" w:sz="4" w:space="0"/>
              <w:right w:val="single" w:color="auto" w:sz="4" w:space="0"/>
            </w:tcBorders>
            <w:noWrap w:val="0"/>
            <w:vAlign w:val="center"/>
          </w:tcPr>
          <w:p>
            <w:pPr>
              <w:pStyle w:val="53"/>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12.1</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cantSplit/>
          <w:trHeight w:val="340" w:hRule="atLeast"/>
          <w:jc w:val="center"/>
        </w:trPr>
        <w:tc>
          <w:tcPr>
            <w:tcW w:w="1720" w:type="dxa"/>
            <w:tcBorders>
              <w:top w:val="single" w:color="auto" w:sz="4" w:space="0"/>
              <w:left w:val="single" w:color="auto" w:sz="4" w:space="0"/>
              <w:bottom w:val="single" w:color="auto" w:sz="4" w:space="0"/>
              <w:right w:val="single" w:color="auto" w:sz="4" w:space="0"/>
            </w:tcBorders>
            <w:noWrap w:val="0"/>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bidi="ar"/>
              </w:rPr>
              <w:t>6#水井（水位</w:t>
            </w:r>
            <w:r>
              <w:rPr>
                <w:rFonts w:hint="default" w:ascii="Times New Roman" w:hAnsi="Times New Roman" w:eastAsia="宋体" w:cs="Times New Roman"/>
                <w:color w:val="auto"/>
                <w:kern w:val="0"/>
                <w:sz w:val="21"/>
                <w:szCs w:val="21"/>
                <w:highlight w:val="none"/>
                <w:lang w:eastAsia="zh-CN" w:bidi="ar"/>
              </w:rPr>
              <w:t>）</w:t>
            </w:r>
          </w:p>
        </w:tc>
        <w:tc>
          <w:tcPr>
            <w:tcW w:w="3170" w:type="dxa"/>
            <w:tcBorders>
              <w:top w:val="single" w:color="auto" w:sz="4" w:space="0"/>
              <w:left w:val="single" w:color="auto" w:sz="4" w:space="0"/>
              <w:bottom w:val="single" w:color="auto" w:sz="4" w:space="0"/>
              <w:right w:val="single" w:color="auto" w:sz="4" w:space="0"/>
            </w:tcBorders>
            <w:noWrap w:val="0"/>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bidi="ar"/>
              </w:rPr>
              <w:t>109°26'05.59"</w:t>
            </w:r>
            <w:r>
              <w:rPr>
                <w:rFonts w:hint="default" w:ascii="Times New Roman" w:hAnsi="Times New Roman" w:eastAsia="宋体" w:cs="Times New Roman"/>
                <w:color w:val="auto"/>
                <w:kern w:val="0"/>
                <w:sz w:val="21"/>
                <w:szCs w:val="21"/>
                <w:highlight w:val="none"/>
                <w:lang w:eastAsia="zh-CN" w:bidi="ar"/>
              </w:rPr>
              <w:t>；</w:t>
            </w:r>
            <w:r>
              <w:rPr>
                <w:rFonts w:hint="default" w:ascii="Times New Roman" w:hAnsi="Times New Roman" w:eastAsia="宋体" w:cs="Times New Roman"/>
                <w:color w:val="auto"/>
                <w:kern w:val="0"/>
                <w:sz w:val="21"/>
                <w:szCs w:val="21"/>
                <w:highlight w:val="none"/>
                <w:lang w:bidi="ar"/>
              </w:rPr>
              <w:t>40°48'55.38"</w:t>
            </w:r>
          </w:p>
        </w:tc>
        <w:tc>
          <w:tcPr>
            <w:tcW w:w="1187" w:type="dxa"/>
            <w:tcBorders>
              <w:top w:val="single" w:color="auto" w:sz="4" w:space="0"/>
              <w:left w:val="single" w:color="auto" w:sz="4" w:space="0"/>
              <w:bottom w:val="single" w:color="auto" w:sz="4" w:space="0"/>
              <w:right w:val="single" w:color="auto" w:sz="4" w:space="0"/>
            </w:tcBorders>
            <w:noWrap w:val="0"/>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18</w:t>
            </w:r>
          </w:p>
        </w:tc>
        <w:tc>
          <w:tcPr>
            <w:tcW w:w="1061" w:type="dxa"/>
            <w:tcBorders>
              <w:top w:val="single" w:color="auto" w:sz="4" w:space="0"/>
              <w:left w:val="single" w:color="auto" w:sz="4" w:space="0"/>
              <w:bottom w:val="single" w:color="auto" w:sz="4" w:space="0"/>
              <w:right w:val="single" w:color="auto" w:sz="4" w:space="0"/>
            </w:tcBorders>
            <w:noWrap w:val="0"/>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7</w:t>
            </w:r>
          </w:p>
        </w:tc>
        <w:tc>
          <w:tcPr>
            <w:tcW w:w="1187" w:type="dxa"/>
            <w:tcBorders>
              <w:top w:val="single" w:color="auto" w:sz="4" w:space="0"/>
              <w:left w:val="single" w:color="auto" w:sz="4" w:space="0"/>
              <w:bottom w:val="single" w:color="auto" w:sz="4" w:space="0"/>
              <w:right w:val="single" w:color="auto" w:sz="4" w:space="0"/>
            </w:tcBorders>
            <w:noWrap w:val="0"/>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12.4</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cantSplit/>
          <w:trHeight w:val="340" w:hRule="atLeast"/>
          <w:jc w:val="center"/>
        </w:trPr>
        <w:tc>
          <w:tcPr>
            <w:tcW w:w="1720" w:type="dxa"/>
            <w:tcBorders>
              <w:top w:val="single" w:color="auto" w:sz="4" w:space="0"/>
              <w:left w:val="single" w:color="auto" w:sz="4" w:space="0"/>
              <w:bottom w:val="single" w:color="auto" w:sz="4" w:space="0"/>
              <w:right w:val="single" w:color="auto" w:sz="4" w:space="0"/>
            </w:tcBorders>
            <w:noWrap w:val="0"/>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bidi="ar"/>
              </w:rPr>
              <w:t>7#水井（水位</w:t>
            </w:r>
            <w:r>
              <w:rPr>
                <w:rFonts w:hint="default" w:ascii="Times New Roman" w:hAnsi="Times New Roman" w:eastAsia="宋体" w:cs="Times New Roman"/>
                <w:color w:val="auto"/>
                <w:kern w:val="0"/>
                <w:sz w:val="21"/>
                <w:szCs w:val="21"/>
                <w:highlight w:val="none"/>
                <w:lang w:eastAsia="zh-CN" w:bidi="ar"/>
              </w:rPr>
              <w:t>）</w:t>
            </w:r>
          </w:p>
        </w:tc>
        <w:tc>
          <w:tcPr>
            <w:tcW w:w="3170" w:type="dxa"/>
            <w:tcBorders>
              <w:top w:val="single" w:color="auto" w:sz="4" w:space="0"/>
              <w:left w:val="single" w:color="auto" w:sz="4" w:space="0"/>
              <w:bottom w:val="single" w:color="auto" w:sz="4" w:space="0"/>
              <w:right w:val="single" w:color="auto" w:sz="4" w:space="0"/>
            </w:tcBorders>
            <w:noWrap w:val="0"/>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bidi="ar"/>
              </w:rPr>
              <w:t>109°26'23.79"</w:t>
            </w:r>
            <w:r>
              <w:rPr>
                <w:rFonts w:hint="default" w:ascii="Times New Roman" w:hAnsi="Times New Roman" w:eastAsia="宋体" w:cs="Times New Roman"/>
                <w:color w:val="auto"/>
                <w:kern w:val="0"/>
                <w:sz w:val="21"/>
                <w:szCs w:val="21"/>
                <w:highlight w:val="none"/>
                <w:lang w:eastAsia="zh-CN" w:bidi="ar"/>
              </w:rPr>
              <w:t>；</w:t>
            </w:r>
            <w:r>
              <w:rPr>
                <w:rFonts w:hint="default" w:ascii="Times New Roman" w:hAnsi="Times New Roman" w:eastAsia="宋体" w:cs="Times New Roman"/>
                <w:color w:val="auto"/>
                <w:kern w:val="0"/>
                <w:sz w:val="21"/>
                <w:szCs w:val="21"/>
                <w:highlight w:val="none"/>
                <w:lang w:bidi="ar"/>
              </w:rPr>
              <w:t>40°48'32.19"</w:t>
            </w:r>
          </w:p>
        </w:tc>
        <w:tc>
          <w:tcPr>
            <w:tcW w:w="1187" w:type="dxa"/>
            <w:tcBorders>
              <w:top w:val="single" w:color="auto" w:sz="4" w:space="0"/>
              <w:left w:val="single" w:color="auto" w:sz="4" w:space="0"/>
              <w:bottom w:val="single" w:color="auto" w:sz="4" w:space="0"/>
              <w:right w:val="single" w:color="auto" w:sz="4" w:space="0"/>
            </w:tcBorders>
            <w:noWrap w:val="0"/>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22</w:t>
            </w:r>
          </w:p>
        </w:tc>
        <w:tc>
          <w:tcPr>
            <w:tcW w:w="1061" w:type="dxa"/>
            <w:tcBorders>
              <w:top w:val="single" w:color="auto" w:sz="4" w:space="0"/>
              <w:left w:val="single" w:color="auto" w:sz="4" w:space="0"/>
              <w:bottom w:val="single" w:color="auto" w:sz="4" w:space="0"/>
              <w:right w:val="single" w:color="auto" w:sz="4" w:space="0"/>
            </w:tcBorders>
            <w:noWrap w:val="0"/>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8</w:t>
            </w:r>
          </w:p>
        </w:tc>
        <w:tc>
          <w:tcPr>
            <w:tcW w:w="1187" w:type="dxa"/>
            <w:tcBorders>
              <w:top w:val="single" w:color="auto" w:sz="4" w:space="0"/>
              <w:left w:val="single" w:color="auto" w:sz="4" w:space="0"/>
              <w:bottom w:val="single" w:color="auto" w:sz="4" w:space="0"/>
              <w:right w:val="single" w:color="auto" w:sz="4" w:space="0"/>
            </w:tcBorders>
            <w:noWrap w:val="0"/>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12.2</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cantSplit/>
          <w:trHeight w:val="340" w:hRule="atLeast"/>
          <w:jc w:val="center"/>
        </w:trPr>
        <w:tc>
          <w:tcPr>
            <w:tcW w:w="1720" w:type="dxa"/>
            <w:tcBorders>
              <w:top w:val="single" w:color="auto" w:sz="4" w:space="0"/>
              <w:left w:val="single" w:color="auto" w:sz="4" w:space="0"/>
              <w:bottom w:val="single" w:color="auto" w:sz="4" w:space="0"/>
              <w:right w:val="single" w:color="auto" w:sz="4" w:space="0"/>
            </w:tcBorders>
            <w:noWrap w:val="0"/>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bidi="ar"/>
              </w:rPr>
              <w:t>8#（水位</w:t>
            </w:r>
            <w:r>
              <w:rPr>
                <w:rFonts w:hint="default" w:ascii="Times New Roman" w:hAnsi="Times New Roman" w:eastAsia="宋体" w:cs="Times New Roman"/>
                <w:color w:val="auto"/>
                <w:kern w:val="0"/>
                <w:sz w:val="21"/>
                <w:szCs w:val="21"/>
                <w:highlight w:val="none"/>
                <w:lang w:eastAsia="zh-CN" w:bidi="ar"/>
              </w:rPr>
              <w:t>）</w:t>
            </w:r>
          </w:p>
        </w:tc>
        <w:tc>
          <w:tcPr>
            <w:tcW w:w="3170" w:type="dxa"/>
            <w:tcBorders>
              <w:top w:val="single" w:color="auto" w:sz="4" w:space="0"/>
              <w:left w:val="single" w:color="auto" w:sz="4" w:space="0"/>
              <w:bottom w:val="single" w:color="auto" w:sz="4" w:space="0"/>
              <w:right w:val="single" w:color="auto" w:sz="4" w:space="0"/>
            </w:tcBorders>
            <w:noWrap w:val="0"/>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bidi="ar"/>
              </w:rPr>
              <w:t>109°26'10.97"</w:t>
            </w:r>
            <w:r>
              <w:rPr>
                <w:rFonts w:hint="default" w:ascii="Times New Roman" w:hAnsi="Times New Roman" w:eastAsia="宋体" w:cs="Times New Roman"/>
                <w:color w:val="auto"/>
                <w:kern w:val="0"/>
                <w:sz w:val="21"/>
                <w:szCs w:val="21"/>
                <w:highlight w:val="none"/>
                <w:lang w:eastAsia="zh-CN" w:bidi="ar"/>
              </w:rPr>
              <w:t>；</w:t>
            </w:r>
            <w:r>
              <w:rPr>
                <w:rFonts w:hint="default" w:ascii="Times New Roman" w:hAnsi="Times New Roman" w:eastAsia="宋体" w:cs="Times New Roman"/>
                <w:color w:val="auto"/>
                <w:kern w:val="0"/>
                <w:sz w:val="21"/>
                <w:szCs w:val="21"/>
                <w:highlight w:val="none"/>
                <w:lang w:bidi="ar"/>
              </w:rPr>
              <w:t>40°47'50.62"</w:t>
            </w:r>
          </w:p>
        </w:tc>
        <w:tc>
          <w:tcPr>
            <w:tcW w:w="1187" w:type="dxa"/>
            <w:tcBorders>
              <w:top w:val="single" w:color="auto" w:sz="4" w:space="0"/>
              <w:left w:val="single" w:color="auto" w:sz="4" w:space="0"/>
              <w:bottom w:val="single" w:color="auto" w:sz="4" w:space="0"/>
              <w:right w:val="single" w:color="auto" w:sz="4" w:space="0"/>
            </w:tcBorders>
            <w:noWrap w:val="0"/>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25</w:t>
            </w:r>
          </w:p>
        </w:tc>
        <w:tc>
          <w:tcPr>
            <w:tcW w:w="1061" w:type="dxa"/>
            <w:tcBorders>
              <w:top w:val="single" w:color="auto" w:sz="4" w:space="0"/>
              <w:left w:val="single" w:color="auto" w:sz="4" w:space="0"/>
              <w:bottom w:val="single" w:color="auto" w:sz="4" w:space="0"/>
              <w:right w:val="single" w:color="auto" w:sz="4" w:space="0"/>
            </w:tcBorders>
            <w:noWrap w:val="0"/>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10</w:t>
            </w:r>
          </w:p>
        </w:tc>
        <w:tc>
          <w:tcPr>
            <w:tcW w:w="1187" w:type="dxa"/>
            <w:tcBorders>
              <w:top w:val="single" w:color="auto" w:sz="4" w:space="0"/>
              <w:left w:val="single" w:color="auto" w:sz="4" w:space="0"/>
              <w:bottom w:val="single" w:color="auto" w:sz="4" w:space="0"/>
              <w:right w:val="single" w:color="auto" w:sz="4" w:space="0"/>
            </w:tcBorders>
            <w:noWrap w:val="0"/>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12.5</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cantSplit/>
          <w:trHeight w:val="340" w:hRule="atLeast"/>
          <w:jc w:val="center"/>
        </w:trPr>
        <w:tc>
          <w:tcPr>
            <w:tcW w:w="1720" w:type="dxa"/>
            <w:tcBorders>
              <w:top w:val="single" w:color="auto" w:sz="4" w:space="0"/>
              <w:left w:val="single" w:color="auto" w:sz="4" w:space="0"/>
              <w:bottom w:val="single" w:color="auto" w:sz="4" w:space="0"/>
              <w:right w:val="single" w:color="auto" w:sz="4" w:space="0"/>
            </w:tcBorders>
            <w:noWrap w:val="0"/>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bidi="ar"/>
              </w:rPr>
              <w:t>9#（水位</w:t>
            </w:r>
            <w:r>
              <w:rPr>
                <w:rFonts w:hint="default" w:ascii="Times New Roman" w:hAnsi="Times New Roman" w:eastAsia="宋体" w:cs="Times New Roman"/>
                <w:color w:val="auto"/>
                <w:kern w:val="0"/>
                <w:sz w:val="21"/>
                <w:szCs w:val="21"/>
                <w:highlight w:val="none"/>
                <w:lang w:eastAsia="zh-CN" w:bidi="ar"/>
              </w:rPr>
              <w:t>）</w:t>
            </w:r>
          </w:p>
        </w:tc>
        <w:tc>
          <w:tcPr>
            <w:tcW w:w="3170" w:type="dxa"/>
            <w:tcBorders>
              <w:top w:val="single" w:color="auto" w:sz="4" w:space="0"/>
              <w:left w:val="single" w:color="auto" w:sz="4" w:space="0"/>
              <w:bottom w:val="single" w:color="auto" w:sz="4" w:space="0"/>
              <w:right w:val="single" w:color="auto" w:sz="4" w:space="0"/>
            </w:tcBorders>
            <w:noWrap w:val="0"/>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bidi="ar"/>
              </w:rPr>
              <w:t>109°25'32.46"</w:t>
            </w:r>
            <w:r>
              <w:rPr>
                <w:rFonts w:hint="default" w:ascii="Times New Roman" w:hAnsi="Times New Roman" w:eastAsia="宋体" w:cs="Times New Roman"/>
                <w:color w:val="auto"/>
                <w:kern w:val="0"/>
                <w:sz w:val="21"/>
                <w:szCs w:val="21"/>
                <w:highlight w:val="none"/>
                <w:lang w:eastAsia="zh-CN" w:bidi="ar"/>
              </w:rPr>
              <w:t>；</w:t>
            </w:r>
            <w:r>
              <w:rPr>
                <w:rFonts w:hint="default" w:ascii="Times New Roman" w:hAnsi="Times New Roman" w:eastAsia="宋体" w:cs="Times New Roman"/>
                <w:color w:val="auto"/>
                <w:kern w:val="0"/>
                <w:sz w:val="21"/>
                <w:szCs w:val="21"/>
                <w:highlight w:val="none"/>
                <w:lang w:bidi="ar"/>
              </w:rPr>
              <w:t>40°48'37.87"</w:t>
            </w:r>
          </w:p>
        </w:tc>
        <w:tc>
          <w:tcPr>
            <w:tcW w:w="1187" w:type="dxa"/>
            <w:tcBorders>
              <w:top w:val="single" w:color="auto" w:sz="4" w:space="0"/>
              <w:left w:val="single" w:color="auto" w:sz="4" w:space="0"/>
              <w:bottom w:val="single" w:color="auto" w:sz="4" w:space="0"/>
              <w:right w:val="single" w:color="auto" w:sz="4" w:space="0"/>
            </w:tcBorders>
            <w:noWrap w:val="0"/>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20</w:t>
            </w:r>
          </w:p>
        </w:tc>
        <w:tc>
          <w:tcPr>
            <w:tcW w:w="1061" w:type="dxa"/>
            <w:tcBorders>
              <w:top w:val="single" w:color="auto" w:sz="4" w:space="0"/>
              <w:left w:val="single" w:color="auto" w:sz="4" w:space="0"/>
              <w:bottom w:val="single" w:color="auto" w:sz="4" w:space="0"/>
              <w:right w:val="single" w:color="auto" w:sz="4" w:space="0"/>
            </w:tcBorders>
            <w:noWrap w:val="0"/>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7</w:t>
            </w:r>
          </w:p>
        </w:tc>
        <w:tc>
          <w:tcPr>
            <w:tcW w:w="1187" w:type="dxa"/>
            <w:tcBorders>
              <w:top w:val="single" w:color="auto" w:sz="4" w:space="0"/>
              <w:left w:val="single" w:color="auto" w:sz="4" w:space="0"/>
              <w:bottom w:val="single" w:color="auto" w:sz="4" w:space="0"/>
              <w:right w:val="single" w:color="auto" w:sz="4" w:space="0"/>
            </w:tcBorders>
            <w:noWrap w:val="0"/>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12.1</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0" w:type="dxa"/>
            <w:bottom w:w="0" w:type="dxa"/>
            <w:right w:w="0" w:type="dxa"/>
          </w:tblCellMar>
        </w:tblPrEx>
        <w:trPr>
          <w:cantSplit/>
          <w:trHeight w:val="340" w:hRule="atLeast"/>
          <w:jc w:val="center"/>
        </w:trPr>
        <w:tc>
          <w:tcPr>
            <w:tcW w:w="1720" w:type="dxa"/>
            <w:tcBorders>
              <w:top w:val="single" w:color="auto" w:sz="4" w:space="0"/>
              <w:left w:val="single" w:color="auto" w:sz="4" w:space="0"/>
              <w:bottom w:val="single" w:color="auto" w:sz="4" w:space="0"/>
              <w:right w:val="single" w:color="auto" w:sz="4" w:space="0"/>
            </w:tcBorders>
            <w:noWrap w:val="0"/>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bidi="ar"/>
              </w:rPr>
              <w:t>10#（水位</w:t>
            </w:r>
            <w:r>
              <w:rPr>
                <w:rFonts w:hint="default" w:ascii="Times New Roman" w:hAnsi="Times New Roman" w:eastAsia="宋体" w:cs="Times New Roman"/>
                <w:color w:val="auto"/>
                <w:kern w:val="0"/>
                <w:sz w:val="21"/>
                <w:szCs w:val="21"/>
                <w:highlight w:val="none"/>
                <w:lang w:eastAsia="zh-CN" w:bidi="ar"/>
              </w:rPr>
              <w:t>）</w:t>
            </w:r>
          </w:p>
        </w:tc>
        <w:tc>
          <w:tcPr>
            <w:tcW w:w="3170" w:type="dxa"/>
            <w:tcBorders>
              <w:top w:val="single" w:color="auto" w:sz="4" w:space="0"/>
              <w:left w:val="single" w:color="auto" w:sz="4" w:space="0"/>
              <w:bottom w:val="single" w:color="auto" w:sz="4" w:space="0"/>
              <w:right w:val="single" w:color="auto" w:sz="4" w:space="0"/>
            </w:tcBorders>
            <w:noWrap w:val="0"/>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bidi="ar"/>
              </w:rPr>
              <w:t>109°26'15.75"</w:t>
            </w:r>
            <w:r>
              <w:rPr>
                <w:rFonts w:hint="default" w:ascii="Times New Roman" w:hAnsi="Times New Roman" w:eastAsia="宋体" w:cs="Times New Roman"/>
                <w:color w:val="auto"/>
                <w:kern w:val="0"/>
                <w:sz w:val="21"/>
                <w:szCs w:val="21"/>
                <w:highlight w:val="none"/>
                <w:lang w:eastAsia="zh-CN" w:bidi="ar"/>
              </w:rPr>
              <w:t>；</w:t>
            </w:r>
            <w:r>
              <w:rPr>
                <w:rFonts w:hint="default" w:ascii="Times New Roman" w:hAnsi="Times New Roman" w:eastAsia="宋体" w:cs="Times New Roman"/>
                <w:color w:val="auto"/>
                <w:kern w:val="0"/>
                <w:sz w:val="21"/>
                <w:szCs w:val="21"/>
                <w:highlight w:val="none"/>
                <w:lang w:bidi="ar"/>
              </w:rPr>
              <w:t>40°48'06.42"</w:t>
            </w:r>
          </w:p>
        </w:tc>
        <w:tc>
          <w:tcPr>
            <w:tcW w:w="1187" w:type="dxa"/>
            <w:tcBorders>
              <w:top w:val="single" w:color="auto" w:sz="4" w:space="0"/>
              <w:left w:val="single" w:color="auto" w:sz="4" w:space="0"/>
              <w:bottom w:val="single" w:color="auto" w:sz="4" w:space="0"/>
              <w:right w:val="single" w:color="auto" w:sz="4" w:space="0"/>
            </w:tcBorders>
            <w:noWrap w:val="0"/>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25</w:t>
            </w:r>
          </w:p>
        </w:tc>
        <w:tc>
          <w:tcPr>
            <w:tcW w:w="1061" w:type="dxa"/>
            <w:tcBorders>
              <w:top w:val="single" w:color="auto" w:sz="4" w:space="0"/>
              <w:left w:val="single" w:color="auto" w:sz="4" w:space="0"/>
              <w:bottom w:val="single" w:color="auto" w:sz="4" w:space="0"/>
              <w:right w:val="single" w:color="auto" w:sz="4" w:space="0"/>
            </w:tcBorders>
            <w:noWrap w:val="0"/>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9</w:t>
            </w:r>
          </w:p>
        </w:tc>
        <w:tc>
          <w:tcPr>
            <w:tcW w:w="1187" w:type="dxa"/>
            <w:tcBorders>
              <w:top w:val="single" w:color="auto" w:sz="4" w:space="0"/>
              <w:left w:val="single" w:color="auto" w:sz="4" w:space="0"/>
              <w:bottom w:val="single" w:color="auto" w:sz="4" w:space="0"/>
              <w:right w:val="single" w:color="auto" w:sz="4" w:space="0"/>
            </w:tcBorders>
            <w:noWrap w:val="0"/>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12.2</w:t>
            </w:r>
          </w:p>
        </w:tc>
      </w:tr>
    </w:tbl>
    <w:p>
      <w:pPr>
        <w:pageBreakBefore w:val="0"/>
        <w:wordWrap/>
        <w:bidi w:val="0"/>
        <w:spacing w:line="360" w:lineRule="auto"/>
        <w:ind w:left="0" w:leftChars="0" w:right="0" w:rightChars="0"/>
        <w:rPr>
          <w:rFonts w:hint="default" w:ascii="Times New Roman" w:hAnsi="Times New Roman" w:eastAsia="宋体" w:cs="Times New Roman"/>
          <w:b/>
          <w:bCs/>
          <w:color w:val="auto"/>
          <w:sz w:val="24"/>
          <w:szCs w:val="32"/>
          <w:highlight w:val="none"/>
          <w:lang w:val="en-US" w:eastAsia="zh-CN"/>
        </w:rPr>
      </w:pPr>
      <w:r>
        <w:rPr>
          <w:rFonts w:hint="default" w:ascii="Times New Roman" w:hAnsi="Times New Roman" w:eastAsia="宋体" w:cs="Times New Roman"/>
          <w:b/>
          <w:bCs/>
          <w:color w:val="auto"/>
          <w:sz w:val="24"/>
          <w:szCs w:val="32"/>
          <w:highlight w:val="none"/>
          <w:lang w:val="en-US" w:eastAsia="zh-CN"/>
        </w:rPr>
        <w:t>5.3.1.3监测频率</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监测一天</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采样一次。</w:t>
      </w:r>
    </w:p>
    <w:p>
      <w:pPr>
        <w:pageBreakBefore w:val="0"/>
        <w:wordWrap/>
        <w:bidi w:val="0"/>
        <w:spacing w:line="360" w:lineRule="auto"/>
        <w:ind w:left="0" w:leftChars="0" w:right="0" w:rightChars="0"/>
        <w:rPr>
          <w:rFonts w:hint="default" w:ascii="Times New Roman" w:hAnsi="Times New Roman" w:eastAsia="宋体" w:cs="Times New Roman"/>
          <w:b/>
          <w:bCs/>
          <w:color w:val="auto"/>
          <w:sz w:val="24"/>
          <w:szCs w:val="32"/>
          <w:highlight w:val="none"/>
          <w:lang w:val="en-US" w:eastAsia="zh-CN"/>
        </w:rPr>
      </w:pPr>
      <w:r>
        <w:rPr>
          <w:rFonts w:hint="default" w:ascii="Times New Roman" w:hAnsi="Times New Roman" w:eastAsia="宋体" w:cs="Times New Roman"/>
          <w:b/>
          <w:bCs/>
          <w:color w:val="auto"/>
          <w:sz w:val="24"/>
          <w:szCs w:val="32"/>
          <w:highlight w:val="none"/>
          <w:lang w:val="en-US" w:eastAsia="zh-CN"/>
        </w:rPr>
        <w:t>5.3.1.4分析方法</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采样分析按国家《地下水环境监测技术规范》（</w:t>
      </w:r>
      <w:r>
        <w:rPr>
          <w:rFonts w:hint="default" w:ascii="Times New Roman" w:hAnsi="Times New Roman" w:eastAsia="宋体" w:cs="Times New Roman"/>
          <w:color w:val="auto"/>
          <w:sz w:val="24"/>
          <w:highlight w:val="none"/>
          <w:lang w:eastAsia="zh-CN"/>
        </w:rPr>
        <w:t>HJ164-2020）</w:t>
      </w:r>
      <w:r>
        <w:rPr>
          <w:rFonts w:hint="default" w:ascii="Times New Roman" w:hAnsi="Times New Roman" w:eastAsia="宋体" w:cs="Times New Roman"/>
          <w:color w:val="auto"/>
          <w:sz w:val="24"/>
          <w:highlight w:val="none"/>
        </w:rPr>
        <w:t>和《地下水质量标准》（GB/T14848-2017</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等有关规定标准进行。</w:t>
      </w:r>
    </w:p>
    <w:p>
      <w:pPr>
        <w:pageBreakBefore w:val="0"/>
        <w:wordWrap/>
        <w:bidi w:val="0"/>
        <w:spacing w:line="360" w:lineRule="auto"/>
        <w:ind w:left="0" w:leftChars="0" w:right="0" w:rightChars="0"/>
        <w:rPr>
          <w:rFonts w:hint="default" w:ascii="Times New Roman" w:hAnsi="Times New Roman" w:eastAsia="宋体" w:cs="Times New Roman"/>
          <w:b/>
          <w:bCs/>
          <w:color w:val="auto"/>
          <w:sz w:val="24"/>
          <w:szCs w:val="32"/>
          <w:highlight w:val="none"/>
          <w:lang w:val="en-US" w:eastAsia="zh-CN"/>
        </w:rPr>
      </w:pPr>
      <w:r>
        <w:rPr>
          <w:rFonts w:hint="default" w:ascii="Times New Roman" w:hAnsi="Times New Roman" w:eastAsia="宋体" w:cs="Times New Roman"/>
          <w:b/>
          <w:bCs/>
          <w:color w:val="auto"/>
          <w:sz w:val="24"/>
          <w:szCs w:val="32"/>
          <w:highlight w:val="none"/>
          <w:lang w:val="en-US" w:eastAsia="zh-CN"/>
        </w:rPr>
        <w:t>5.3.1.5监测结果</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内蒙古加通环境检测治理有限公司</w:t>
      </w:r>
      <w:r>
        <w:rPr>
          <w:rFonts w:hint="default" w:ascii="Times New Roman" w:hAnsi="Times New Roman" w:eastAsia="宋体" w:cs="Times New Roman"/>
          <w:color w:val="auto"/>
          <w:sz w:val="24"/>
          <w:highlight w:val="none"/>
          <w:lang w:eastAsia="zh-CN"/>
        </w:rPr>
        <w:t>于</w:t>
      </w:r>
      <w:r>
        <w:rPr>
          <w:rFonts w:hint="default" w:ascii="Times New Roman" w:hAnsi="Times New Roman" w:eastAsia="宋体" w:cs="Times New Roman"/>
          <w:color w:val="auto"/>
          <w:sz w:val="24"/>
          <w:highlight w:val="none"/>
        </w:rPr>
        <w:t>2023</w:t>
      </w:r>
      <w:r>
        <w:rPr>
          <w:rFonts w:hint="default" w:ascii="Times New Roman" w:hAnsi="Times New Roman" w:eastAsia="宋体" w:cs="Times New Roman"/>
          <w:color w:val="auto"/>
          <w:sz w:val="24"/>
          <w:highlight w:val="none"/>
          <w:lang w:eastAsia="zh-CN"/>
        </w:rPr>
        <w:t>年</w:t>
      </w:r>
      <w:r>
        <w:rPr>
          <w:rFonts w:hint="default" w:ascii="Times New Roman" w:hAnsi="Times New Roman" w:eastAsia="宋体" w:cs="Times New Roman"/>
          <w:color w:val="auto"/>
          <w:sz w:val="24"/>
          <w:highlight w:val="none"/>
          <w:lang w:val="en-US" w:eastAsia="zh-CN"/>
        </w:rPr>
        <w:t>4月</w:t>
      </w:r>
      <w:r>
        <w:rPr>
          <w:rFonts w:hint="default" w:ascii="Times New Roman" w:hAnsi="Times New Roman" w:eastAsia="宋体" w:cs="Times New Roman"/>
          <w:color w:val="auto"/>
          <w:sz w:val="24"/>
          <w:highlight w:val="none"/>
        </w:rPr>
        <w:t>18</w:t>
      </w:r>
      <w:r>
        <w:rPr>
          <w:rFonts w:hint="default" w:ascii="Times New Roman" w:hAnsi="Times New Roman" w:eastAsia="宋体" w:cs="Times New Roman"/>
          <w:color w:val="auto"/>
          <w:sz w:val="24"/>
          <w:highlight w:val="none"/>
          <w:lang w:eastAsia="zh-CN"/>
        </w:rPr>
        <w:t>日</w:t>
      </w:r>
      <w:r>
        <w:rPr>
          <w:rFonts w:hint="default" w:ascii="Times New Roman" w:hAnsi="Times New Roman" w:eastAsia="宋体" w:cs="Times New Roman"/>
          <w:color w:val="auto"/>
          <w:sz w:val="24"/>
          <w:highlight w:val="none"/>
        </w:rPr>
        <w:t>对项目区周边水井进行</w:t>
      </w:r>
      <w:r>
        <w:rPr>
          <w:rFonts w:hint="default" w:ascii="Times New Roman" w:hAnsi="Times New Roman" w:eastAsia="宋体" w:cs="Times New Roman"/>
          <w:color w:val="auto"/>
          <w:sz w:val="24"/>
          <w:highlight w:val="none"/>
          <w:lang w:eastAsia="zh-CN"/>
        </w:rPr>
        <w:t>的</w:t>
      </w:r>
      <w:r>
        <w:rPr>
          <w:rFonts w:hint="default" w:ascii="Times New Roman" w:hAnsi="Times New Roman" w:eastAsia="宋体" w:cs="Times New Roman"/>
          <w:color w:val="auto"/>
          <w:sz w:val="24"/>
          <w:highlight w:val="none"/>
        </w:rPr>
        <w:t>检测结果见5-</w:t>
      </w:r>
      <w:r>
        <w:rPr>
          <w:rFonts w:hint="default" w:ascii="Times New Roman" w:hAnsi="Times New Roman" w:eastAsia="宋体" w:cs="Times New Roman"/>
          <w:color w:val="auto"/>
          <w:sz w:val="24"/>
          <w:highlight w:val="none"/>
          <w:lang w:val="en-US" w:eastAsia="zh-CN"/>
        </w:rPr>
        <w:t>9</w:t>
      </w:r>
      <w:r>
        <w:rPr>
          <w:rFonts w:hint="default" w:ascii="Times New Roman" w:hAnsi="Times New Roman" w:eastAsia="宋体" w:cs="Times New Roman"/>
          <w:color w:val="auto"/>
          <w:sz w:val="24"/>
          <w:highlight w:val="none"/>
        </w:rPr>
        <w:t>。</w:t>
      </w:r>
    </w:p>
    <w:p>
      <w:pPr>
        <w:pageBreakBefore w:val="0"/>
        <w:tabs>
          <w:tab w:val="left" w:pos="3062"/>
        </w:tabs>
        <w:wordWrap/>
        <w:bidi w:val="0"/>
        <w:spacing w:line="360" w:lineRule="auto"/>
        <w:ind w:left="0" w:leftChars="0" w:right="0" w:rightChars="0"/>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表5-</w:t>
      </w:r>
      <w:r>
        <w:rPr>
          <w:rFonts w:hint="default" w:ascii="Times New Roman" w:hAnsi="Times New Roman" w:eastAsia="宋体" w:cs="Times New Roman"/>
          <w:b/>
          <w:bCs/>
          <w:color w:val="auto"/>
          <w:sz w:val="24"/>
          <w:highlight w:val="none"/>
          <w:lang w:val="en-US" w:eastAsia="zh-CN"/>
        </w:rPr>
        <w:t>9</w:t>
      </w:r>
      <w:r>
        <w:rPr>
          <w:rFonts w:hint="default" w:ascii="Times New Roman" w:hAnsi="Times New Roman" w:eastAsia="宋体" w:cs="Times New Roman"/>
          <w:b/>
          <w:bCs/>
          <w:color w:val="auto"/>
          <w:sz w:val="24"/>
          <w:highlight w:val="none"/>
        </w:rPr>
        <w:t>地下水水质分析统计表</w:t>
      </w:r>
    </w:p>
    <w:tbl>
      <w:tblPr>
        <w:tblStyle w:val="54"/>
        <w:tblW w:w="501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340"/>
        <w:gridCol w:w="1198"/>
        <w:gridCol w:w="996"/>
        <w:gridCol w:w="996"/>
        <w:gridCol w:w="990"/>
        <w:gridCol w:w="996"/>
        <w:gridCol w:w="996"/>
        <w:gridCol w:w="1000"/>
        <w:gridCol w:w="8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203" w:type="pct"/>
            <w:vMerge w:val="restart"/>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序号</w:t>
            </w:r>
          </w:p>
        </w:tc>
        <w:tc>
          <w:tcPr>
            <w:tcW w:w="718" w:type="pct"/>
            <w:vMerge w:val="restart"/>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监测</w:t>
            </w:r>
          </w:p>
          <w:p>
            <w:pPr>
              <w:pageBreakBefore w:val="0"/>
              <w:wordWrap/>
              <w:bidi w:val="0"/>
              <w:spacing w:line="240" w:lineRule="auto"/>
              <w:ind w:left="0" w:leftChars="0" w:right="0" w:rightChars="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项目</w:t>
            </w:r>
          </w:p>
        </w:tc>
        <w:tc>
          <w:tcPr>
            <w:tcW w:w="597" w:type="pct"/>
            <w:vMerge w:val="restart"/>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单位</w:t>
            </w:r>
          </w:p>
        </w:tc>
        <w:tc>
          <w:tcPr>
            <w:tcW w:w="2985" w:type="pct"/>
            <w:gridSpan w:val="5"/>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2023年4月18日</w:t>
            </w:r>
          </w:p>
        </w:tc>
        <w:tc>
          <w:tcPr>
            <w:tcW w:w="494" w:type="pct"/>
            <w:vMerge w:val="restart"/>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203" w:type="pct"/>
            <w:vMerge w:val="continue"/>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color w:val="auto"/>
                <w:sz w:val="21"/>
                <w:szCs w:val="21"/>
                <w:highlight w:val="none"/>
              </w:rPr>
            </w:pPr>
          </w:p>
        </w:tc>
        <w:tc>
          <w:tcPr>
            <w:tcW w:w="718" w:type="pct"/>
            <w:vMerge w:val="continue"/>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color w:val="auto"/>
                <w:sz w:val="21"/>
                <w:szCs w:val="21"/>
                <w:highlight w:val="none"/>
              </w:rPr>
            </w:pPr>
          </w:p>
        </w:tc>
        <w:tc>
          <w:tcPr>
            <w:tcW w:w="597" w:type="pct"/>
            <w:vMerge w:val="continue"/>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color w:val="auto"/>
                <w:sz w:val="21"/>
                <w:szCs w:val="21"/>
                <w:highlight w:val="none"/>
              </w:rPr>
            </w:pPr>
          </w:p>
        </w:tc>
        <w:tc>
          <w:tcPr>
            <w:tcW w:w="597"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SH-JT2304408-01-392</w:t>
            </w:r>
          </w:p>
        </w:tc>
        <w:tc>
          <w:tcPr>
            <w:tcW w:w="593"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SH-JT2304408-02-393</w:t>
            </w:r>
          </w:p>
        </w:tc>
        <w:tc>
          <w:tcPr>
            <w:tcW w:w="597"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SH-JT2304408-03-394</w:t>
            </w:r>
          </w:p>
        </w:tc>
        <w:tc>
          <w:tcPr>
            <w:tcW w:w="597"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SH-JT2304408-04-395</w:t>
            </w:r>
          </w:p>
        </w:tc>
        <w:tc>
          <w:tcPr>
            <w:tcW w:w="599"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SH-JT2304408-05-396</w:t>
            </w:r>
          </w:p>
        </w:tc>
        <w:tc>
          <w:tcPr>
            <w:tcW w:w="494" w:type="pct"/>
            <w:vMerge w:val="continue"/>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203"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718"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pH值</w:t>
            </w:r>
          </w:p>
        </w:tc>
        <w:tc>
          <w:tcPr>
            <w:tcW w:w="597"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无量纲</w:t>
            </w:r>
          </w:p>
        </w:tc>
        <w:tc>
          <w:tcPr>
            <w:tcW w:w="597"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7.8</w:t>
            </w:r>
          </w:p>
        </w:tc>
        <w:tc>
          <w:tcPr>
            <w:tcW w:w="593"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7.8</w:t>
            </w:r>
          </w:p>
        </w:tc>
        <w:tc>
          <w:tcPr>
            <w:tcW w:w="597"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7.9</w:t>
            </w:r>
          </w:p>
        </w:tc>
        <w:tc>
          <w:tcPr>
            <w:tcW w:w="597"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7.9</w:t>
            </w:r>
          </w:p>
        </w:tc>
        <w:tc>
          <w:tcPr>
            <w:tcW w:w="599"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7.8</w:t>
            </w:r>
          </w:p>
        </w:tc>
        <w:tc>
          <w:tcPr>
            <w:tcW w:w="494"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6.5~8.5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203"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tc>
        <w:tc>
          <w:tcPr>
            <w:tcW w:w="718"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氨氮</w:t>
            </w:r>
          </w:p>
        </w:tc>
        <w:tc>
          <w:tcPr>
            <w:tcW w:w="597"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mg/L</w:t>
            </w:r>
          </w:p>
        </w:tc>
        <w:tc>
          <w:tcPr>
            <w:tcW w:w="597"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3.9×10</w:t>
            </w:r>
            <w:r>
              <w:rPr>
                <w:rFonts w:hint="default" w:ascii="Times New Roman" w:hAnsi="Times New Roman" w:eastAsia="宋体" w:cs="Times New Roman"/>
                <w:color w:val="auto"/>
                <w:sz w:val="21"/>
                <w:szCs w:val="21"/>
                <w:highlight w:val="none"/>
                <w:vertAlign w:val="superscript"/>
              </w:rPr>
              <w:t>-2</w:t>
            </w:r>
          </w:p>
        </w:tc>
        <w:tc>
          <w:tcPr>
            <w:tcW w:w="593"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8.4×10</w:t>
            </w:r>
            <w:r>
              <w:rPr>
                <w:rFonts w:hint="default" w:ascii="Times New Roman" w:hAnsi="Times New Roman" w:eastAsia="宋体" w:cs="Times New Roman"/>
                <w:color w:val="auto"/>
                <w:sz w:val="21"/>
                <w:szCs w:val="21"/>
                <w:highlight w:val="none"/>
                <w:vertAlign w:val="superscript"/>
              </w:rPr>
              <w:t>-2</w:t>
            </w:r>
          </w:p>
        </w:tc>
        <w:tc>
          <w:tcPr>
            <w:tcW w:w="597"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5.2×10</w:t>
            </w:r>
            <w:r>
              <w:rPr>
                <w:rFonts w:hint="default" w:ascii="Times New Roman" w:hAnsi="Times New Roman" w:eastAsia="宋体" w:cs="Times New Roman"/>
                <w:color w:val="auto"/>
                <w:sz w:val="21"/>
                <w:szCs w:val="21"/>
                <w:highlight w:val="none"/>
                <w:vertAlign w:val="superscript"/>
              </w:rPr>
              <w:t>-2</w:t>
            </w:r>
          </w:p>
        </w:tc>
        <w:tc>
          <w:tcPr>
            <w:tcW w:w="597"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3.1×10</w:t>
            </w:r>
            <w:r>
              <w:rPr>
                <w:rFonts w:hint="default" w:ascii="Times New Roman" w:hAnsi="Times New Roman" w:eastAsia="宋体" w:cs="Times New Roman"/>
                <w:color w:val="auto"/>
                <w:sz w:val="21"/>
                <w:szCs w:val="21"/>
                <w:highlight w:val="none"/>
                <w:vertAlign w:val="superscript"/>
              </w:rPr>
              <w:t>-2</w:t>
            </w:r>
          </w:p>
        </w:tc>
        <w:tc>
          <w:tcPr>
            <w:tcW w:w="599"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3.4×10</w:t>
            </w:r>
            <w:r>
              <w:rPr>
                <w:rFonts w:hint="default" w:ascii="Times New Roman" w:hAnsi="Times New Roman" w:eastAsia="宋体" w:cs="Times New Roman"/>
                <w:color w:val="auto"/>
                <w:sz w:val="21"/>
                <w:szCs w:val="21"/>
                <w:highlight w:val="none"/>
                <w:vertAlign w:val="superscript"/>
              </w:rPr>
              <w:t>-2</w:t>
            </w:r>
          </w:p>
        </w:tc>
        <w:tc>
          <w:tcPr>
            <w:tcW w:w="494"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90" w:hRule="atLeast"/>
          <w:jc w:val="center"/>
        </w:trPr>
        <w:tc>
          <w:tcPr>
            <w:tcW w:w="203"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w:t>
            </w:r>
          </w:p>
        </w:tc>
        <w:tc>
          <w:tcPr>
            <w:tcW w:w="718"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硝酸盐氮</w:t>
            </w:r>
          </w:p>
        </w:tc>
        <w:tc>
          <w:tcPr>
            <w:tcW w:w="597"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mg/L</w:t>
            </w:r>
          </w:p>
        </w:tc>
        <w:tc>
          <w:tcPr>
            <w:tcW w:w="597"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15.0</w:t>
            </w:r>
          </w:p>
        </w:tc>
        <w:tc>
          <w:tcPr>
            <w:tcW w:w="593"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13.8</w:t>
            </w:r>
          </w:p>
        </w:tc>
        <w:tc>
          <w:tcPr>
            <w:tcW w:w="597"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13.4</w:t>
            </w:r>
          </w:p>
        </w:tc>
        <w:tc>
          <w:tcPr>
            <w:tcW w:w="597"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14.6</w:t>
            </w:r>
          </w:p>
        </w:tc>
        <w:tc>
          <w:tcPr>
            <w:tcW w:w="599"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18.9</w:t>
            </w:r>
          </w:p>
        </w:tc>
        <w:tc>
          <w:tcPr>
            <w:tcW w:w="494" w:type="pct"/>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203"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w:t>
            </w:r>
          </w:p>
        </w:tc>
        <w:tc>
          <w:tcPr>
            <w:tcW w:w="718"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亚硝酸盐氮</w:t>
            </w:r>
          </w:p>
        </w:tc>
        <w:tc>
          <w:tcPr>
            <w:tcW w:w="597"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mg/L</w:t>
            </w:r>
          </w:p>
        </w:tc>
        <w:tc>
          <w:tcPr>
            <w:tcW w:w="597"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3×10</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L</w:t>
            </w:r>
          </w:p>
        </w:tc>
        <w:tc>
          <w:tcPr>
            <w:tcW w:w="593"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3×10</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L</w:t>
            </w:r>
          </w:p>
        </w:tc>
        <w:tc>
          <w:tcPr>
            <w:tcW w:w="597"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3×10</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L</w:t>
            </w:r>
          </w:p>
        </w:tc>
        <w:tc>
          <w:tcPr>
            <w:tcW w:w="597"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3×10</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L</w:t>
            </w:r>
          </w:p>
        </w:tc>
        <w:tc>
          <w:tcPr>
            <w:tcW w:w="599"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3×10</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L</w:t>
            </w:r>
          </w:p>
        </w:tc>
        <w:tc>
          <w:tcPr>
            <w:tcW w:w="494"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203"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w:t>
            </w:r>
          </w:p>
        </w:tc>
        <w:tc>
          <w:tcPr>
            <w:tcW w:w="718"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挥发酚</w:t>
            </w:r>
          </w:p>
        </w:tc>
        <w:tc>
          <w:tcPr>
            <w:tcW w:w="597"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mg/L</w:t>
            </w:r>
          </w:p>
        </w:tc>
        <w:tc>
          <w:tcPr>
            <w:tcW w:w="597"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3×10</w:t>
            </w:r>
            <w:r>
              <w:rPr>
                <w:rFonts w:hint="default" w:ascii="Times New Roman" w:hAnsi="Times New Roman" w:eastAsia="宋体" w:cs="Times New Roman"/>
                <w:color w:val="auto"/>
                <w:sz w:val="21"/>
                <w:szCs w:val="21"/>
                <w:highlight w:val="none"/>
                <w:vertAlign w:val="superscript"/>
              </w:rPr>
              <w:t>-4</w:t>
            </w:r>
            <w:r>
              <w:rPr>
                <w:rFonts w:hint="default" w:ascii="Times New Roman" w:hAnsi="Times New Roman" w:eastAsia="宋体" w:cs="Times New Roman"/>
                <w:color w:val="auto"/>
                <w:sz w:val="21"/>
                <w:szCs w:val="21"/>
                <w:highlight w:val="none"/>
              </w:rPr>
              <w:t>L</w:t>
            </w:r>
          </w:p>
        </w:tc>
        <w:tc>
          <w:tcPr>
            <w:tcW w:w="593"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3×10</w:t>
            </w:r>
            <w:r>
              <w:rPr>
                <w:rFonts w:hint="default" w:ascii="Times New Roman" w:hAnsi="Times New Roman" w:eastAsia="宋体" w:cs="Times New Roman"/>
                <w:color w:val="auto"/>
                <w:sz w:val="21"/>
                <w:szCs w:val="21"/>
                <w:highlight w:val="none"/>
                <w:vertAlign w:val="superscript"/>
              </w:rPr>
              <w:t>-4</w:t>
            </w:r>
            <w:r>
              <w:rPr>
                <w:rFonts w:hint="default" w:ascii="Times New Roman" w:hAnsi="Times New Roman" w:eastAsia="宋体" w:cs="Times New Roman"/>
                <w:color w:val="auto"/>
                <w:sz w:val="21"/>
                <w:szCs w:val="21"/>
                <w:highlight w:val="none"/>
              </w:rPr>
              <w:t>L</w:t>
            </w:r>
          </w:p>
        </w:tc>
        <w:tc>
          <w:tcPr>
            <w:tcW w:w="597"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3×10</w:t>
            </w:r>
            <w:r>
              <w:rPr>
                <w:rFonts w:hint="default" w:ascii="Times New Roman" w:hAnsi="Times New Roman" w:eastAsia="宋体" w:cs="Times New Roman"/>
                <w:color w:val="auto"/>
                <w:sz w:val="21"/>
                <w:szCs w:val="21"/>
                <w:highlight w:val="none"/>
                <w:vertAlign w:val="superscript"/>
              </w:rPr>
              <w:t>-4</w:t>
            </w:r>
            <w:r>
              <w:rPr>
                <w:rFonts w:hint="default" w:ascii="Times New Roman" w:hAnsi="Times New Roman" w:eastAsia="宋体" w:cs="Times New Roman"/>
                <w:color w:val="auto"/>
                <w:sz w:val="21"/>
                <w:szCs w:val="21"/>
                <w:highlight w:val="none"/>
              </w:rPr>
              <w:t>L</w:t>
            </w:r>
          </w:p>
        </w:tc>
        <w:tc>
          <w:tcPr>
            <w:tcW w:w="597"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3×10</w:t>
            </w:r>
            <w:r>
              <w:rPr>
                <w:rFonts w:hint="default" w:ascii="Times New Roman" w:hAnsi="Times New Roman" w:eastAsia="宋体" w:cs="Times New Roman"/>
                <w:color w:val="auto"/>
                <w:sz w:val="21"/>
                <w:szCs w:val="21"/>
                <w:highlight w:val="none"/>
                <w:vertAlign w:val="superscript"/>
              </w:rPr>
              <w:t>-4</w:t>
            </w:r>
            <w:r>
              <w:rPr>
                <w:rFonts w:hint="default" w:ascii="Times New Roman" w:hAnsi="Times New Roman" w:eastAsia="宋体" w:cs="Times New Roman"/>
                <w:color w:val="auto"/>
                <w:sz w:val="21"/>
                <w:szCs w:val="21"/>
                <w:highlight w:val="none"/>
              </w:rPr>
              <w:t>L</w:t>
            </w:r>
          </w:p>
        </w:tc>
        <w:tc>
          <w:tcPr>
            <w:tcW w:w="599"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3×10</w:t>
            </w:r>
            <w:r>
              <w:rPr>
                <w:rFonts w:hint="default" w:ascii="Times New Roman" w:hAnsi="Times New Roman" w:eastAsia="宋体" w:cs="Times New Roman"/>
                <w:color w:val="auto"/>
                <w:sz w:val="21"/>
                <w:szCs w:val="21"/>
                <w:highlight w:val="none"/>
                <w:vertAlign w:val="superscript"/>
              </w:rPr>
              <w:t>-4</w:t>
            </w:r>
            <w:r>
              <w:rPr>
                <w:rFonts w:hint="default" w:ascii="Times New Roman" w:hAnsi="Times New Roman" w:eastAsia="宋体" w:cs="Times New Roman"/>
                <w:color w:val="auto"/>
                <w:sz w:val="21"/>
                <w:szCs w:val="21"/>
                <w:highlight w:val="none"/>
              </w:rPr>
              <w:t>L</w:t>
            </w:r>
          </w:p>
        </w:tc>
        <w:tc>
          <w:tcPr>
            <w:tcW w:w="494"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203"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w:t>
            </w:r>
          </w:p>
        </w:tc>
        <w:tc>
          <w:tcPr>
            <w:tcW w:w="718"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氰化物</w:t>
            </w:r>
          </w:p>
        </w:tc>
        <w:tc>
          <w:tcPr>
            <w:tcW w:w="597"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mg/L</w:t>
            </w:r>
          </w:p>
        </w:tc>
        <w:tc>
          <w:tcPr>
            <w:tcW w:w="597"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2×10</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L</w:t>
            </w:r>
          </w:p>
        </w:tc>
        <w:tc>
          <w:tcPr>
            <w:tcW w:w="593"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2×10</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L</w:t>
            </w:r>
          </w:p>
        </w:tc>
        <w:tc>
          <w:tcPr>
            <w:tcW w:w="597"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2×10</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L</w:t>
            </w:r>
          </w:p>
        </w:tc>
        <w:tc>
          <w:tcPr>
            <w:tcW w:w="597"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2×10</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L</w:t>
            </w:r>
          </w:p>
        </w:tc>
        <w:tc>
          <w:tcPr>
            <w:tcW w:w="599"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2×10</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L</w:t>
            </w:r>
          </w:p>
        </w:tc>
        <w:tc>
          <w:tcPr>
            <w:tcW w:w="494"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203"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w:t>
            </w:r>
          </w:p>
        </w:tc>
        <w:tc>
          <w:tcPr>
            <w:tcW w:w="718"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砷</w:t>
            </w:r>
          </w:p>
        </w:tc>
        <w:tc>
          <w:tcPr>
            <w:tcW w:w="597"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mg/L</w:t>
            </w:r>
          </w:p>
        </w:tc>
        <w:tc>
          <w:tcPr>
            <w:tcW w:w="597"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4×10</w:t>
            </w:r>
            <w:r>
              <w:rPr>
                <w:rFonts w:hint="default" w:ascii="Times New Roman" w:hAnsi="Times New Roman" w:eastAsia="宋体" w:cs="Times New Roman"/>
                <w:color w:val="auto"/>
                <w:sz w:val="21"/>
                <w:szCs w:val="21"/>
                <w:highlight w:val="none"/>
                <w:vertAlign w:val="superscript"/>
              </w:rPr>
              <w:t>-4</w:t>
            </w:r>
          </w:p>
        </w:tc>
        <w:tc>
          <w:tcPr>
            <w:tcW w:w="593"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4×10</w:t>
            </w:r>
            <w:r>
              <w:rPr>
                <w:rFonts w:hint="default" w:ascii="Times New Roman" w:hAnsi="Times New Roman" w:eastAsia="宋体" w:cs="Times New Roman"/>
                <w:color w:val="auto"/>
                <w:sz w:val="21"/>
                <w:szCs w:val="21"/>
                <w:highlight w:val="none"/>
                <w:vertAlign w:val="superscript"/>
              </w:rPr>
              <w:t>-4</w:t>
            </w:r>
          </w:p>
        </w:tc>
        <w:tc>
          <w:tcPr>
            <w:tcW w:w="597"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4×10</w:t>
            </w:r>
            <w:r>
              <w:rPr>
                <w:rFonts w:hint="default" w:ascii="Times New Roman" w:hAnsi="Times New Roman" w:eastAsia="宋体" w:cs="Times New Roman"/>
                <w:color w:val="auto"/>
                <w:sz w:val="21"/>
                <w:szCs w:val="21"/>
                <w:highlight w:val="none"/>
                <w:vertAlign w:val="superscript"/>
              </w:rPr>
              <w:t>-4</w:t>
            </w:r>
          </w:p>
        </w:tc>
        <w:tc>
          <w:tcPr>
            <w:tcW w:w="597"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3×10</w:t>
            </w:r>
            <w:r>
              <w:rPr>
                <w:rFonts w:hint="default" w:ascii="Times New Roman" w:hAnsi="Times New Roman" w:eastAsia="宋体" w:cs="Times New Roman"/>
                <w:color w:val="auto"/>
                <w:sz w:val="21"/>
                <w:szCs w:val="21"/>
                <w:highlight w:val="none"/>
                <w:vertAlign w:val="superscript"/>
              </w:rPr>
              <w:t>-4</w:t>
            </w:r>
            <w:r>
              <w:rPr>
                <w:rFonts w:hint="default" w:ascii="Times New Roman" w:hAnsi="Times New Roman" w:eastAsia="宋体" w:cs="Times New Roman"/>
                <w:color w:val="auto"/>
                <w:sz w:val="21"/>
                <w:szCs w:val="21"/>
                <w:highlight w:val="none"/>
              </w:rPr>
              <w:t>L</w:t>
            </w:r>
          </w:p>
        </w:tc>
        <w:tc>
          <w:tcPr>
            <w:tcW w:w="599"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3×10</w:t>
            </w:r>
            <w:r>
              <w:rPr>
                <w:rFonts w:hint="default" w:ascii="Times New Roman" w:hAnsi="Times New Roman" w:eastAsia="宋体" w:cs="Times New Roman"/>
                <w:color w:val="auto"/>
                <w:sz w:val="21"/>
                <w:szCs w:val="21"/>
                <w:highlight w:val="none"/>
                <w:vertAlign w:val="superscript"/>
              </w:rPr>
              <w:t>-4</w:t>
            </w:r>
            <w:r>
              <w:rPr>
                <w:rFonts w:hint="default" w:ascii="Times New Roman" w:hAnsi="Times New Roman" w:eastAsia="宋体" w:cs="Times New Roman"/>
                <w:color w:val="auto"/>
                <w:sz w:val="21"/>
                <w:szCs w:val="21"/>
                <w:highlight w:val="none"/>
              </w:rPr>
              <w:t>L</w:t>
            </w:r>
          </w:p>
        </w:tc>
        <w:tc>
          <w:tcPr>
            <w:tcW w:w="494"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203"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8</w:t>
            </w:r>
          </w:p>
        </w:tc>
        <w:tc>
          <w:tcPr>
            <w:tcW w:w="718"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汞</w:t>
            </w:r>
          </w:p>
        </w:tc>
        <w:tc>
          <w:tcPr>
            <w:tcW w:w="597"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mg/L</w:t>
            </w:r>
          </w:p>
        </w:tc>
        <w:tc>
          <w:tcPr>
            <w:tcW w:w="597"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4.9×10</w:t>
            </w:r>
            <w:r>
              <w:rPr>
                <w:rFonts w:hint="default" w:ascii="Times New Roman" w:hAnsi="Times New Roman" w:eastAsia="宋体" w:cs="Times New Roman"/>
                <w:color w:val="auto"/>
                <w:sz w:val="21"/>
                <w:szCs w:val="21"/>
                <w:highlight w:val="none"/>
                <w:vertAlign w:val="superscript"/>
              </w:rPr>
              <w:t>-4</w:t>
            </w:r>
          </w:p>
        </w:tc>
        <w:tc>
          <w:tcPr>
            <w:tcW w:w="593"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2.9×10</w:t>
            </w:r>
            <w:r>
              <w:rPr>
                <w:rFonts w:hint="default" w:ascii="Times New Roman" w:hAnsi="Times New Roman" w:eastAsia="宋体" w:cs="Times New Roman"/>
                <w:color w:val="auto"/>
                <w:sz w:val="21"/>
                <w:szCs w:val="21"/>
                <w:highlight w:val="none"/>
                <w:vertAlign w:val="superscript"/>
              </w:rPr>
              <w:t>-4</w:t>
            </w:r>
          </w:p>
        </w:tc>
        <w:tc>
          <w:tcPr>
            <w:tcW w:w="597"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3.5×10</w:t>
            </w:r>
            <w:r>
              <w:rPr>
                <w:rFonts w:hint="default" w:ascii="Times New Roman" w:hAnsi="Times New Roman" w:eastAsia="宋体" w:cs="Times New Roman"/>
                <w:color w:val="auto"/>
                <w:sz w:val="21"/>
                <w:szCs w:val="21"/>
                <w:highlight w:val="none"/>
                <w:vertAlign w:val="superscript"/>
              </w:rPr>
              <w:t>-4</w:t>
            </w:r>
          </w:p>
        </w:tc>
        <w:tc>
          <w:tcPr>
            <w:tcW w:w="597"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3.5×10</w:t>
            </w:r>
            <w:r>
              <w:rPr>
                <w:rFonts w:hint="default" w:ascii="Times New Roman" w:hAnsi="Times New Roman" w:eastAsia="宋体" w:cs="Times New Roman"/>
                <w:color w:val="auto"/>
                <w:sz w:val="21"/>
                <w:szCs w:val="21"/>
                <w:highlight w:val="none"/>
                <w:vertAlign w:val="superscript"/>
              </w:rPr>
              <w:t>-4</w:t>
            </w:r>
          </w:p>
        </w:tc>
        <w:tc>
          <w:tcPr>
            <w:tcW w:w="599"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2.7×10</w:t>
            </w:r>
            <w:r>
              <w:rPr>
                <w:rFonts w:hint="default" w:ascii="Times New Roman" w:hAnsi="Times New Roman" w:eastAsia="宋体" w:cs="Times New Roman"/>
                <w:color w:val="auto"/>
                <w:sz w:val="21"/>
                <w:szCs w:val="21"/>
                <w:highlight w:val="none"/>
                <w:vertAlign w:val="superscript"/>
              </w:rPr>
              <w:t>-4</w:t>
            </w:r>
          </w:p>
        </w:tc>
        <w:tc>
          <w:tcPr>
            <w:tcW w:w="494"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203"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9</w:t>
            </w:r>
          </w:p>
        </w:tc>
        <w:tc>
          <w:tcPr>
            <w:tcW w:w="718" w:type="pct"/>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铬（六价</w:t>
            </w:r>
            <w:r>
              <w:rPr>
                <w:rFonts w:hint="default" w:ascii="Times New Roman" w:hAnsi="Times New Roman" w:eastAsia="宋体" w:cs="Times New Roman"/>
                <w:color w:val="auto"/>
                <w:sz w:val="21"/>
                <w:szCs w:val="21"/>
                <w:highlight w:val="none"/>
                <w:lang w:eastAsia="zh-CN"/>
              </w:rPr>
              <w:t>）</w:t>
            </w:r>
          </w:p>
        </w:tc>
        <w:tc>
          <w:tcPr>
            <w:tcW w:w="597"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mg/L</w:t>
            </w:r>
          </w:p>
        </w:tc>
        <w:tc>
          <w:tcPr>
            <w:tcW w:w="597"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4×10</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L</w:t>
            </w:r>
          </w:p>
        </w:tc>
        <w:tc>
          <w:tcPr>
            <w:tcW w:w="593"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4×10</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L</w:t>
            </w:r>
          </w:p>
        </w:tc>
        <w:tc>
          <w:tcPr>
            <w:tcW w:w="597"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4×10</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L</w:t>
            </w:r>
          </w:p>
        </w:tc>
        <w:tc>
          <w:tcPr>
            <w:tcW w:w="597"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4×10</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L</w:t>
            </w:r>
          </w:p>
        </w:tc>
        <w:tc>
          <w:tcPr>
            <w:tcW w:w="599"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4×10</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L</w:t>
            </w:r>
          </w:p>
        </w:tc>
        <w:tc>
          <w:tcPr>
            <w:tcW w:w="494"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203"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w:t>
            </w:r>
          </w:p>
        </w:tc>
        <w:tc>
          <w:tcPr>
            <w:tcW w:w="718"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总硬度</w:t>
            </w:r>
          </w:p>
        </w:tc>
        <w:tc>
          <w:tcPr>
            <w:tcW w:w="597"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mg/L</w:t>
            </w:r>
          </w:p>
        </w:tc>
        <w:tc>
          <w:tcPr>
            <w:tcW w:w="597"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386</w:t>
            </w:r>
          </w:p>
        </w:tc>
        <w:tc>
          <w:tcPr>
            <w:tcW w:w="593"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426</w:t>
            </w:r>
          </w:p>
        </w:tc>
        <w:tc>
          <w:tcPr>
            <w:tcW w:w="597"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420</w:t>
            </w:r>
          </w:p>
        </w:tc>
        <w:tc>
          <w:tcPr>
            <w:tcW w:w="597"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412</w:t>
            </w:r>
          </w:p>
        </w:tc>
        <w:tc>
          <w:tcPr>
            <w:tcW w:w="599"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312</w:t>
            </w:r>
          </w:p>
        </w:tc>
        <w:tc>
          <w:tcPr>
            <w:tcW w:w="494"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203"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11</w:t>
            </w:r>
          </w:p>
        </w:tc>
        <w:tc>
          <w:tcPr>
            <w:tcW w:w="718"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铅</w:t>
            </w:r>
          </w:p>
        </w:tc>
        <w:tc>
          <w:tcPr>
            <w:tcW w:w="597"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mg/L</w:t>
            </w:r>
          </w:p>
        </w:tc>
        <w:tc>
          <w:tcPr>
            <w:tcW w:w="597"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2.5×10</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L</w:t>
            </w:r>
          </w:p>
        </w:tc>
        <w:tc>
          <w:tcPr>
            <w:tcW w:w="593"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2.5×10</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L</w:t>
            </w:r>
          </w:p>
        </w:tc>
        <w:tc>
          <w:tcPr>
            <w:tcW w:w="597"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2.5×10</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L</w:t>
            </w:r>
          </w:p>
        </w:tc>
        <w:tc>
          <w:tcPr>
            <w:tcW w:w="597"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2.5×10</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L</w:t>
            </w:r>
          </w:p>
        </w:tc>
        <w:tc>
          <w:tcPr>
            <w:tcW w:w="599"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2.5×10</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L</w:t>
            </w:r>
          </w:p>
        </w:tc>
        <w:tc>
          <w:tcPr>
            <w:tcW w:w="494"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203"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12</w:t>
            </w:r>
          </w:p>
        </w:tc>
        <w:tc>
          <w:tcPr>
            <w:tcW w:w="718"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镉</w:t>
            </w:r>
          </w:p>
        </w:tc>
        <w:tc>
          <w:tcPr>
            <w:tcW w:w="597"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mg/L</w:t>
            </w:r>
          </w:p>
        </w:tc>
        <w:tc>
          <w:tcPr>
            <w:tcW w:w="597"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5×10</w:t>
            </w:r>
            <w:r>
              <w:rPr>
                <w:rFonts w:hint="default" w:ascii="Times New Roman" w:hAnsi="Times New Roman" w:eastAsia="宋体" w:cs="Times New Roman"/>
                <w:color w:val="auto"/>
                <w:sz w:val="21"/>
                <w:szCs w:val="21"/>
                <w:highlight w:val="none"/>
                <w:vertAlign w:val="superscript"/>
              </w:rPr>
              <w:t>-4</w:t>
            </w:r>
            <w:r>
              <w:rPr>
                <w:rFonts w:hint="default" w:ascii="Times New Roman" w:hAnsi="Times New Roman" w:eastAsia="宋体" w:cs="Times New Roman"/>
                <w:color w:val="auto"/>
                <w:sz w:val="21"/>
                <w:szCs w:val="21"/>
                <w:highlight w:val="none"/>
              </w:rPr>
              <w:t>L</w:t>
            </w:r>
          </w:p>
        </w:tc>
        <w:tc>
          <w:tcPr>
            <w:tcW w:w="593"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5×10</w:t>
            </w:r>
            <w:r>
              <w:rPr>
                <w:rFonts w:hint="default" w:ascii="Times New Roman" w:hAnsi="Times New Roman" w:eastAsia="宋体" w:cs="Times New Roman"/>
                <w:color w:val="auto"/>
                <w:sz w:val="21"/>
                <w:szCs w:val="21"/>
                <w:highlight w:val="none"/>
                <w:vertAlign w:val="superscript"/>
              </w:rPr>
              <w:t>-4</w:t>
            </w:r>
            <w:r>
              <w:rPr>
                <w:rFonts w:hint="default" w:ascii="Times New Roman" w:hAnsi="Times New Roman" w:eastAsia="宋体" w:cs="Times New Roman"/>
                <w:color w:val="auto"/>
                <w:sz w:val="21"/>
                <w:szCs w:val="21"/>
                <w:highlight w:val="none"/>
              </w:rPr>
              <w:t>L</w:t>
            </w:r>
          </w:p>
        </w:tc>
        <w:tc>
          <w:tcPr>
            <w:tcW w:w="597"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5×10</w:t>
            </w:r>
            <w:r>
              <w:rPr>
                <w:rFonts w:hint="default" w:ascii="Times New Roman" w:hAnsi="Times New Roman" w:eastAsia="宋体" w:cs="Times New Roman"/>
                <w:color w:val="auto"/>
                <w:sz w:val="21"/>
                <w:szCs w:val="21"/>
                <w:highlight w:val="none"/>
                <w:vertAlign w:val="superscript"/>
              </w:rPr>
              <w:t>-4</w:t>
            </w:r>
            <w:r>
              <w:rPr>
                <w:rFonts w:hint="default" w:ascii="Times New Roman" w:hAnsi="Times New Roman" w:eastAsia="宋体" w:cs="Times New Roman"/>
                <w:color w:val="auto"/>
                <w:sz w:val="21"/>
                <w:szCs w:val="21"/>
                <w:highlight w:val="none"/>
              </w:rPr>
              <w:t>L</w:t>
            </w:r>
          </w:p>
        </w:tc>
        <w:tc>
          <w:tcPr>
            <w:tcW w:w="597"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5×10</w:t>
            </w:r>
            <w:r>
              <w:rPr>
                <w:rFonts w:hint="default" w:ascii="Times New Roman" w:hAnsi="Times New Roman" w:eastAsia="宋体" w:cs="Times New Roman"/>
                <w:color w:val="auto"/>
                <w:sz w:val="21"/>
                <w:szCs w:val="21"/>
                <w:highlight w:val="none"/>
                <w:vertAlign w:val="superscript"/>
              </w:rPr>
              <w:t>-4</w:t>
            </w:r>
            <w:r>
              <w:rPr>
                <w:rFonts w:hint="default" w:ascii="Times New Roman" w:hAnsi="Times New Roman" w:eastAsia="宋体" w:cs="Times New Roman"/>
                <w:color w:val="auto"/>
                <w:sz w:val="21"/>
                <w:szCs w:val="21"/>
                <w:highlight w:val="none"/>
              </w:rPr>
              <w:t>L</w:t>
            </w:r>
          </w:p>
        </w:tc>
        <w:tc>
          <w:tcPr>
            <w:tcW w:w="599"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5×10</w:t>
            </w:r>
            <w:r>
              <w:rPr>
                <w:rFonts w:hint="default" w:ascii="Times New Roman" w:hAnsi="Times New Roman" w:eastAsia="宋体" w:cs="Times New Roman"/>
                <w:color w:val="auto"/>
                <w:sz w:val="21"/>
                <w:szCs w:val="21"/>
                <w:highlight w:val="none"/>
                <w:vertAlign w:val="superscript"/>
              </w:rPr>
              <w:t>-4</w:t>
            </w:r>
            <w:r>
              <w:rPr>
                <w:rFonts w:hint="default" w:ascii="Times New Roman" w:hAnsi="Times New Roman" w:eastAsia="宋体" w:cs="Times New Roman"/>
                <w:color w:val="auto"/>
                <w:sz w:val="21"/>
                <w:szCs w:val="21"/>
                <w:highlight w:val="none"/>
              </w:rPr>
              <w:t>L</w:t>
            </w:r>
          </w:p>
        </w:tc>
        <w:tc>
          <w:tcPr>
            <w:tcW w:w="494"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≤0.005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203"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13</w:t>
            </w:r>
          </w:p>
        </w:tc>
        <w:tc>
          <w:tcPr>
            <w:tcW w:w="718"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铁</w:t>
            </w:r>
          </w:p>
        </w:tc>
        <w:tc>
          <w:tcPr>
            <w:tcW w:w="597"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mg/L</w:t>
            </w:r>
          </w:p>
        </w:tc>
        <w:tc>
          <w:tcPr>
            <w:tcW w:w="597"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0.03L</w:t>
            </w:r>
          </w:p>
        </w:tc>
        <w:tc>
          <w:tcPr>
            <w:tcW w:w="593"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0.03L</w:t>
            </w:r>
          </w:p>
        </w:tc>
        <w:tc>
          <w:tcPr>
            <w:tcW w:w="597"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0.03L</w:t>
            </w:r>
          </w:p>
        </w:tc>
        <w:tc>
          <w:tcPr>
            <w:tcW w:w="597"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0.03L</w:t>
            </w:r>
          </w:p>
        </w:tc>
        <w:tc>
          <w:tcPr>
            <w:tcW w:w="599"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0.03L</w:t>
            </w:r>
          </w:p>
        </w:tc>
        <w:tc>
          <w:tcPr>
            <w:tcW w:w="494"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203"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14</w:t>
            </w:r>
          </w:p>
        </w:tc>
        <w:tc>
          <w:tcPr>
            <w:tcW w:w="718"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锰</w:t>
            </w:r>
          </w:p>
        </w:tc>
        <w:tc>
          <w:tcPr>
            <w:tcW w:w="597"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mg/L</w:t>
            </w:r>
          </w:p>
        </w:tc>
        <w:tc>
          <w:tcPr>
            <w:tcW w:w="597"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0.01L</w:t>
            </w:r>
          </w:p>
        </w:tc>
        <w:tc>
          <w:tcPr>
            <w:tcW w:w="593"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0.01L</w:t>
            </w:r>
          </w:p>
        </w:tc>
        <w:tc>
          <w:tcPr>
            <w:tcW w:w="597"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0.01L</w:t>
            </w:r>
          </w:p>
        </w:tc>
        <w:tc>
          <w:tcPr>
            <w:tcW w:w="597"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0.01L</w:t>
            </w:r>
          </w:p>
        </w:tc>
        <w:tc>
          <w:tcPr>
            <w:tcW w:w="599"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0.01L</w:t>
            </w:r>
          </w:p>
        </w:tc>
        <w:tc>
          <w:tcPr>
            <w:tcW w:w="494"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≤0.10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203"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15</w:t>
            </w:r>
          </w:p>
        </w:tc>
        <w:tc>
          <w:tcPr>
            <w:tcW w:w="718"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溶解性总固体</w:t>
            </w:r>
          </w:p>
        </w:tc>
        <w:tc>
          <w:tcPr>
            <w:tcW w:w="597"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mg/L</w:t>
            </w:r>
          </w:p>
        </w:tc>
        <w:tc>
          <w:tcPr>
            <w:tcW w:w="597"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710</w:t>
            </w:r>
          </w:p>
        </w:tc>
        <w:tc>
          <w:tcPr>
            <w:tcW w:w="593"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826</w:t>
            </w:r>
          </w:p>
        </w:tc>
        <w:tc>
          <w:tcPr>
            <w:tcW w:w="597"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834</w:t>
            </w:r>
          </w:p>
        </w:tc>
        <w:tc>
          <w:tcPr>
            <w:tcW w:w="597"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886</w:t>
            </w:r>
          </w:p>
        </w:tc>
        <w:tc>
          <w:tcPr>
            <w:tcW w:w="599"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622</w:t>
            </w:r>
          </w:p>
        </w:tc>
        <w:tc>
          <w:tcPr>
            <w:tcW w:w="494"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203"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16</w:t>
            </w:r>
          </w:p>
        </w:tc>
        <w:tc>
          <w:tcPr>
            <w:tcW w:w="718"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bidi="ar"/>
              </w:rPr>
              <w:t>耗氧量</w:t>
            </w:r>
          </w:p>
        </w:tc>
        <w:tc>
          <w:tcPr>
            <w:tcW w:w="597"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mg/L</w:t>
            </w:r>
          </w:p>
        </w:tc>
        <w:tc>
          <w:tcPr>
            <w:tcW w:w="597"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1.12</w:t>
            </w:r>
          </w:p>
        </w:tc>
        <w:tc>
          <w:tcPr>
            <w:tcW w:w="593"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0.85</w:t>
            </w:r>
          </w:p>
        </w:tc>
        <w:tc>
          <w:tcPr>
            <w:tcW w:w="597"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1.16</w:t>
            </w:r>
          </w:p>
        </w:tc>
        <w:tc>
          <w:tcPr>
            <w:tcW w:w="597"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1.24</w:t>
            </w:r>
          </w:p>
        </w:tc>
        <w:tc>
          <w:tcPr>
            <w:tcW w:w="599"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0.65</w:t>
            </w:r>
          </w:p>
        </w:tc>
        <w:tc>
          <w:tcPr>
            <w:tcW w:w="494"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203"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17</w:t>
            </w:r>
          </w:p>
        </w:tc>
        <w:tc>
          <w:tcPr>
            <w:tcW w:w="718"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硫酸盐</w:t>
            </w:r>
          </w:p>
        </w:tc>
        <w:tc>
          <w:tcPr>
            <w:tcW w:w="597"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mg/L</w:t>
            </w:r>
          </w:p>
        </w:tc>
        <w:tc>
          <w:tcPr>
            <w:tcW w:w="597"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208</w:t>
            </w:r>
          </w:p>
        </w:tc>
        <w:tc>
          <w:tcPr>
            <w:tcW w:w="593"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230</w:t>
            </w:r>
          </w:p>
        </w:tc>
        <w:tc>
          <w:tcPr>
            <w:tcW w:w="597"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235</w:t>
            </w:r>
          </w:p>
        </w:tc>
        <w:tc>
          <w:tcPr>
            <w:tcW w:w="597"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240</w:t>
            </w:r>
          </w:p>
        </w:tc>
        <w:tc>
          <w:tcPr>
            <w:tcW w:w="599"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154</w:t>
            </w:r>
          </w:p>
        </w:tc>
        <w:tc>
          <w:tcPr>
            <w:tcW w:w="494"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203"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18</w:t>
            </w:r>
          </w:p>
        </w:tc>
        <w:tc>
          <w:tcPr>
            <w:tcW w:w="718"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氯化物</w:t>
            </w:r>
          </w:p>
        </w:tc>
        <w:tc>
          <w:tcPr>
            <w:tcW w:w="597"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mg/L</w:t>
            </w:r>
          </w:p>
        </w:tc>
        <w:tc>
          <w:tcPr>
            <w:tcW w:w="597"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44.8</w:t>
            </w:r>
          </w:p>
        </w:tc>
        <w:tc>
          <w:tcPr>
            <w:tcW w:w="593"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41.5</w:t>
            </w:r>
          </w:p>
        </w:tc>
        <w:tc>
          <w:tcPr>
            <w:tcW w:w="597"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38.7</w:t>
            </w:r>
          </w:p>
        </w:tc>
        <w:tc>
          <w:tcPr>
            <w:tcW w:w="597"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35.9</w:t>
            </w:r>
          </w:p>
        </w:tc>
        <w:tc>
          <w:tcPr>
            <w:tcW w:w="599"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29.0</w:t>
            </w:r>
          </w:p>
        </w:tc>
        <w:tc>
          <w:tcPr>
            <w:tcW w:w="494"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203"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19</w:t>
            </w:r>
          </w:p>
        </w:tc>
        <w:tc>
          <w:tcPr>
            <w:tcW w:w="718"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菌落总数</w:t>
            </w:r>
          </w:p>
        </w:tc>
        <w:tc>
          <w:tcPr>
            <w:tcW w:w="597"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CFU/ml</w:t>
            </w:r>
          </w:p>
        </w:tc>
        <w:tc>
          <w:tcPr>
            <w:tcW w:w="597"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7</w:t>
            </w:r>
          </w:p>
        </w:tc>
        <w:tc>
          <w:tcPr>
            <w:tcW w:w="593"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4</w:t>
            </w:r>
          </w:p>
        </w:tc>
        <w:tc>
          <w:tcPr>
            <w:tcW w:w="597"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9</w:t>
            </w:r>
          </w:p>
        </w:tc>
        <w:tc>
          <w:tcPr>
            <w:tcW w:w="597"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2</w:t>
            </w:r>
          </w:p>
        </w:tc>
        <w:tc>
          <w:tcPr>
            <w:tcW w:w="599"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8</w:t>
            </w:r>
          </w:p>
        </w:tc>
        <w:tc>
          <w:tcPr>
            <w:tcW w:w="494" w:type="pct"/>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203"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w:t>
            </w:r>
          </w:p>
        </w:tc>
        <w:tc>
          <w:tcPr>
            <w:tcW w:w="718"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钾</w:t>
            </w:r>
          </w:p>
        </w:tc>
        <w:tc>
          <w:tcPr>
            <w:tcW w:w="597"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mg/L</w:t>
            </w:r>
          </w:p>
        </w:tc>
        <w:tc>
          <w:tcPr>
            <w:tcW w:w="597"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7.61</w:t>
            </w:r>
          </w:p>
        </w:tc>
        <w:tc>
          <w:tcPr>
            <w:tcW w:w="593"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11.0</w:t>
            </w:r>
          </w:p>
        </w:tc>
        <w:tc>
          <w:tcPr>
            <w:tcW w:w="597"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10.8</w:t>
            </w:r>
          </w:p>
        </w:tc>
        <w:tc>
          <w:tcPr>
            <w:tcW w:w="597"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9.88</w:t>
            </w:r>
          </w:p>
        </w:tc>
        <w:tc>
          <w:tcPr>
            <w:tcW w:w="599"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6.55</w:t>
            </w:r>
          </w:p>
        </w:tc>
        <w:tc>
          <w:tcPr>
            <w:tcW w:w="494"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203"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21</w:t>
            </w:r>
          </w:p>
        </w:tc>
        <w:tc>
          <w:tcPr>
            <w:tcW w:w="718"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钠</w:t>
            </w:r>
          </w:p>
        </w:tc>
        <w:tc>
          <w:tcPr>
            <w:tcW w:w="597"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mg/L</w:t>
            </w:r>
          </w:p>
        </w:tc>
        <w:tc>
          <w:tcPr>
            <w:tcW w:w="597"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25.4</w:t>
            </w:r>
          </w:p>
        </w:tc>
        <w:tc>
          <w:tcPr>
            <w:tcW w:w="593"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31.2</w:t>
            </w:r>
          </w:p>
        </w:tc>
        <w:tc>
          <w:tcPr>
            <w:tcW w:w="597"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31.0</w:t>
            </w:r>
          </w:p>
        </w:tc>
        <w:tc>
          <w:tcPr>
            <w:tcW w:w="597"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32.2</w:t>
            </w:r>
          </w:p>
        </w:tc>
        <w:tc>
          <w:tcPr>
            <w:tcW w:w="599"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21.5</w:t>
            </w:r>
          </w:p>
        </w:tc>
        <w:tc>
          <w:tcPr>
            <w:tcW w:w="494"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203"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22</w:t>
            </w:r>
          </w:p>
        </w:tc>
        <w:tc>
          <w:tcPr>
            <w:tcW w:w="718"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钙</w:t>
            </w:r>
          </w:p>
        </w:tc>
        <w:tc>
          <w:tcPr>
            <w:tcW w:w="597"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mg/L</w:t>
            </w:r>
          </w:p>
        </w:tc>
        <w:tc>
          <w:tcPr>
            <w:tcW w:w="597"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108</w:t>
            </w:r>
          </w:p>
        </w:tc>
        <w:tc>
          <w:tcPr>
            <w:tcW w:w="593"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137</w:t>
            </w:r>
          </w:p>
        </w:tc>
        <w:tc>
          <w:tcPr>
            <w:tcW w:w="597"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136</w:t>
            </w:r>
          </w:p>
        </w:tc>
        <w:tc>
          <w:tcPr>
            <w:tcW w:w="597"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131</w:t>
            </w:r>
          </w:p>
        </w:tc>
        <w:tc>
          <w:tcPr>
            <w:tcW w:w="599"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101</w:t>
            </w:r>
          </w:p>
        </w:tc>
        <w:tc>
          <w:tcPr>
            <w:tcW w:w="494"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203"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23</w:t>
            </w:r>
          </w:p>
        </w:tc>
        <w:tc>
          <w:tcPr>
            <w:tcW w:w="718"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镁</w:t>
            </w:r>
          </w:p>
        </w:tc>
        <w:tc>
          <w:tcPr>
            <w:tcW w:w="597"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mg/L</w:t>
            </w:r>
          </w:p>
        </w:tc>
        <w:tc>
          <w:tcPr>
            <w:tcW w:w="597"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14.3</w:t>
            </w:r>
          </w:p>
        </w:tc>
        <w:tc>
          <w:tcPr>
            <w:tcW w:w="593"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16.9</w:t>
            </w:r>
          </w:p>
        </w:tc>
        <w:tc>
          <w:tcPr>
            <w:tcW w:w="597"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16.7</w:t>
            </w:r>
          </w:p>
        </w:tc>
        <w:tc>
          <w:tcPr>
            <w:tcW w:w="597"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15.9</w:t>
            </w:r>
          </w:p>
        </w:tc>
        <w:tc>
          <w:tcPr>
            <w:tcW w:w="599"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12.9</w:t>
            </w:r>
          </w:p>
        </w:tc>
        <w:tc>
          <w:tcPr>
            <w:tcW w:w="494"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203"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24</w:t>
            </w:r>
          </w:p>
        </w:tc>
        <w:tc>
          <w:tcPr>
            <w:tcW w:w="718"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CO</w:t>
            </w:r>
            <w:r>
              <w:rPr>
                <w:rFonts w:hint="default" w:ascii="Times New Roman" w:hAnsi="Times New Roman" w:eastAsia="宋体" w:cs="Times New Roman"/>
                <w:color w:val="auto"/>
                <w:sz w:val="21"/>
                <w:szCs w:val="21"/>
                <w:highlight w:val="none"/>
                <w:vertAlign w:val="subscript"/>
              </w:rPr>
              <w:t>3</w:t>
            </w:r>
            <w:r>
              <w:rPr>
                <w:rFonts w:hint="default" w:ascii="Times New Roman" w:hAnsi="Times New Roman" w:eastAsia="宋体" w:cs="Times New Roman"/>
                <w:color w:val="auto"/>
                <w:sz w:val="21"/>
                <w:szCs w:val="21"/>
                <w:highlight w:val="none"/>
                <w:vertAlign w:val="superscript"/>
              </w:rPr>
              <w:t>2-</w:t>
            </w:r>
          </w:p>
        </w:tc>
        <w:tc>
          <w:tcPr>
            <w:tcW w:w="597"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mg/L</w:t>
            </w:r>
          </w:p>
        </w:tc>
        <w:tc>
          <w:tcPr>
            <w:tcW w:w="597"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0</w:t>
            </w:r>
          </w:p>
        </w:tc>
        <w:tc>
          <w:tcPr>
            <w:tcW w:w="593"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0</w:t>
            </w:r>
          </w:p>
        </w:tc>
        <w:tc>
          <w:tcPr>
            <w:tcW w:w="597"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0</w:t>
            </w:r>
          </w:p>
        </w:tc>
        <w:tc>
          <w:tcPr>
            <w:tcW w:w="597"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0</w:t>
            </w:r>
          </w:p>
        </w:tc>
        <w:tc>
          <w:tcPr>
            <w:tcW w:w="599"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0</w:t>
            </w:r>
          </w:p>
        </w:tc>
        <w:tc>
          <w:tcPr>
            <w:tcW w:w="494"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203"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25</w:t>
            </w:r>
          </w:p>
        </w:tc>
        <w:tc>
          <w:tcPr>
            <w:tcW w:w="718"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HCO</w:t>
            </w:r>
            <w:r>
              <w:rPr>
                <w:rFonts w:hint="default" w:ascii="Times New Roman" w:hAnsi="Times New Roman" w:eastAsia="宋体" w:cs="Times New Roman"/>
                <w:color w:val="auto"/>
                <w:sz w:val="21"/>
                <w:szCs w:val="21"/>
                <w:highlight w:val="none"/>
                <w:vertAlign w:val="subscript"/>
              </w:rPr>
              <w:t>3</w:t>
            </w:r>
            <w:r>
              <w:rPr>
                <w:rFonts w:hint="default" w:ascii="Times New Roman" w:hAnsi="Times New Roman" w:eastAsia="宋体" w:cs="Times New Roman"/>
                <w:color w:val="auto"/>
                <w:sz w:val="21"/>
                <w:szCs w:val="21"/>
                <w:highlight w:val="none"/>
                <w:vertAlign w:val="superscript"/>
              </w:rPr>
              <w:t>-</w:t>
            </w:r>
          </w:p>
        </w:tc>
        <w:tc>
          <w:tcPr>
            <w:tcW w:w="597"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mg/L</w:t>
            </w:r>
          </w:p>
        </w:tc>
        <w:tc>
          <w:tcPr>
            <w:tcW w:w="597"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215</w:t>
            </w:r>
          </w:p>
        </w:tc>
        <w:tc>
          <w:tcPr>
            <w:tcW w:w="593"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257</w:t>
            </w:r>
          </w:p>
        </w:tc>
        <w:tc>
          <w:tcPr>
            <w:tcW w:w="597"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250</w:t>
            </w:r>
          </w:p>
        </w:tc>
        <w:tc>
          <w:tcPr>
            <w:tcW w:w="597"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243</w:t>
            </w:r>
          </w:p>
        </w:tc>
        <w:tc>
          <w:tcPr>
            <w:tcW w:w="599"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239</w:t>
            </w:r>
          </w:p>
        </w:tc>
        <w:tc>
          <w:tcPr>
            <w:tcW w:w="494"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w:t>
            </w:r>
          </w:p>
        </w:tc>
      </w:tr>
    </w:tbl>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eastAsia="zh-CN"/>
        </w:rPr>
        <w:t>内蒙古蓝箭环保有限责任公司于</w:t>
      </w:r>
      <w:r>
        <w:rPr>
          <w:rFonts w:hint="default" w:ascii="Times New Roman" w:hAnsi="Times New Roman" w:eastAsia="宋体" w:cs="Times New Roman"/>
          <w:color w:val="auto"/>
          <w:sz w:val="24"/>
          <w:highlight w:val="none"/>
        </w:rPr>
        <w:t>2023</w:t>
      </w:r>
      <w:r>
        <w:rPr>
          <w:rFonts w:hint="default" w:ascii="Times New Roman" w:hAnsi="Times New Roman" w:eastAsia="宋体" w:cs="Times New Roman"/>
          <w:color w:val="auto"/>
          <w:sz w:val="24"/>
          <w:highlight w:val="none"/>
          <w:lang w:eastAsia="zh-CN"/>
        </w:rPr>
        <w:t>年</w:t>
      </w:r>
      <w:r>
        <w:rPr>
          <w:rFonts w:hint="default" w:ascii="Times New Roman" w:hAnsi="Times New Roman" w:eastAsia="宋体" w:cs="Times New Roman"/>
          <w:color w:val="auto"/>
          <w:sz w:val="24"/>
          <w:highlight w:val="none"/>
          <w:lang w:val="en-US" w:eastAsia="zh-CN"/>
        </w:rPr>
        <w:t>8月21</w:t>
      </w:r>
      <w:r>
        <w:rPr>
          <w:rFonts w:hint="default" w:ascii="Times New Roman" w:hAnsi="Times New Roman" w:eastAsia="宋体" w:cs="Times New Roman"/>
          <w:color w:val="auto"/>
          <w:sz w:val="24"/>
          <w:highlight w:val="none"/>
          <w:lang w:eastAsia="zh-CN"/>
        </w:rPr>
        <w:t>日</w:t>
      </w:r>
      <w:r>
        <w:rPr>
          <w:rFonts w:hint="default" w:ascii="Times New Roman" w:hAnsi="Times New Roman" w:eastAsia="宋体" w:cs="Times New Roman"/>
          <w:color w:val="auto"/>
          <w:sz w:val="24"/>
          <w:highlight w:val="none"/>
        </w:rPr>
        <w:t>对项目区周边水井进行</w:t>
      </w:r>
      <w:r>
        <w:rPr>
          <w:rFonts w:hint="default" w:ascii="Times New Roman" w:hAnsi="Times New Roman" w:eastAsia="宋体" w:cs="Times New Roman"/>
          <w:color w:val="auto"/>
          <w:sz w:val="24"/>
          <w:highlight w:val="none"/>
          <w:lang w:eastAsia="zh-CN"/>
        </w:rPr>
        <w:t>的补测</w:t>
      </w:r>
      <w:r>
        <w:rPr>
          <w:rFonts w:hint="default" w:ascii="Times New Roman" w:hAnsi="Times New Roman" w:eastAsia="宋体" w:cs="Times New Roman"/>
          <w:color w:val="auto"/>
          <w:sz w:val="24"/>
          <w:highlight w:val="none"/>
        </w:rPr>
        <w:t>结果见5</w:t>
      </w:r>
      <w:r>
        <w:rPr>
          <w:rFonts w:hint="default" w:ascii="Times New Roman" w:hAnsi="Times New Roman" w:eastAsia="宋体" w:cs="Times New Roman"/>
          <w:color w:val="auto"/>
          <w:sz w:val="24"/>
          <w:highlight w:val="none"/>
          <w:lang w:val="en-US" w:eastAsia="zh-CN"/>
        </w:rPr>
        <w:t>-10</w:t>
      </w:r>
      <w:r>
        <w:rPr>
          <w:rFonts w:hint="default" w:ascii="Times New Roman" w:hAnsi="Times New Roman" w:eastAsia="宋体" w:cs="Times New Roman"/>
          <w:color w:val="auto"/>
          <w:sz w:val="24"/>
          <w:highlight w:val="none"/>
        </w:rPr>
        <w:t>。</w:t>
      </w:r>
    </w:p>
    <w:p>
      <w:pPr>
        <w:pageBreakBefore w:val="0"/>
        <w:tabs>
          <w:tab w:val="left" w:pos="3062"/>
        </w:tabs>
        <w:wordWrap/>
        <w:bidi w:val="0"/>
        <w:spacing w:line="360" w:lineRule="auto"/>
        <w:ind w:left="0" w:leftChars="0" w:right="0" w:rightChars="0"/>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表5-</w:t>
      </w:r>
      <w:r>
        <w:rPr>
          <w:rFonts w:hint="default" w:ascii="Times New Roman" w:hAnsi="Times New Roman" w:eastAsia="宋体" w:cs="Times New Roman"/>
          <w:b/>
          <w:bCs/>
          <w:color w:val="auto"/>
          <w:sz w:val="24"/>
          <w:highlight w:val="none"/>
          <w:lang w:val="en-US" w:eastAsia="zh-CN"/>
        </w:rPr>
        <w:t>10</w:t>
      </w:r>
      <w:r>
        <w:rPr>
          <w:rFonts w:hint="default" w:ascii="Times New Roman" w:hAnsi="Times New Roman" w:eastAsia="宋体" w:cs="Times New Roman"/>
          <w:b/>
          <w:bCs/>
          <w:color w:val="auto"/>
          <w:sz w:val="24"/>
          <w:highlight w:val="none"/>
        </w:rPr>
        <w:t>地下水水质分析统计表</w:t>
      </w:r>
    </w:p>
    <w:tbl>
      <w:tblPr>
        <w:tblStyle w:val="54"/>
        <w:tblW w:w="501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340"/>
        <w:gridCol w:w="1199"/>
        <w:gridCol w:w="998"/>
        <w:gridCol w:w="995"/>
        <w:gridCol w:w="991"/>
        <w:gridCol w:w="997"/>
        <w:gridCol w:w="997"/>
        <w:gridCol w:w="1008"/>
        <w:gridCol w:w="82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203" w:type="pct"/>
            <w:vMerge w:val="restart"/>
            <w:tcBorders>
              <w:top w:val="single" w:color="auto" w:sz="4" w:space="0"/>
              <w:lef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序号</w:t>
            </w:r>
          </w:p>
        </w:tc>
        <w:tc>
          <w:tcPr>
            <w:tcW w:w="718" w:type="pct"/>
            <w:vMerge w:val="restart"/>
            <w:tcBorders>
              <w:top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监测</w:t>
            </w:r>
          </w:p>
          <w:p>
            <w:pPr>
              <w:pageBreakBefore w:val="0"/>
              <w:wordWrap/>
              <w:bidi w:val="0"/>
              <w:ind w:left="0" w:leftChars="0" w:right="0" w:rightChars="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项目</w:t>
            </w:r>
          </w:p>
        </w:tc>
        <w:tc>
          <w:tcPr>
            <w:tcW w:w="597" w:type="pct"/>
            <w:vMerge w:val="restart"/>
            <w:tcBorders>
              <w:top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单位</w:t>
            </w:r>
          </w:p>
        </w:tc>
        <w:tc>
          <w:tcPr>
            <w:tcW w:w="2985" w:type="pct"/>
            <w:gridSpan w:val="5"/>
            <w:tcBorders>
              <w:top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2023年</w:t>
            </w:r>
            <w:r>
              <w:rPr>
                <w:rFonts w:hint="default" w:ascii="Times New Roman" w:hAnsi="Times New Roman" w:eastAsia="宋体" w:cs="Times New Roman"/>
                <w:b/>
                <w:color w:val="auto"/>
                <w:sz w:val="21"/>
                <w:szCs w:val="21"/>
                <w:highlight w:val="none"/>
                <w:lang w:val="en-US" w:eastAsia="zh-CN"/>
              </w:rPr>
              <w:t>8</w:t>
            </w:r>
            <w:r>
              <w:rPr>
                <w:rFonts w:hint="default" w:ascii="Times New Roman" w:hAnsi="Times New Roman" w:eastAsia="宋体" w:cs="Times New Roman"/>
                <w:b/>
                <w:color w:val="auto"/>
                <w:sz w:val="21"/>
                <w:szCs w:val="21"/>
                <w:highlight w:val="none"/>
              </w:rPr>
              <w:t>月</w:t>
            </w:r>
            <w:r>
              <w:rPr>
                <w:rFonts w:hint="default" w:ascii="Times New Roman" w:hAnsi="Times New Roman" w:eastAsia="宋体" w:cs="Times New Roman"/>
                <w:b/>
                <w:color w:val="auto"/>
                <w:sz w:val="21"/>
                <w:szCs w:val="21"/>
                <w:highlight w:val="none"/>
                <w:lang w:val="en-US" w:eastAsia="zh-CN"/>
              </w:rPr>
              <w:t>21</w:t>
            </w:r>
            <w:r>
              <w:rPr>
                <w:rFonts w:hint="default" w:ascii="Times New Roman" w:hAnsi="Times New Roman" w:eastAsia="宋体" w:cs="Times New Roman"/>
                <w:b/>
                <w:color w:val="auto"/>
                <w:sz w:val="21"/>
                <w:szCs w:val="21"/>
                <w:highlight w:val="none"/>
              </w:rPr>
              <w:t>日</w:t>
            </w:r>
          </w:p>
        </w:tc>
        <w:tc>
          <w:tcPr>
            <w:tcW w:w="494" w:type="pct"/>
            <w:vMerge w:val="restart"/>
            <w:tcBorders>
              <w:top w:val="single" w:color="auto" w:sz="4" w:space="0"/>
              <w:righ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203" w:type="pct"/>
            <w:vMerge w:val="continue"/>
            <w:tcBorders>
              <w:lef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b/>
                <w:color w:val="auto"/>
                <w:sz w:val="21"/>
                <w:szCs w:val="21"/>
                <w:highlight w:val="none"/>
              </w:rPr>
            </w:pPr>
          </w:p>
        </w:tc>
        <w:tc>
          <w:tcPr>
            <w:tcW w:w="718" w:type="pct"/>
            <w:vMerge w:val="continue"/>
            <w:vAlign w:val="center"/>
          </w:tcPr>
          <w:p>
            <w:pPr>
              <w:pageBreakBefore w:val="0"/>
              <w:wordWrap/>
              <w:bidi w:val="0"/>
              <w:ind w:left="0" w:leftChars="0" w:right="0" w:rightChars="0"/>
              <w:jc w:val="center"/>
              <w:rPr>
                <w:rFonts w:hint="default" w:ascii="Times New Roman" w:hAnsi="Times New Roman" w:eastAsia="宋体" w:cs="Times New Roman"/>
                <w:b/>
                <w:color w:val="auto"/>
                <w:sz w:val="21"/>
                <w:szCs w:val="21"/>
                <w:highlight w:val="none"/>
              </w:rPr>
            </w:pPr>
          </w:p>
        </w:tc>
        <w:tc>
          <w:tcPr>
            <w:tcW w:w="597" w:type="pct"/>
            <w:vMerge w:val="continue"/>
            <w:vAlign w:val="center"/>
          </w:tcPr>
          <w:p>
            <w:pPr>
              <w:pageBreakBefore w:val="0"/>
              <w:wordWrap/>
              <w:bidi w:val="0"/>
              <w:ind w:left="0" w:leftChars="0" w:right="0" w:rightChars="0"/>
              <w:jc w:val="center"/>
              <w:rPr>
                <w:rFonts w:hint="default" w:ascii="Times New Roman" w:hAnsi="Times New Roman" w:eastAsia="宋体" w:cs="Times New Roman"/>
                <w:b/>
                <w:color w:val="auto"/>
                <w:sz w:val="21"/>
                <w:szCs w:val="21"/>
                <w:highlight w:val="none"/>
              </w:rPr>
            </w:pPr>
          </w:p>
        </w:tc>
        <w:tc>
          <w:tcPr>
            <w:tcW w:w="995" w:type="dxa"/>
            <w:vAlign w:val="center"/>
          </w:tcPr>
          <w:p>
            <w:pPr>
              <w:pageBreakBefore w:val="0"/>
              <w:widowControl/>
              <w:wordWrap/>
              <w:bidi w:val="0"/>
              <w:ind w:left="0" w:leftChars="0" w:right="0" w:right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20230825XS01</w:t>
            </w:r>
          </w:p>
        </w:tc>
        <w:tc>
          <w:tcPr>
            <w:tcW w:w="991" w:type="dxa"/>
            <w:vAlign w:val="center"/>
          </w:tcPr>
          <w:p>
            <w:pPr>
              <w:pageBreakBefore w:val="0"/>
              <w:widowControl/>
              <w:wordWrap/>
              <w:bidi w:val="0"/>
              <w:ind w:left="0" w:leftChars="0" w:right="0" w:right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20230825XS02</w:t>
            </w:r>
          </w:p>
        </w:tc>
        <w:tc>
          <w:tcPr>
            <w:tcW w:w="997" w:type="dxa"/>
            <w:vAlign w:val="center"/>
          </w:tcPr>
          <w:p>
            <w:pPr>
              <w:pageBreakBefore w:val="0"/>
              <w:widowControl/>
              <w:wordWrap/>
              <w:bidi w:val="0"/>
              <w:ind w:left="0" w:leftChars="0" w:right="0" w:right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20230825XS03</w:t>
            </w:r>
          </w:p>
        </w:tc>
        <w:tc>
          <w:tcPr>
            <w:tcW w:w="997" w:type="dxa"/>
            <w:vAlign w:val="center"/>
          </w:tcPr>
          <w:p>
            <w:pPr>
              <w:pageBreakBefore w:val="0"/>
              <w:widowControl/>
              <w:wordWrap/>
              <w:bidi w:val="0"/>
              <w:ind w:left="0" w:leftChars="0" w:right="0" w:right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20230825XS04</w:t>
            </w:r>
          </w:p>
        </w:tc>
        <w:tc>
          <w:tcPr>
            <w:tcW w:w="1008" w:type="dxa"/>
            <w:vAlign w:val="center"/>
          </w:tcPr>
          <w:p>
            <w:pPr>
              <w:pageBreakBefore w:val="0"/>
              <w:widowControl/>
              <w:wordWrap/>
              <w:bidi w:val="0"/>
              <w:ind w:left="0" w:leftChars="0" w:right="0" w:right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20230825XS05</w:t>
            </w:r>
          </w:p>
        </w:tc>
        <w:tc>
          <w:tcPr>
            <w:tcW w:w="494" w:type="pct"/>
            <w:vMerge w:val="continue"/>
            <w:tcBorders>
              <w:righ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b/>
                <w:color w:val="auto"/>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203" w:type="pct"/>
            <w:tcBorders>
              <w:left w:val="single" w:color="auto" w:sz="4" w:space="0"/>
              <w:bottom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718" w:type="pct"/>
            <w:tcBorders>
              <w:bottom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钼</w:t>
            </w:r>
          </w:p>
        </w:tc>
        <w:tc>
          <w:tcPr>
            <w:tcW w:w="597" w:type="pct"/>
            <w:tcBorders>
              <w:bottom w:val="single" w:color="auto" w:sz="4" w:space="0"/>
            </w:tcBorders>
            <w:vAlign w:val="center"/>
          </w:tcPr>
          <w:p>
            <w:pPr>
              <w:pageBreakBefore w:val="0"/>
              <w:widowControl/>
              <w:wordWrap/>
              <w:bidi w:val="0"/>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mg/L</w:t>
            </w:r>
          </w:p>
        </w:tc>
        <w:tc>
          <w:tcPr>
            <w:tcW w:w="597" w:type="pct"/>
            <w:tcBorders>
              <w:bottom w:val="single" w:color="auto" w:sz="4" w:space="0"/>
            </w:tcBorders>
            <w:vAlign w:val="center"/>
          </w:tcPr>
          <w:p>
            <w:pPr>
              <w:pageBreakBefore w:val="0"/>
              <w:widowControl/>
              <w:wordWrap/>
              <w:bidi w:val="0"/>
              <w:ind w:left="0" w:leftChars="0" w:right="0" w:right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0.05L</w:t>
            </w:r>
          </w:p>
        </w:tc>
        <w:tc>
          <w:tcPr>
            <w:tcW w:w="593" w:type="pct"/>
            <w:tcBorders>
              <w:bottom w:val="single" w:color="auto" w:sz="4" w:space="0"/>
            </w:tcBorders>
            <w:vAlign w:val="center"/>
          </w:tcPr>
          <w:p>
            <w:pPr>
              <w:pageBreakBefore w:val="0"/>
              <w:widowControl/>
              <w:wordWrap/>
              <w:bidi w:val="0"/>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0.05L</w:t>
            </w:r>
          </w:p>
        </w:tc>
        <w:tc>
          <w:tcPr>
            <w:tcW w:w="597" w:type="pct"/>
            <w:tcBorders>
              <w:bottom w:val="single" w:color="auto" w:sz="4" w:space="0"/>
            </w:tcBorders>
            <w:vAlign w:val="center"/>
          </w:tcPr>
          <w:p>
            <w:pPr>
              <w:pageBreakBefore w:val="0"/>
              <w:widowControl/>
              <w:wordWrap/>
              <w:bidi w:val="0"/>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0.05L</w:t>
            </w:r>
          </w:p>
        </w:tc>
        <w:tc>
          <w:tcPr>
            <w:tcW w:w="597" w:type="pct"/>
            <w:tcBorders>
              <w:bottom w:val="single" w:color="auto" w:sz="4" w:space="0"/>
            </w:tcBorders>
            <w:vAlign w:val="center"/>
          </w:tcPr>
          <w:p>
            <w:pPr>
              <w:pageBreakBefore w:val="0"/>
              <w:widowControl/>
              <w:wordWrap/>
              <w:bidi w:val="0"/>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0.05L</w:t>
            </w:r>
          </w:p>
        </w:tc>
        <w:tc>
          <w:tcPr>
            <w:tcW w:w="599" w:type="pct"/>
            <w:tcBorders>
              <w:bottom w:val="single" w:color="auto" w:sz="4" w:space="0"/>
            </w:tcBorders>
            <w:vAlign w:val="center"/>
          </w:tcPr>
          <w:p>
            <w:pPr>
              <w:pageBreakBefore w:val="0"/>
              <w:widowControl/>
              <w:wordWrap/>
              <w:bidi w:val="0"/>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0.05L</w:t>
            </w:r>
          </w:p>
        </w:tc>
        <w:tc>
          <w:tcPr>
            <w:tcW w:w="494" w:type="pct"/>
            <w:tcBorders>
              <w:bottom w:val="single" w:color="auto" w:sz="4" w:space="0"/>
              <w:righ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0.07</w:t>
            </w:r>
          </w:p>
        </w:tc>
      </w:tr>
    </w:tbl>
    <w:p>
      <w:pPr>
        <w:pageBreakBefore w:val="0"/>
        <w:wordWrap/>
        <w:bidi w:val="0"/>
        <w:spacing w:line="360" w:lineRule="auto"/>
        <w:ind w:left="0" w:leftChars="0" w:right="0" w:rightChars="0"/>
        <w:rPr>
          <w:rFonts w:hint="default" w:ascii="Times New Roman" w:hAnsi="Times New Roman" w:eastAsia="宋体" w:cs="Times New Roman"/>
          <w:b/>
          <w:bCs/>
          <w:color w:val="auto"/>
          <w:sz w:val="24"/>
          <w:szCs w:val="32"/>
          <w:highlight w:val="none"/>
          <w:lang w:val="en-US" w:eastAsia="zh-CN"/>
        </w:rPr>
      </w:pPr>
      <w:r>
        <w:rPr>
          <w:rFonts w:hint="default" w:ascii="Times New Roman" w:hAnsi="Times New Roman" w:eastAsia="宋体" w:cs="Times New Roman"/>
          <w:b/>
          <w:bCs/>
          <w:color w:val="auto"/>
          <w:sz w:val="24"/>
          <w:szCs w:val="32"/>
          <w:highlight w:val="none"/>
          <w:lang w:val="en-US" w:eastAsia="zh-CN"/>
        </w:rPr>
        <w:t>5.3.1.6评价标准</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本次采用《地下水质量标准》（GB/T14848-</w:t>
      </w:r>
      <w:r>
        <w:rPr>
          <w:rFonts w:hint="default" w:ascii="Times New Roman" w:hAnsi="Times New Roman" w:eastAsia="宋体" w:cs="Times New Roman"/>
          <w:color w:val="auto"/>
          <w:sz w:val="24"/>
          <w:highlight w:val="none"/>
          <w:lang w:val="en-US" w:eastAsia="zh-CN"/>
        </w:rPr>
        <w:t>2017</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的</w:t>
      </w:r>
      <w:r>
        <w:rPr>
          <w:rFonts w:hint="default" w:ascii="Times New Roman" w:hAnsi="Times New Roman" w:eastAsia="宋体" w:cs="Times New Roman"/>
          <w:color w:val="auto"/>
          <w:sz w:val="24"/>
          <w:highlight w:val="none"/>
          <w:lang w:eastAsia="zh-CN"/>
        </w:rPr>
        <w:t>Ⅲ</w:t>
      </w:r>
      <w:r>
        <w:rPr>
          <w:rFonts w:hint="default" w:ascii="Times New Roman" w:hAnsi="Times New Roman" w:eastAsia="宋体" w:cs="Times New Roman"/>
          <w:color w:val="auto"/>
          <w:sz w:val="24"/>
          <w:highlight w:val="none"/>
        </w:rPr>
        <w:t>类标准进行地下水现状评价。</w:t>
      </w:r>
    </w:p>
    <w:p>
      <w:pPr>
        <w:pageBreakBefore w:val="0"/>
        <w:wordWrap/>
        <w:bidi w:val="0"/>
        <w:spacing w:line="360" w:lineRule="auto"/>
        <w:ind w:left="0" w:leftChars="0" w:right="0" w:rightChars="0"/>
        <w:rPr>
          <w:rFonts w:hint="default" w:ascii="Times New Roman" w:hAnsi="Times New Roman" w:eastAsia="宋体" w:cs="Times New Roman"/>
          <w:b/>
          <w:bCs/>
          <w:color w:val="auto"/>
          <w:sz w:val="24"/>
          <w:szCs w:val="32"/>
          <w:highlight w:val="none"/>
          <w:lang w:val="en-US" w:eastAsia="zh-CN"/>
        </w:rPr>
      </w:pPr>
      <w:r>
        <w:rPr>
          <w:rFonts w:hint="default" w:ascii="Times New Roman" w:hAnsi="Times New Roman" w:eastAsia="宋体" w:cs="Times New Roman"/>
          <w:b/>
          <w:bCs/>
          <w:color w:val="auto"/>
          <w:sz w:val="24"/>
          <w:szCs w:val="32"/>
          <w:highlight w:val="none"/>
          <w:lang w:val="en-US" w:eastAsia="zh-CN"/>
        </w:rPr>
        <w:t>5.3.1.7评价方法</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采用单因子标准指数法进行评价。当水质参数的标准指数大于1时</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表明该水质参数超过了规定的水质标准</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已经不能满足相应的使用要求。标准指数值越大</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超标越严重。标准指数计算公式分为以下两种情况</w:t>
      </w:r>
      <w:r>
        <w:rPr>
          <w:rFonts w:hint="default" w:ascii="Times New Roman" w:hAnsi="Times New Roman" w:eastAsia="宋体" w:cs="Times New Roman"/>
          <w:color w:val="auto"/>
          <w:sz w:val="24"/>
          <w:highlight w:val="none"/>
          <w:lang w:eastAsia="zh-CN"/>
        </w:rPr>
        <w:t>：</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①对于评价标准为定值的水质因子</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其标准指数计算公式如下</w:t>
      </w:r>
      <w:r>
        <w:rPr>
          <w:rFonts w:hint="default" w:ascii="Times New Roman" w:hAnsi="Times New Roman" w:eastAsia="宋体" w:cs="Times New Roman"/>
          <w:color w:val="auto"/>
          <w:sz w:val="24"/>
          <w:highlight w:val="none"/>
          <w:lang w:eastAsia="zh-CN"/>
        </w:rPr>
        <w:t>：</w:t>
      </w:r>
    </w:p>
    <w:p>
      <w:pPr>
        <w:pageBreakBefore w:val="0"/>
        <w:wordWrap/>
        <w:bidi w:val="0"/>
        <w:spacing w:line="360" w:lineRule="auto"/>
        <w:ind w:left="0" w:leftChars="0" w:right="0" w:rightChars="0" w:firstLine="198"/>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pict>
          <v:shape id="_x0000_i1028" o:spt="75" type="#_x0000_t75" style="height:31pt;width:40pt;" filled="f" o:preferrelative="t" stroked="f" coordsize="21600,21600" equationxml="&lt;?xml version=&quot;1.0&quot; encoding=&quot;UTF-8&quot; standalone=&quot;yes&quot;?&gt;&#10;&lt;?mso-application progid=&quot;Word.Document&quot;?&gt;&#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30&quot;/&gt;&lt;w:characterSpacingControl w:val=&quot;CompressPunctuation&quot;/&gt;&lt;w:documentProtection w:enforcement=&quot;off&quot;/&gt;&lt;w:displayBackgroundShape w:val=&quot;1&quot;/&gt;&lt;w:doNotEmbedSystemFonts/&gt;&lt;w:defaultTabStop w:val=&quot;420&quot;/&gt;&lt;w:drawingGridHorizontalSpacing w:val=&quot;105&quot;/&gt;&lt;w:drawingGridVerticalSpacing w:val=&quot;156&quot;/&gt;&lt;w:displayHorizontalDrawingGridEvery w:val=&quot;1&quot;/&gt;&lt;w:displayVerticalDrawingGridEvery w:val=&quot;1&quot;/&gt;&lt;w:evenAndOddHeaders w:val=&quot;1&quot;/&gt;&lt;w:compat&gt;&lt;w:adjustLineHeightInTable/&gt;&lt;w:ulTrailSpace/&gt;&lt;w:doNotExpandShiftReturn/&gt;&lt;w:balanceSingleByteDoubleByteWidth/&gt;&lt;w:spaceForUL/&gt;&lt;w:breakWrappedTables/&gt;&lt;w:dontGrowAutofit/&gt;&lt;w:useFELayout/&gt;&lt;/w:compat&gt;&lt;/w:docPr&gt;&lt;w:body&gt;&lt;wx:sect&gt;&lt;w:p&gt;&lt;m:oMathPara&gt;&lt;m:oMath&gt;&lt;m:sSub&gt;&lt;m:sSubPr&gt;&lt;m:ctrlPr&gt;&lt;w:rPr&gt;&lt;w:rFonts w:ascii=&quot;Cambria Math&quot; w:h-ansi=&quot;Cambria Math&quot; w:hint=&quot;default&quot;/&gt;&lt;w:i/&gt;&lt;w:color w:val=&quot;000000&quot;/&gt;&lt;w:sz w:val=&quot;24&quot;/&gt;&lt;w:sz-cs w:val=&quot;30&quot;/&gt;&lt;/w:rPr&gt;&lt;/m:ctrlPr&gt;&lt;/m:sSubPr&gt;&lt;m:e&gt;&lt;m:r&gt;&lt;m:rPr&gt;&lt;m:scr m:val=&quot;roman&quot;/&gt;&lt;/m:rPr&gt;&lt;w:rPr&gt;&lt;w:rFonts w:ascii=&quot;Cambria Math&quot; w:h-ansi=&quot;Cambria Math&quot; w:hint=&quot;default&quot;/&gt;&lt;w:color w:val=&quot;000000&quot;/&gt;&lt;w:sz w:val=&quot;24&quot;/&gt;&lt;w:sz-cs w:val=&quot;30&quot;/&gt;&lt;/w:rPr&gt;&lt;m:t&gt;P&lt;/m:t&gt;&lt;/m:r&gt;&lt;m:ctrlPr&gt;&lt;w:rPr&gt;&lt;w:rFonts w:ascii=&quot;Cambria Math&quot; w:h-ansi=&quot;Cambria Math&quot; w:hint=&quot;default&quot;/&gt;&lt;w:i/&gt;&lt;w:color w:val=&quot;000000&quot;/&gt;&lt;w:sz w:val=&quot;24&quot;/&gt;&lt;w:sz-cs w:val=&quot;30&quot;/&gt;&lt;/w:rPr&gt;&lt;/m:ctrlPr&gt;&lt;/m:e&gt;&lt;m:sub&gt;&lt;m:r&gt;&lt;m:rPr&gt;&lt;m:scr m:val=&quot;roman&quot;/&gt;&lt;/m:rPr&gt;&lt;w:rPr&gt;&lt;w:rFonts w:ascii=&quot;Cambria Math&quot; w:h-ansi=&quot;Cambria Math&quot; w:hint=&quot;default&quot;/&gt;&lt;w:color w:val=&quot;000000&quot;/&gt;&lt;w:sz w:val=&quot;24&quot;/&gt;&lt;w:sz-cs w:val=&quot;30&quot;/&gt;&lt;/w:rPr&gt;&lt;m:t&gt;i&lt;/m:t&gt;&lt;/m:r&gt;&lt;m:ctrlPr&gt;&lt;w:rPr&gt;&lt;w:rFonts w:ascii=&quot;Cambria Math&quot; w:h-ansi=&quot;Cambria Math&quot; w:hint=&quot;default&quot;/&gt;&lt;w:i/&gt;&lt;w:color w:val=&quot;000000&quot;/&gt;&lt;w:sz w:val=&quot;24&quot;/&gt;&lt;w:sz-cs w:val=&quot;30&quot;/&gt;&lt;/w:rPr&gt;&lt;/m:ctrlPr&gt;&lt;/m:sub&gt;&lt;/m:sSub&gt;&lt;m:r&gt;&lt;m:rPr&gt;&lt;m:scr m:val=&quot;roman&quot;/&gt;&lt;/m:rPr&gt;&lt;w:rPr&gt;&lt;w:rFonts w:ascii=&quot;Cambria Math&quot; w:hint=&quot;default&quot;/&gt;&lt;w:color w:val=&quot;000000&quot;/&gt;&lt;w:sz w:val=&quot;24&quot;/&gt;&lt;w:sz-cs w:val=&quot;30&quot;/&gt;&lt;/w:rPr&gt;&lt;m:t&gt;=&lt;/m:t&gt;&lt;/m:r&gt;&lt;m:f&gt;&lt;m:fPr&gt;&lt;m:ctrlPr&gt;&lt;w:rPr&gt;&lt;w:rFonts w:ascii=&quot;Cambria Math&quot; w:h-ansi=&quot;Cambria Math&quot; w:hint=&quot;default&quot;/&gt;&lt;w:i/&gt;&lt;w:color w:val=&quot;000000&quot;/&gt;&lt;w:sz w:val=&quot;24&quot;/&gt;&lt;w:sz-cs w:val=&quot;30&quot;/&gt;&lt;/w:rPr&gt;&lt;/m:ctrlPr&gt;&lt;/m:fPr&gt;&lt;m:num&gt;&lt;m:sSub&gt;&lt;m:sSubPr&gt;&lt;m:ctrlPr&gt;&lt;w:rPr&gt;&lt;w:rFonts w:ascii=&quot;Cambria Math&quot; w:h-ansi=&quot;Cambria Math&quot; w:hint=&quot;default&quot;/&gt;&lt;w:i/&gt;&lt;w:color w:val=&quot;000000&quot;/&gt;&lt;w:sz w:val=&quot;24&quot;/&gt;&lt;w:sz-cs w:val=&quot;30&quot;/&gt;&lt;/w:rPr&gt;&lt;/m:ctrlPr&gt;&lt;/m:sSubPr&gt;&lt;m:e&gt;&lt;m:r&gt;&lt;m:rPr&gt;&lt;m:scr m:val=&quot;roman&quot;/&gt;&lt;/m:rPr&gt;&lt;w:rPr&gt;&lt;w:rFonts w:ascii=&quot;Cambria Math&quot; w:h-ansi=&quot;Cambria Math&quot; w:hint=&quot;default&quot;/&gt;&lt;w:color w:val=&quot;000000&quot;/&gt;&lt;w:sz w:val=&quot;24&quot;/&gt;&lt;w:sz-cs w:val=&quot;30&quot;/&gt;&lt;/w:rPr&gt;&lt;m:t&gt;C&lt;/m:t&gt;&lt;/m:r&gt;&lt;m:ctrlPr&gt;&lt;w:rPr&gt;&lt;w:rFonts w:ascii=&quot;Cambria Math&quot; w:h-ansi=&quot;Cambria Math&quot; w:hint=&quot;default&quot;/&gt;&lt;w:i/&gt;&lt;w:color w:val=&quot;000000&quot;/&gt;&lt;w:sz w:val=&quot;24&quot;/&gt;&lt;w:sz-cs w:val=&quot;30&quot;/&gt;&lt;/w:rPr&gt;&lt;/m:ctrlPr&gt;&lt;/m:e&gt;&lt;m:sub&gt;&lt;m:r&gt;&lt;m:rPr&gt;&lt;m:scr m:val=&quot;roman&quot;/&gt;&lt;/m:rPr&gt;&lt;w:rPr&gt;&lt;w:rFonts w:ascii=&quot;Cambria Math&quot; w:h-ansi=&quot;Cambria Math&quot; w:hint=&quot;default&quot;/&gt;&lt;w:color w:val=&quot;000000&quot;/&gt;&lt;w:sz w:val=&quot;24&quot;/&gt;&lt;w:sz-cs w:val=&quot;30&quot;/&gt;&lt;/w:rPr&gt;&lt;m:t&gt;i&lt;/m:t&gt;&lt;/m:r&gt;&lt;m:ctrlPr&gt;&lt;w:rPr&gt;&lt;w:rFonts w:ascii=&quot;Cambria Math&quot; w:h-ansi=&quot;Cambria Math&quot; w:hint=&quot;default&quot;/&gt;&lt;w:i/&gt;&lt;w:color w:val=&quot;000000&quot;/&gt;&lt;w:sz w:val=&quot;24&quot;/&gt;&lt;w:sz-cs w:val=&quot;30&quot;/&gt;&lt;/w:rPr&gt;&lt;/m:ctrlPr&gt;&lt;/m:sub&gt;&lt;/m:sSub&gt;&lt;m:ctrlPr&gt;&lt;w:rPr&gt;&lt;w:rFonts w:ascii=&quot;Cambria Math&quot; w:h-ansi=&quot;Cambria Math&quot; w:hint=&quot;default&quot;/&gt;&lt;w:i/&gt;&lt;w:color w:val=&quot;000000&quot;/&gt;&lt;w:sz w:val=&quot;24&quot;/&gt;&lt;w:sz-cs w:val=&quot;30&quot;/&gt;&lt;/w:rPr&gt;&lt;/m:ctrlPr&gt;&lt;/m:num&gt;&lt;m:den&gt;&lt;m:sSub&gt;&lt;m:sSubPr&gt;&lt;m:ctrlPr&gt;&lt;w:rPr&gt;&lt;w:rFonts w:ascii=&quot;Cambria Math&quot; w:h-ansi=&quot;Cambria Math&quot; w:hint=&quot;default&quot;/&gt;&lt;w:i/&gt;&lt;w:color w:val=&quot;000000&quot;/&gt;&lt;w:sz w:val=&quot;24&quot;/&gt;&lt;w:sz-cs w:val=&quot;30&quot;/&gt;&lt;/w:rPr&gt;&lt;/m:ctrlPr&gt;&lt;/m:sSubPr&gt;&lt;m:e&gt;&lt;m:r&gt;&lt;m:rPr&gt;&lt;m:scr m:val=&quot;roman&quot;/&gt;&lt;/m:rPr&gt;&lt;w:rPr&gt;&lt;w:rFonts w:ascii=&quot;Cambria Math&quot; w:h-ansi=&quot;Cambria Math&quot; w:hint=&quot;default&quot;/&gt;&lt;w:color w:val=&quot;000000&quot;/&gt;&lt;w:sz w:val=&quot;24&quot;/&gt;&lt;w:sz-cs w:val=&quot;30&quot;/&gt;&lt;/w:rPr&gt;&lt;m:t&gt;C&lt;/m:t&gt;&lt;/m:r&gt;&lt;m:ctrlPr&gt;&lt;w:rPr&gt;&lt;w:rFonts w:ascii=&quot;Cambria Math&quot; w:h-ansi=&quot;Cambria Math&quot; w:hint=&quot;default&quot;/&gt;&lt;w:i/&gt;&lt;w:color w:val=&quot;000000&quot;/&gt;&lt;w:sz w:val=&quot;24&quot;/&gt;&lt;w:sz-cs w:val=&quot;30&quot;/&gt;&lt;/w:rPr&gt;&lt;/m:ctrlPr&gt;&lt;/m:e&gt;&lt;m:sub&gt;&lt;m:r&gt;&lt;m:rPr&gt;&lt;m:scr m:val=&quot;roman&quot;/&gt;&lt;/m:rPr&gt;&lt;w:rPr&gt;&lt;w:rFonts w:ascii=&quot;Cambria Math&quot; w:h-ansi=&quot;Cambria Math&quot; w:hint=&quot;default&quot;/&gt;&lt;w:color w:val=&quot;000000&quot;/&gt;&lt;w:sz w:val=&quot;24&quot;/&gt;&lt;w:sz-cs w:val=&quot;30&quot;/&gt;&lt;/w:rPr&gt;&lt;m:t&gt;si&lt;/m:t&gt;&lt;/m:r&gt;&lt;m:ctrlPr&gt;&lt;w:rPr&gt;&lt;w:rFonts w:ascii=&quot;Cambria Math&quot; w:h-ansi=&quot;Cambria Math&quot; w:hint=&quot;default&quot;/&gt;&lt;w:i/&gt;&lt;w:color w:val=&quot;000000&quot;/&gt;&lt;w:sz w:val=&quot;24&quot;/&gt;&lt;w:sz-cs w:val=&quot;30&quot;/&gt;&lt;/w:rPr&gt;&lt;/m:ctrlPr&gt;&lt;/m:sub&gt;&lt;/m:sSub&gt;&lt;m:ctrlPr&gt;&lt;w:rPr&gt;&lt;w:rFonts w:ascii=&quot;Cambria Math&quot; w:h-ansi=&quot;Cambria Math&quot; w:hint=&quot;default&quot;/&gt;&lt;w:i/&gt;&lt;w:color w:val=&quot;000000&quot;/&gt;&lt;w:sz w:val=&quot;24&quot;/&gt;&lt;w:sz-cs w:val=&quot;30&quot;/&gt;&lt;/w:rPr&gt;&lt;/m:ctrlPr&gt;&lt;/m:den&gt;&lt;/m:f&gt;&lt;/m:oMath&gt;&lt;/m:oMathPara&gt;&lt;/w:p&gt;&lt;/wx:sect&gt;&lt;/w:body&gt;&lt;/w:wordDocument">
            <v:path/>
            <v:fill on="f" focussize="0,0"/>
            <v:stroke on="f" joinstyle="miter"/>
            <v:imagedata r:id="rId40" o:title=""/>
            <o:lock v:ext="edit" aspectratio="f"/>
            <w10:wrap type="none"/>
            <w10:anchorlock/>
          </v:shape>
        </w:pic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式中</w:t>
      </w:r>
      <w:r>
        <w:rPr>
          <w:rFonts w:hint="default" w:ascii="Times New Roman" w:hAnsi="Times New Roman" w:eastAsia="宋体" w:cs="Times New Roman"/>
          <w:color w:val="auto"/>
          <w:sz w:val="24"/>
          <w:highlight w:val="none"/>
          <w:lang w:eastAsia="zh-CN"/>
        </w:rPr>
        <w:t>：</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fldChar w:fldCharType="begin"/>
      </w:r>
      <w:r>
        <w:rPr>
          <w:rFonts w:hint="default" w:ascii="Times New Roman" w:hAnsi="Times New Roman" w:eastAsia="宋体" w:cs="Times New Roman"/>
          <w:color w:val="auto"/>
          <w:sz w:val="24"/>
          <w:highlight w:val="none"/>
        </w:rPr>
        <w:instrText xml:space="preserve"> QUOTE </w:instrText>
      </w:r>
      <w:r>
        <w:rPr>
          <w:rFonts w:hint="default" w:ascii="Times New Roman" w:hAnsi="Times New Roman" w:eastAsia="宋体" w:cs="Times New Roman"/>
          <w:color w:val="auto"/>
          <w:sz w:val="24"/>
          <w:highlight w:val="none"/>
        </w:rPr>
        <w:pict>
          <v:shape id="_x0000_i1029" o:spt="75" type="#_x0000_t75" style="height:31pt;width:415.5pt;" filled="f" o:preferrelative="t" stroked="f" coordsize="21600,21600" equationxml="&lt;?xml version=&quot;1.0&quot; encoding=&quot;UTF-8&quot; standalone=&quot;yes&quot;?&gt;&#10;&lt;?mso-application progid=&quot;Word.Document&quot;?&gt;&#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30&quot;/&gt;&lt;w:characterSpacingControl w:val=&quot;CompressPunctuation&quot;/&gt;&lt;w:documentProtection w:enforcement=&quot;off&quot;/&gt;&lt;w:displayBackgroundShape w:val=&quot;1&quot;/&gt;&lt;w:doNotEmbedSystemFonts/&gt;&lt;w:defaultTabStop w:val=&quot;420&quot;/&gt;&lt;w:drawingGridHorizontalSpacing w:val=&quot;105&quot;/&gt;&lt;w:drawingGridVerticalSpacing w:val=&quot;156&quot;/&gt;&lt;w:displayHorizontalDrawingGridEvery w:val=&quot;1&quot;/&gt;&lt;w:displayVerticalDrawingGridEvery w:val=&quot;1&quot;/&gt;&lt;w:evenAndOddHeaders w:val=&quot;1&quot;/&gt;&lt;w:compat&gt;&lt;w:adjustLineHeightInTable/&gt;&lt;w:ulTrailSpace/&gt;&lt;w:doNotExpandShiftReturn/&gt;&lt;w:balanceSingleByteDoubleByteWidth/&gt;&lt;w:spaceForUL/&gt;&lt;w:breakWrappedTables/&gt;&lt;w:dontGrowAutofit/&gt;&lt;w:useFELayout/&gt;&lt;/w:compat&gt;&lt;/w:docPr&gt;&lt;w:body&gt;&lt;wx:sect&gt;&lt;w:p&gt;&lt;m:oMathPara&gt;&lt;m:oMath&gt;&lt;m:sSub&gt;&lt;m:sSubPr&gt;&lt;m:ctrlPr&gt;&lt;w:rPr&gt;&lt;w:rFonts w:ascii=&quot;Cambria Math&quot; w:h-ansi=&quot;Cambria Math&quot; w:hint=&quot;default&quot;/&gt;&lt;w:color w:val=&quot;000000&quot;/&gt;&lt;w:sz w:val=&quot;24&quot;/&gt;&lt;/w:rPr&gt;&lt;/m:ctrlPr&gt;&lt;/m:sSubPr&gt;&lt;m:e&gt;&lt;m:r&gt;&lt;m:rPr&gt;&lt;m:sty m:val=&quot;p&quot;/&gt;&lt;m:scr m:val=&quot;roman&quot;/&gt;&lt;/m:rPr&gt;&lt;w:rPr&gt;&lt;w:rFonts w:ascii=&quot;Cambria Math&quot; w:hint=&quot;default&quot;/&gt;&lt;w:color w:val=&quot;000000&quot;/&gt;&lt;w:sz w:val=&quot;24&quot;/&gt;&lt;/w:rPr&gt;&lt;m:t&gt;P&lt;/m:t&gt;&lt;/m:r&gt;&lt;m:ctrlPr&gt;&lt;w:rPr&gt;&lt;w:rFonts w:ascii=&quot;Cambria Math&quot; w:h-ansi=&quot;Cambria Math&quot; w:hint=&quot;default&quot;/&gt;&lt;w:color w:val=&quot;000000&quot;/&gt;&lt;w:sz w:val=&quot;24&quot;/&gt;&lt;/w:rPr&gt;&lt;/m:ctrlPr&gt;&lt;/m:e&gt;&lt;m:sub&gt;&lt;m:r&gt;&lt;m:rPr&gt;&lt;m:sty m:val=&quot;p&quot;/&gt;&lt;m:scr m:val=&quot;roman&quot;/&gt;&lt;/m:rPr&gt;&lt;w:rPr&gt;&lt;w:rFonts w:ascii=&quot;Cambria Math&quot; w:hint=&quot;default&quot;/&gt;&lt;w:color w:val=&quot;000000&quot;/&gt;&lt;w:sz w:val=&quot;24&quot;/&gt;&lt;/w:rPr&gt;&lt;m:t&gt;i&lt;/m:t&gt;&lt;/m:r&gt;&lt;m:ctrlPr&gt;&lt;w:rPr&gt;&lt;w:rFonts w:ascii=&quot;Cambria Math&quot; w:h-ansi=&quot;Cambria Math&quot; w:hint=&quot;default&quot;/&gt;&lt;w:color w:val=&quot;000000&quot;/&gt;&lt;w:sz w:val=&quot;24&quot;/&gt;&lt;/w:rPr&gt;&lt;/m:ctrlPr&gt;&lt;/m:sub&gt;&lt;/m:sSub&gt;&lt;/m:oMath&gt;&lt;/m:oMathPara&gt;&lt;/w:p&gt;&lt;/wx:sect&gt;&lt;/w:body&gt;&lt;/w:wordDocument">
            <v:path/>
            <v:fill on="f" focussize="0,0"/>
            <v:stroke on="f" joinstyle="miter"/>
            <v:imagedata r:id="rId41" o:title=""/>
            <o:lock v:ext="edit" aspectratio="f"/>
            <w10:wrap type="none"/>
            <w10:anchorlock/>
          </v:shape>
        </w:pict>
      </w:r>
      <w:r>
        <w:rPr>
          <w:rFonts w:hint="default" w:ascii="Times New Roman" w:hAnsi="Times New Roman" w:eastAsia="宋体" w:cs="Times New Roman"/>
          <w:color w:val="auto"/>
          <w:sz w:val="24"/>
          <w:highlight w:val="none"/>
        </w:rPr>
        <w:instrText xml:space="preserve">  \* MERGEFORMAT </w:instrText>
      </w:r>
      <w:r>
        <w:rPr>
          <w:rFonts w:hint="default" w:ascii="Times New Roman" w:hAnsi="Times New Roman" w:eastAsia="宋体" w:cs="Times New Roman"/>
          <w:color w:val="auto"/>
          <w:sz w:val="24"/>
          <w:highlight w:val="none"/>
        </w:rPr>
        <w:fldChar w:fldCharType="separate"/>
      </w:r>
      <w:r>
        <w:rPr>
          <w:rFonts w:hint="default" w:ascii="Times New Roman" w:hAnsi="Times New Roman" w:eastAsia="宋体" w:cs="Times New Roman"/>
          <w:b/>
          <w:bCs/>
          <w:color w:val="auto"/>
          <w:sz w:val="24"/>
          <w:highlight w:val="none"/>
        </w:rPr>
        <w:t>p</w:t>
      </w:r>
      <w:r>
        <w:rPr>
          <w:rFonts w:hint="default" w:ascii="Times New Roman" w:hAnsi="Times New Roman" w:eastAsia="宋体" w:cs="Times New Roman"/>
          <w:color w:val="auto"/>
          <w:sz w:val="24"/>
          <w:highlight w:val="none"/>
          <w:vertAlign w:val="subscript"/>
        </w:rPr>
        <w:t>i</w:t>
      </w:r>
      <w:r>
        <w:rPr>
          <w:rFonts w:hint="default" w:ascii="Times New Roman" w:hAnsi="Times New Roman" w:eastAsia="宋体" w:cs="Times New Roman"/>
          <w:color w:val="auto"/>
          <w:sz w:val="24"/>
          <w:highlight w:val="none"/>
        </w:rPr>
        <w:fldChar w:fldCharType="end"/>
      </w:r>
      <w:r>
        <w:rPr>
          <w:rFonts w:hint="default" w:ascii="Times New Roman" w:hAnsi="Times New Roman" w:eastAsia="宋体" w:cs="Times New Roman"/>
          <w:color w:val="auto"/>
          <w:sz w:val="24"/>
          <w:highlight w:val="none"/>
        </w:rPr>
        <w:t>—第i个水质因子的标准指数</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量纲为1；</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fldChar w:fldCharType="begin"/>
      </w:r>
      <w:r>
        <w:rPr>
          <w:rFonts w:hint="default" w:ascii="Times New Roman" w:hAnsi="Times New Roman" w:eastAsia="宋体" w:cs="Times New Roman"/>
          <w:color w:val="auto"/>
          <w:sz w:val="24"/>
          <w:highlight w:val="none"/>
        </w:rPr>
        <w:instrText xml:space="preserve"> QUOTE </w:instrText>
      </w:r>
      <w:r>
        <w:rPr>
          <w:rFonts w:hint="default" w:ascii="Times New Roman" w:hAnsi="Times New Roman" w:eastAsia="宋体" w:cs="Times New Roman"/>
          <w:color w:val="auto"/>
          <w:sz w:val="24"/>
          <w:highlight w:val="none"/>
        </w:rPr>
        <w:pict>
          <v:shape id="_x0000_i1030" o:spt="75" type="#_x0000_t75" style="height:31pt;width:415.5pt;" filled="f" o:preferrelative="t" stroked="f" coordsize="21600,21600" equationxml="&lt;?xml version=&quot;1.0&quot; encoding=&quot;UTF-8&quot; standalone=&quot;yes&quot;?&gt;&#10;&lt;?mso-application progid=&quot;Word.Document&quot;?&gt;&#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30&quot;/&gt;&lt;w:characterSpacingControl w:val=&quot;CompressPunctuation&quot;/&gt;&lt;w:documentProtection w:enforcement=&quot;off&quot;/&gt;&lt;w:displayBackgroundShape w:val=&quot;1&quot;/&gt;&lt;w:doNotEmbedSystemFonts/&gt;&lt;w:defaultTabStop w:val=&quot;420&quot;/&gt;&lt;w:drawingGridHorizontalSpacing w:val=&quot;105&quot;/&gt;&lt;w:drawingGridVerticalSpacing w:val=&quot;156&quot;/&gt;&lt;w:displayHorizontalDrawingGridEvery w:val=&quot;1&quot;/&gt;&lt;w:displayVerticalDrawingGridEvery w:val=&quot;1&quot;/&gt;&lt;w:evenAndOddHeaders w:val=&quot;1&quot;/&gt;&lt;w:compat&gt;&lt;w:adjustLineHeightInTable/&gt;&lt;w:ulTrailSpace/&gt;&lt;w:doNotExpandShiftReturn/&gt;&lt;w:balanceSingleByteDoubleByteWidth/&gt;&lt;w:spaceForUL/&gt;&lt;w:breakWrappedTables/&gt;&lt;w:dontGrowAutofit/&gt;&lt;w:useFELayout/&gt;&lt;/w:compat&gt;&lt;/w:docPr&gt;&lt;w:body&gt;&lt;wx:sect&gt;&lt;w:p&gt;&lt;m:oMathPara&gt;&lt;m:oMath&gt;&lt;m:sSub&gt;&lt;m:sSubPr&gt;&lt;m:ctrlPr&gt;&lt;w:rPr&gt;&lt;w:rFonts w:ascii=&quot;Cambria Math&quot; w:h-ansi=&quot;Cambria Math&quot; w:hint=&quot;default&quot;/&gt;&lt;w:color w:val=&quot;000000&quot;/&gt;&lt;w:sz w:val=&quot;24&quot;/&gt;&lt;/w:rPr&gt;&lt;/m:ctrlPr&gt;&lt;/m:sSubPr&gt;&lt;m:e&gt;&lt;m:r&gt;&lt;m:rPr&gt;&lt;m:sty m:val=&quot;p&quot;/&gt;&lt;m:scr m:val=&quot;roman&quot;/&gt;&lt;/m:rPr&gt;&lt;w:rPr&gt;&lt;w:rFonts w:ascii=&quot;Cambria Math&quot; w:hint=&quot;default&quot;/&gt;&lt;w:color w:val=&quot;000000&quot;/&gt;&lt;w:sz w:val=&quot;24&quot;/&gt;&lt;/w:rPr&gt;&lt;m:t&gt;P&lt;/m:t&gt;&lt;/m:r&gt;&lt;m:ctrlPr&gt;&lt;w:rPr&gt;&lt;w:rFonts w:ascii=&quot;Cambria Math&quot; w:h-ansi=&quot;Cambria Math&quot; w:hint=&quot;default&quot;/&gt;&lt;w:color w:val=&quot;000000&quot;/&gt;&lt;w:sz w:val=&quot;24&quot;/&gt;&lt;/w:rPr&gt;&lt;/m:ctrlPr&gt;&lt;/m:e&gt;&lt;m:sub&gt;&lt;m:r&gt;&lt;m:rPr&gt;&lt;m:sty m:val=&quot;p&quot;/&gt;&lt;m:scr m:val=&quot;roman&quot;/&gt;&lt;/m:rPr&gt;&lt;w:rPr&gt;&lt;w:rFonts w:ascii=&quot;Cambria Math&quot; w:hint=&quot;default&quot;/&gt;&lt;w:color w:val=&quot;000000&quot;/&gt;&lt;w:sz w:val=&quot;24&quot;/&gt;&lt;/w:rPr&gt;&lt;m:t&gt;i&lt;/m:t&gt;&lt;/m:r&gt;&lt;m:ctrlPr&gt;&lt;w:rPr&gt;&lt;w:rFonts w:ascii=&quot;Cambria Math&quot; w:h-ansi=&quot;Cambria Math&quot; w:hint=&quot;default&quot;/&gt;&lt;w:color w:val=&quot;000000&quot;/&gt;&lt;w:sz w:val=&quot;24&quot;/&gt;&lt;/w:rPr&gt;&lt;/m:ctrlPr&gt;&lt;/m:sub&gt;&lt;/m:sSub&gt;&lt;/m:oMath&gt;&lt;/m:oMathPara&gt;&lt;/w:p&gt;&lt;/wx:sect&gt;&lt;/w:body&gt;&lt;/w:wordDocument">
            <v:path/>
            <v:fill on="f" focussize="0,0"/>
            <v:stroke on="f" joinstyle="miter"/>
            <v:imagedata r:id="rId41" o:title=""/>
            <o:lock v:ext="edit" aspectratio="f"/>
            <w10:wrap type="none"/>
            <w10:anchorlock/>
          </v:shape>
        </w:pict>
      </w:r>
      <w:r>
        <w:rPr>
          <w:rFonts w:hint="default" w:ascii="Times New Roman" w:hAnsi="Times New Roman" w:eastAsia="宋体" w:cs="Times New Roman"/>
          <w:color w:val="auto"/>
          <w:sz w:val="24"/>
          <w:highlight w:val="none"/>
        </w:rPr>
        <w:instrText xml:space="preserve">  \* MERGEFORMAT </w:instrText>
      </w:r>
      <w:r>
        <w:rPr>
          <w:rFonts w:hint="default" w:ascii="Times New Roman" w:hAnsi="Times New Roman" w:eastAsia="宋体" w:cs="Times New Roman"/>
          <w:color w:val="auto"/>
          <w:sz w:val="24"/>
          <w:highlight w:val="none"/>
        </w:rPr>
        <w:fldChar w:fldCharType="separate"/>
      </w:r>
      <w:r>
        <w:rPr>
          <w:rFonts w:hint="default" w:ascii="Times New Roman" w:hAnsi="Times New Roman" w:eastAsia="宋体" w:cs="Times New Roman"/>
          <w:b/>
          <w:bCs/>
          <w:color w:val="auto"/>
          <w:sz w:val="24"/>
          <w:highlight w:val="none"/>
        </w:rPr>
        <w:t>C</w:t>
      </w:r>
      <w:r>
        <w:rPr>
          <w:rFonts w:hint="default" w:ascii="Times New Roman" w:hAnsi="Times New Roman" w:eastAsia="宋体" w:cs="Times New Roman"/>
          <w:color w:val="auto"/>
          <w:sz w:val="24"/>
          <w:highlight w:val="none"/>
          <w:vertAlign w:val="subscript"/>
        </w:rPr>
        <w:t>i</w:t>
      </w:r>
      <w:r>
        <w:rPr>
          <w:rFonts w:hint="default" w:ascii="Times New Roman" w:hAnsi="Times New Roman" w:eastAsia="宋体" w:cs="Times New Roman"/>
          <w:color w:val="auto"/>
          <w:sz w:val="24"/>
          <w:highlight w:val="none"/>
        </w:rPr>
        <w:fldChar w:fldCharType="end"/>
      </w:r>
      <w:r>
        <w:rPr>
          <w:rFonts w:hint="default" w:ascii="Times New Roman" w:hAnsi="Times New Roman" w:eastAsia="宋体" w:cs="Times New Roman"/>
          <w:color w:val="auto"/>
          <w:sz w:val="24"/>
          <w:highlight w:val="none"/>
        </w:rPr>
        <w:t>—第i个水质因子的监测浓度值</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mg/L；</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fldChar w:fldCharType="begin"/>
      </w:r>
      <w:r>
        <w:rPr>
          <w:rFonts w:hint="default" w:ascii="Times New Roman" w:hAnsi="Times New Roman" w:eastAsia="宋体" w:cs="Times New Roman"/>
          <w:color w:val="auto"/>
          <w:sz w:val="24"/>
          <w:highlight w:val="none"/>
        </w:rPr>
        <w:instrText xml:space="preserve"> QUOTE </w:instrText>
      </w:r>
      <w:r>
        <w:rPr>
          <w:rFonts w:hint="default" w:ascii="Times New Roman" w:hAnsi="Times New Roman" w:eastAsia="宋体" w:cs="Times New Roman"/>
          <w:color w:val="auto"/>
          <w:sz w:val="24"/>
          <w:highlight w:val="none"/>
        </w:rPr>
        <w:pict>
          <v:shape id="_x0000_i1031" o:spt="75" type="#_x0000_t75" style="height:31pt;width:415.5pt;" filled="f" o:preferrelative="t" stroked="f" coordsize="21600,21600" equationxml="&lt;?xml version=&quot;1.0&quot; encoding=&quot;UTF-8&quot; standalone=&quot;yes&quot;?&gt;&#10;&lt;?mso-application progid=&quot;Word.Document&quot;?&gt;&#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30&quot;/&gt;&lt;w:characterSpacingControl w:val=&quot;CompressPunctuation&quot;/&gt;&lt;w:documentProtection w:enforcement=&quot;off&quot;/&gt;&lt;w:displayBackgroundShape w:val=&quot;1&quot;/&gt;&lt;w:doNotEmbedSystemFonts/&gt;&lt;w:defaultTabStop w:val=&quot;420&quot;/&gt;&lt;w:drawingGridHorizontalSpacing w:val=&quot;105&quot;/&gt;&lt;w:drawingGridVerticalSpacing w:val=&quot;156&quot;/&gt;&lt;w:displayHorizontalDrawingGridEvery w:val=&quot;1&quot;/&gt;&lt;w:displayVerticalDrawingGridEvery w:val=&quot;1&quot;/&gt;&lt;w:evenAndOddHeaders w:val=&quot;1&quot;/&gt;&lt;w:compat&gt;&lt;w:adjustLineHeightInTable/&gt;&lt;w:ulTrailSpace/&gt;&lt;w:doNotExpandShiftReturn/&gt;&lt;w:balanceSingleByteDoubleByteWidth/&gt;&lt;w:spaceForUL/&gt;&lt;w:breakWrappedTables/&gt;&lt;w:dontGrowAutofit/&gt;&lt;w:useFELayout/&gt;&lt;/w:compat&gt;&lt;/w:docPr&gt;&lt;w:body&gt;&lt;wx:sect&gt;&lt;w:p&gt;&lt;m:oMathPara&gt;&lt;m:oMath&gt;&lt;m:sSub&gt;&lt;m:sSubPr&gt;&lt;m:ctrlPr&gt;&lt;w:rPr&gt;&lt;w:rFonts w:ascii=&quot;Cambria Math&quot; w:h-ansi=&quot;Cambria Math&quot; w:hint=&quot;default&quot;/&gt;&lt;w:color w:val=&quot;000000&quot;/&gt;&lt;w:sz w:val=&quot;24&quot;/&gt;&lt;/w:rPr&gt;&lt;/m:ctrlPr&gt;&lt;/m:sSubPr&gt;&lt;m:e&gt;&lt;m:r&gt;&lt;m:rPr&gt;&lt;m:sty m:val=&quot;p&quot;/&gt;&lt;m:scr m:val=&quot;roman&quot;/&gt;&lt;/m:rPr&gt;&lt;w:rPr&gt;&lt;w:rFonts w:ascii=&quot;Cambria Math&quot; w:hint=&quot;default&quot;/&gt;&lt;w:color w:val=&quot;000000&quot;/&gt;&lt;w:sz w:val=&quot;24&quot;/&gt;&lt;/w:rPr&gt;&lt;m:t&gt;P&lt;/m:t&gt;&lt;/m:r&gt;&lt;m:ctrlPr&gt;&lt;w:rPr&gt;&lt;w:rFonts w:ascii=&quot;Cambria Math&quot; w:h-ansi=&quot;Cambria Math&quot; w:hint=&quot;default&quot;/&gt;&lt;w:color w:val=&quot;000000&quot;/&gt;&lt;w:sz w:val=&quot;24&quot;/&gt;&lt;/w:rPr&gt;&lt;/m:ctrlPr&gt;&lt;/m:e&gt;&lt;m:sub&gt;&lt;m:r&gt;&lt;m:rPr&gt;&lt;m:sty m:val=&quot;p&quot;/&gt;&lt;m:scr m:val=&quot;roman&quot;/&gt;&lt;/m:rPr&gt;&lt;w:rPr&gt;&lt;w:rFonts w:ascii=&quot;Cambria Math&quot; w:hint=&quot;default&quot;/&gt;&lt;w:color w:val=&quot;000000&quot;/&gt;&lt;w:sz w:val=&quot;24&quot;/&gt;&lt;/w:rPr&gt;&lt;m:t&gt;i&lt;/m:t&gt;&lt;/m:r&gt;&lt;m:ctrlPr&gt;&lt;w:rPr&gt;&lt;w:rFonts w:ascii=&quot;Cambria Math&quot; w:h-ansi=&quot;Cambria Math&quot; w:hint=&quot;default&quot;/&gt;&lt;w:color w:val=&quot;000000&quot;/&gt;&lt;w:sz w:val=&quot;24&quot;/&gt;&lt;/w:rPr&gt;&lt;/m:ctrlPr&gt;&lt;/m:sub&gt;&lt;/m:sSub&gt;&lt;/m:oMath&gt;&lt;/m:oMathPara&gt;&lt;/w:p&gt;&lt;/wx:sect&gt;&lt;/w:body&gt;&lt;/w:wordDocument">
            <v:path/>
            <v:fill on="f" focussize="0,0"/>
            <v:stroke on="f" joinstyle="miter"/>
            <v:imagedata r:id="rId41" o:title=""/>
            <o:lock v:ext="edit" aspectratio="f"/>
            <w10:wrap type="none"/>
            <w10:anchorlock/>
          </v:shape>
        </w:pict>
      </w:r>
      <w:r>
        <w:rPr>
          <w:rFonts w:hint="default" w:ascii="Times New Roman" w:hAnsi="Times New Roman" w:eastAsia="宋体" w:cs="Times New Roman"/>
          <w:color w:val="auto"/>
          <w:sz w:val="24"/>
          <w:highlight w:val="none"/>
        </w:rPr>
        <w:instrText xml:space="preserve">  \* MERGEFORMAT </w:instrText>
      </w:r>
      <w:r>
        <w:rPr>
          <w:rFonts w:hint="default" w:ascii="Times New Roman" w:hAnsi="Times New Roman" w:eastAsia="宋体" w:cs="Times New Roman"/>
          <w:color w:val="auto"/>
          <w:sz w:val="24"/>
          <w:highlight w:val="none"/>
        </w:rPr>
        <w:fldChar w:fldCharType="separate"/>
      </w:r>
      <w:r>
        <w:rPr>
          <w:rFonts w:hint="default" w:ascii="Times New Roman" w:hAnsi="Times New Roman" w:eastAsia="宋体" w:cs="Times New Roman"/>
          <w:b/>
          <w:bCs/>
          <w:color w:val="auto"/>
          <w:sz w:val="24"/>
          <w:highlight w:val="none"/>
        </w:rPr>
        <w:t>Cs</w:t>
      </w:r>
      <w:r>
        <w:rPr>
          <w:rFonts w:hint="default" w:ascii="Times New Roman" w:hAnsi="Times New Roman" w:eastAsia="宋体" w:cs="Times New Roman"/>
          <w:color w:val="auto"/>
          <w:sz w:val="24"/>
          <w:highlight w:val="none"/>
          <w:vertAlign w:val="subscript"/>
        </w:rPr>
        <w:t>i</w:t>
      </w:r>
      <w:r>
        <w:rPr>
          <w:rFonts w:hint="default" w:ascii="Times New Roman" w:hAnsi="Times New Roman" w:eastAsia="宋体" w:cs="Times New Roman"/>
          <w:color w:val="auto"/>
          <w:sz w:val="24"/>
          <w:highlight w:val="none"/>
        </w:rPr>
        <w:fldChar w:fldCharType="end"/>
      </w:r>
      <w:r>
        <w:rPr>
          <w:rFonts w:hint="default" w:ascii="Times New Roman" w:hAnsi="Times New Roman" w:eastAsia="宋体" w:cs="Times New Roman"/>
          <w:color w:val="auto"/>
          <w:sz w:val="24"/>
          <w:highlight w:val="none"/>
        </w:rPr>
        <w:t>—第i个水质因子的标准浓度值</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mg/L。</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②对于评价标准为区间值的水质因子（如pH值</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其标准指数计算公式如下</w:t>
      </w:r>
      <w:r>
        <w:rPr>
          <w:rFonts w:hint="default" w:ascii="Times New Roman" w:hAnsi="Times New Roman" w:eastAsia="宋体" w:cs="Times New Roman"/>
          <w:color w:val="auto"/>
          <w:sz w:val="24"/>
          <w:highlight w:val="none"/>
          <w:lang w:eastAsia="zh-CN"/>
        </w:rPr>
        <w:t>：</w:t>
      </w:r>
    </w:p>
    <w:p>
      <w:pPr>
        <w:pageBreakBefore w:val="0"/>
        <w:wordWrap/>
        <w:bidi w:val="0"/>
        <w:spacing w:line="360" w:lineRule="auto"/>
        <w:ind w:left="0" w:leftChars="0" w:right="0" w:rightChars="0" w:firstLine="198"/>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pict>
          <v:shape id="_x0000_i1032" o:spt="75" type="#_x0000_t75" style="height:31pt;width:146.5pt;" filled="f" o:preferrelative="t" stroked="f" coordsize="21600,21600" equationxml="&lt;?xml version=&quot;1.0&quot; encoding=&quot;UTF-8&quot; standalone=&quot;yes&quot;?&gt;&#10;&lt;?mso-application progid=&quot;Word.Document&quot;?&gt;&#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30&quot;/&gt;&lt;w:characterSpacingControl w:val=&quot;CompressPunctuation&quot;/&gt;&lt;w:documentProtection w:enforcement=&quot;off&quot;/&gt;&lt;w:displayBackgroundShape w:val=&quot;1&quot;/&gt;&lt;w:doNotEmbedSystemFonts/&gt;&lt;w:defaultTabStop w:val=&quot;420&quot;/&gt;&lt;w:drawingGridHorizontalSpacing w:val=&quot;105&quot;/&gt;&lt;w:drawingGridVerticalSpacing w:val=&quot;156&quot;/&gt;&lt;w:displayHorizontalDrawingGridEvery w:val=&quot;1&quot;/&gt;&lt;w:displayVerticalDrawingGridEvery w:val=&quot;1&quot;/&gt;&lt;w:evenAndOddHeaders w:val=&quot;1&quot;/&gt;&lt;w:compat&gt;&lt;w:adjustLineHeightInTable/&gt;&lt;w:ulTrailSpace/&gt;&lt;w:doNotExpandShiftReturn/&gt;&lt;w:balanceSingleByteDoubleByteWidth/&gt;&lt;w:spaceForUL/&gt;&lt;w:breakWrappedTables/&gt;&lt;w:dontGrowAutofit/&gt;&lt;w:useFELayout/&gt;&lt;/w:compat&gt;&lt;/w:docPr&gt;&lt;w:body&gt;&lt;wx:sect&gt;&lt;w:p&gt;&lt;m:oMathPara&gt;&lt;m:oMath&gt;&lt;m:sSub&gt;&lt;m:sSubPr&gt;&lt;m:ctrlPr&gt;&lt;w:rPr&gt;&lt;w:rFonts w:ascii=&quot;Cambria Math&quot; w:h-ansi=&quot;Cambria Math&quot; w:hint=&quot;default&quot;/&gt;&lt;w:i/&gt;&lt;w:color w:val=&quot;000000&quot;/&gt;&lt;w:sz w:val=&quot;24&quot;/&gt;&lt;w:sz-cs w:val=&quot;30&quot;/&gt;&lt;/w:rPr&gt;&lt;/m:ctrlPr&gt;&lt;/m:sSubPr&gt;&lt;m:e&gt;&lt;m:r&gt;&lt;m:rPr&gt;&lt;m:scr m:val=&quot;roman&quot;/&gt;&lt;/m:rPr&gt;&lt;w:rPr&gt;&lt;w:rFonts w:ascii=&quot;Cambria Math&quot; w:h-ansi=&quot;Cambria Math&quot; w:hint=&quot;default&quot;/&gt;&lt;w:color w:val=&quot;000000&quot;/&gt;&lt;w:sz w:val=&quot;24&quot;/&gt;&lt;w:sz-cs w:val=&quot;30&quot;/&gt;&lt;/w:rPr&gt;&lt;m:t&gt;P&lt;/m:t&gt;&lt;/m:r&gt;&lt;m:ctrlPr&gt;&lt;w:rPr&gt;&lt;w:rFonts w:ascii=&quot;Cambria Math&quot; w:h-ansi=&quot;Cambria Math&quot; w:hint=&quot;default&quot;/&gt;&lt;w:i/&gt;&lt;w:color w:val=&quot;000000&quot;/&gt;&lt;w:sz w:val=&quot;24&quot;/&gt;&lt;w:sz-cs w:val=&quot;30&quot;/&gt;&lt;/w:rPr&gt;&lt;/m:ctrlPr&gt;&lt;/m:e&gt;&lt;m:sub&gt;&lt;m:r&gt;&lt;m:rPr&gt;&lt;m:scr m:val=&quot;roman&quot;/&gt;&lt;/m:rPr&gt;&lt;w:rPr&gt;&lt;w:rFonts w:ascii=&quot;Cambria Math&quot; w:h-ansi=&quot;Cambria Math&quot; w:hint=&quot;default&quot;/&gt;&lt;w:color w:val=&quot;000000&quot;/&gt;&lt;w:sz w:val=&quot;24&quot;/&gt;&lt;w:sz-cs w:val=&quot;30&quot;/&gt;&lt;/w:rPr&gt;&lt;m:t&gt;pH&lt;/m:t&gt;&lt;/m:r&gt;&lt;m:ctrlPr&gt;&lt;w:rPr&gt;&lt;w:rFonts w:ascii=&quot;Cambria Math&quot; w:h-ansi=&quot;Cambria Math&quot; w:hint=&quot;default&quot;/&gt;&lt;w:i/&gt;&lt;w:color w:val=&quot;000000&quot;/&gt;&lt;w:sz w:val=&quot;24&quot;/&gt;&lt;w:sz-cs w:val=&quot;30&quot;/&gt;&lt;/w:rPr&gt;&lt;/m:ctrlPr&gt;&lt;/m:sub&gt;&lt;/m:sSub&gt;&lt;m:r&gt;&lt;m:rPr&gt;&lt;m:scr m:val=&quot;roman&quot;/&gt;&lt;/m:rPr&gt;&lt;w:rPr&gt;&lt;w:rFonts w:ascii=&quot;Cambria Math&quot; w:hint=&quot;default&quot;/&gt;&lt;w:color w:val=&quot;000000&quot;/&gt;&lt;w:sz w:val=&quot;24&quot;/&gt;&lt;w:sz-cs w:val=&quot;30&quot;/&gt;&lt;/w:rPr&gt;&lt;m:t&gt;=&lt;/m:t&gt;&lt;/m:r&gt;&lt;m:f&gt;&lt;m:fPr&gt;&lt;m:ctrlPr&gt;&lt;w:rPr&gt;&lt;w:rFonts w:ascii=&quot;Cambria Math&quot; w:h-ansi=&quot;Cambria Math&quot; w:hint=&quot;default&quot;/&gt;&lt;w:i/&gt;&lt;w:color w:val=&quot;000000&quot;/&gt;&lt;w:sz w:val=&quot;24&quot;/&gt;&lt;w:sz-cs w:val=&quot;30&quot;/&gt;&lt;/w:rPr&gt;&lt;/m:ctrlPr&gt;&lt;/m:fPr&gt;&lt;m:num&gt;&lt;m:r&gt;&lt;m:rPr&gt;&lt;m:scr m:val=&quot;roman&quot;/&gt;&lt;/m:rPr&gt;&lt;w:rPr&gt;&lt;w:rFonts w:ascii=&quot;Cambria Math&quot; w:hint=&quot;default&quot;/&gt;&lt;w:color w:val=&quot;000000&quot;/&gt;&lt;w:sz w:val=&quot;24&quot;/&gt;&lt;w:sz-cs w:val=&quot;30&quot;/&gt;&lt;/w:rPr&gt;&lt;m:t&gt;7.0鈭?/m:t&gt;&lt;/m:r&gt;&lt;m:r&gt;&lt;m:rPr&gt;&lt;m:scr m:val=&quot;roman&quot;/&gt;&lt;/m:rPr&gt;&lt;w:rPr&gt;&lt;w:rFonts w:ascii=&quot;Cambria Math&quot; w:h-ansi=&quot;Cambria Math&quot; w:hin&lt;wwt=&quot;default&quot;/&gt;&lt;w:color w:val=&quot;000000&quot;/&gt;&lt;w:sz w:val=&quot;24&quot;/&gt;&lt;w:sz-cs w:val=&quot;30&quot;/&gt;&lt;/w:rPr&gt;&lt;m:t&gt;pH&lt;/m:t&gt;&lt;/m:r&gt;&lt;m:ctrlPr&gt;&lt;w:rPr&gt;&lt;w:rFonts w:ascii=&quot;Cambria Math&quot; w:h-ansi=&quot;Cambria Math&quot; w:hint=&quot;default&quot;/&gt;&lt;w:i/&gt;&lt;w:color w:val=&quot;000000&quot;/&gt;&lt;w:sz w:val=&quot;24&quot;/&gt;&lt;w:sz-cs w:val=&quot;30&quot;/&gt;&lt;/w:rPr&gt;&lt;/m:ctrlPr&gt;&lt;/m:num&gt;&lt;m:den&gt;&lt;m:r&gt;&lt;m:rPr&gt;&lt;m:scr m:val=&quot;roman&quot;/&gt;&lt;/m:rPr&gt;&lt;w:rPr&gt;&lt;w:rFonts w:ascii=&quot;Cambria Math&quot; w:hint=&quot;default&quot;/&gt;&lt;w:color w:val=&quot;000000&quot;/&gt;&lt;w:sz w:val=&quot;24&quot;/&gt;&lt;w:sz-cs w:val=&quot;30&quot;/&gt;&lt;/w:rPr&gt;&lt;m:t&gt;7.0鈭?/m:t&gt;&lt;/m:r&gt;&lt;m:sSub&gt;&lt;m:sSub  wPr&gt;&lt;m:ctrlPr&gt;&lt;w:rPr&gt;&lt;w:rFonts w:ascii=&quot;Cambria Math&quot; w:h-ansi=&quot;Cambria Math&quot; w:hint=&quot;default&quot;/&gt;&lt;w:i/&gt;&lt;w:color w:val=&quot;000000&quot;/&gt;&lt;w:sz w:val=&quot;24&quot;/&gt;&lt;w:sz-cs w:val=&quot;30&quot;/&gt;&lt;/w:rPr&gt;&lt;/m:ctrlPr&gt;&lt;/m:sSubPr&gt;&lt;m:e&gt;&lt;m:r&gt;&lt;m:rPr&gt;&lt;m:scr m:val=&quot;roman&quot;/&gt;&lt;/m:rPr&gt;&lt;w:rPr&gt;&lt;w:rFonts w:ascii=&quot;Cambria Math&quot; w:h-ansi=&quot;Cambria Math&quot; w:hint=&quot;default&quot;/&gt;&lt;w:color w:val=&quot;000000&quot;/&gt;&lt;w:sz w:val=&quot;24&quot;/&gt;&lt;w:sz-cs w:val=&quot;30&quot;/&gt;&lt;/w:rPr&gt;&lt;m:t&gt;pH&lt;/m:t&gt;&lt;/m:r&gt;&lt;m:ctrlPr&gt;&lt;w:rPr&gt;&lt;w:rFonts w:ascii=&quot;Cambria Math&quot; w:h-ansi=&quot;Cambria Math&quot; w:hint=&quot;default&quot;/&gt;&lt;w:i/&gt;&lt;w:color w:val=&quot;000000&quot;/&gt;&lt;w:sz w:val=&quot;24&quot;/&gt;&lt;w:sz-cs w:val=&quot;30&quot;/&gt;&lt;/w:rPr&gt;&lt;/m:ctrlPr&gt;&lt;/m:e&gt;&lt;m:sub&gt;&lt;m:r&gt;&lt;m:rPr&gt;&lt;m:scr m:val=&quot;roman&quot;/&gt;&lt;/m:rPr&gt;&lt;w:rPr&gt;&lt;w:rFonts w:ascii=&quot;Cambria Math&quot; w:h-ansi=&quot;Cambria Math&quot; w:hint=&quot;default&quot;/&gt;&lt;w:color w:val=&quot;000000&quot;/&gt;&lt;w:sz w:val=&quot;24&quot;/&gt;&lt;w:sz-cs w:val=&quot;30&quot;/&gt;&lt;/w:rPr&gt;&lt;m:t&gt;sd&lt;/m:t&gt;&lt;/m:r&gt;&lt;m:ctrlPr&gt;&lt;w:rPr&gt;&lt;w:rFonts w:ascii=&quot;Cambria Math&quot; w:h-ansi=&quot;Cambria Math&quot; w:hint=&quot;default&quot;/&gt;&lt;w:i/&gt;&lt;w:color w:val=&quot;000000&quot;/&gt;&lt;w:sz w:val=&quot;24&quot;/&gt;&lt;w:sz-cs w:val=&quot;30&quot;/&gt;&lt;/w:rPr&gt;&lt;/m:ctrlPr&gt;&lt;/m:sub&gt;&lt;/m:sSub&gt;&lt;m:ctrlPr&gt;&lt;w:rPr&gt;&lt;w:rFonts w:ascii=&quot;Cambria Math&quot; w:h-ansi=&quot;Cambria Math&quot; w:hint=&quot;default&quot;/&gt;&lt;w:i/&gt;&lt;w:color w:val=&quot;000000&quot;/&gt;&lt;w:sz w:val=&quot;24&quot;/&gt;&lt;w:sz-cs w:val=&quot;30&quot;/&gt;&lt;/w:rPr&gt;&lt;/m:ctrlPr&gt;&lt;/m:den&gt;&lt;/m:f&gt;&lt;m:r&gt;&lt;m:rPr&gt;&lt;m:scr m:val=&quot;roman&quot;/&gt;&lt;/m:rPr&gt;&lt;w:rPr&gt;&lt;w:rFonts w:ascii=&quot;Cambria Math&quot; w:hint=&quot;default&quot;/&gt;&lt;w:color w:val=&quot;000000&quot;/&gt;&lt;w:sz w:val=&quot;24&quot;/&gt;&lt;w:sz-cs w:val=&quot;30&quot;/&gt;&lt;/w:rPr&gt;&lt;m:t&gt; &lt;/m:t&gt;&lt;/m:r&gt;&lt;m:r&gt;&lt;m:rPr&gt;&lt;m:scr m:val=&quot;roman&quot;/&gt;&lt;/m:rPr&gt;&lt;w:rPr&gt;&lt;w:rFonts w:ascii=&quot;Cambria Math&quot; w:h-ansi=&quot;Cambria Math&quot; w:hint=&quot;default&quot;/&gt;&lt;w:color w:val=&quot;000000&quot;/&gt;&lt;w:sz w:val=&quot;24&quot;/&gt;&lt;w:sz-cs w:val=&quot;30&quot;/&gt;&lt;/w:rPr&gt;&lt;m:t&gt;pH&lt;/m:t&gt;&lt;/m:r&gt;&lt;m:r&gt;&lt;m:rPr&gt;&lt;m:sty m:val=&quot;p&quot;/&gt;&lt;m:scr m:val=&quot;roman&quot;/&gt;&lt;/m:rPr&gt;&lt;w:rPr&gt;&lt;w:rFonts w:ascii=&quot;Cambria Math&quot; w:hint=&quot;default&quot;/&gt;&lt;w:color w:val=&quot;000000&quot;/&gt;&lt;w:sz w:val=&quot;24&quot;/&gt;&lt;w:sz-cs w:val=&quot;30&quot;/&gt;&lt;/w:rPr&gt;&lt;m:t&gt;鈮?&lt;/m:t&gt;&lt;/m:r&gt;&lt;m:r&gt;&lt;m:rPr&gt;&lt;m:sty m:val=&quot;p&quot;/&gt;&lt;m:scr m:val=&quot;roman&quot;/&gt;&lt;/m:rPr&gt;&lt;w:rPr&gt;&lt;w:rFonts w:h-ansi=&quot;Cambria Math&quot; w:hint=&quot;default&quot;/&gt;&lt;w:color w:val=&quot;000000&quot;/&gt;&lt;w:sz w:val=&quot;24&quot;/&gt;&lt;w:sz-cs w:val=&quot;30&quot;/&gt;&lt;/w:rPr&gt;&lt;m:t&gt;鏃?/m:t&gt;&lt;//&gt;/&gt;&lt;wm:r&gt;&lt;/m:oMath&gt;&lt;/m:oMathPara&gt;&lt;/w:p&gt;&lt;/wx:sect&gt;&lt;/w:body&gt;&lt;/w:wordDocument">
            <v:path/>
            <v:fill on="f" focussize="0,0"/>
            <v:stroke on="f" joinstyle="miter"/>
            <v:imagedata r:id="rId42" o:title=""/>
            <o:lock v:ext="edit" aspectratio="f"/>
            <w10:wrap type="none"/>
            <w10:anchorlock/>
          </v:shape>
        </w:pict>
      </w:r>
    </w:p>
    <w:p>
      <w:pPr>
        <w:pageBreakBefore w:val="0"/>
        <w:wordWrap/>
        <w:bidi w:val="0"/>
        <w:spacing w:line="360" w:lineRule="auto"/>
        <w:ind w:left="0" w:leftChars="0" w:right="0" w:rightChars="0" w:firstLine="198"/>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pict>
          <v:shape id="_x0000_i1033" o:spt="75" type="#_x0000_t75" style="height:31pt;width:146.5pt;" filled="f" o:preferrelative="t" stroked="f" coordsize="21600,21600" equationxml="&lt;?xml version=&quot;1.0&quot; encoding=&quot;UTF-8&quot; standalone=&quot;yes&quot;?&gt;&#10;&lt;?mso-application progid=&quot;Word.Document&quot;?&gt;&#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30&quot;/&gt;&lt;w:characterSpacingControl w:val=&quot;CompressPunctuation&quot;/&gt;&lt;w:documentProtection w:enforcement=&quot;off&quot;/&gt;&lt;w:displayBackgroundShape w:val=&quot;1&quot;/&gt;&lt;w:doNotEmbedSystemFonts/&gt;&lt;w:defaultTabStop w:val=&quot;420&quot;/&gt;&lt;w:drawingGridHorizontalSpacing w:val=&quot;105&quot;/&gt;&lt;w:drawingGridVerticalSpacing w:val=&quot;156&quot;/&gt;&lt;w:displayHorizontalDrawingGridEvery w:val=&quot;1&quot;/&gt;&lt;w:displayVerticalDrawingGridEvery w:val=&quot;1&quot;/&gt;&lt;w:evenAndOddHeaders w:val=&quot;1&quot;/&gt;&lt;w:compat&gt;&lt;w:adjustLineHeightInTable/&gt;&lt;w:ulTrailSpace/&gt;&lt;w:doNotExpandShiftReturn/&gt;&lt;w:balanceSingleByteDoubleByteWidth/&gt;&lt;w:spaceForUL/&gt;&lt;w:breakWrappedTables/&gt;&lt;w:dontGrowAutofit/&gt;&lt;w:useFELayout/&gt;&lt;/w:compat&gt;&lt;/w:docPr&gt;&lt;w:body&gt;&lt;wx:sect&gt;&lt;w:p&gt;&lt;m:oMathPara&gt;&lt;m:oMath&gt;&lt;m:sSub&gt;&lt;m:sSubPr&gt;&lt;m:ctrlPr&gt;&lt;w:rPr&gt;&lt;w:rFonts w:ascii=&quot;Cambria Math&quot; w:h-ansi=&quot;Cambria Math&quot; w:hint=&quot;default&quot;/&gt;&lt;w:i/&gt;&lt;w:color w:val=&quot;000000&quot;/&gt;&lt;w:sz w:val=&quot;24&quot;/&gt;&lt;w:sz-cs w:val=&quot;30&quot;/&gt;&lt;/w:rPr&gt;&lt;/m:ctrlPr&gt;&lt;/m:sSubPr&gt;&lt;m:e&gt;&lt;m:r&gt;&lt;m:rPr&gt;&lt;m:scr m:val=&quot;roman&quot;/&gt;&lt;/m:rPr&gt;&lt;w:rPr&gt;&lt;w:rFonts w:ascii=&quot;Cambria Math&quot; w:h-ansi=&quot;Cambria Math&quot; w:hint=&quot;default&quot;/&gt;&lt;w:color w:val=&quot;000000&quot;/&gt;&lt;w:sz w:val=&quot;24&quot;/&gt;&lt;w:sz-cs w:val=&quot;30&quot;/&gt;&lt;/w:rPr&gt;&lt;m:t&gt;P&lt;/m:t&gt;&lt;/m:r&gt;&lt;m:ctrlPr&gt;&lt;w:rPr&gt;&lt;w:rFonts w:ascii=&quot;Cambria Math&quot; w:h-ansi=&quot;Cambria Math&quot; w:hint=&quot;default&quot;/&gt;&lt;w:i/&gt;&lt;w:color w:val=&quot;000000&quot;/&gt;&lt;w:sz w:val=&quot;24&quot;/&gt;&lt;w:sz-cs w:val=&quot;30&quot;/&gt;&lt;/w:rPr&gt;&lt;/m:ctrlPr&gt;&lt;/m:e&gt;&lt;m:sub&gt;&lt;m:r&gt;&lt;m:rPr&gt;&lt;m:scr m:val=&quot;roman&quot;/&gt;&lt;/m:rPr&gt;&lt;w:rPr&gt;&lt;w:rFonts w:ascii=&quot;Cambria Math&quot; w:h-ansi=&quot;Cambria Math&quot; w:hint=&quot;default&quot;/&gt;&lt;w:color w:val=&quot;000000&quot;/&gt;&lt;w:sz w:val=&quot;24&quot;/&gt;&lt;w:sz-cs w:val=&quot;30&quot;/&gt;&lt;/w:rPr&gt;&lt;m:t&gt;pH&lt;/m:t&gt;&lt;/m:r&gt;&lt;m:ctrlPr&gt;&lt;w:rPr&gt;&lt;w:rFonts w:ascii=&quot;Cambria Math&quot; w:h-ansi=&quot;Cambria Math&quot; w:hint=&quot;default&quot;/&gt;&lt;w:i/&gt;&lt;w:color w:val=&quot;000000&quot;/&gt;&lt;w:sz w:val=&quot;24&quot;/&gt;&lt;w:sz-cs w:val=&quot;30&quot;/&gt;&lt;/w:rPr&gt;&lt;/m:ctrlPr&gt;&lt;/m:sub&gt;&lt;/m:sSub&gt;&lt;m:r&gt;&lt;m:rPr&gt;&lt;m:scr m:val=&quot;roman&quot;/&gt;&lt;/m:rPr&gt;&lt;w:rPr&gt;&lt;w:rFonts w:ascii=&quot;Cambria Math&quot; w:hint=&quot;default&quot;/&gt;&lt;w:color w:val=&quot;000000&quot;/&gt;&lt;w:sz w:val=&quot;24&quot;/&gt;&lt;w:sz-cs w:val=&quot;30&quot;/&gt;&lt;/w:rPr&gt;&lt;m:t&gt;=&lt;/m:t&gt;&lt;/m:r&gt;&lt;m:f&gt;&lt;m:fPr&gt;&lt;m:ctrlPr&gt;&lt;w:rPr&gt;&lt;w:rFonts w:ascii=&quot;Cambria Math&quot; w:h-ansi=&quot;Cambria Math&quot; w:hint=&quot;default&quot;/&gt;&lt;w:i/&gt;&lt;w:color w:val=&quot;000000&quot;/&gt;&lt;w:sz w:val=&quot;24&quot;/&gt;&lt;w:sz-cs w:val=&quot;30&quot;/&gt;&lt;/w:rPr&gt;&lt;/m:ctrlPr&gt;&lt;/m:fPr&gt;&lt;m:num&gt;&lt;m:r&gt;&lt;m:rPr&gt;&lt;m:scr m:val=&quot;roman&quot;/&gt;&lt;/m:rPr&gt;&lt;w:rPr&gt;&lt;w:rFonts w:ascii=&quot;Cambria Math&quot; w:h-ansi=&quot;Cambria Math&quot; w:hint=&quot;default&quot;/&gt;&lt;w:color w:val=&quot;000000&quot;/&gt;&lt;w:sz w:val=&quot;24&quot;/&gt;&lt;w:sz-cs w:val=&quot;30&quot;/&gt;&lt;/w:rPr&gt;&lt;m:t&gt;pH鈭?/m:t&gt;&lt;/m:r&gt;&lt;m:r&gt;&lt;m:rPr&gt;&lt;m:sty m:val=&quot;p&quot;/&gt;&lt;m:scr m:val=&quot;roman&quot;/&gt;&lt;/m:rPr&gt;&lt;w:rPr&gt;&lt;w:rFonts w:ascii=&quot;Ca&lt;wwmbria Math&quot; w:hint=&quot;default&quot;/&gt;&lt;w:color w:val=&quot;000000&quot;/&gt;&lt;w:sz w:val=&quot;24&quot;/&gt;&lt;w:sz-cs w:val=&quot;30&quot;/&gt;&lt;/w:rPr&gt;&lt;m:t&gt;7.0&lt;/m:t&gt;&lt;/m:r&gt;&lt;m:ctrlPr&gt;&lt;w:rPr&gt;&lt;w:rFonts w:ascii=&quot;Cambria Math&quot; w:h-ansi=&quot;Cambria Math&quot; w:hint=&quot;default&quot;/&gt;&lt;w:i/&gt;&lt;w:color w:val=&quot;000000&quot;/&gt;&lt;w:sz w:val=&quot;24&quot;/&gt;&lt;w:sz-cs w:val=&quot;30&quot;/&gt;&lt;/w:rPr&gt;&lt;/m:ctrlPr&gt;&lt;/m:num&gt;&lt;m:den&gt;&lt;m:sSub&gt;&lt;m:sSubPr&gt;&lt;m:ctrlPr&gt;&lt;w:rPr&gt;&lt;w:rFonts w:ascii=&quot;Cambria Math&quot; w:h-ansi=&quot;Cambria Math&quot; w:hint=&quot;default&quot;/&gt;&lt;w:i/&gt;&lt;w:color w:val=&quot;000000&quot;/&gt;&lt;w:sz w:val=&quot;24&quot;/&gt;&lt;w:sz-cs w:val=&quot;30&quot;/&gt;&lt;/w:rPr&gt;&lt;/m:ctrlPr&gt;&lt;/m:sSubPr&gt;&lt;m:e&gt;&lt;m:r&gt;&lt;m:rPr&gt;&lt;m:scr m:val=&quot;roman&quot;/&gt;&lt;/m:rPr&gt;&lt;w:rPr&gt;&lt;w:rFonts w:ascii=&quot;Cambria Math&quot; w:h-ansi=&quot;Cambria Math&quot; w:hint=&quot;default&quot;/&gt;&lt;w:color w:val=&quot;000000&quot;/&gt;&lt;w:sz w:val=&quot;24&quot;/&gt;&lt;w:sz-cs w:val=&quot;30&quot;/&gt;&lt;/w:rPr&gt;&lt;m:t&gt;pH&lt;/m:t&gt;&lt;/m:r&gt;&lt;m:ctrlPr&gt;&lt;w:rPr&gt;&lt;w:rFonts w:ascii=&quot;Cambria Math&quot; w:h-ansi=&quot;Cambria Math&quot; w:hint=&quot;default&quot;/&gt;&lt;w:i/&gt;&lt;w:color w:val=&quot;000000&quot;/&gt;&lt;w:sz w:val=&quot;24&quot;/&gt;&lt;w:sz-cs w:val=&quot;30&quot;/&gt;&lt;/w:rPr&gt;&lt;/m:ctrlPr&gt;&lt;/m:e&gt;&lt;m:sub&gt;&lt;m:r&gt;&lt;m:rPr&gt;&lt;m:scr m:val=&quot;roman&quot;/&gt;&lt;/m:rPr&gt;&lt;w:rPr&gt;&lt;w:rFonts w:ascii=&quot;Cambria Math&quot; w:h-ansi=&quot;Cambria Math&quot; w:hint=&quot;default&quot;/&gt;&lt;w:color w:val=&quot;000000&quot;/&gt;&lt;w:sz w:val=&quot;24&quot;/&gt;&lt;w:sz-cs w:val=&quot;30&quot;/&gt;&lt;/w:rPr&gt;&lt;m:t&gt;su&lt;/m:t&gt;&lt;/m:r&gt;&lt;m:ctrlPr&gt;&lt;w:rPr&gt;&lt;w:rFonts w:ascii=&quot;Cambria Math&quot; w:h-ansi=&quot;Cambria Math&quot; w:hint=&quot;default&quot;/&gt;&lt;w:i/&gt;&lt;w:color w:val=&quot;000000&quot;/&gt;&lt;w:sz w:val=&quot;24&quot;/&gt;&lt;w:sz-cs w:val=&quot;30&quot;/&gt;&lt;/w:rPr&gt;&lt;/m:ctrlPr&gt;&lt;/m:sub&gt;&lt;/m:sSub&gt;&lt;m:r&gt;&lt;m:rPr&gt;&lt;m:scr m:val=&quot;roman&quot;/&gt;&lt;/m:rPr&gt;&lt;w:rPr&gt;&lt;w:rFonts w:ascii=&quot;Cambria Math&quot; w:h-ansi=&quot;Cambria Math&quot; w:hint=&quot;default&quot;/&gt;&lt;w:color w:val=&quot;000000&quot;/&gt;&lt;w:sz w:val=&quot;24&quot;/&gt;&lt;w:sz-cs w:val=&quot;30&quot;/&gt;&lt;/w:rPr&gt;&lt;m:t&gt;鈭?/m:t&gt;&lt;/m:r&gt;&lt;m:r&gt;&lt;m:rPr&gt;&lt;m:sty m:val=&quot;p&quot;/&gt;&lt;m:scr m:val=&quot;roman&quot;/&gt;&lt;/m:rPr&gt;&lt;w:rPr&gt;&lt;w:rFonts w:ascii=&quot;Cambria Math&quot; w:hint=&quot;default&quot;/&gt;&lt;w:color w:val=&quot;000000&quot;/&gt;&lt;w:sz w:val=&quot;24&quot;/&gt;&lt;w:sz-cs w:val=&quot;30&quot;/&gt;&lt;/w:rPr&gt;&lt;m:t&gt;7.0&lt;/m:t&gt;&lt;/m:r&gt;&lt;m:cccstrlPr&gt;&lt;w:rPr&gt;&lt;w:rFonts w:ascii=&quot;Cambria Math&quot; w:h-ansi=&quot;Cambria Math&quot; w:hint=&quot;default&quot;/&gt;&lt;w:i/&gt;&lt;w:color w:val=&quot;000000&quot;/&gt;&lt;w:sz w:val=&quot;24&quot;/&gt;&lt;w:sz-cs w:val=&quot;30&quot;/&gt;&lt;/w:rPr&gt;&lt;/m:ctrlPr&gt;&lt;/m:den&gt;&lt;/m:f&gt;&lt;m:r&gt;&lt;m:rPr&gt;&lt;m:scr m:val=&quot;roman&quot;/&gt;&lt;/m:rPr&gt;&lt;w:rPr&gt;&lt;w:rFonts w:ascii=&quot;Cambria Math&quot; w:hint=&quot;default&quot;/&gt;&lt;w:color w:val=&quot;000000&quot;/&gt;&lt;w:sz w:val=&quot;24&quot;/&gt;&lt;w:sz-cs w:val=&quot;30&quot;/&gt;&lt;/w:rPr&gt;&lt;m:t&gt; &lt;/m:t&gt;&lt;/m:r&gt;&lt;m:r&gt;&lt;m:rPr&gt;&lt;m:scr m:val=&quot;roman&quot;/&gt;&lt;/m:rPr&gt;&lt;w:rPr&gt;&lt;w:rFonts w:ascii=&quot;Cambria Math&quot; w:h-ansi=&quot;Cambria Math&quot; w:hint=&quot;default&quot;/&gt;&lt;w:color w:val=&quot;000000&quot;/&gt;&lt;w:sz w:val=&quot;24&quot;/&gt;&lt;w:sz-cs w:val=&quot;30&quot;/&gt;&lt;/w:rPr&gt;&lt;m:t&gt;pH&lt;/m:t&gt;&lt;/m:r&gt;&lt;m:r&gt;&lt;m:rPr&gt;&lt;m:sty m:val=&quot;p&quot;/&gt;&lt;m:scr m:val=&quot;roman&quot;/&gt;&lt;/m:rPr&gt;&lt;w:rPr&gt;&lt;w:rFonts w:ascii=&quot;Cambria Math&quot; w:hint=&quot;default&quot;/&gt;&lt;w:color w:val=&quot;000000&quot;/&gt;&lt;w:sz w:val=&quot;24&quot;/&gt;&lt;w:sz-cs w:val=&quot;30&quot;/&gt;&lt;/w:rPr&gt;&lt;m:t&gt;&amp;gt;&lt;/m:t&gt;&lt;/m:r&gt;&lt;m:r&gt;&lt;m:rPr&gt;&lt;m:scr m:val=&quot;roman&quot;/&gt;&lt;/m:rPr&gt;&lt;w:rPr&gt;&lt;w:rFonts w:ascii=&quot;Cambria Math&quot; w:hint=&quot;default&quot;/&gt;&lt;w:color w:val=&quot;000000&quot;/&gt;&lt;w:sz w:val=&quot;24&quot;/&gt;&lt;w:sz-cs w:val=&quot;30&quot;/&gt;&lt;/w:rPr&gt;&lt;m:t&gt;7&lt;/m:t&gt;&lt;/m:r&gt;&lt;m:r&gt;&lt;m:rPr&gt;&lt;m:sty m:val=&quot;p&quot;/&gt;&lt;m:scr m:val=&quot;roman&quot;/&gt;&lt;/m:rPr&gt;&lt;w:rPr&gt;&lt;w:rFonts w:h-ansi=&quot;Cambria Math&quot; w:hint=&quot;default&quot;/&gt;&lt;w:color w:val=&quot;000000&quot;/&gt;&lt;w:sz w:val=&quot;24&quot;/&gt;&lt;w:sz-cs w:val=&quot;30&quot;/&gt;&lt;/w:rPr&gt;&lt;m:t&gt;鏃?/m:t&gt;&lt;/m:r&gt;&lt;/m:oMath&gt;&lt;/m:oMathPara&gt;&lt;/w:p&gt;&lt;/wx:sect&gt;&lt;/w:body&gt;&lt;/w:wordDocumentm::">
            <v:path/>
            <v:fill on="f" focussize="0,0"/>
            <v:stroke on="f" joinstyle="miter"/>
            <v:imagedata r:id="rId43" o:title=""/>
            <o:lock v:ext="edit" aspectratio="f"/>
            <w10:wrap type="none"/>
            <w10:anchorlock/>
          </v:shape>
        </w:pic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式中</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ab/>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sz w:val="24"/>
          <w:highlight w:val="none"/>
        </w:rPr>
      </w:pPr>
      <w:bookmarkStart w:id="824" w:name="_Toc26693"/>
      <w:bookmarkStart w:id="825" w:name="_Toc18115"/>
      <w:r>
        <w:rPr>
          <w:rFonts w:hint="default" w:ascii="Times New Roman" w:hAnsi="Times New Roman" w:eastAsia="宋体" w:cs="Times New Roman"/>
          <w:color w:val="auto"/>
          <w:sz w:val="24"/>
          <w:highlight w:val="none"/>
        </w:rPr>
        <w:fldChar w:fldCharType="begin"/>
      </w:r>
      <w:r>
        <w:rPr>
          <w:rFonts w:hint="default" w:ascii="Times New Roman" w:hAnsi="Times New Roman" w:eastAsia="宋体" w:cs="Times New Roman"/>
          <w:color w:val="auto"/>
          <w:sz w:val="24"/>
          <w:highlight w:val="none"/>
        </w:rPr>
        <w:instrText xml:space="preserve"> QUOTE </w:instrText>
      </w:r>
      <w:r>
        <w:rPr>
          <w:rFonts w:hint="default" w:ascii="Times New Roman" w:hAnsi="Times New Roman" w:eastAsia="宋体" w:cs="Times New Roman"/>
          <w:color w:val="auto"/>
          <w:sz w:val="24"/>
          <w:highlight w:val="none"/>
        </w:rPr>
        <w:pict>
          <v:shape id="_x0000_i1034" o:spt="75" type="#_x0000_t75" style="height:31pt;width:415.5pt;" filled="f" o:preferrelative="t" stroked="f" coordsize="21600,21600" equationxml="&lt;?xml version=&quot;1.0&quot; encoding=&quot;UTF-8&quot; standalone=&quot;yes&quot;?&gt;&#10;&lt;?mso-application progid=&quot;Word.Document&quot;?&gt;&#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30&quot;/&gt;&lt;w:characterSpacingControl w:val=&quot;CompressPunctuation&quot;/&gt;&lt;w:documentProtection w:enforcement=&quot;off&quot;/&gt;&lt;w:displayBackgroundShape w:val=&quot;1&quot;/&gt;&lt;w:doNotEmbedSystemFonts/&gt;&lt;w:defaultTabStop w:val=&quot;420&quot;/&gt;&lt;w:drawingGridHorizontalSpacing w:val=&quot;105&quot;/&gt;&lt;w:drawingGridVerticalSpacing w:val=&quot;156&quot;/&gt;&lt;w:displayHorizontalDrawingGridEvery w:val=&quot;1&quot;/&gt;&lt;w:displayVerticalDrawingGridEvery w:val=&quot;1&quot;/&gt;&lt;w:evenAndOddHeaders w:val=&quot;1&quot;/&gt;&lt;w:compat&gt;&lt;w:adjustLineHeightInTable/&gt;&lt;w:ulTrailSpace/&gt;&lt;w:doNotExpandShiftReturn/&gt;&lt;w:balanceSingleByteDoubleByteWidth/&gt;&lt;w:spaceForUL/&gt;&lt;w:breakWrappedTables/&gt;&lt;w:dontGrowAutofit/&gt;&lt;w:useFELayout/&gt;&lt;/w:compat&gt;&lt;/w:docPr&gt;&lt;w:body&gt;&lt;wx:sect&gt;&lt;w:p&gt;&lt;m:oMathPara&gt;&lt;m:oMath&gt;&lt;m:sSub&gt;&lt;m:sSubPr&gt;&lt;m:ctrlPr&gt;&lt;w:rPr&gt;&lt;w:rFonts w:ascii=&quot;Cambria Math&quot; w:h-ansi=&quot;Cambria Math&quot; w:hint=&quot;default&quot;/&gt;&lt;w:color w:val=&quot;000000&quot;/&gt;&lt;w:sz w:val=&quot;24&quot;/&gt;&lt;/w:rPr&gt;&lt;/m:ctrlPr&gt;&lt;/m:sSubPr&gt;&lt;m:e&gt;&lt;m:r&gt;&lt;m:rPr&gt;&lt;m:sty m:val=&quot;p&quot;/&gt;&lt;m:scr m:val=&quot;roman&quot;/&gt;&lt;/m:rPr&gt;&lt;w:rPr&gt;&lt;w:rFonts w:ascii=&quot;Cambria Math&quot; w:hint=&quot;default&quot;/&gt;&lt;w:color w:val=&quot;000000&quot;/&gt;&lt;w:sz w:val=&quot;24&quot;/&gt;&lt;/w:rPr&gt;&lt;m:t&gt;P&lt;/m:t&gt;&lt;/m:r&gt;&lt;m:ctrlPr&gt;&lt;w:rPr&gt;&lt;w:rFonts w:ascii=&quot;Cambria Math&quot; w:h-ansi=&quot;Cambria Math&quot; w:hint=&quot;default&quot;/&gt;&lt;w:color w:val=&quot;000000&quot;/&gt;&lt;w:sz w:val=&quot;24&quot;/&gt;&lt;/w:rPr&gt;&lt;/m:ctrlPr&gt;&lt;/m:e&gt;&lt;m:sub&gt;&lt;m:r&gt;&lt;m:rPr&gt;&lt;m:sty m:val=&quot;p&quot;/&gt;&lt;m:scr m:val=&quot;roman&quot;/&gt;&lt;/m:rPr&gt;&lt;w:rPr&gt;&lt;w:rFonts w:ascii=&quot;Cambria Math&quot; w:hint=&quot;default&quot;/&gt;&lt;w:color w:val=&quot;000000&quot;/&gt;&lt;w:sz w:val=&quot;24&quot;/&gt;&lt;/w:rPr&gt;&lt;m:t&gt;i&lt;/m:t&gt;&lt;/m:r&gt;&lt;m:ctrlPr&gt;&lt;w:rPr&gt;&lt;w:rFonts w:ascii=&quot;Cambria Math&quot; w:h-ansi=&quot;Cambria Math&quot; w:hint=&quot;default&quot;/&gt;&lt;w:color w:val=&quot;000000&quot;/&gt;&lt;w:sz w:val=&quot;24&quot;/&gt;&lt;/w:rPr&gt;&lt;/m:ctrlPr&gt;&lt;/m:sub&gt;&lt;/m:sSub&gt;&lt;/m:oMath&gt;&lt;/m:oMathPara&gt;&lt;/w:p&gt;&lt;/wx:sect&gt;&lt;/w:body&gt;&lt;/w:wordDocument">
            <v:path/>
            <v:fill on="f" focussize="0,0"/>
            <v:stroke on="f" joinstyle="miter"/>
            <v:imagedata r:id="rId41" o:title=""/>
            <o:lock v:ext="edit" aspectratio="f"/>
            <w10:wrap type="none"/>
            <w10:anchorlock/>
          </v:shape>
        </w:pict>
      </w:r>
      <w:r>
        <w:rPr>
          <w:rFonts w:hint="default" w:ascii="Times New Roman" w:hAnsi="Times New Roman" w:eastAsia="宋体" w:cs="Times New Roman"/>
          <w:color w:val="auto"/>
          <w:sz w:val="24"/>
          <w:highlight w:val="none"/>
        </w:rPr>
        <w:instrText xml:space="preserve">  \* MERGEFORMAT </w:instrText>
      </w:r>
      <w:r>
        <w:rPr>
          <w:rFonts w:hint="default" w:ascii="Times New Roman" w:hAnsi="Times New Roman" w:eastAsia="宋体" w:cs="Times New Roman"/>
          <w:color w:val="auto"/>
          <w:sz w:val="24"/>
          <w:highlight w:val="none"/>
        </w:rPr>
        <w:fldChar w:fldCharType="separate"/>
      </w:r>
      <w:bookmarkStart w:id="826" w:name="_Toc508181831"/>
      <w:bookmarkStart w:id="827" w:name="_Toc511641326"/>
      <w:bookmarkStart w:id="828" w:name="_Toc510455989"/>
      <w:bookmarkStart w:id="829" w:name="_Toc518551728"/>
      <w:r>
        <w:rPr>
          <w:rFonts w:hint="default" w:ascii="Times New Roman" w:hAnsi="Times New Roman" w:eastAsia="宋体" w:cs="Times New Roman"/>
          <w:b/>
          <w:bCs/>
          <w:color w:val="auto"/>
          <w:sz w:val="24"/>
          <w:highlight w:val="none"/>
        </w:rPr>
        <w:t>P</w:t>
      </w:r>
      <w:r>
        <w:rPr>
          <w:rFonts w:hint="default" w:ascii="Times New Roman" w:hAnsi="Times New Roman" w:eastAsia="宋体" w:cs="Times New Roman"/>
          <w:color w:val="auto"/>
          <w:sz w:val="24"/>
          <w:highlight w:val="none"/>
          <w:vertAlign w:val="subscript"/>
        </w:rPr>
        <w:t>PH</w:t>
      </w:r>
      <w:r>
        <w:rPr>
          <w:rFonts w:hint="default" w:ascii="Times New Roman" w:hAnsi="Times New Roman" w:eastAsia="宋体" w:cs="Times New Roman"/>
          <w:color w:val="auto"/>
          <w:sz w:val="24"/>
          <w:highlight w:val="none"/>
        </w:rPr>
        <w:fldChar w:fldCharType="end"/>
      </w:r>
      <w:r>
        <w:rPr>
          <w:rFonts w:hint="default" w:ascii="Times New Roman" w:hAnsi="Times New Roman" w:eastAsia="宋体" w:cs="Times New Roman"/>
          <w:color w:val="auto"/>
          <w:sz w:val="24"/>
          <w:highlight w:val="none"/>
        </w:rPr>
        <w:t>—pH的标准指数</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无量纲；</w:t>
      </w:r>
      <w:bookmarkEnd w:id="824"/>
      <w:bookmarkEnd w:id="825"/>
      <w:bookmarkEnd w:id="826"/>
      <w:bookmarkEnd w:id="827"/>
      <w:bookmarkEnd w:id="828"/>
      <w:bookmarkEnd w:id="829"/>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pH—pH监测值；</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pH</w:t>
      </w:r>
      <w:r>
        <w:rPr>
          <w:rFonts w:hint="default" w:ascii="Times New Roman" w:hAnsi="Times New Roman" w:eastAsia="宋体" w:cs="Times New Roman"/>
          <w:color w:val="auto"/>
          <w:sz w:val="24"/>
          <w:highlight w:val="none"/>
          <w:vertAlign w:val="subscript"/>
        </w:rPr>
        <w:t>su</w:t>
      </w:r>
      <w:r>
        <w:rPr>
          <w:rFonts w:hint="default" w:ascii="Times New Roman" w:hAnsi="Times New Roman" w:eastAsia="宋体" w:cs="Times New Roman"/>
          <w:color w:val="auto"/>
          <w:sz w:val="24"/>
          <w:highlight w:val="none"/>
        </w:rPr>
        <w:t>—标准中pH的上限值；</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pH</w:t>
      </w:r>
      <w:r>
        <w:rPr>
          <w:rFonts w:hint="default" w:ascii="Times New Roman" w:hAnsi="Times New Roman" w:eastAsia="宋体" w:cs="Times New Roman"/>
          <w:color w:val="auto"/>
          <w:sz w:val="24"/>
          <w:highlight w:val="none"/>
          <w:vertAlign w:val="subscript"/>
        </w:rPr>
        <w:t>sd</w:t>
      </w:r>
      <w:r>
        <w:rPr>
          <w:rFonts w:hint="default" w:ascii="Times New Roman" w:hAnsi="Times New Roman" w:eastAsia="宋体" w:cs="Times New Roman"/>
          <w:color w:val="auto"/>
          <w:sz w:val="24"/>
          <w:highlight w:val="none"/>
        </w:rPr>
        <w:t>—标准中pH的下限值。</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fldChar w:fldCharType="begin"/>
      </w:r>
      <w:r>
        <w:rPr>
          <w:rFonts w:hint="default" w:ascii="Times New Roman" w:hAnsi="Times New Roman" w:eastAsia="宋体" w:cs="Times New Roman"/>
          <w:color w:val="auto"/>
          <w:sz w:val="24"/>
          <w:highlight w:val="none"/>
        </w:rPr>
        <w:instrText xml:space="preserve"> = 3 \* GB3 \* MERGEFORMAT </w:instrText>
      </w:r>
      <w:r>
        <w:rPr>
          <w:rFonts w:hint="default" w:ascii="Times New Roman" w:hAnsi="Times New Roman" w:eastAsia="宋体" w:cs="Times New Roman"/>
          <w:color w:val="auto"/>
          <w:sz w:val="24"/>
          <w:highlight w:val="none"/>
        </w:rPr>
        <w:fldChar w:fldCharType="separate"/>
      </w:r>
      <w:r>
        <w:rPr>
          <w:rFonts w:hint="default" w:ascii="Times New Roman" w:hAnsi="Times New Roman" w:eastAsia="宋体" w:cs="Times New Roman"/>
          <w:color w:val="auto"/>
          <w:highlight w:val="none"/>
        </w:rPr>
        <w:t>③</w:t>
      </w:r>
      <w:r>
        <w:rPr>
          <w:rFonts w:hint="default" w:ascii="Times New Roman" w:hAnsi="Times New Roman" w:eastAsia="宋体" w:cs="Times New Roman"/>
          <w:color w:val="auto"/>
          <w:sz w:val="24"/>
          <w:highlight w:val="none"/>
        </w:rPr>
        <w:fldChar w:fldCharType="end"/>
      </w:r>
      <w:r>
        <w:rPr>
          <w:rFonts w:hint="default" w:ascii="Times New Roman" w:hAnsi="Times New Roman" w:eastAsia="宋体" w:cs="Times New Roman"/>
          <w:color w:val="auto"/>
          <w:sz w:val="24"/>
          <w:highlight w:val="none"/>
        </w:rPr>
        <w:t>评价结果</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本次地下水质量评价中</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钾、钙、镁、HCO</w:t>
      </w:r>
      <w:r>
        <w:rPr>
          <w:rFonts w:hint="default" w:ascii="Times New Roman" w:hAnsi="Times New Roman" w:eastAsia="宋体" w:cs="Times New Roman"/>
          <w:color w:val="auto"/>
          <w:sz w:val="24"/>
          <w:highlight w:val="none"/>
          <w:vertAlign w:val="subscript"/>
        </w:rPr>
        <w:t>3</w:t>
      </w:r>
      <w:r>
        <w:rPr>
          <w:rFonts w:hint="default" w:ascii="Times New Roman" w:hAnsi="Times New Roman" w:eastAsia="宋体" w:cs="Times New Roman"/>
          <w:color w:val="auto"/>
          <w:sz w:val="24"/>
          <w:highlight w:val="none"/>
          <w:vertAlign w:val="superscript"/>
        </w:rPr>
        <w:t>2-</w:t>
      </w:r>
      <w:r>
        <w:rPr>
          <w:rFonts w:hint="default" w:ascii="Times New Roman" w:hAnsi="Times New Roman" w:eastAsia="宋体" w:cs="Times New Roman"/>
          <w:color w:val="auto"/>
          <w:sz w:val="24"/>
          <w:highlight w:val="none"/>
        </w:rPr>
        <w:t>和CO</w:t>
      </w:r>
      <w:r>
        <w:rPr>
          <w:rFonts w:hint="default" w:ascii="Times New Roman" w:hAnsi="Times New Roman" w:eastAsia="宋体" w:cs="Times New Roman"/>
          <w:color w:val="auto"/>
          <w:sz w:val="24"/>
          <w:highlight w:val="none"/>
          <w:vertAlign w:val="subscript"/>
        </w:rPr>
        <w:t>3</w:t>
      </w:r>
      <w:r>
        <w:rPr>
          <w:rFonts w:hint="default" w:ascii="Times New Roman" w:hAnsi="Times New Roman" w:eastAsia="宋体" w:cs="Times New Roman"/>
          <w:color w:val="auto"/>
          <w:sz w:val="24"/>
          <w:highlight w:val="none"/>
          <w:vertAlign w:val="superscript"/>
        </w:rPr>
        <w:t>2-</w:t>
      </w:r>
      <w:r>
        <w:rPr>
          <w:rFonts w:hint="default" w:ascii="Times New Roman" w:hAnsi="Times New Roman" w:eastAsia="宋体" w:cs="Times New Roman"/>
          <w:color w:val="auto"/>
          <w:sz w:val="24"/>
          <w:highlight w:val="none"/>
        </w:rPr>
        <w:t>暂无可参考的评价标准</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其他检测项目均执行《地下水质量标准》（GB/T14848-2017</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的</w:t>
      </w:r>
      <w:r>
        <w:rPr>
          <w:rFonts w:hint="default" w:ascii="Times New Roman" w:hAnsi="Times New Roman" w:eastAsia="宋体" w:cs="Times New Roman"/>
          <w:color w:val="auto"/>
          <w:sz w:val="24"/>
          <w:highlight w:val="none"/>
          <w:lang w:eastAsia="zh-CN"/>
        </w:rPr>
        <w:t>Ⅲ</w:t>
      </w:r>
      <w:r>
        <w:rPr>
          <w:rFonts w:hint="default" w:ascii="Times New Roman" w:hAnsi="Times New Roman" w:eastAsia="宋体" w:cs="Times New Roman"/>
          <w:color w:val="auto"/>
          <w:sz w:val="24"/>
          <w:highlight w:val="none"/>
        </w:rPr>
        <w:t>类标准。本次采用单因子标准指数法对地下水样品监测结果进行评价</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评价结果详见表5-</w:t>
      </w:r>
      <w:r>
        <w:rPr>
          <w:rFonts w:hint="default" w:ascii="Times New Roman" w:hAnsi="Times New Roman" w:eastAsia="宋体" w:cs="Times New Roman"/>
          <w:color w:val="auto"/>
          <w:sz w:val="24"/>
          <w:highlight w:val="none"/>
          <w:lang w:val="en-US" w:eastAsia="zh-CN"/>
        </w:rPr>
        <w:t>11</w:t>
      </w:r>
      <w:r>
        <w:rPr>
          <w:rFonts w:hint="default" w:ascii="Times New Roman" w:hAnsi="Times New Roman" w:eastAsia="宋体" w:cs="Times New Roman"/>
          <w:color w:val="auto"/>
          <w:sz w:val="24"/>
          <w:highlight w:val="none"/>
        </w:rPr>
        <w:t>。</w:t>
      </w:r>
    </w:p>
    <w:p>
      <w:pPr>
        <w:pageBreakBefore w:val="0"/>
        <w:wordWrap/>
        <w:bidi w:val="0"/>
        <w:spacing w:line="360" w:lineRule="auto"/>
        <w:ind w:left="0" w:leftChars="0" w:right="0" w:rightChars="0"/>
        <w:jc w:val="center"/>
        <w:rPr>
          <w:rFonts w:hint="default" w:ascii="Times New Roman" w:hAnsi="Times New Roman" w:eastAsia="宋体" w:cs="Times New Roman"/>
          <w:b/>
          <w:bCs/>
          <w:color w:val="auto"/>
          <w:sz w:val="22"/>
          <w:szCs w:val="28"/>
          <w:highlight w:val="none"/>
        </w:rPr>
      </w:pPr>
      <w:r>
        <w:rPr>
          <w:rFonts w:hint="default" w:ascii="Times New Roman" w:hAnsi="Times New Roman" w:eastAsia="宋体" w:cs="Times New Roman"/>
          <w:b/>
          <w:bCs/>
          <w:color w:val="auto"/>
          <w:sz w:val="22"/>
          <w:szCs w:val="28"/>
          <w:highlight w:val="none"/>
        </w:rPr>
        <w:t>表5-</w:t>
      </w:r>
      <w:r>
        <w:rPr>
          <w:rFonts w:hint="default" w:ascii="Times New Roman" w:hAnsi="Times New Roman" w:eastAsia="宋体" w:cs="Times New Roman"/>
          <w:b/>
          <w:bCs/>
          <w:color w:val="auto"/>
          <w:sz w:val="22"/>
          <w:szCs w:val="28"/>
          <w:highlight w:val="none"/>
          <w:lang w:val="en-US" w:eastAsia="zh-CN"/>
        </w:rPr>
        <w:t>11</w:t>
      </w:r>
      <w:r>
        <w:rPr>
          <w:rFonts w:hint="default" w:ascii="Times New Roman" w:hAnsi="Times New Roman" w:eastAsia="宋体" w:cs="Times New Roman"/>
          <w:b/>
          <w:bCs/>
          <w:color w:val="auto"/>
          <w:sz w:val="22"/>
          <w:szCs w:val="28"/>
          <w:highlight w:val="none"/>
        </w:rPr>
        <w:t>地下水环境质量现状评价结果</w:t>
      </w:r>
    </w:p>
    <w:tbl>
      <w:tblPr>
        <w:tblStyle w:val="54"/>
        <w:tblW w:w="8277" w:type="dxa"/>
        <w:tblInd w:w="96" w:type="dxa"/>
        <w:tblLayout w:type="autofit"/>
        <w:tblCellMar>
          <w:top w:w="0" w:type="dxa"/>
          <w:left w:w="108" w:type="dxa"/>
          <w:bottom w:w="0" w:type="dxa"/>
          <w:right w:w="108" w:type="dxa"/>
        </w:tblCellMar>
      </w:tblPr>
      <w:tblGrid>
        <w:gridCol w:w="1101"/>
        <w:gridCol w:w="1501"/>
        <w:gridCol w:w="1135"/>
        <w:gridCol w:w="1135"/>
        <w:gridCol w:w="1135"/>
        <w:gridCol w:w="1135"/>
        <w:gridCol w:w="1135"/>
      </w:tblGrid>
      <w:tr>
        <w:tblPrEx>
          <w:tblCellMar>
            <w:top w:w="0" w:type="dxa"/>
            <w:left w:w="108" w:type="dxa"/>
            <w:bottom w:w="0" w:type="dxa"/>
            <w:right w:w="108" w:type="dxa"/>
          </w:tblCellMar>
        </w:tblPrEx>
        <w:trPr>
          <w:trHeight w:val="340" w:hRule="atLeast"/>
        </w:trPr>
        <w:tc>
          <w:tcPr>
            <w:tcW w:w="1101"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kern w:val="0"/>
                <w:sz w:val="21"/>
                <w:szCs w:val="21"/>
                <w:highlight w:val="none"/>
                <w:lang w:bidi="ar"/>
              </w:rPr>
              <w:t>序号</w:t>
            </w:r>
          </w:p>
        </w:tc>
        <w:tc>
          <w:tcPr>
            <w:tcW w:w="1501"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napToGrid w:val="0"/>
              <w:spacing w:line="240" w:lineRule="auto"/>
              <w:ind w:left="0" w:leftChars="0" w:right="0" w:rightChars="0"/>
              <w:jc w:val="center"/>
              <w:textAlignment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kern w:val="0"/>
                <w:sz w:val="21"/>
                <w:szCs w:val="21"/>
                <w:highlight w:val="none"/>
                <w:lang w:bidi="ar"/>
              </w:rPr>
              <w:t>项目</w:t>
            </w:r>
            <w:r>
              <w:rPr>
                <w:rFonts w:hint="default" w:ascii="Times New Roman" w:hAnsi="Times New Roman" w:eastAsia="宋体" w:cs="Times New Roman"/>
                <w:b/>
                <w:bCs/>
                <w:color w:val="auto"/>
                <w:sz w:val="21"/>
                <w:szCs w:val="21"/>
                <w:highlight w:val="none"/>
              </w:rPr>
              <w:t>编号</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kern w:val="0"/>
                <w:sz w:val="21"/>
                <w:szCs w:val="21"/>
                <w:highlight w:val="none"/>
                <w:lang w:bidi="ar"/>
              </w:rPr>
              <w:t>1#</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kern w:val="0"/>
                <w:sz w:val="21"/>
                <w:szCs w:val="21"/>
                <w:highlight w:val="none"/>
                <w:lang w:bidi="ar"/>
              </w:rPr>
              <w:t>2#</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kern w:val="0"/>
                <w:sz w:val="21"/>
                <w:szCs w:val="21"/>
                <w:highlight w:val="none"/>
                <w:lang w:bidi="ar"/>
              </w:rPr>
              <w:t>3#</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kern w:val="0"/>
                <w:sz w:val="21"/>
                <w:szCs w:val="21"/>
                <w:highlight w:val="none"/>
                <w:lang w:bidi="ar"/>
              </w:rPr>
              <w:t>4#</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kern w:val="0"/>
                <w:sz w:val="21"/>
                <w:szCs w:val="21"/>
                <w:highlight w:val="none"/>
                <w:lang w:bidi="ar"/>
              </w:rPr>
              <w:t>5#</w:t>
            </w:r>
          </w:p>
        </w:tc>
      </w:tr>
      <w:tr>
        <w:tblPrEx>
          <w:tblCellMar>
            <w:top w:w="0" w:type="dxa"/>
            <w:left w:w="108" w:type="dxa"/>
            <w:bottom w:w="0" w:type="dxa"/>
            <w:right w:w="108" w:type="dxa"/>
          </w:tblCellMar>
        </w:tblPrEx>
        <w:trPr>
          <w:trHeight w:val="340" w:hRule="atLeast"/>
        </w:trPr>
        <w:tc>
          <w:tcPr>
            <w:tcW w:w="1101"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1</w:t>
            </w:r>
          </w:p>
        </w:tc>
        <w:tc>
          <w:tcPr>
            <w:tcW w:w="1501"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pH值</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eastAsia="zh-CN" w:bidi="ar"/>
              </w:rPr>
            </w:pPr>
            <w:r>
              <w:rPr>
                <w:rFonts w:hint="default" w:ascii="Times New Roman" w:hAnsi="Times New Roman" w:eastAsia="宋体" w:cs="Times New Roman"/>
                <w:color w:val="auto"/>
                <w:kern w:val="0"/>
                <w:sz w:val="21"/>
                <w:szCs w:val="21"/>
                <w:highlight w:val="none"/>
                <w:lang w:val="en-US" w:eastAsia="zh-CN" w:bidi="ar"/>
              </w:rPr>
              <w:t>0.918</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eastAsia="zh-CN" w:bidi="ar"/>
              </w:rPr>
            </w:pPr>
            <w:r>
              <w:rPr>
                <w:rFonts w:hint="default" w:ascii="Times New Roman" w:hAnsi="Times New Roman" w:eastAsia="宋体" w:cs="Times New Roman"/>
                <w:color w:val="auto"/>
                <w:kern w:val="0"/>
                <w:sz w:val="21"/>
                <w:szCs w:val="21"/>
                <w:highlight w:val="none"/>
                <w:lang w:val="en-US" w:eastAsia="zh-CN" w:bidi="ar"/>
              </w:rPr>
              <w:t>0.918</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eastAsia="zh-CN" w:bidi="ar"/>
              </w:rPr>
            </w:pPr>
            <w:r>
              <w:rPr>
                <w:rFonts w:hint="default" w:ascii="Times New Roman" w:hAnsi="Times New Roman" w:eastAsia="宋体" w:cs="Times New Roman"/>
                <w:color w:val="auto"/>
                <w:kern w:val="0"/>
                <w:sz w:val="21"/>
                <w:szCs w:val="21"/>
                <w:highlight w:val="none"/>
                <w:lang w:val="en-US" w:eastAsia="zh-CN" w:bidi="ar"/>
              </w:rPr>
              <w:t>0.929</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eastAsia="zh-CN" w:bidi="ar"/>
              </w:rPr>
            </w:pPr>
            <w:r>
              <w:rPr>
                <w:rFonts w:hint="default" w:ascii="Times New Roman" w:hAnsi="Times New Roman" w:eastAsia="宋体" w:cs="Times New Roman"/>
                <w:color w:val="auto"/>
                <w:kern w:val="0"/>
                <w:sz w:val="21"/>
                <w:szCs w:val="21"/>
                <w:highlight w:val="none"/>
                <w:lang w:val="en-US" w:eastAsia="zh-CN" w:bidi="ar"/>
              </w:rPr>
              <w:t>0.929</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eastAsia="zh-CN" w:bidi="ar"/>
              </w:rPr>
            </w:pPr>
            <w:r>
              <w:rPr>
                <w:rFonts w:hint="default" w:ascii="Times New Roman" w:hAnsi="Times New Roman" w:eastAsia="宋体" w:cs="Times New Roman"/>
                <w:color w:val="auto"/>
                <w:kern w:val="0"/>
                <w:sz w:val="21"/>
                <w:szCs w:val="21"/>
                <w:highlight w:val="none"/>
                <w:lang w:val="en-US" w:eastAsia="zh-CN" w:bidi="ar"/>
              </w:rPr>
              <w:t>0.918</w:t>
            </w:r>
          </w:p>
        </w:tc>
      </w:tr>
      <w:tr>
        <w:tblPrEx>
          <w:tblCellMar>
            <w:top w:w="0" w:type="dxa"/>
            <w:left w:w="108" w:type="dxa"/>
            <w:bottom w:w="0" w:type="dxa"/>
            <w:right w:w="108" w:type="dxa"/>
          </w:tblCellMar>
        </w:tblPrEx>
        <w:trPr>
          <w:trHeight w:val="340" w:hRule="atLeast"/>
        </w:trPr>
        <w:tc>
          <w:tcPr>
            <w:tcW w:w="1101"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2</w:t>
            </w:r>
          </w:p>
        </w:tc>
        <w:tc>
          <w:tcPr>
            <w:tcW w:w="1501"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氨氮</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val="en-US" w:eastAsia="zh-CN" w:bidi="ar"/>
              </w:rPr>
              <w:t>0.078</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val="en-US" w:eastAsia="zh-CN" w:bidi="ar"/>
              </w:rPr>
              <w:t>0.168</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val="en-US" w:eastAsia="zh-CN" w:bidi="ar"/>
              </w:rPr>
              <w:t>0.104</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val="en-US" w:eastAsia="zh-CN" w:bidi="ar"/>
              </w:rPr>
              <w:t>0.062</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val="en-US" w:eastAsia="zh-CN" w:bidi="ar"/>
              </w:rPr>
              <w:t>0.068</w:t>
            </w:r>
          </w:p>
        </w:tc>
      </w:tr>
      <w:tr>
        <w:tblPrEx>
          <w:tblCellMar>
            <w:top w:w="0" w:type="dxa"/>
            <w:left w:w="108" w:type="dxa"/>
            <w:bottom w:w="0" w:type="dxa"/>
            <w:right w:w="108" w:type="dxa"/>
          </w:tblCellMar>
        </w:tblPrEx>
        <w:trPr>
          <w:trHeight w:val="340" w:hRule="atLeast"/>
        </w:trPr>
        <w:tc>
          <w:tcPr>
            <w:tcW w:w="1101"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3</w:t>
            </w:r>
          </w:p>
        </w:tc>
        <w:tc>
          <w:tcPr>
            <w:tcW w:w="1501"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硝酸盐氮</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eastAsia="zh-CN" w:bidi="ar"/>
              </w:rPr>
            </w:pPr>
            <w:r>
              <w:rPr>
                <w:rFonts w:hint="default" w:ascii="Times New Roman" w:hAnsi="Times New Roman" w:eastAsia="宋体" w:cs="Times New Roman"/>
                <w:color w:val="auto"/>
                <w:kern w:val="0"/>
                <w:sz w:val="21"/>
                <w:szCs w:val="21"/>
                <w:highlight w:val="none"/>
                <w:lang w:val="en-US" w:eastAsia="zh-CN" w:bidi="ar"/>
              </w:rPr>
              <w:t>0.750</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eastAsia="zh-CN" w:bidi="ar"/>
              </w:rPr>
            </w:pPr>
            <w:r>
              <w:rPr>
                <w:rFonts w:hint="default" w:ascii="Times New Roman" w:hAnsi="Times New Roman" w:eastAsia="宋体" w:cs="Times New Roman"/>
                <w:color w:val="auto"/>
                <w:kern w:val="0"/>
                <w:sz w:val="21"/>
                <w:szCs w:val="21"/>
                <w:highlight w:val="none"/>
                <w:lang w:val="en-US" w:eastAsia="zh-CN" w:bidi="ar"/>
              </w:rPr>
              <w:t>0.690</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eastAsia="zh-CN" w:bidi="ar"/>
              </w:rPr>
            </w:pPr>
            <w:r>
              <w:rPr>
                <w:rFonts w:hint="default" w:ascii="Times New Roman" w:hAnsi="Times New Roman" w:eastAsia="宋体" w:cs="Times New Roman"/>
                <w:color w:val="auto"/>
                <w:kern w:val="0"/>
                <w:sz w:val="21"/>
                <w:szCs w:val="21"/>
                <w:highlight w:val="none"/>
                <w:lang w:val="en-US" w:eastAsia="zh-CN" w:bidi="ar"/>
              </w:rPr>
              <w:t>0.670</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eastAsia="zh-CN" w:bidi="ar"/>
              </w:rPr>
            </w:pPr>
            <w:r>
              <w:rPr>
                <w:rFonts w:hint="default" w:ascii="Times New Roman" w:hAnsi="Times New Roman" w:eastAsia="宋体" w:cs="Times New Roman"/>
                <w:color w:val="auto"/>
                <w:kern w:val="0"/>
                <w:sz w:val="21"/>
                <w:szCs w:val="21"/>
                <w:highlight w:val="none"/>
                <w:lang w:val="en-US" w:eastAsia="zh-CN" w:bidi="ar"/>
              </w:rPr>
              <w:t>0.730</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eastAsia="zh-CN" w:bidi="ar"/>
              </w:rPr>
            </w:pPr>
            <w:r>
              <w:rPr>
                <w:rFonts w:hint="default" w:ascii="Times New Roman" w:hAnsi="Times New Roman" w:eastAsia="宋体" w:cs="Times New Roman"/>
                <w:color w:val="auto"/>
                <w:kern w:val="0"/>
                <w:sz w:val="21"/>
                <w:szCs w:val="21"/>
                <w:highlight w:val="none"/>
                <w:lang w:val="en-US" w:eastAsia="zh-CN" w:bidi="ar"/>
              </w:rPr>
              <w:t>0.945</w:t>
            </w:r>
          </w:p>
        </w:tc>
      </w:tr>
      <w:tr>
        <w:tblPrEx>
          <w:tblCellMar>
            <w:top w:w="0" w:type="dxa"/>
            <w:left w:w="108" w:type="dxa"/>
            <w:bottom w:w="0" w:type="dxa"/>
            <w:right w:w="108" w:type="dxa"/>
          </w:tblCellMar>
        </w:tblPrEx>
        <w:trPr>
          <w:trHeight w:val="340" w:hRule="atLeast"/>
        </w:trPr>
        <w:tc>
          <w:tcPr>
            <w:tcW w:w="1101"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4</w:t>
            </w:r>
          </w:p>
        </w:tc>
        <w:tc>
          <w:tcPr>
            <w:tcW w:w="1501"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亚硝酸盐氮</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val="en-US" w:eastAsia="zh-CN" w:bidi="ar"/>
              </w:rPr>
              <w:t>0.003</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val="en-US" w:eastAsia="zh-CN" w:bidi="ar"/>
              </w:rPr>
              <w:t>0.003</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val="en-US" w:eastAsia="zh-CN" w:bidi="ar"/>
              </w:rPr>
              <w:t>0.003</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val="en-US" w:eastAsia="zh-CN" w:bidi="ar"/>
              </w:rPr>
              <w:t>0.003</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val="en-US" w:eastAsia="zh-CN" w:bidi="ar"/>
              </w:rPr>
              <w:t>0.003</w:t>
            </w:r>
          </w:p>
        </w:tc>
      </w:tr>
      <w:tr>
        <w:tblPrEx>
          <w:tblCellMar>
            <w:top w:w="0" w:type="dxa"/>
            <w:left w:w="108" w:type="dxa"/>
            <w:bottom w:w="0" w:type="dxa"/>
            <w:right w:w="108" w:type="dxa"/>
          </w:tblCellMar>
        </w:tblPrEx>
        <w:trPr>
          <w:trHeight w:val="340" w:hRule="atLeast"/>
        </w:trPr>
        <w:tc>
          <w:tcPr>
            <w:tcW w:w="1101"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5</w:t>
            </w:r>
          </w:p>
        </w:tc>
        <w:tc>
          <w:tcPr>
            <w:tcW w:w="1501"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挥发酚</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val="en-US" w:eastAsia="zh-CN" w:bidi="ar"/>
              </w:rPr>
              <w:t>0.150</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val="en-US" w:eastAsia="zh-CN" w:bidi="ar"/>
              </w:rPr>
              <w:t>0.150</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val="en-US" w:eastAsia="zh-CN" w:bidi="ar"/>
              </w:rPr>
              <w:t>0.150</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val="en-US" w:eastAsia="zh-CN" w:bidi="ar"/>
              </w:rPr>
              <w:t>0.150</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val="en-US" w:eastAsia="zh-CN" w:bidi="ar"/>
              </w:rPr>
              <w:t>0.150</w:t>
            </w:r>
          </w:p>
        </w:tc>
      </w:tr>
      <w:tr>
        <w:tblPrEx>
          <w:tblCellMar>
            <w:top w:w="0" w:type="dxa"/>
            <w:left w:w="108" w:type="dxa"/>
            <w:bottom w:w="0" w:type="dxa"/>
            <w:right w:w="108" w:type="dxa"/>
          </w:tblCellMar>
        </w:tblPrEx>
        <w:trPr>
          <w:trHeight w:val="340" w:hRule="atLeast"/>
        </w:trPr>
        <w:tc>
          <w:tcPr>
            <w:tcW w:w="1101"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6</w:t>
            </w:r>
          </w:p>
        </w:tc>
        <w:tc>
          <w:tcPr>
            <w:tcW w:w="1501"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氰化物</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val="en-US" w:eastAsia="zh-CN" w:bidi="ar"/>
              </w:rPr>
              <w:t>0.040</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val="en-US" w:eastAsia="zh-CN" w:bidi="ar"/>
              </w:rPr>
              <w:t>0.040</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val="en-US" w:eastAsia="zh-CN" w:bidi="ar"/>
              </w:rPr>
              <w:t>0.040</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val="en-US" w:eastAsia="zh-CN" w:bidi="ar"/>
              </w:rPr>
              <w:t>0.040</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val="en-US" w:eastAsia="zh-CN" w:bidi="ar"/>
              </w:rPr>
              <w:t>0.040</w:t>
            </w:r>
          </w:p>
        </w:tc>
      </w:tr>
      <w:tr>
        <w:tblPrEx>
          <w:tblCellMar>
            <w:top w:w="0" w:type="dxa"/>
            <w:left w:w="108" w:type="dxa"/>
            <w:bottom w:w="0" w:type="dxa"/>
            <w:right w:w="108" w:type="dxa"/>
          </w:tblCellMar>
        </w:tblPrEx>
        <w:trPr>
          <w:trHeight w:val="340" w:hRule="atLeast"/>
        </w:trPr>
        <w:tc>
          <w:tcPr>
            <w:tcW w:w="1101"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7</w:t>
            </w:r>
          </w:p>
        </w:tc>
        <w:tc>
          <w:tcPr>
            <w:tcW w:w="1501"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砷</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val="en-US" w:eastAsia="zh-CN" w:bidi="ar"/>
              </w:rPr>
              <w:t>0.040</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val="en-US" w:eastAsia="zh-CN" w:bidi="ar"/>
              </w:rPr>
              <w:t>0.040</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val="en-US" w:eastAsia="zh-CN" w:bidi="ar"/>
              </w:rPr>
              <w:t>0.040</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val="en-US" w:eastAsia="zh-CN" w:bidi="ar"/>
              </w:rPr>
              <w:t>0.030</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val="en-US" w:eastAsia="zh-CN" w:bidi="ar"/>
              </w:rPr>
              <w:t>0.030</w:t>
            </w:r>
          </w:p>
        </w:tc>
      </w:tr>
      <w:tr>
        <w:tblPrEx>
          <w:tblCellMar>
            <w:top w:w="0" w:type="dxa"/>
            <w:left w:w="108" w:type="dxa"/>
            <w:bottom w:w="0" w:type="dxa"/>
            <w:right w:w="108" w:type="dxa"/>
          </w:tblCellMar>
        </w:tblPrEx>
        <w:trPr>
          <w:trHeight w:val="340" w:hRule="atLeast"/>
        </w:trPr>
        <w:tc>
          <w:tcPr>
            <w:tcW w:w="1101"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8</w:t>
            </w:r>
          </w:p>
        </w:tc>
        <w:tc>
          <w:tcPr>
            <w:tcW w:w="1501"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汞</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val="en-US" w:eastAsia="zh-CN" w:bidi="ar"/>
              </w:rPr>
              <w:t>0.490</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val="en-US" w:eastAsia="zh-CN" w:bidi="ar"/>
              </w:rPr>
              <w:t>0.290</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val="en-US" w:eastAsia="zh-CN" w:bidi="ar"/>
              </w:rPr>
              <w:t>0.350</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val="en-US" w:eastAsia="zh-CN" w:bidi="ar"/>
              </w:rPr>
              <w:t>0.350</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val="en-US" w:eastAsia="zh-CN" w:bidi="ar"/>
              </w:rPr>
              <w:t>0.270</w:t>
            </w:r>
          </w:p>
        </w:tc>
      </w:tr>
      <w:tr>
        <w:tblPrEx>
          <w:tblCellMar>
            <w:top w:w="0" w:type="dxa"/>
            <w:left w:w="108" w:type="dxa"/>
            <w:bottom w:w="0" w:type="dxa"/>
            <w:right w:w="108" w:type="dxa"/>
          </w:tblCellMar>
        </w:tblPrEx>
        <w:trPr>
          <w:trHeight w:val="340" w:hRule="atLeast"/>
        </w:trPr>
        <w:tc>
          <w:tcPr>
            <w:tcW w:w="1101"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9</w:t>
            </w:r>
          </w:p>
        </w:tc>
        <w:tc>
          <w:tcPr>
            <w:tcW w:w="1501"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kern w:val="0"/>
                <w:sz w:val="21"/>
                <w:szCs w:val="21"/>
                <w:highlight w:val="none"/>
                <w:lang w:bidi="ar"/>
              </w:rPr>
              <w:t>铬（六价</w:t>
            </w:r>
            <w:r>
              <w:rPr>
                <w:rFonts w:hint="default" w:ascii="Times New Roman" w:hAnsi="Times New Roman" w:eastAsia="宋体" w:cs="Times New Roman"/>
                <w:color w:val="auto"/>
                <w:kern w:val="0"/>
                <w:sz w:val="21"/>
                <w:szCs w:val="21"/>
                <w:highlight w:val="none"/>
                <w:lang w:eastAsia="zh-CN" w:bidi="ar"/>
              </w:rPr>
              <w:t>）</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val="en-US" w:eastAsia="zh-CN" w:bidi="ar"/>
              </w:rPr>
              <w:t>0.080</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val="en-US" w:eastAsia="zh-CN" w:bidi="ar"/>
              </w:rPr>
              <w:t>0.080</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val="en-US" w:eastAsia="zh-CN" w:bidi="ar"/>
              </w:rPr>
              <w:t>0.080</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val="en-US" w:eastAsia="zh-CN" w:bidi="ar"/>
              </w:rPr>
              <w:t>0.080</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val="en-US" w:eastAsia="zh-CN" w:bidi="ar"/>
              </w:rPr>
              <w:t>0.080</w:t>
            </w:r>
          </w:p>
        </w:tc>
      </w:tr>
      <w:tr>
        <w:tblPrEx>
          <w:tblCellMar>
            <w:top w:w="0" w:type="dxa"/>
            <w:left w:w="108" w:type="dxa"/>
            <w:bottom w:w="0" w:type="dxa"/>
            <w:right w:w="108" w:type="dxa"/>
          </w:tblCellMar>
        </w:tblPrEx>
        <w:trPr>
          <w:trHeight w:val="340" w:hRule="atLeast"/>
        </w:trPr>
        <w:tc>
          <w:tcPr>
            <w:tcW w:w="1101"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10</w:t>
            </w:r>
          </w:p>
        </w:tc>
        <w:tc>
          <w:tcPr>
            <w:tcW w:w="1501"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总硬度</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eastAsia="zh-CN" w:bidi="ar"/>
              </w:rPr>
            </w:pPr>
            <w:r>
              <w:rPr>
                <w:rFonts w:hint="default" w:ascii="Times New Roman" w:hAnsi="Times New Roman" w:eastAsia="宋体" w:cs="Times New Roman"/>
                <w:color w:val="auto"/>
                <w:kern w:val="0"/>
                <w:sz w:val="21"/>
                <w:szCs w:val="21"/>
                <w:highlight w:val="none"/>
                <w:lang w:val="en-US" w:eastAsia="zh-CN" w:bidi="ar"/>
              </w:rPr>
              <w:t>0.858</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eastAsia="zh-CN" w:bidi="ar"/>
              </w:rPr>
            </w:pPr>
            <w:r>
              <w:rPr>
                <w:rFonts w:hint="default" w:ascii="Times New Roman" w:hAnsi="Times New Roman" w:eastAsia="宋体" w:cs="Times New Roman"/>
                <w:color w:val="auto"/>
                <w:kern w:val="0"/>
                <w:sz w:val="21"/>
                <w:szCs w:val="21"/>
                <w:highlight w:val="none"/>
                <w:lang w:val="en-US" w:eastAsia="zh-CN" w:bidi="ar"/>
              </w:rPr>
              <w:t>0.947</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eastAsia="zh-CN" w:bidi="ar"/>
              </w:rPr>
            </w:pPr>
            <w:r>
              <w:rPr>
                <w:rFonts w:hint="default" w:ascii="Times New Roman" w:hAnsi="Times New Roman" w:eastAsia="宋体" w:cs="Times New Roman"/>
                <w:color w:val="auto"/>
                <w:kern w:val="0"/>
                <w:sz w:val="21"/>
                <w:szCs w:val="21"/>
                <w:highlight w:val="none"/>
                <w:lang w:val="en-US" w:eastAsia="zh-CN" w:bidi="ar"/>
              </w:rPr>
              <w:t>0.933</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eastAsia="zh-CN" w:bidi="ar"/>
              </w:rPr>
            </w:pPr>
            <w:r>
              <w:rPr>
                <w:rFonts w:hint="default" w:ascii="Times New Roman" w:hAnsi="Times New Roman" w:eastAsia="宋体" w:cs="Times New Roman"/>
                <w:color w:val="auto"/>
                <w:kern w:val="0"/>
                <w:sz w:val="21"/>
                <w:szCs w:val="21"/>
                <w:highlight w:val="none"/>
                <w:lang w:val="en-US" w:eastAsia="zh-CN" w:bidi="ar"/>
              </w:rPr>
              <w:t>0.916</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eastAsia="zh-CN" w:bidi="ar"/>
              </w:rPr>
            </w:pPr>
            <w:r>
              <w:rPr>
                <w:rFonts w:hint="default" w:ascii="Times New Roman" w:hAnsi="Times New Roman" w:eastAsia="宋体" w:cs="Times New Roman"/>
                <w:color w:val="auto"/>
                <w:kern w:val="0"/>
                <w:sz w:val="21"/>
                <w:szCs w:val="21"/>
                <w:highlight w:val="none"/>
                <w:lang w:val="en-US" w:eastAsia="zh-CN" w:bidi="ar"/>
              </w:rPr>
              <w:t>0.693</w:t>
            </w:r>
          </w:p>
        </w:tc>
      </w:tr>
      <w:tr>
        <w:tblPrEx>
          <w:tblCellMar>
            <w:top w:w="0" w:type="dxa"/>
            <w:left w:w="108" w:type="dxa"/>
            <w:bottom w:w="0" w:type="dxa"/>
            <w:right w:w="108" w:type="dxa"/>
          </w:tblCellMar>
        </w:tblPrEx>
        <w:trPr>
          <w:trHeight w:val="340" w:hRule="atLeast"/>
        </w:trPr>
        <w:tc>
          <w:tcPr>
            <w:tcW w:w="1101"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11</w:t>
            </w:r>
          </w:p>
        </w:tc>
        <w:tc>
          <w:tcPr>
            <w:tcW w:w="1501"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铅</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val="en-US" w:eastAsia="zh-CN" w:bidi="ar"/>
              </w:rPr>
              <w:t>0.250</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val="en-US" w:eastAsia="zh-CN" w:bidi="ar"/>
              </w:rPr>
              <w:t>0.250</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val="en-US" w:eastAsia="zh-CN" w:bidi="ar"/>
              </w:rPr>
              <w:t>0.250</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val="en-US" w:eastAsia="zh-CN" w:bidi="ar"/>
              </w:rPr>
              <w:t>0.250</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val="en-US" w:eastAsia="zh-CN" w:bidi="ar"/>
              </w:rPr>
              <w:t>0.250</w:t>
            </w:r>
          </w:p>
        </w:tc>
      </w:tr>
      <w:tr>
        <w:tblPrEx>
          <w:tblCellMar>
            <w:top w:w="0" w:type="dxa"/>
            <w:left w:w="108" w:type="dxa"/>
            <w:bottom w:w="0" w:type="dxa"/>
            <w:right w:w="108" w:type="dxa"/>
          </w:tblCellMar>
        </w:tblPrEx>
        <w:trPr>
          <w:trHeight w:val="340" w:hRule="atLeast"/>
        </w:trPr>
        <w:tc>
          <w:tcPr>
            <w:tcW w:w="1101"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12</w:t>
            </w:r>
          </w:p>
        </w:tc>
        <w:tc>
          <w:tcPr>
            <w:tcW w:w="1501"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bidi="ar"/>
              </w:rPr>
              <w:t>镉</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0.100</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0.100</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0.100</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0.100</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0.100</w:t>
            </w:r>
          </w:p>
        </w:tc>
      </w:tr>
      <w:tr>
        <w:tblPrEx>
          <w:tblCellMar>
            <w:top w:w="0" w:type="dxa"/>
            <w:left w:w="108" w:type="dxa"/>
            <w:bottom w:w="0" w:type="dxa"/>
            <w:right w:w="108" w:type="dxa"/>
          </w:tblCellMar>
        </w:tblPrEx>
        <w:trPr>
          <w:trHeight w:val="340" w:hRule="atLeast"/>
        </w:trPr>
        <w:tc>
          <w:tcPr>
            <w:tcW w:w="1101"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13</w:t>
            </w:r>
          </w:p>
        </w:tc>
        <w:tc>
          <w:tcPr>
            <w:tcW w:w="1501"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bidi="ar"/>
              </w:rPr>
              <w:t>铁</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0.100</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0.100</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0.100</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0.100</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0.100</w:t>
            </w:r>
          </w:p>
        </w:tc>
      </w:tr>
      <w:tr>
        <w:tblPrEx>
          <w:tblCellMar>
            <w:top w:w="0" w:type="dxa"/>
            <w:left w:w="108" w:type="dxa"/>
            <w:bottom w:w="0" w:type="dxa"/>
            <w:right w:w="108" w:type="dxa"/>
          </w:tblCellMar>
        </w:tblPrEx>
        <w:trPr>
          <w:trHeight w:val="340" w:hRule="atLeast"/>
        </w:trPr>
        <w:tc>
          <w:tcPr>
            <w:tcW w:w="1101"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14</w:t>
            </w:r>
          </w:p>
        </w:tc>
        <w:tc>
          <w:tcPr>
            <w:tcW w:w="1501"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bidi="ar"/>
              </w:rPr>
              <w:t>锰</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0.100</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0.100</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0.100</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0.100</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0.100</w:t>
            </w:r>
          </w:p>
        </w:tc>
      </w:tr>
      <w:tr>
        <w:tblPrEx>
          <w:tblCellMar>
            <w:top w:w="0" w:type="dxa"/>
            <w:left w:w="108" w:type="dxa"/>
            <w:bottom w:w="0" w:type="dxa"/>
            <w:right w:w="108" w:type="dxa"/>
          </w:tblCellMar>
        </w:tblPrEx>
        <w:trPr>
          <w:trHeight w:val="340" w:hRule="atLeast"/>
        </w:trPr>
        <w:tc>
          <w:tcPr>
            <w:tcW w:w="1101"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15</w:t>
            </w:r>
          </w:p>
        </w:tc>
        <w:tc>
          <w:tcPr>
            <w:tcW w:w="1501"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bidi="ar"/>
              </w:rPr>
              <w:t>溶解性总固体</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0.710</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0.826</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0.834</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0.886</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0.622</w:t>
            </w:r>
          </w:p>
        </w:tc>
      </w:tr>
      <w:tr>
        <w:tblPrEx>
          <w:tblCellMar>
            <w:top w:w="0" w:type="dxa"/>
            <w:left w:w="108" w:type="dxa"/>
            <w:bottom w:w="0" w:type="dxa"/>
            <w:right w:w="108" w:type="dxa"/>
          </w:tblCellMar>
        </w:tblPrEx>
        <w:trPr>
          <w:trHeight w:val="340" w:hRule="atLeast"/>
        </w:trPr>
        <w:tc>
          <w:tcPr>
            <w:tcW w:w="1101"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16</w:t>
            </w:r>
          </w:p>
        </w:tc>
        <w:tc>
          <w:tcPr>
            <w:tcW w:w="1501"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bidi="ar"/>
              </w:rPr>
              <w:t>耗氧量</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0.373</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0.283</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0.387</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0.413</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0.217</w:t>
            </w:r>
          </w:p>
        </w:tc>
      </w:tr>
      <w:tr>
        <w:tblPrEx>
          <w:tblCellMar>
            <w:top w:w="0" w:type="dxa"/>
            <w:left w:w="108" w:type="dxa"/>
            <w:bottom w:w="0" w:type="dxa"/>
            <w:right w:w="108" w:type="dxa"/>
          </w:tblCellMar>
        </w:tblPrEx>
        <w:trPr>
          <w:trHeight w:val="340" w:hRule="atLeast"/>
        </w:trPr>
        <w:tc>
          <w:tcPr>
            <w:tcW w:w="1101"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17</w:t>
            </w:r>
          </w:p>
        </w:tc>
        <w:tc>
          <w:tcPr>
            <w:tcW w:w="1501"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bidi="ar"/>
              </w:rPr>
              <w:t>硫酸盐</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0.832</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0.920</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0.940</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0.960</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0.616</w:t>
            </w:r>
          </w:p>
        </w:tc>
      </w:tr>
      <w:tr>
        <w:tblPrEx>
          <w:tblCellMar>
            <w:top w:w="0" w:type="dxa"/>
            <w:left w:w="108" w:type="dxa"/>
            <w:bottom w:w="0" w:type="dxa"/>
            <w:right w:w="108" w:type="dxa"/>
          </w:tblCellMar>
        </w:tblPrEx>
        <w:trPr>
          <w:trHeight w:val="340" w:hRule="atLeast"/>
        </w:trPr>
        <w:tc>
          <w:tcPr>
            <w:tcW w:w="1101"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18</w:t>
            </w:r>
          </w:p>
        </w:tc>
        <w:tc>
          <w:tcPr>
            <w:tcW w:w="1501"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bidi="ar"/>
              </w:rPr>
              <w:t>氯化物</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0.179</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0.166</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0.155</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0.144</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0.116</w:t>
            </w:r>
          </w:p>
        </w:tc>
      </w:tr>
      <w:tr>
        <w:tblPrEx>
          <w:tblCellMar>
            <w:top w:w="0" w:type="dxa"/>
            <w:left w:w="108" w:type="dxa"/>
            <w:bottom w:w="0" w:type="dxa"/>
            <w:right w:w="108" w:type="dxa"/>
          </w:tblCellMar>
        </w:tblPrEx>
        <w:trPr>
          <w:trHeight w:val="340" w:hRule="atLeast"/>
        </w:trPr>
        <w:tc>
          <w:tcPr>
            <w:tcW w:w="1101"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19</w:t>
            </w:r>
          </w:p>
        </w:tc>
        <w:tc>
          <w:tcPr>
            <w:tcW w:w="1501"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eastAsia="zh-CN" w:bidi="ar"/>
              </w:rPr>
              <w:t>菌落总数</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0.070</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0.040</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0.090</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0.020</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0.080</w:t>
            </w:r>
          </w:p>
        </w:tc>
      </w:tr>
      <w:tr>
        <w:tblPrEx>
          <w:tblCellMar>
            <w:top w:w="0" w:type="dxa"/>
            <w:left w:w="108" w:type="dxa"/>
            <w:bottom w:w="0" w:type="dxa"/>
            <w:right w:w="108" w:type="dxa"/>
          </w:tblCellMar>
        </w:tblPrEx>
        <w:trPr>
          <w:trHeight w:val="340" w:hRule="atLeast"/>
        </w:trPr>
        <w:tc>
          <w:tcPr>
            <w:tcW w:w="1101"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20</w:t>
            </w:r>
          </w:p>
        </w:tc>
        <w:tc>
          <w:tcPr>
            <w:tcW w:w="1501"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bidi="ar"/>
              </w:rPr>
              <w:t>钾</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bidi="ar"/>
              </w:rPr>
              <w:t>--</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r>
      <w:tr>
        <w:tblPrEx>
          <w:tblCellMar>
            <w:top w:w="0" w:type="dxa"/>
            <w:left w:w="108" w:type="dxa"/>
            <w:bottom w:w="0" w:type="dxa"/>
            <w:right w:w="108" w:type="dxa"/>
          </w:tblCellMar>
        </w:tblPrEx>
        <w:trPr>
          <w:trHeight w:val="340" w:hRule="atLeast"/>
        </w:trPr>
        <w:tc>
          <w:tcPr>
            <w:tcW w:w="1101"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21</w:t>
            </w:r>
          </w:p>
        </w:tc>
        <w:tc>
          <w:tcPr>
            <w:tcW w:w="1501"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bidi="ar"/>
              </w:rPr>
              <w:t>钠</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0.127</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0.156</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0.155</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0.161</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0.108</w:t>
            </w:r>
          </w:p>
        </w:tc>
      </w:tr>
      <w:tr>
        <w:tblPrEx>
          <w:tblCellMar>
            <w:top w:w="0" w:type="dxa"/>
            <w:left w:w="108" w:type="dxa"/>
            <w:bottom w:w="0" w:type="dxa"/>
            <w:right w:w="108" w:type="dxa"/>
          </w:tblCellMar>
        </w:tblPrEx>
        <w:trPr>
          <w:trHeight w:val="340" w:hRule="atLeast"/>
        </w:trPr>
        <w:tc>
          <w:tcPr>
            <w:tcW w:w="1101"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22</w:t>
            </w:r>
          </w:p>
        </w:tc>
        <w:tc>
          <w:tcPr>
            <w:tcW w:w="1501"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bidi="ar"/>
              </w:rPr>
              <w:t>钙</w:t>
            </w:r>
          </w:p>
        </w:tc>
        <w:tc>
          <w:tcPr>
            <w:tcW w:w="1135"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c>
          <w:tcPr>
            <w:tcW w:w="1135"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c>
          <w:tcPr>
            <w:tcW w:w="1135"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c>
          <w:tcPr>
            <w:tcW w:w="1135"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c>
          <w:tcPr>
            <w:tcW w:w="1135"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r>
      <w:tr>
        <w:tblPrEx>
          <w:tblCellMar>
            <w:top w:w="0" w:type="dxa"/>
            <w:left w:w="108" w:type="dxa"/>
            <w:bottom w:w="0" w:type="dxa"/>
            <w:right w:w="108" w:type="dxa"/>
          </w:tblCellMar>
        </w:tblPrEx>
        <w:trPr>
          <w:trHeight w:val="340" w:hRule="atLeast"/>
        </w:trPr>
        <w:tc>
          <w:tcPr>
            <w:tcW w:w="1101"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23</w:t>
            </w:r>
          </w:p>
        </w:tc>
        <w:tc>
          <w:tcPr>
            <w:tcW w:w="1501"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bidi="ar"/>
              </w:rPr>
              <w:t>镁</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c>
          <w:tcPr>
            <w:tcW w:w="1135"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r>
      <w:tr>
        <w:tblPrEx>
          <w:tblCellMar>
            <w:top w:w="0" w:type="dxa"/>
            <w:left w:w="108" w:type="dxa"/>
            <w:bottom w:w="0" w:type="dxa"/>
            <w:right w:w="108" w:type="dxa"/>
          </w:tblCellMar>
        </w:tblPrEx>
        <w:trPr>
          <w:trHeight w:val="340" w:hRule="atLeast"/>
        </w:trPr>
        <w:tc>
          <w:tcPr>
            <w:tcW w:w="1101"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24</w:t>
            </w:r>
          </w:p>
        </w:tc>
        <w:tc>
          <w:tcPr>
            <w:tcW w:w="1501"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bidi="ar"/>
              </w:rPr>
              <w:t>CO</w:t>
            </w:r>
            <w:r>
              <w:rPr>
                <w:rFonts w:hint="default" w:ascii="Times New Roman" w:hAnsi="Times New Roman" w:eastAsia="宋体" w:cs="Times New Roman"/>
                <w:color w:val="auto"/>
                <w:kern w:val="0"/>
                <w:sz w:val="21"/>
                <w:szCs w:val="21"/>
                <w:highlight w:val="none"/>
                <w:vertAlign w:val="subscript"/>
                <w:lang w:bidi="ar"/>
              </w:rPr>
              <w:t>3</w:t>
            </w:r>
            <w:r>
              <w:rPr>
                <w:rFonts w:hint="default" w:ascii="Times New Roman" w:hAnsi="Times New Roman" w:eastAsia="宋体" w:cs="Times New Roman"/>
                <w:color w:val="auto"/>
                <w:kern w:val="0"/>
                <w:sz w:val="21"/>
                <w:szCs w:val="21"/>
                <w:highlight w:val="none"/>
                <w:vertAlign w:val="superscript"/>
                <w:lang w:bidi="ar"/>
              </w:rPr>
              <w:t>2-</w:t>
            </w:r>
          </w:p>
        </w:tc>
        <w:tc>
          <w:tcPr>
            <w:tcW w:w="1135"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c>
          <w:tcPr>
            <w:tcW w:w="1135"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c>
          <w:tcPr>
            <w:tcW w:w="1135"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c>
          <w:tcPr>
            <w:tcW w:w="1135"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c>
          <w:tcPr>
            <w:tcW w:w="1135"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r>
      <w:tr>
        <w:tblPrEx>
          <w:tblCellMar>
            <w:top w:w="0" w:type="dxa"/>
            <w:left w:w="108" w:type="dxa"/>
            <w:bottom w:w="0" w:type="dxa"/>
            <w:right w:w="108" w:type="dxa"/>
          </w:tblCellMar>
        </w:tblPrEx>
        <w:trPr>
          <w:trHeight w:val="340" w:hRule="atLeast"/>
        </w:trPr>
        <w:tc>
          <w:tcPr>
            <w:tcW w:w="1101"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25</w:t>
            </w:r>
          </w:p>
        </w:tc>
        <w:tc>
          <w:tcPr>
            <w:tcW w:w="1501"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bidi="ar"/>
              </w:rPr>
              <w:t>HCO</w:t>
            </w:r>
            <w:r>
              <w:rPr>
                <w:rFonts w:hint="default" w:ascii="Times New Roman" w:hAnsi="Times New Roman" w:eastAsia="宋体" w:cs="Times New Roman"/>
                <w:color w:val="auto"/>
                <w:kern w:val="0"/>
                <w:sz w:val="21"/>
                <w:szCs w:val="21"/>
                <w:highlight w:val="none"/>
                <w:vertAlign w:val="subscript"/>
                <w:lang w:bidi="ar"/>
              </w:rPr>
              <w:t>3</w:t>
            </w:r>
            <w:r>
              <w:rPr>
                <w:rFonts w:hint="default" w:ascii="Times New Roman" w:hAnsi="Times New Roman" w:eastAsia="宋体" w:cs="Times New Roman"/>
                <w:color w:val="auto"/>
                <w:kern w:val="0"/>
                <w:sz w:val="21"/>
                <w:szCs w:val="21"/>
                <w:highlight w:val="none"/>
                <w:vertAlign w:val="superscript"/>
                <w:lang w:bidi="ar"/>
              </w:rPr>
              <w:t>-</w:t>
            </w:r>
          </w:p>
        </w:tc>
        <w:tc>
          <w:tcPr>
            <w:tcW w:w="1135"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c>
          <w:tcPr>
            <w:tcW w:w="1135"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c>
          <w:tcPr>
            <w:tcW w:w="1135"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c>
          <w:tcPr>
            <w:tcW w:w="1135"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c>
          <w:tcPr>
            <w:tcW w:w="1135"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r>
    </w:tbl>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sz w:val="24"/>
          <w:szCs w:val="32"/>
          <w:highlight w:val="none"/>
          <w:lang w:eastAsia="zh-CN"/>
        </w:rPr>
      </w:pPr>
      <w:bookmarkStart w:id="830" w:name="_Toc9143"/>
      <w:r>
        <w:rPr>
          <w:rFonts w:hint="default" w:ascii="Times New Roman" w:hAnsi="Times New Roman" w:eastAsia="宋体" w:cs="Times New Roman"/>
          <w:color w:val="auto"/>
          <w:sz w:val="24"/>
          <w:szCs w:val="32"/>
          <w:highlight w:val="none"/>
        </w:rPr>
        <w:t>地下水化学类型</w:t>
      </w:r>
      <w:bookmarkEnd w:id="830"/>
      <w:r>
        <w:rPr>
          <w:rFonts w:hint="default" w:ascii="Times New Roman" w:hAnsi="Times New Roman" w:eastAsia="宋体" w:cs="Times New Roman"/>
          <w:color w:val="auto"/>
          <w:sz w:val="24"/>
          <w:szCs w:val="32"/>
          <w:highlight w:val="none"/>
          <w:lang w:eastAsia="zh-CN"/>
        </w:rPr>
        <w:t>：</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目前地下水化学类型分类以舒卡列夫分类方法应用最为广泛</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本次采用舒卡列夫方法进行地下水化学分类。根据地下水中主要的八种离子</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Cl</w:t>
      </w:r>
      <w:r>
        <w:rPr>
          <w:rFonts w:hint="default" w:ascii="Times New Roman" w:hAnsi="Times New Roman" w:eastAsia="宋体" w:cs="Times New Roman"/>
          <w:color w:val="auto"/>
          <w:sz w:val="24"/>
          <w:szCs w:val="24"/>
          <w:highlight w:val="none"/>
          <w:vertAlign w:val="superscript"/>
        </w:rPr>
        <w:t>-</w:t>
      </w:r>
      <w:r>
        <w:rPr>
          <w:rFonts w:hint="default" w:ascii="Times New Roman" w:hAnsi="Times New Roman" w:eastAsia="宋体" w:cs="Times New Roman"/>
          <w:color w:val="auto"/>
          <w:sz w:val="24"/>
          <w:szCs w:val="24"/>
          <w:highlight w:val="none"/>
        </w:rPr>
        <w:t>、SO</w:t>
      </w:r>
      <w:r>
        <w:rPr>
          <w:rFonts w:hint="default" w:ascii="Times New Roman" w:hAnsi="Times New Roman" w:eastAsia="宋体" w:cs="Times New Roman"/>
          <w:color w:val="auto"/>
          <w:sz w:val="24"/>
          <w:szCs w:val="24"/>
          <w:highlight w:val="none"/>
          <w:vertAlign w:val="subscript"/>
        </w:rPr>
        <w:t>4</w:t>
      </w:r>
      <w:r>
        <w:rPr>
          <w:rFonts w:hint="default" w:ascii="Times New Roman" w:hAnsi="Times New Roman" w:eastAsia="宋体" w:cs="Times New Roman"/>
          <w:color w:val="auto"/>
          <w:sz w:val="24"/>
          <w:szCs w:val="24"/>
          <w:highlight w:val="none"/>
          <w:vertAlign w:val="superscript"/>
        </w:rPr>
        <w:t>2-</w:t>
      </w:r>
      <w:r>
        <w:rPr>
          <w:rFonts w:hint="default" w:ascii="Times New Roman" w:hAnsi="Times New Roman" w:eastAsia="宋体" w:cs="Times New Roman"/>
          <w:color w:val="auto"/>
          <w:sz w:val="24"/>
          <w:szCs w:val="24"/>
          <w:highlight w:val="none"/>
        </w:rPr>
        <w:t>、CO</w:t>
      </w:r>
      <w:r>
        <w:rPr>
          <w:rFonts w:hint="default" w:ascii="Times New Roman" w:hAnsi="Times New Roman" w:eastAsia="宋体" w:cs="Times New Roman"/>
          <w:color w:val="auto"/>
          <w:sz w:val="24"/>
          <w:szCs w:val="24"/>
          <w:highlight w:val="none"/>
          <w:vertAlign w:val="subscript"/>
        </w:rPr>
        <w:t>3</w:t>
      </w:r>
      <w:r>
        <w:rPr>
          <w:rFonts w:hint="default" w:ascii="Times New Roman" w:hAnsi="Times New Roman" w:eastAsia="宋体" w:cs="Times New Roman"/>
          <w:color w:val="auto"/>
          <w:sz w:val="24"/>
          <w:szCs w:val="24"/>
          <w:highlight w:val="none"/>
          <w:vertAlign w:val="superscript"/>
        </w:rPr>
        <w:t>2-</w:t>
      </w:r>
      <w:r>
        <w:rPr>
          <w:rFonts w:hint="default" w:ascii="Times New Roman" w:hAnsi="Times New Roman" w:eastAsia="宋体" w:cs="Times New Roman"/>
          <w:color w:val="auto"/>
          <w:sz w:val="24"/>
          <w:szCs w:val="24"/>
          <w:highlight w:val="none"/>
        </w:rPr>
        <w:t>、HCO</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、K</w:t>
      </w:r>
      <w:r>
        <w:rPr>
          <w:rFonts w:hint="default" w:ascii="Times New Roman" w:hAnsi="Times New Roman" w:eastAsia="宋体" w:cs="Times New Roman"/>
          <w:color w:val="auto"/>
          <w:sz w:val="24"/>
          <w:szCs w:val="24"/>
          <w:highlight w:val="none"/>
          <w:vertAlign w:val="superscript"/>
        </w:rPr>
        <w:t>+</w:t>
      </w:r>
      <w:r>
        <w:rPr>
          <w:rFonts w:hint="default" w:ascii="Times New Roman" w:hAnsi="Times New Roman" w:eastAsia="宋体" w:cs="Times New Roman"/>
          <w:color w:val="auto"/>
          <w:sz w:val="24"/>
          <w:szCs w:val="24"/>
          <w:highlight w:val="none"/>
        </w:rPr>
        <w:t>、Na</w:t>
      </w:r>
      <w:r>
        <w:rPr>
          <w:rFonts w:hint="default" w:ascii="Times New Roman" w:hAnsi="Times New Roman" w:eastAsia="宋体" w:cs="Times New Roman"/>
          <w:color w:val="auto"/>
          <w:sz w:val="24"/>
          <w:szCs w:val="24"/>
          <w:highlight w:val="none"/>
          <w:vertAlign w:val="superscript"/>
        </w:rPr>
        <w:t>+</w:t>
      </w:r>
      <w:r>
        <w:rPr>
          <w:rFonts w:hint="default" w:ascii="Times New Roman" w:hAnsi="Times New Roman" w:eastAsia="宋体" w:cs="Times New Roman"/>
          <w:color w:val="auto"/>
          <w:sz w:val="24"/>
          <w:szCs w:val="24"/>
          <w:highlight w:val="none"/>
        </w:rPr>
        <w:t>、Ca</w:t>
      </w:r>
      <w:r>
        <w:rPr>
          <w:rFonts w:hint="default" w:ascii="Times New Roman" w:hAnsi="Times New Roman" w:eastAsia="宋体" w:cs="Times New Roman"/>
          <w:color w:val="auto"/>
          <w:sz w:val="24"/>
          <w:szCs w:val="24"/>
          <w:highlight w:val="none"/>
          <w:vertAlign w:val="superscript"/>
        </w:rPr>
        <w:t>2+</w:t>
      </w:r>
      <w:r>
        <w:rPr>
          <w:rFonts w:hint="default" w:ascii="Times New Roman" w:hAnsi="Times New Roman" w:eastAsia="宋体" w:cs="Times New Roman"/>
          <w:color w:val="auto"/>
          <w:sz w:val="24"/>
          <w:szCs w:val="24"/>
          <w:highlight w:val="none"/>
        </w:rPr>
        <w:t>、Mg</w:t>
      </w:r>
      <w:r>
        <w:rPr>
          <w:rFonts w:hint="default" w:ascii="Times New Roman" w:hAnsi="Times New Roman" w:eastAsia="宋体" w:cs="Times New Roman"/>
          <w:color w:val="auto"/>
          <w:sz w:val="24"/>
          <w:szCs w:val="24"/>
          <w:highlight w:val="none"/>
          <w:vertAlign w:val="superscript"/>
        </w:rPr>
        <w:t>2+</w:t>
      </w:r>
      <w:r>
        <w:rPr>
          <w:rFonts w:hint="default" w:ascii="Times New Roman" w:hAnsi="Times New Roman" w:eastAsia="宋体" w:cs="Times New Roman"/>
          <w:color w:val="auto"/>
          <w:sz w:val="24"/>
          <w:szCs w:val="24"/>
          <w:highlight w:val="none"/>
        </w:rPr>
        <w:t>（K</w:t>
      </w:r>
      <w:r>
        <w:rPr>
          <w:rFonts w:hint="default" w:ascii="Times New Roman" w:hAnsi="Times New Roman" w:eastAsia="宋体" w:cs="Times New Roman"/>
          <w:color w:val="auto"/>
          <w:sz w:val="24"/>
          <w:szCs w:val="24"/>
          <w:highlight w:val="none"/>
          <w:vertAlign w:val="superscript"/>
        </w:rPr>
        <w:t>+</w:t>
      </w:r>
      <w:r>
        <w:rPr>
          <w:rFonts w:hint="default" w:ascii="Times New Roman" w:hAnsi="Times New Roman" w:eastAsia="宋体" w:cs="Times New Roman"/>
          <w:color w:val="auto"/>
          <w:sz w:val="24"/>
          <w:szCs w:val="24"/>
          <w:highlight w:val="none"/>
        </w:rPr>
        <w:t>与Na</w:t>
      </w:r>
      <w:r>
        <w:rPr>
          <w:rFonts w:hint="default" w:ascii="Times New Roman" w:hAnsi="Times New Roman" w:eastAsia="宋体" w:cs="Times New Roman"/>
          <w:color w:val="auto"/>
          <w:sz w:val="24"/>
          <w:szCs w:val="24"/>
          <w:highlight w:val="none"/>
          <w:vertAlign w:val="superscript"/>
        </w:rPr>
        <w:t>+</w:t>
      </w:r>
      <w:r>
        <w:rPr>
          <w:rFonts w:hint="default" w:ascii="Times New Roman" w:hAnsi="Times New Roman" w:eastAsia="宋体" w:cs="Times New Roman"/>
          <w:color w:val="auto"/>
          <w:sz w:val="24"/>
          <w:szCs w:val="24"/>
          <w:highlight w:val="none"/>
        </w:rPr>
        <w:t>合并计算</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将摩尔分数大于25%的阴离子和阳离子进行组合</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将调查区划分成1种类型地下水。利用水质监测数据计算阴、阳离子的当量浓度</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根据计算结果</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项目区地下水八大离子基本平衡</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见表5-1</w:t>
      </w:r>
      <w:r>
        <w:rPr>
          <w:rFonts w:hint="default"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地下水化学类型为Ca-HCO</w:t>
      </w:r>
      <w:r>
        <w:rPr>
          <w:rFonts w:hint="default" w:ascii="Times New Roman" w:hAnsi="Times New Roman" w:eastAsia="宋体" w:cs="Times New Roman"/>
          <w:color w:val="auto"/>
          <w:sz w:val="24"/>
          <w:szCs w:val="24"/>
          <w:highlight w:val="none"/>
          <w:vertAlign w:val="subscript"/>
        </w:rPr>
        <w:t>3</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kern w:val="0"/>
          <w:sz w:val="24"/>
          <w:szCs w:val="24"/>
          <w:highlight w:val="none"/>
          <w:lang w:bidi="ar"/>
        </w:rPr>
        <w:t>SO</w:t>
      </w:r>
      <w:r>
        <w:rPr>
          <w:rStyle w:val="514"/>
          <w:rFonts w:hint="default" w:ascii="Times New Roman" w:hAnsi="Times New Roman" w:eastAsia="宋体" w:cs="Times New Roman"/>
          <w:color w:val="auto"/>
          <w:sz w:val="24"/>
          <w:szCs w:val="24"/>
          <w:highlight w:val="none"/>
          <w:lang w:bidi="ar"/>
        </w:rPr>
        <w:t>4</w:t>
      </w:r>
      <w:r>
        <w:rPr>
          <w:rFonts w:hint="default" w:ascii="Times New Roman" w:hAnsi="Times New Roman" w:eastAsia="宋体" w:cs="Times New Roman"/>
          <w:color w:val="auto"/>
          <w:sz w:val="24"/>
          <w:szCs w:val="24"/>
          <w:highlight w:val="none"/>
        </w:rPr>
        <w:t>型</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见表5-1</w:t>
      </w:r>
      <w:r>
        <w:rPr>
          <w:rFonts w:hint="default" w:ascii="Times New Roman" w:hAnsi="Times New Roman" w:eastAsia="宋体"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rPr>
        <w:t>。</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2" w:firstLineChars="200"/>
        <w:jc w:val="center"/>
        <w:textAlignment w:val="auto"/>
        <w:rPr>
          <w:rFonts w:hint="default" w:ascii="Times New Roman" w:hAnsi="Times New Roman" w:eastAsia="宋体" w:cs="Times New Roman"/>
          <w:b/>
          <w:bCs/>
          <w:color w:val="auto"/>
          <w:sz w:val="22"/>
          <w:szCs w:val="28"/>
          <w:highlight w:val="none"/>
        </w:rPr>
      </w:pPr>
      <w:r>
        <w:rPr>
          <w:rFonts w:hint="default" w:ascii="Times New Roman" w:hAnsi="Times New Roman" w:eastAsia="宋体" w:cs="Times New Roman"/>
          <w:b/>
          <w:bCs/>
          <w:color w:val="auto"/>
          <w:sz w:val="24"/>
          <w:szCs w:val="24"/>
          <w:highlight w:val="none"/>
        </w:rPr>
        <w:t>表5-1</w:t>
      </w:r>
      <w:r>
        <w:rPr>
          <w:rFonts w:hint="default" w:ascii="Times New Roman" w:hAnsi="Times New Roman" w:eastAsia="宋体" w:cs="Times New Roman"/>
          <w:b/>
          <w:bCs/>
          <w:color w:val="auto"/>
          <w:sz w:val="24"/>
          <w:szCs w:val="24"/>
          <w:highlight w:val="none"/>
          <w:lang w:val="en-US" w:eastAsia="zh-CN"/>
        </w:rPr>
        <w:t>2</w:t>
      </w:r>
      <w:r>
        <w:rPr>
          <w:rFonts w:hint="default" w:ascii="Times New Roman" w:hAnsi="Times New Roman" w:eastAsia="宋体" w:cs="Times New Roman"/>
          <w:b/>
          <w:bCs/>
          <w:color w:val="auto"/>
          <w:sz w:val="24"/>
          <w:szCs w:val="24"/>
          <w:highlight w:val="none"/>
        </w:rPr>
        <w:t>地下水阴阳离子平衡检验结果表</w:t>
      </w:r>
    </w:p>
    <w:tbl>
      <w:tblPr>
        <w:tblStyle w:val="54"/>
        <w:tblW w:w="8504" w:type="dxa"/>
        <w:tblInd w:w="96" w:type="dxa"/>
        <w:tblLayout w:type="autofit"/>
        <w:tblCellMar>
          <w:top w:w="0" w:type="dxa"/>
          <w:left w:w="108" w:type="dxa"/>
          <w:bottom w:w="0" w:type="dxa"/>
          <w:right w:w="108" w:type="dxa"/>
        </w:tblCellMar>
      </w:tblPr>
      <w:tblGrid>
        <w:gridCol w:w="665"/>
        <w:gridCol w:w="1240"/>
        <w:gridCol w:w="1313"/>
        <w:gridCol w:w="1313"/>
        <w:gridCol w:w="1330"/>
        <w:gridCol w:w="1330"/>
        <w:gridCol w:w="1313"/>
      </w:tblGrid>
      <w:tr>
        <w:tblPrEx>
          <w:tblCellMar>
            <w:top w:w="0" w:type="dxa"/>
            <w:left w:w="108" w:type="dxa"/>
            <w:bottom w:w="0" w:type="dxa"/>
            <w:right w:w="108" w:type="dxa"/>
          </w:tblCellMar>
        </w:tblPrEx>
        <w:trPr>
          <w:trHeight w:val="340" w:hRule="atLeast"/>
        </w:trPr>
        <w:tc>
          <w:tcPr>
            <w:tcW w:w="756"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序号</w:t>
            </w:r>
          </w:p>
        </w:tc>
        <w:tc>
          <w:tcPr>
            <w:tcW w:w="1418"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检测指标</w:t>
            </w:r>
          </w:p>
        </w:tc>
        <w:tc>
          <w:tcPr>
            <w:tcW w:w="1261"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kern w:val="0"/>
                <w:sz w:val="21"/>
                <w:szCs w:val="21"/>
                <w:highlight w:val="none"/>
                <w:lang w:bidi="ar"/>
              </w:rPr>
              <w:t>1#（mmol/L</w:t>
            </w:r>
            <w:r>
              <w:rPr>
                <w:rFonts w:hint="default" w:ascii="Times New Roman" w:hAnsi="Times New Roman" w:eastAsia="宋体" w:cs="Times New Roman"/>
                <w:color w:val="auto"/>
                <w:kern w:val="0"/>
                <w:sz w:val="21"/>
                <w:szCs w:val="21"/>
                <w:highlight w:val="none"/>
                <w:lang w:eastAsia="zh-CN" w:bidi="ar"/>
              </w:rPr>
              <w:t>）</w:t>
            </w:r>
          </w:p>
        </w:tc>
        <w:tc>
          <w:tcPr>
            <w:tcW w:w="1261"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kern w:val="0"/>
                <w:sz w:val="21"/>
                <w:szCs w:val="21"/>
                <w:highlight w:val="none"/>
                <w:lang w:bidi="ar"/>
              </w:rPr>
              <w:t>2#（mmol/L</w:t>
            </w:r>
            <w:r>
              <w:rPr>
                <w:rFonts w:hint="default" w:ascii="Times New Roman" w:hAnsi="Times New Roman" w:eastAsia="宋体" w:cs="Times New Roman"/>
                <w:color w:val="auto"/>
                <w:kern w:val="0"/>
                <w:sz w:val="21"/>
                <w:szCs w:val="21"/>
                <w:highlight w:val="none"/>
                <w:lang w:eastAsia="zh-CN" w:bidi="ar"/>
              </w:rPr>
              <w:t>）</w:t>
            </w:r>
          </w:p>
        </w:tc>
        <w:tc>
          <w:tcPr>
            <w:tcW w:w="1336"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kern w:val="0"/>
                <w:sz w:val="21"/>
                <w:szCs w:val="21"/>
                <w:highlight w:val="none"/>
                <w:lang w:bidi="ar"/>
              </w:rPr>
              <w:t>3#（mmol/L</w:t>
            </w:r>
            <w:r>
              <w:rPr>
                <w:rFonts w:hint="default" w:ascii="Times New Roman" w:hAnsi="Times New Roman" w:eastAsia="宋体" w:cs="Times New Roman"/>
                <w:color w:val="auto"/>
                <w:kern w:val="0"/>
                <w:sz w:val="21"/>
                <w:szCs w:val="21"/>
                <w:highlight w:val="none"/>
                <w:lang w:eastAsia="zh-CN" w:bidi="ar"/>
              </w:rPr>
              <w:t>）</w:t>
            </w:r>
          </w:p>
        </w:tc>
        <w:tc>
          <w:tcPr>
            <w:tcW w:w="1336"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kern w:val="0"/>
                <w:sz w:val="21"/>
                <w:szCs w:val="21"/>
                <w:highlight w:val="none"/>
                <w:lang w:bidi="ar"/>
              </w:rPr>
              <w:t>4#（mmol/L</w:t>
            </w:r>
            <w:r>
              <w:rPr>
                <w:rFonts w:hint="default" w:ascii="Times New Roman" w:hAnsi="Times New Roman" w:eastAsia="宋体" w:cs="Times New Roman"/>
                <w:color w:val="auto"/>
                <w:kern w:val="0"/>
                <w:sz w:val="21"/>
                <w:szCs w:val="21"/>
                <w:highlight w:val="none"/>
                <w:lang w:eastAsia="zh-CN" w:bidi="ar"/>
              </w:rPr>
              <w:t>）</w:t>
            </w:r>
          </w:p>
        </w:tc>
        <w:tc>
          <w:tcPr>
            <w:tcW w:w="1261"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kern w:val="0"/>
                <w:sz w:val="21"/>
                <w:szCs w:val="21"/>
                <w:highlight w:val="none"/>
                <w:lang w:bidi="ar"/>
              </w:rPr>
              <w:t>5#（mmol/L</w:t>
            </w:r>
            <w:r>
              <w:rPr>
                <w:rFonts w:hint="default" w:ascii="Times New Roman" w:hAnsi="Times New Roman" w:eastAsia="宋体" w:cs="Times New Roman"/>
                <w:color w:val="auto"/>
                <w:kern w:val="0"/>
                <w:sz w:val="21"/>
                <w:szCs w:val="21"/>
                <w:highlight w:val="none"/>
                <w:lang w:eastAsia="zh-CN" w:bidi="ar"/>
              </w:rPr>
              <w:t>）</w:t>
            </w:r>
          </w:p>
        </w:tc>
      </w:tr>
      <w:tr>
        <w:tblPrEx>
          <w:tblCellMar>
            <w:top w:w="0" w:type="dxa"/>
            <w:left w:w="108" w:type="dxa"/>
            <w:bottom w:w="0" w:type="dxa"/>
            <w:right w:w="108" w:type="dxa"/>
          </w:tblCellMar>
        </w:tblPrEx>
        <w:trPr>
          <w:trHeight w:val="340" w:hRule="atLeast"/>
        </w:trPr>
        <w:tc>
          <w:tcPr>
            <w:tcW w:w="756"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1</w:t>
            </w:r>
          </w:p>
        </w:tc>
        <w:tc>
          <w:tcPr>
            <w:tcW w:w="1418"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K</w:t>
            </w:r>
            <w:r>
              <w:rPr>
                <w:rFonts w:hint="default" w:ascii="Times New Roman" w:hAnsi="Times New Roman" w:eastAsia="宋体" w:cs="Times New Roman"/>
                <w:color w:val="auto"/>
                <w:kern w:val="0"/>
                <w:sz w:val="21"/>
                <w:szCs w:val="21"/>
                <w:highlight w:val="none"/>
                <w:vertAlign w:val="superscript"/>
                <w:lang w:bidi="ar"/>
              </w:rPr>
              <w:t>+</w:t>
            </w:r>
          </w:p>
        </w:tc>
        <w:tc>
          <w:tcPr>
            <w:tcW w:w="1261"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0.19</w:t>
            </w:r>
          </w:p>
        </w:tc>
        <w:tc>
          <w:tcPr>
            <w:tcW w:w="1261"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0.28</w:t>
            </w:r>
          </w:p>
        </w:tc>
        <w:tc>
          <w:tcPr>
            <w:tcW w:w="1336"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0.28</w:t>
            </w:r>
          </w:p>
        </w:tc>
        <w:tc>
          <w:tcPr>
            <w:tcW w:w="1336"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0.25</w:t>
            </w:r>
          </w:p>
        </w:tc>
        <w:tc>
          <w:tcPr>
            <w:tcW w:w="1261"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0.17</w:t>
            </w:r>
          </w:p>
        </w:tc>
      </w:tr>
      <w:tr>
        <w:tblPrEx>
          <w:tblCellMar>
            <w:top w:w="0" w:type="dxa"/>
            <w:left w:w="108" w:type="dxa"/>
            <w:bottom w:w="0" w:type="dxa"/>
            <w:right w:w="108" w:type="dxa"/>
          </w:tblCellMar>
        </w:tblPrEx>
        <w:trPr>
          <w:trHeight w:val="340" w:hRule="atLeast"/>
        </w:trPr>
        <w:tc>
          <w:tcPr>
            <w:tcW w:w="756"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2</w:t>
            </w:r>
          </w:p>
        </w:tc>
        <w:tc>
          <w:tcPr>
            <w:tcW w:w="1418"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Na</w:t>
            </w:r>
            <w:r>
              <w:rPr>
                <w:rFonts w:hint="default" w:ascii="Times New Roman" w:hAnsi="Times New Roman" w:eastAsia="宋体" w:cs="Times New Roman"/>
                <w:color w:val="auto"/>
                <w:kern w:val="0"/>
                <w:sz w:val="21"/>
                <w:szCs w:val="21"/>
                <w:highlight w:val="none"/>
                <w:vertAlign w:val="superscript"/>
                <w:lang w:bidi="ar"/>
              </w:rPr>
              <w:t>+</w:t>
            </w:r>
          </w:p>
        </w:tc>
        <w:tc>
          <w:tcPr>
            <w:tcW w:w="1261"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1.10</w:t>
            </w:r>
          </w:p>
        </w:tc>
        <w:tc>
          <w:tcPr>
            <w:tcW w:w="1261"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1.36</w:t>
            </w:r>
          </w:p>
        </w:tc>
        <w:tc>
          <w:tcPr>
            <w:tcW w:w="1336"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1.35</w:t>
            </w:r>
          </w:p>
        </w:tc>
        <w:tc>
          <w:tcPr>
            <w:tcW w:w="1336"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1.40</w:t>
            </w:r>
          </w:p>
        </w:tc>
        <w:tc>
          <w:tcPr>
            <w:tcW w:w="1261"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0.93</w:t>
            </w:r>
          </w:p>
        </w:tc>
      </w:tr>
      <w:tr>
        <w:tblPrEx>
          <w:tblCellMar>
            <w:top w:w="0" w:type="dxa"/>
            <w:left w:w="108" w:type="dxa"/>
            <w:bottom w:w="0" w:type="dxa"/>
            <w:right w:w="108" w:type="dxa"/>
          </w:tblCellMar>
        </w:tblPrEx>
        <w:trPr>
          <w:trHeight w:val="340" w:hRule="atLeast"/>
        </w:trPr>
        <w:tc>
          <w:tcPr>
            <w:tcW w:w="756"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3</w:t>
            </w:r>
          </w:p>
        </w:tc>
        <w:tc>
          <w:tcPr>
            <w:tcW w:w="1418"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Ca</w:t>
            </w:r>
            <w:r>
              <w:rPr>
                <w:rFonts w:hint="default" w:ascii="Times New Roman" w:hAnsi="Times New Roman" w:eastAsia="宋体" w:cs="Times New Roman"/>
                <w:color w:val="auto"/>
                <w:kern w:val="0"/>
                <w:sz w:val="21"/>
                <w:szCs w:val="21"/>
                <w:highlight w:val="none"/>
                <w:vertAlign w:val="superscript"/>
                <w:lang w:bidi="ar"/>
              </w:rPr>
              <w:t>2+</w:t>
            </w:r>
          </w:p>
        </w:tc>
        <w:tc>
          <w:tcPr>
            <w:tcW w:w="1261"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5.39</w:t>
            </w:r>
          </w:p>
        </w:tc>
        <w:tc>
          <w:tcPr>
            <w:tcW w:w="1261"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6.84</w:t>
            </w:r>
          </w:p>
        </w:tc>
        <w:tc>
          <w:tcPr>
            <w:tcW w:w="1336"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6.79</w:t>
            </w:r>
          </w:p>
        </w:tc>
        <w:tc>
          <w:tcPr>
            <w:tcW w:w="1336"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6.54</w:t>
            </w:r>
          </w:p>
        </w:tc>
        <w:tc>
          <w:tcPr>
            <w:tcW w:w="1261"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5.04</w:t>
            </w:r>
          </w:p>
        </w:tc>
      </w:tr>
      <w:tr>
        <w:tblPrEx>
          <w:tblCellMar>
            <w:top w:w="0" w:type="dxa"/>
            <w:left w:w="108" w:type="dxa"/>
            <w:bottom w:w="0" w:type="dxa"/>
            <w:right w:w="108" w:type="dxa"/>
          </w:tblCellMar>
        </w:tblPrEx>
        <w:trPr>
          <w:trHeight w:val="340" w:hRule="atLeast"/>
        </w:trPr>
        <w:tc>
          <w:tcPr>
            <w:tcW w:w="756"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4</w:t>
            </w:r>
          </w:p>
        </w:tc>
        <w:tc>
          <w:tcPr>
            <w:tcW w:w="1418"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Mg</w:t>
            </w:r>
            <w:r>
              <w:rPr>
                <w:rFonts w:hint="default" w:ascii="Times New Roman" w:hAnsi="Times New Roman" w:eastAsia="宋体" w:cs="Times New Roman"/>
                <w:color w:val="auto"/>
                <w:kern w:val="0"/>
                <w:sz w:val="21"/>
                <w:szCs w:val="21"/>
                <w:highlight w:val="none"/>
                <w:vertAlign w:val="superscript"/>
                <w:lang w:bidi="ar"/>
              </w:rPr>
              <w:t>2+</w:t>
            </w:r>
          </w:p>
        </w:tc>
        <w:tc>
          <w:tcPr>
            <w:tcW w:w="1261"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1.19</w:t>
            </w:r>
          </w:p>
        </w:tc>
        <w:tc>
          <w:tcPr>
            <w:tcW w:w="1261"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1.41</w:t>
            </w:r>
          </w:p>
        </w:tc>
        <w:tc>
          <w:tcPr>
            <w:tcW w:w="1336"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1.39</w:t>
            </w:r>
          </w:p>
        </w:tc>
        <w:tc>
          <w:tcPr>
            <w:tcW w:w="1336"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1.33</w:t>
            </w:r>
          </w:p>
        </w:tc>
        <w:tc>
          <w:tcPr>
            <w:tcW w:w="1261"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1.08</w:t>
            </w:r>
          </w:p>
        </w:tc>
      </w:tr>
      <w:tr>
        <w:tblPrEx>
          <w:tblCellMar>
            <w:top w:w="0" w:type="dxa"/>
            <w:left w:w="108" w:type="dxa"/>
            <w:bottom w:w="0" w:type="dxa"/>
            <w:right w:w="108" w:type="dxa"/>
          </w:tblCellMar>
        </w:tblPrEx>
        <w:trPr>
          <w:trHeight w:val="340" w:hRule="atLeast"/>
        </w:trPr>
        <w:tc>
          <w:tcPr>
            <w:tcW w:w="756"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5</w:t>
            </w:r>
          </w:p>
        </w:tc>
        <w:tc>
          <w:tcPr>
            <w:tcW w:w="1418"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kern w:val="0"/>
                <w:sz w:val="21"/>
                <w:szCs w:val="21"/>
                <w:highlight w:val="none"/>
                <w:lang w:bidi="ar"/>
              </w:rPr>
              <w:t>氨氮（以N计</w:t>
            </w:r>
            <w:r>
              <w:rPr>
                <w:rFonts w:hint="default" w:ascii="Times New Roman" w:hAnsi="Times New Roman" w:eastAsia="宋体" w:cs="Times New Roman"/>
                <w:color w:val="auto"/>
                <w:kern w:val="0"/>
                <w:sz w:val="21"/>
                <w:szCs w:val="21"/>
                <w:highlight w:val="none"/>
                <w:lang w:eastAsia="zh-CN" w:bidi="ar"/>
              </w:rPr>
              <w:t>）</w:t>
            </w:r>
          </w:p>
        </w:tc>
        <w:tc>
          <w:tcPr>
            <w:tcW w:w="1261"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0.00</w:t>
            </w:r>
          </w:p>
        </w:tc>
        <w:tc>
          <w:tcPr>
            <w:tcW w:w="1261"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0.00</w:t>
            </w:r>
          </w:p>
        </w:tc>
        <w:tc>
          <w:tcPr>
            <w:tcW w:w="1336"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0.00</w:t>
            </w:r>
          </w:p>
        </w:tc>
        <w:tc>
          <w:tcPr>
            <w:tcW w:w="1336"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0.00</w:t>
            </w:r>
          </w:p>
        </w:tc>
        <w:tc>
          <w:tcPr>
            <w:tcW w:w="1261"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0.00</w:t>
            </w:r>
          </w:p>
        </w:tc>
      </w:tr>
      <w:tr>
        <w:tblPrEx>
          <w:tblCellMar>
            <w:top w:w="0" w:type="dxa"/>
            <w:left w:w="108" w:type="dxa"/>
            <w:bottom w:w="0" w:type="dxa"/>
            <w:right w:w="108" w:type="dxa"/>
          </w:tblCellMar>
        </w:tblPrEx>
        <w:trPr>
          <w:trHeight w:val="340" w:hRule="atLeast"/>
        </w:trPr>
        <w:tc>
          <w:tcPr>
            <w:tcW w:w="2174" w:type="dxa"/>
            <w:gridSpan w:val="2"/>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阳离子合计</w:t>
            </w:r>
          </w:p>
        </w:tc>
        <w:tc>
          <w:tcPr>
            <w:tcW w:w="1261"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7.88</w:t>
            </w:r>
          </w:p>
        </w:tc>
        <w:tc>
          <w:tcPr>
            <w:tcW w:w="1261"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9.88</w:t>
            </w:r>
          </w:p>
        </w:tc>
        <w:tc>
          <w:tcPr>
            <w:tcW w:w="1336"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9.80</w:t>
            </w:r>
          </w:p>
        </w:tc>
        <w:tc>
          <w:tcPr>
            <w:tcW w:w="1336"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9.51</w:t>
            </w:r>
          </w:p>
        </w:tc>
        <w:tc>
          <w:tcPr>
            <w:tcW w:w="1261"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7.22</w:t>
            </w:r>
          </w:p>
        </w:tc>
      </w:tr>
      <w:tr>
        <w:tblPrEx>
          <w:tblCellMar>
            <w:top w:w="0" w:type="dxa"/>
            <w:left w:w="108" w:type="dxa"/>
            <w:bottom w:w="0" w:type="dxa"/>
            <w:right w:w="108" w:type="dxa"/>
          </w:tblCellMar>
        </w:tblPrEx>
        <w:trPr>
          <w:trHeight w:val="340" w:hRule="atLeast"/>
        </w:trPr>
        <w:tc>
          <w:tcPr>
            <w:tcW w:w="756"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6</w:t>
            </w:r>
          </w:p>
        </w:tc>
        <w:tc>
          <w:tcPr>
            <w:tcW w:w="1418"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HCO</w:t>
            </w:r>
            <w:r>
              <w:rPr>
                <w:rFonts w:hint="default" w:ascii="Times New Roman" w:hAnsi="Times New Roman" w:eastAsia="宋体" w:cs="Times New Roman"/>
                <w:color w:val="auto"/>
                <w:kern w:val="0"/>
                <w:sz w:val="21"/>
                <w:szCs w:val="21"/>
                <w:highlight w:val="none"/>
                <w:vertAlign w:val="subscript"/>
                <w:lang w:bidi="ar"/>
              </w:rPr>
              <w:t>3</w:t>
            </w:r>
            <w:r>
              <w:rPr>
                <w:rFonts w:hint="default" w:ascii="Times New Roman" w:hAnsi="Times New Roman" w:eastAsia="宋体" w:cs="Times New Roman"/>
                <w:color w:val="auto"/>
                <w:kern w:val="0"/>
                <w:sz w:val="21"/>
                <w:szCs w:val="21"/>
                <w:highlight w:val="none"/>
                <w:vertAlign w:val="superscript"/>
                <w:lang w:bidi="ar"/>
              </w:rPr>
              <w:t>-</w:t>
            </w:r>
          </w:p>
        </w:tc>
        <w:tc>
          <w:tcPr>
            <w:tcW w:w="1261"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3.52</w:t>
            </w:r>
          </w:p>
        </w:tc>
        <w:tc>
          <w:tcPr>
            <w:tcW w:w="1261"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4.21</w:t>
            </w:r>
          </w:p>
        </w:tc>
        <w:tc>
          <w:tcPr>
            <w:tcW w:w="1336"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4.10</w:t>
            </w:r>
          </w:p>
        </w:tc>
        <w:tc>
          <w:tcPr>
            <w:tcW w:w="1336"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3.98</w:t>
            </w:r>
          </w:p>
        </w:tc>
        <w:tc>
          <w:tcPr>
            <w:tcW w:w="1261"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3.92</w:t>
            </w:r>
          </w:p>
        </w:tc>
      </w:tr>
      <w:tr>
        <w:tblPrEx>
          <w:tblCellMar>
            <w:top w:w="0" w:type="dxa"/>
            <w:left w:w="108" w:type="dxa"/>
            <w:bottom w:w="0" w:type="dxa"/>
            <w:right w:w="108" w:type="dxa"/>
          </w:tblCellMar>
        </w:tblPrEx>
        <w:trPr>
          <w:trHeight w:val="340" w:hRule="atLeast"/>
        </w:trPr>
        <w:tc>
          <w:tcPr>
            <w:tcW w:w="756"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7</w:t>
            </w:r>
          </w:p>
        </w:tc>
        <w:tc>
          <w:tcPr>
            <w:tcW w:w="1418"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CO</w:t>
            </w:r>
            <w:r>
              <w:rPr>
                <w:rFonts w:hint="default" w:ascii="Times New Roman" w:hAnsi="Times New Roman" w:eastAsia="宋体" w:cs="Times New Roman"/>
                <w:color w:val="auto"/>
                <w:kern w:val="0"/>
                <w:sz w:val="21"/>
                <w:szCs w:val="21"/>
                <w:highlight w:val="none"/>
                <w:vertAlign w:val="subscript"/>
                <w:lang w:bidi="ar"/>
              </w:rPr>
              <w:t>3</w:t>
            </w:r>
            <w:r>
              <w:rPr>
                <w:rFonts w:hint="default" w:ascii="Times New Roman" w:hAnsi="Times New Roman" w:eastAsia="宋体" w:cs="Times New Roman"/>
                <w:color w:val="auto"/>
                <w:kern w:val="0"/>
                <w:sz w:val="21"/>
                <w:szCs w:val="21"/>
                <w:highlight w:val="none"/>
                <w:vertAlign w:val="superscript"/>
                <w:lang w:bidi="ar"/>
              </w:rPr>
              <w:t>2-</w:t>
            </w:r>
          </w:p>
        </w:tc>
        <w:tc>
          <w:tcPr>
            <w:tcW w:w="1261"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0.00</w:t>
            </w:r>
          </w:p>
        </w:tc>
        <w:tc>
          <w:tcPr>
            <w:tcW w:w="1261"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0.00</w:t>
            </w:r>
          </w:p>
        </w:tc>
        <w:tc>
          <w:tcPr>
            <w:tcW w:w="1336"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0.00</w:t>
            </w:r>
          </w:p>
        </w:tc>
        <w:tc>
          <w:tcPr>
            <w:tcW w:w="1336"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0.00</w:t>
            </w:r>
          </w:p>
        </w:tc>
        <w:tc>
          <w:tcPr>
            <w:tcW w:w="1261"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0.00</w:t>
            </w:r>
          </w:p>
        </w:tc>
      </w:tr>
      <w:tr>
        <w:tblPrEx>
          <w:tblCellMar>
            <w:top w:w="0" w:type="dxa"/>
            <w:left w:w="108" w:type="dxa"/>
            <w:bottom w:w="0" w:type="dxa"/>
            <w:right w:w="108" w:type="dxa"/>
          </w:tblCellMar>
        </w:tblPrEx>
        <w:trPr>
          <w:trHeight w:val="340" w:hRule="atLeast"/>
        </w:trPr>
        <w:tc>
          <w:tcPr>
            <w:tcW w:w="756"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8</w:t>
            </w:r>
          </w:p>
        </w:tc>
        <w:tc>
          <w:tcPr>
            <w:tcW w:w="1418"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SO</w:t>
            </w:r>
            <w:r>
              <w:rPr>
                <w:rFonts w:hint="default" w:ascii="Times New Roman" w:hAnsi="Times New Roman" w:eastAsia="宋体" w:cs="Times New Roman"/>
                <w:color w:val="auto"/>
                <w:kern w:val="0"/>
                <w:sz w:val="21"/>
                <w:szCs w:val="21"/>
                <w:highlight w:val="none"/>
                <w:vertAlign w:val="subscript"/>
                <w:lang w:bidi="ar"/>
              </w:rPr>
              <w:t>4</w:t>
            </w:r>
            <w:r>
              <w:rPr>
                <w:rFonts w:hint="default" w:ascii="Times New Roman" w:hAnsi="Times New Roman" w:eastAsia="宋体" w:cs="Times New Roman"/>
                <w:color w:val="auto"/>
                <w:kern w:val="0"/>
                <w:sz w:val="21"/>
                <w:szCs w:val="21"/>
                <w:highlight w:val="none"/>
                <w:vertAlign w:val="superscript"/>
                <w:lang w:bidi="ar"/>
              </w:rPr>
              <w:t>2-</w:t>
            </w:r>
          </w:p>
        </w:tc>
        <w:tc>
          <w:tcPr>
            <w:tcW w:w="1261"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4.33</w:t>
            </w:r>
          </w:p>
        </w:tc>
        <w:tc>
          <w:tcPr>
            <w:tcW w:w="1261"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4.79</w:t>
            </w:r>
          </w:p>
        </w:tc>
        <w:tc>
          <w:tcPr>
            <w:tcW w:w="1336"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4.90</w:t>
            </w:r>
          </w:p>
        </w:tc>
        <w:tc>
          <w:tcPr>
            <w:tcW w:w="1336"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5.00</w:t>
            </w:r>
          </w:p>
        </w:tc>
        <w:tc>
          <w:tcPr>
            <w:tcW w:w="1261"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3.21</w:t>
            </w:r>
          </w:p>
        </w:tc>
      </w:tr>
      <w:tr>
        <w:tblPrEx>
          <w:tblCellMar>
            <w:top w:w="0" w:type="dxa"/>
            <w:left w:w="108" w:type="dxa"/>
            <w:bottom w:w="0" w:type="dxa"/>
            <w:right w:w="108" w:type="dxa"/>
          </w:tblCellMar>
        </w:tblPrEx>
        <w:trPr>
          <w:trHeight w:val="340" w:hRule="atLeast"/>
        </w:trPr>
        <w:tc>
          <w:tcPr>
            <w:tcW w:w="756"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9</w:t>
            </w:r>
          </w:p>
        </w:tc>
        <w:tc>
          <w:tcPr>
            <w:tcW w:w="1418"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CI</w:t>
            </w:r>
            <w:r>
              <w:rPr>
                <w:rFonts w:hint="default" w:ascii="Times New Roman" w:hAnsi="Times New Roman" w:eastAsia="宋体" w:cs="Times New Roman"/>
                <w:color w:val="auto"/>
                <w:kern w:val="0"/>
                <w:sz w:val="21"/>
                <w:szCs w:val="21"/>
                <w:highlight w:val="none"/>
                <w:vertAlign w:val="superscript"/>
                <w:lang w:bidi="ar"/>
              </w:rPr>
              <w:t>-</w:t>
            </w:r>
          </w:p>
        </w:tc>
        <w:tc>
          <w:tcPr>
            <w:tcW w:w="1261"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1.26</w:t>
            </w:r>
          </w:p>
        </w:tc>
        <w:tc>
          <w:tcPr>
            <w:tcW w:w="1261"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1.17</w:t>
            </w:r>
          </w:p>
        </w:tc>
        <w:tc>
          <w:tcPr>
            <w:tcW w:w="1336"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1.09</w:t>
            </w:r>
          </w:p>
        </w:tc>
        <w:tc>
          <w:tcPr>
            <w:tcW w:w="1336"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1.01</w:t>
            </w:r>
          </w:p>
        </w:tc>
        <w:tc>
          <w:tcPr>
            <w:tcW w:w="1261"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0.82</w:t>
            </w:r>
          </w:p>
        </w:tc>
      </w:tr>
      <w:tr>
        <w:tblPrEx>
          <w:tblCellMar>
            <w:top w:w="0" w:type="dxa"/>
            <w:left w:w="108" w:type="dxa"/>
            <w:bottom w:w="0" w:type="dxa"/>
            <w:right w:w="108" w:type="dxa"/>
          </w:tblCellMar>
        </w:tblPrEx>
        <w:trPr>
          <w:trHeight w:val="340" w:hRule="atLeast"/>
        </w:trPr>
        <w:tc>
          <w:tcPr>
            <w:tcW w:w="756"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10</w:t>
            </w:r>
          </w:p>
        </w:tc>
        <w:tc>
          <w:tcPr>
            <w:tcW w:w="1418"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kern w:val="0"/>
                <w:sz w:val="21"/>
                <w:szCs w:val="21"/>
                <w:highlight w:val="none"/>
                <w:lang w:bidi="ar"/>
              </w:rPr>
              <w:t>硝酸盐（以N计</w:t>
            </w:r>
            <w:r>
              <w:rPr>
                <w:rFonts w:hint="default" w:ascii="Times New Roman" w:hAnsi="Times New Roman" w:eastAsia="宋体" w:cs="Times New Roman"/>
                <w:color w:val="auto"/>
                <w:kern w:val="0"/>
                <w:sz w:val="21"/>
                <w:szCs w:val="21"/>
                <w:highlight w:val="none"/>
                <w:lang w:eastAsia="zh-CN" w:bidi="ar"/>
              </w:rPr>
              <w:t>）</w:t>
            </w:r>
          </w:p>
        </w:tc>
        <w:tc>
          <w:tcPr>
            <w:tcW w:w="1261"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1.07</w:t>
            </w:r>
          </w:p>
        </w:tc>
        <w:tc>
          <w:tcPr>
            <w:tcW w:w="1261"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0.99</w:t>
            </w:r>
          </w:p>
        </w:tc>
        <w:tc>
          <w:tcPr>
            <w:tcW w:w="1336"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0.96</w:t>
            </w:r>
          </w:p>
        </w:tc>
        <w:tc>
          <w:tcPr>
            <w:tcW w:w="1336"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1.04</w:t>
            </w:r>
          </w:p>
        </w:tc>
        <w:tc>
          <w:tcPr>
            <w:tcW w:w="1261"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1.35</w:t>
            </w:r>
          </w:p>
        </w:tc>
      </w:tr>
      <w:tr>
        <w:tblPrEx>
          <w:tblCellMar>
            <w:top w:w="0" w:type="dxa"/>
            <w:left w:w="108" w:type="dxa"/>
            <w:bottom w:w="0" w:type="dxa"/>
            <w:right w:w="108" w:type="dxa"/>
          </w:tblCellMar>
        </w:tblPrEx>
        <w:trPr>
          <w:trHeight w:val="340" w:hRule="atLeast"/>
        </w:trPr>
        <w:tc>
          <w:tcPr>
            <w:tcW w:w="2174" w:type="dxa"/>
            <w:gridSpan w:val="2"/>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阴离子合计</w:t>
            </w:r>
          </w:p>
        </w:tc>
        <w:tc>
          <w:tcPr>
            <w:tcW w:w="1261"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10.19</w:t>
            </w:r>
          </w:p>
        </w:tc>
        <w:tc>
          <w:tcPr>
            <w:tcW w:w="1261"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11.16</w:t>
            </w:r>
          </w:p>
        </w:tc>
        <w:tc>
          <w:tcPr>
            <w:tcW w:w="1336"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11.04</w:t>
            </w:r>
          </w:p>
        </w:tc>
        <w:tc>
          <w:tcPr>
            <w:tcW w:w="1336"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11.04</w:t>
            </w:r>
          </w:p>
        </w:tc>
        <w:tc>
          <w:tcPr>
            <w:tcW w:w="1261"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9.29</w:t>
            </w:r>
          </w:p>
        </w:tc>
      </w:tr>
      <w:tr>
        <w:tblPrEx>
          <w:tblCellMar>
            <w:top w:w="0" w:type="dxa"/>
            <w:left w:w="108" w:type="dxa"/>
            <w:bottom w:w="0" w:type="dxa"/>
            <w:right w:w="108" w:type="dxa"/>
          </w:tblCellMar>
        </w:tblPrEx>
        <w:trPr>
          <w:trHeight w:val="340" w:hRule="atLeast"/>
        </w:trPr>
        <w:tc>
          <w:tcPr>
            <w:tcW w:w="2174" w:type="dxa"/>
            <w:gridSpan w:val="2"/>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kern w:val="0"/>
                <w:sz w:val="21"/>
                <w:szCs w:val="21"/>
                <w:highlight w:val="none"/>
                <w:lang w:bidi="ar"/>
              </w:rPr>
              <w:t>阴阳离子相对误差</w:t>
            </w:r>
            <w:r>
              <w:rPr>
                <w:rFonts w:hint="default" w:ascii="Times New Roman" w:hAnsi="Times New Roman" w:eastAsia="宋体" w:cs="Times New Roman"/>
                <w:color w:val="auto"/>
                <w:kern w:val="0"/>
                <w:sz w:val="21"/>
                <w:szCs w:val="21"/>
                <w:highlight w:val="none"/>
                <w:lang w:eastAsia="zh-CN" w:bidi="ar"/>
              </w:rPr>
              <w:t>%</w:t>
            </w:r>
          </w:p>
        </w:tc>
        <w:tc>
          <w:tcPr>
            <w:tcW w:w="1261"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kern w:val="0"/>
                <w:sz w:val="21"/>
                <w:szCs w:val="21"/>
                <w:highlight w:val="none"/>
                <w:lang w:bidi="ar"/>
              </w:rPr>
              <w:t>12.79</w:t>
            </w:r>
          </w:p>
        </w:tc>
        <w:tc>
          <w:tcPr>
            <w:tcW w:w="1261"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kern w:val="0"/>
                <w:sz w:val="21"/>
                <w:szCs w:val="21"/>
                <w:highlight w:val="none"/>
                <w:lang w:bidi="ar"/>
              </w:rPr>
              <w:t>6.07</w:t>
            </w:r>
          </w:p>
        </w:tc>
        <w:tc>
          <w:tcPr>
            <w:tcW w:w="1336"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kern w:val="0"/>
                <w:sz w:val="21"/>
                <w:szCs w:val="21"/>
                <w:highlight w:val="none"/>
                <w:lang w:bidi="ar"/>
              </w:rPr>
              <w:t>5.95</w:t>
            </w:r>
          </w:p>
        </w:tc>
        <w:tc>
          <w:tcPr>
            <w:tcW w:w="1336"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kern w:val="0"/>
                <w:sz w:val="21"/>
                <w:szCs w:val="21"/>
                <w:highlight w:val="none"/>
                <w:lang w:bidi="ar"/>
              </w:rPr>
              <w:t>7.41</w:t>
            </w:r>
          </w:p>
        </w:tc>
        <w:tc>
          <w:tcPr>
            <w:tcW w:w="1261"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kern w:val="0"/>
                <w:sz w:val="21"/>
                <w:szCs w:val="21"/>
                <w:highlight w:val="none"/>
                <w:lang w:bidi="ar"/>
              </w:rPr>
              <w:t>12.57</w:t>
            </w:r>
          </w:p>
        </w:tc>
      </w:tr>
    </w:tbl>
    <w:p>
      <w:pPr>
        <w:pageBreakBefore w:val="0"/>
        <w:wordWrap/>
        <w:bidi w:val="0"/>
        <w:spacing w:line="360" w:lineRule="auto"/>
        <w:ind w:left="0" w:leftChars="0" w:right="0" w:rightChars="0"/>
        <w:jc w:val="center"/>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表5-1</w:t>
      </w:r>
      <w:r>
        <w:rPr>
          <w:rFonts w:hint="default" w:ascii="Times New Roman" w:hAnsi="Times New Roman" w:eastAsia="宋体" w:cs="Times New Roman"/>
          <w:b/>
          <w:bCs/>
          <w:color w:val="auto"/>
          <w:sz w:val="24"/>
          <w:szCs w:val="24"/>
          <w:highlight w:val="none"/>
          <w:lang w:val="en-US" w:eastAsia="zh-CN"/>
        </w:rPr>
        <w:t>3</w:t>
      </w:r>
      <w:r>
        <w:rPr>
          <w:rFonts w:hint="default" w:ascii="Times New Roman" w:hAnsi="Times New Roman" w:eastAsia="宋体" w:cs="Times New Roman"/>
          <w:b/>
          <w:bCs/>
          <w:color w:val="auto"/>
          <w:sz w:val="24"/>
          <w:szCs w:val="24"/>
          <w:highlight w:val="none"/>
        </w:rPr>
        <w:t>评价区地下水化学类型</w:t>
      </w:r>
    </w:p>
    <w:tbl>
      <w:tblPr>
        <w:tblStyle w:val="54"/>
        <w:tblW w:w="8504" w:type="dxa"/>
        <w:tblInd w:w="96" w:type="dxa"/>
        <w:tblLayout w:type="autofit"/>
        <w:tblCellMar>
          <w:top w:w="0" w:type="dxa"/>
          <w:left w:w="108" w:type="dxa"/>
          <w:bottom w:w="0" w:type="dxa"/>
          <w:right w:w="108" w:type="dxa"/>
        </w:tblCellMar>
      </w:tblPr>
      <w:tblGrid>
        <w:gridCol w:w="768"/>
        <w:gridCol w:w="1109"/>
        <w:gridCol w:w="1313"/>
        <w:gridCol w:w="1313"/>
        <w:gridCol w:w="1344"/>
        <w:gridCol w:w="1344"/>
        <w:gridCol w:w="1313"/>
      </w:tblGrid>
      <w:tr>
        <w:tblPrEx>
          <w:tblCellMar>
            <w:top w:w="0" w:type="dxa"/>
            <w:left w:w="108" w:type="dxa"/>
            <w:bottom w:w="0" w:type="dxa"/>
            <w:right w:w="108" w:type="dxa"/>
          </w:tblCellMar>
        </w:tblPrEx>
        <w:trPr>
          <w:trHeight w:val="340" w:hRule="atLeast"/>
        </w:trPr>
        <w:tc>
          <w:tcPr>
            <w:tcW w:w="972"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序号</w:t>
            </w:r>
          </w:p>
        </w:tc>
        <w:tc>
          <w:tcPr>
            <w:tcW w:w="1308"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检测指标</w:t>
            </w:r>
          </w:p>
        </w:tc>
        <w:tc>
          <w:tcPr>
            <w:tcW w:w="1236"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kern w:val="0"/>
                <w:sz w:val="21"/>
                <w:szCs w:val="21"/>
                <w:highlight w:val="none"/>
                <w:lang w:bidi="ar"/>
              </w:rPr>
              <w:t>1#（mmol/L</w:t>
            </w:r>
            <w:r>
              <w:rPr>
                <w:rFonts w:hint="default" w:ascii="Times New Roman" w:hAnsi="Times New Roman" w:eastAsia="宋体" w:cs="Times New Roman"/>
                <w:color w:val="auto"/>
                <w:kern w:val="0"/>
                <w:sz w:val="21"/>
                <w:szCs w:val="21"/>
                <w:highlight w:val="none"/>
                <w:lang w:eastAsia="zh-CN" w:bidi="ar"/>
              </w:rPr>
              <w:t>）</w:t>
            </w:r>
          </w:p>
        </w:tc>
        <w:tc>
          <w:tcPr>
            <w:tcW w:w="1224"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kern w:val="0"/>
                <w:sz w:val="21"/>
                <w:szCs w:val="21"/>
                <w:highlight w:val="none"/>
                <w:lang w:bidi="ar"/>
              </w:rPr>
              <w:t>2#（mmol/L</w:t>
            </w:r>
            <w:r>
              <w:rPr>
                <w:rFonts w:hint="default" w:ascii="Times New Roman" w:hAnsi="Times New Roman" w:eastAsia="宋体" w:cs="Times New Roman"/>
                <w:color w:val="auto"/>
                <w:kern w:val="0"/>
                <w:sz w:val="21"/>
                <w:szCs w:val="21"/>
                <w:highlight w:val="none"/>
                <w:lang w:eastAsia="zh-CN" w:bidi="ar"/>
              </w:rPr>
              <w:t>）</w:t>
            </w:r>
          </w:p>
        </w:tc>
        <w:tc>
          <w:tcPr>
            <w:tcW w:w="1344"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kern w:val="0"/>
                <w:sz w:val="21"/>
                <w:szCs w:val="21"/>
                <w:highlight w:val="none"/>
                <w:lang w:bidi="ar"/>
              </w:rPr>
              <w:t>3#（mmol/L</w:t>
            </w:r>
            <w:r>
              <w:rPr>
                <w:rFonts w:hint="default" w:ascii="Times New Roman" w:hAnsi="Times New Roman" w:eastAsia="宋体" w:cs="Times New Roman"/>
                <w:color w:val="auto"/>
                <w:kern w:val="0"/>
                <w:sz w:val="21"/>
                <w:szCs w:val="21"/>
                <w:highlight w:val="none"/>
                <w:lang w:eastAsia="zh-CN" w:bidi="ar"/>
              </w:rPr>
              <w:t>）</w:t>
            </w:r>
          </w:p>
        </w:tc>
        <w:tc>
          <w:tcPr>
            <w:tcW w:w="1344"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kern w:val="0"/>
                <w:sz w:val="21"/>
                <w:szCs w:val="21"/>
                <w:highlight w:val="none"/>
                <w:lang w:bidi="ar"/>
              </w:rPr>
              <w:t>4#（mmol/L</w:t>
            </w:r>
            <w:r>
              <w:rPr>
                <w:rFonts w:hint="default" w:ascii="Times New Roman" w:hAnsi="Times New Roman" w:eastAsia="宋体" w:cs="Times New Roman"/>
                <w:color w:val="auto"/>
                <w:kern w:val="0"/>
                <w:sz w:val="21"/>
                <w:szCs w:val="21"/>
                <w:highlight w:val="none"/>
                <w:lang w:eastAsia="zh-CN" w:bidi="ar"/>
              </w:rPr>
              <w:t>）</w:t>
            </w:r>
          </w:p>
        </w:tc>
        <w:tc>
          <w:tcPr>
            <w:tcW w:w="1200"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kern w:val="0"/>
                <w:sz w:val="21"/>
                <w:szCs w:val="21"/>
                <w:highlight w:val="none"/>
                <w:lang w:bidi="ar"/>
              </w:rPr>
              <w:t>5#（mmol/L</w:t>
            </w:r>
            <w:r>
              <w:rPr>
                <w:rFonts w:hint="default" w:ascii="Times New Roman" w:hAnsi="Times New Roman" w:eastAsia="宋体" w:cs="Times New Roman"/>
                <w:color w:val="auto"/>
                <w:kern w:val="0"/>
                <w:sz w:val="21"/>
                <w:szCs w:val="21"/>
                <w:highlight w:val="none"/>
                <w:lang w:eastAsia="zh-CN" w:bidi="ar"/>
              </w:rPr>
              <w:t>）</w:t>
            </w:r>
          </w:p>
        </w:tc>
      </w:tr>
      <w:tr>
        <w:tblPrEx>
          <w:tblCellMar>
            <w:top w:w="0" w:type="dxa"/>
            <w:left w:w="108" w:type="dxa"/>
            <w:bottom w:w="0" w:type="dxa"/>
            <w:right w:w="108" w:type="dxa"/>
          </w:tblCellMar>
        </w:tblPrEx>
        <w:trPr>
          <w:trHeight w:val="340" w:hRule="atLeast"/>
        </w:trPr>
        <w:tc>
          <w:tcPr>
            <w:tcW w:w="972"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1</w:t>
            </w:r>
          </w:p>
        </w:tc>
        <w:tc>
          <w:tcPr>
            <w:tcW w:w="1308"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K</w:t>
            </w:r>
            <w:r>
              <w:rPr>
                <w:rStyle w:val="512"/>
                <w:rFonts w:hint="default" w:ascii="Times New Roman" w:hAnsi="Times New Roman" w:eastAsia="宋体" w:cs="Times New Roman"/>
                <w:color w:val="auto"/>
                <w:sz w:val="21"/>
                <w:szCs w:val="21"/>
                <w:highlight w:val="none"/>
                <w:lang w:bidi="ar"/>
              </w:rPr>
              <w:t>+</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2.47</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2.85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2.82</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2.66</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2.32</w:t>
            </w:r>
          </w:p>
        </w:tc>
      </w:tr>
      <w:tr>
        <w:tblPrEx>
          <w:tblCellMar>
            <w:top w:w="0" w:type="dxa"/>
            <w:left w:w="108" w:type="dxa"/>
            <w:bottom w:w="0" w:type="dxa"/>
            <w:right w:w="108" w:type="dxa"/>
          </w:tblCellMar>
        </w:tblPrEx>
        <w:trPr>
          <w:trHeight w:val="340" w:hRule="atLeast"/>
        </w:trPr>
        <w:tc>
          <w:tcPr>
            <w:tcW w:w="972"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2</w:t>
            </w:r>
          </w:p>
        </w:tc>
        <w:tc>
          <w:tcPr>
            <w:tcW w:w="1308"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Na</w:t>
            </w:r>
            <w:r>
              <w:rPr>
                <w:rStyle w:val="512"/>
                <w:rFonts w:hint="default" w:ascii="Times New Roman" w:hAnsi="Times New Roman" w:eastAsia="宋体" w:cs="Times New Roman"/>
                <w:color w:val="auto"/>
                <w:sz w:val="21"/>
                <w:szCs w:val="21"/>
                <w:highlight w:val="none"/>
                <w:lang w:bidi="ar"/>
              </w:rPr>
              <w:t>+</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14.01</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13.73</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13.75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14.71</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12.95</w:t>
            </w:r>
          </w:p>
        </w:tc>
      </w:tr>
      <w:tr>
        <w:tblPrEx>
          <w:tblCellMar>
            <w:top w:w="0" w:type="dxa"/>
            <w:left w:w="108" w:type="dxa"/>
            <w:bottom w:w="0" w:type="dxa"/>
            <w:right w:w="108" w:type="dxa"/>
          </w:tblCellMar>
        </w:tblPrEx>
        <w:trPr>
          <w:trHeight w:val="340" w:hRule="atLeast"/>
        </w:trPr>
        <w:tc>
          <w:tcPr>
            <w:tcW w:w="972"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3</w:t>
            </w:r>
          </w:p>
        </w:tc>
        <w:tc>
          <w:tcPr>
            <w:tcW w:w="1308"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Ca</w:t>
            </w:r>
            <w:r>
              <w:rPr>
                <w:rStyle w:val="512"/>
                <w:rFonts w:hint="default" w:ascii="Times New Roman" w:hAnsi="Times New Roman" w:eastAsia="宋体" w:cs="Times New Roman"/>
                <w:color w:val="auto"/>
                <w:sz w:val="21"/>
                <w:szCs w:val="21"/>
                <w:highlight w:val="none"/>
                <w:lang w:bidi="ar"/>
              </w:rPr>
              <w:t>2+</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68.39</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69.18</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69.23</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68.70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69.83</w:t>
            </w:r>
          </w:p>
        </w:tc>
      </w:tr>
      <w:tr>
        <w:tblPrEx>
          <w:tblCellMar>
            <w:top w:w="0" w:type="dxa"/>
            <w:left w:w="108" w:type="dxa"/>
            <w:bottom w:w="0" w:type="dxa"/>
            <w:right w:w="108" w:type="dxa"/>
          </w:tblCellMar>
        </w:tblPrEx>
        <w:trPr>
          <w:trHeight w:val="340" w:hRule="atLeast"/>
        </w:trPr>
        <w:tc>
          <w:tcPr>
            <w:tcW w:w="972"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4</w:t>
            </w:r>
          </w:p>
        </w:tc>
        <w:tc>
          <w:tcPr>
            <w:tcW w:w="1308"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Mg</w:t>
            </w:r>
            <w:r>
              <w:rPr>
                <w:rStyle w:val="512"/>
                <w:rFonts w:hint="default" w:ascii="Times New Roman" w:hAnsi="Times New Roman" w:eastAsia="宋体" w:cs="Times New Roman"/>
                <w:color w:val="auto"/>
                <w:sz w:val="21"/>
                <w:szCs w:val="21"/>
                <w:highlight w:val="none"/>
                <w:lang w:bidi="ar"/>
              </w:rPr>
              <w:t>2+</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15.12</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14.25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14.20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13.93</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14.89</w:t>
            </w:r>
          </w:p>
        </w:tc>
      </w:tr>
      <w:tr>
        <w:tblPrEx>
          <w:tblCellMar>
            <w:top w:w="0" w:type="dxa"/>
            <w:left w:w="108" w:type="dxa"/>
            <w:bottom w:w="0" w:type="dxa"/>
            <w:right w:w="108" w:type="dxa"/>
          </w:tblCellMar>
        </w:tblPrEx>
        <w:trPr>
          <w:trHeight w:val="340" w:hRule="atLeast"/>
        </w:trPr>
        <w:tc>
          <w:tcPr>
            <w:tcW w:w="972"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5</w:t>
            </w:r>
          </w:p>
        </w:tc>
        <w:tc>
          <w:tcPr>
            <w:tcW w:w="1308"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kern w:val="0"/>
                <w:sz w:val="21"/>
                <w:szCs w:val="21"/>
                <w:highlight w:val="none"/>
                <w:lang w:bidi="ar"/>
              </w:rPr>
              <w:t>氨氮（以N计</w:t>
            </w:r>
            <w:r>
              <w:rPr>
                <w:rFonts w:hint="default" w:ascii="Times New Roman" w:hAnsi="Times New Roman" w:eastAsia="宋体" w:cs="Times New Roman"/>
                <w:color w:val="auto"/>
                <w:kern w:val="0"/>
                <w:sz w:val="21"/>
                <w:szCs w:val="21"/>
                <w:highlight w:val="none"/>
                <w:lang w:eastAsia="zh-CN" w:bidi="ar"/>
              </w:rPr>
              <w:t>）</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0.00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0.00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0.00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0.00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0.00</w:t>
            </w:r>
          </w:p>
        </w:tc>
      </w:tr>
      <w:tr>
        <w:tblPrEx>
          <w:tblCellMar>
            <w:top w:w="0" w:type="dxa"/>
            <w:left w:w="108" w:type="dxa"/>
            <w:bottom w:w="0" w:type="dxa"/>
            <w:right w:w="108" w:type="dxa"/>
          </w:tblCellMar>
        </w:tblPrEx>
        <w:trPr>
          <w:trHeight w:val="340" w:hRule="atLeast"/>
        </w:trPr>
        <w:tc>
          <w:tcPr>
            <w:tcW w:w="2280" w:type="dxa"/>
            <w:gridSpan w:val="2"/>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阳离子合计</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100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100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100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100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100</w:t>
            </w:r>
          </w:p>
        </w:tc>
      </w:tr>
      <w:tr>
        <w:tblPrEx>
          <w:tblCellMar>
            <w:top w:w="0" w:type="dxa"/>
            <w:left w:w="108" w:type="dxa"/>
            <w:bottom w:w="0" w:type="dxa"/>
            <w:right w:w="108" w:type="dxa"/>
          </w:tblCellMar>
        </w:tblPrEx>
        <w:trPr>
          <w:trHeight w:val="340" w:hRule="atLeast"/>
        </w:trPr>
        <w:tc>
          <w:tcPr>
            <w:tcW w:w="972"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6</w:t>
            </w:r>
          </w:p>
        </w:tc>
        <w:tc>
          <w:tcPr>
            <w:tcW w:w="1308"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HCO</w:t>
            </w:r>
            <w:r>
              <w:rPr>
                <w:rStyle w:val="513"/>
                <w:rFonts w:hint="default" w:ascii="Times New Roman" w:hAnsi="Times New Roman" w:eastAsia="宋体" w:cs="Times New Roman"/>
                <w:color w:val="auto"/>
                <w:sz w:val="21"/>
                <w:szCs w:val="21"/>
                <w:highlight w:val="none"/>
                <w:lang w:bidi="ar"/>
              </w:rPr>
              <w:t>3</w:t>
            </w:r>
            <w:r>
              <w:rPr>
                <w:rStyle w:val="512"/>
                <w:rFonts w:hint="default" w:ascii="Times New Roman" w:hAnsi="Times New Roman" w:eastAsia="宋体" w:cs="Times New Roman"/>
                <w:color w:val="auto"/>
                <w:sz w:val="21"/>
                <w:szCs w:val="21"/>
                <w:highlight w:val="none"/>
                <w:lang w:bidi="ar"/>
              </w:rPr>
              <w:t>-</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34.58</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37.75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37.12</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36.09</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42.16</w:t>
            </w:r>
          </w:p>
        </w:tc>
      </w:tr>
      <w:tr>
        <w:tblPrEx>
          <w:tblCellMar>
            <w:top w:w="0" w:type="dxa"/>
            <w:left w:w="108" w:type="dxa"/>
            <w:bottom w:w="0" w:type="dxa"/>
            <w:right w:w="108" w:type="dxa"/>
          </w:tblCellMar>
        </w:tblPrEx>
        <w:trPr>
          <w:trHeight w:val="340" w:hRule="atLeast"/>
        </w:trPr>
        <w:tc>
          <w:tcPr>
            <w:tcW w:w="972"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7</w:t>
            </w:r>
          </w:p>
        </w:tc>
        <w:tc>
          <w:tcPr>
            <w:tcW w:w="1308"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CO</w:t>
            </w:r>
            <w:r>
              <w:rPr>
                <w:rStyle w:val="513"/>
                <w:rFonts w:hint="default" w:ascii="Times New Roman" w:hAnsi="Times New Roman" w:eastAsia="宋体" w:cs="Times New Roman"/>
                <w:color w:val="auto"/>
                <w:sz w:val="21"/>
                <w:szCs w:val="21"/>
                <w:highlight w:val="none"/>
                <w:lang w:bidi="ar"/>
              </w:rPr>
              <w:t>3</w:t>
            </w:r>
            <w:r>
              <w:rPr>
                <w:rStyle w:val="512"/>
                <w:rFonts w:hint="default" w:ascii="Times New Roman" w:hAnsi="Times New Roman" w:eastAsia="宋体" w:cs="Times New Roman"/>
                <w:color w:val="auto"/>
                <w:sz w:val="21"/>
                <w:szCs w:val="21"/>
                <w:highlight w:val="none"/>
                <w:lang w:bidi="ar"/>
              </w:rPr>
              <w:t>2-</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0.00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0.00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0.00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0.00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0.00</w:t>
            </w:r>
          </w:p>
        </w:tc>
      </w:tr>
      <w:tr>
        <w:tblPrEx>
          <w:tblCellMar>
            <w:top w:w="0" w:type="dxa"/>
            <w:left w:w="108" w:type="dxa"/>
            <w:bottom w:w="0" w:type="dxa"/>
            <w:right w:w="108" w:type="dxa"/>
          </w:tblCellMar>
        </w:tblPrEx>
        <w:trPr>
          <w:trHeight w:val="340" w:hRule="atLeast"/>
        </w:trPr>
        <w:tc>
          <w:tcPr>
            <w:tcW w:w="972"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8</w:t>
            </w:r>
          </w:p>
        </w:tc>
        <w:tc>
          <w:tcPr>
            <w:tcW w:w="1308"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SO</w:t>
            </w:r>
            <w:r>
              <w:rPr>
                <w:rStyle w:val="513"/>
                <w:rFonts w:hint="default" w:ascii="Times New Roman" w:hAnsi="Times New Roman" w:eastAsia="宋体" w:cs="Times New Roman"/>
                <w:color w:val="auto"/>
                <w:sz w:val="21"/>
                <w:szCs w:val="21"/>
                <w:highlight w:val="none"/>
                <w:lang w:bidi="ar"/>
              </w:rPr>
              <w:t>4</w:t>
            </w:r>
            <w:r>
              <w:rPr>
                <w:rStyle w:val="512"/>
                <w:rFonts w:hint="default" w:ascii="Times New Roman" w:hAnsi="Times New Roman" w:eastAsia="宋体" w:cs="Times New Roman"/>
                <w:color w:val="auto"/>
                <w:sz w:val="21"/>
                <w:szCs w:val="21"/>
                <w:highlight w:val="none"/>
                <w:lang w:bidi="ar"/>
              </w:rPr>
              <w:t>2-</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42.52</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42.94</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44.34</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45.30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34.52</w:t>
            </w:r>
          </w:p>
        </w:tc>
      </w:tr>
      <w:tr>
        <w:tblPrEx>
          <w:tblCellMar>
            <w:top w:w="0" w:type="dxa"/>
            <w:left w:w="108" w:type="dxa"/>
            <w:bottom w:w="0" w:type="dxa"/>
            <w:right w:w="108" w:type="dxa"/>
          </w:tblCellMar>
        </w:tblPrEx>
        <w:trPr>
          <w:trHeight w:val="340" w:hRule="atLeast"/>
        </w:trPr>
        <w:tc>
          <w:tcPr>
            <w:tcW w:w="972"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9</w:t>
            </w:r>
          </w:p>
        </w:tc>
        <w:tc>
          <w:tcPr>
            <w:tcW w:w="1308"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CI</w:t>
            </w:r>
            <w:r>
              <w:rPr>
                <w:rStyle w:val="512"/>
                <w:rFonts w:hint="default" w:ascii="Times New Roman" w:hAnsi="Times New Roman" w:eastAsia="宋体" w:cs="Times New Roman"/>
                <w:color w:val="auto"/>
                <w:sz w:val="21"/>
                <w:szCs w:val="21"/>
                <w:highlight w:val="none"/>
                <w:lang w:bidi="ar"/>
              </w:rPr>
              <w:t>-</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12.38</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10.48</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9.87</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9.16</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8.79</w:t>
            </w:r>
          </w:p>
        </w:tc>
      </w:tr>
      <w:tr>
        <w:tblPrEx>
          <w:tblCellMar>
            <w:top w:w="0" w:type="dxa"/>
            <w:left w:w="108" w:type="dxa"/>
            <w:bottom w:w="0" w:type="dxa"/>
            <w:right w:w="108" w:type="dxa"/>
          </w:tblCellMar>
        </w:tblPrEx>
        <w:trPr>
          <w:trHeight w:val="340" w:hRule="atLeast"/>
        </w:trPr>
        <w:tc>
          <w:tcPr>
            <w:tcW w:w="972"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10</w:t>
            </w:r>
          </w:p>
        </w:tc>
        <w:tc>
          <w:tcPr>
            <w:tcW w:w="1308"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kern w:val="0"/>
                <w:sz w:val="21"/>
                <w:szCs w:val="21"/>
                <w:highlight w:val="none"/>
                <w:lang w:bidi="ar"/>
              </w:rPr>
              <w:t>硝酸盐（以N计</w:t>
            </w:r>
            <w:r>
              <w:rPr>
                <w:rFonts w:hint="default" w:ascii="Times New Roman" w:hAnsi="Times New Roman" w:eastAsia="宋体" w:cs="Times New Roman"/>
                <w:color w:val="auto"/>
                <w:kern w:val="0"/>
                <w:sz w:val="21"/>
                <w:szCs w:val="21"/>
                <w:highlight w:val="none"/>
                <w:lang w:eastAsia="zh-CN" w:bidi="ar"/>
              </w:rPr>
              <w:t>）</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10.51</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8.83</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8.67</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9.45</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14.53</w:t>
            </w:r>
          </w:p>
        </w:tc>
      </w:tr>
      <w:tr>
        <w:tblPrEx>
          <w:tblCellMar>
            <w:top w:w="0" w:type="dxa"/>
            <w:left w:w="108" w:type="dxa"/>
            <w:bottom w:w="0" w:type="dxa"/>
            <w:right w:w="108" w:type="dxa"/>
          </w:tblCellMar>
        </w:tblPrEx>
        <w:trPr>
          <w:trHeight w:val="340" w:hRule="atLeast"/>
        </w:trPr>
        <w:tc>
          <w:tcPr>
            <w:tcW w:w="2280" w:type="dxa"/>
            <w:gridSpan w:val="2"/>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阴离子合计</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100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100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100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100</w:t>
            </w:r>
          </w:p>
        </w:tc>
        <w:tc>
          <w:tcPr>
            <w:tcW w:w="0" w:type="auto"/>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100</w:t>
            </w:r>
          </w:p>
        </w:tc>
      </w:tr>
      <w:tr>
        <w:tblPrEx>
          <w:tblCellMar>
            <w:top w:w="0" w:type="dxa"/>
            <w:left w:w="108" w:type="dxa"/>
            <w:bottom w:w="0" w:type="dxa"/>
            <w:right w:w="108" w:type="dxa"/>
          </w:tblCellMar>
        </w:tblPrEx>
        <w:trPr>
          <w:trHeight w:val="340" w:hRule="atLeast"/>
        </w:trPr>
        <w:tc>
          <w:tcPr>
            <w:tcW w:w="2280" w:type="dxa"/>
            <w:gridSpan w:val="2"/>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水化学类型</w:t>
            </w:r>
          </w:p>
        </w:tc>
        <w:tc>
          <w:tcPr>
            <w:tcW w:w="0" w:type="auto"/>
            <w:gridSpan w:val="5"/>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Ca-HCO</w:t>
            </w:r>
            <w:r>
              <w:rPr>
                <w:rStyle w:val="514"/>
                <w:rFonts w:hint="default" w:ascii="Times New Roman" w:hAnsi="Times New Roman" w:eastAsia="宋体" w:cs="Times New Roman"/>
                <w:color w:val="auto"/>
                <w:sz w:val="21"/>
                <w:szCs w:val="21"/>
                <w:highlight w:val="none"/>
                <w:lang w:bidi="ar"/>
              </w:rPr>
              <w:t>3</w:t>
            </w:r>
            <w:r>
              <w:rPr>
                <w:rFonts w:hint="default" w:ascii="Times New Roman" w:hAnsi="Times New Roman" w:eastAsia="宋体" w:cs="Times New Roman"/>
                <w:color w:val="auto"/>
                <w:kern w:val="0"/>
                <w:sz w:val="21"/>
                <w:szCs w:val="21"/>
                <w:highlight w:val="none"/>
                <w:lang w:bidi="ar"/>
              </w:rPr>
              <w:t>·SO</w:t>
            </w:r>
            <w:r>
              <w:rPr>
                <w:rStyle w:val="514"/>
                <w:rFonts w:hint="default" w:ascii="Times New Roman" w:hAnsi="Times New Roman" w:eastAsia="宋体" w:cs="Times New Roman"/>
                <w:color w:val="auto"/>
                <w:sz w:val="21"/>
                <w:szCs w:val="21"/>
                <w:highlight w:val="none"/>
                <w:lang w:bidi="ar"/>
              </w:rPr>
              <w:t>4</w:t>
            </w:r>
          </w:p>
        </w:tc>
      </w:tr>
    </w:tbl>
    <w:p>
      <w:pPr>
        <w:pageBreakBefore w:val="0"/>
        <w:wordWrap/>
        <w:bidi w:val="0"/>
        <w:spacing w:line="360" w:lineRule="auto"/>
        <w:ind w:left="0" w:leftChars="0" w:right="0" w:rightChars="0" w:firstLine="480" w:firstLineChars="200"/>
        <w:rPr>
          <w:rFonts w:hint="default" w:ascii="Times New Roman" w:hAnsi="Times New Roman" w:eastAsia="宋体" w:cs="Times New Roman"/>
          <w:bCs/>
          <w:color w:val="auto"/>
          <w:sz w:val="24"/>
          <w:szCs w:val="24"/>
          <w:highlight w:val="none"/>
          <w:lang w:eastAsia="zh-CN"/>
        </w:rPr>
      </w:pPr>
      <w:r>
        <w:rPr>
          <w:rFonts w:hint="default" w:ascii="Times New Roman" w:hAnsi="Times New Roman" w:eastAsia="宋体" w:cs="Times New Roman"/>
          <w:color w:val="auto"/>
          <w:sz w:val="24"/>
          <w:szCs w:val="24"/>
          <w:highlight w:val="none"/>
        </w:rPr>
        <w:t>氟化物</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总大肠菌群</w:t>
      </w:r>
      <w:r>
        <w:rPr>
          <w:rFonts w:hint="default" w:ascii="Times New Roman" w:hAnsi="Times New Roman" w:eastAsia="宋体" w:cs="Times New Roman"/>
          <w:color w:val="auto"/>
          <w:sz w:val="24"/>
          <w:szCs w:val="24"/>
          <w:highlight w:val="none"/>
          <w:lang w:eastAsia="zh-CN"/>
        </w:rPr>
        <w:t>参照</w:t>
      </w:r>
      <w:r>
        <w:rPr>
          <w:rFonts w:hint="default" w:ascii="Times New Roman" w:hAnsi="Times New Roman" w:eastAsia="宋体" w:cs="Times New Roman"/>
          <w:bCs/>
          <w:color w:val="auto"/>
          <w:sz w:val="24"/>
          <w:szCs w:val="24"/>
          <w:highlight w:val="none"/>
          <w:lang w:eastAsia="zh-CN"/>
        </w:rPr>
        <w:t>内蒙古路易精普检测科技有限公司于</w:t>
      </w:r>
      <w:r>
        <w:rPr>
          <w:rFonts w:hint="default" w:ascii="Times New Roman" w:hAnsi="Times New Roman" w:eastAsia="宋体" w:cs="Times New Roman"/>
          <w:bCs/>
          <w:color w:val="auto"/>
          <w:sz w:val="24"/>
          <w:szCs w:val="24"/>
          <w:highlight w:val="none"/>
          <w:lang w:val="en-US" w:eastAsia="zh-CN"/>
        </w:rPr>
        <w:t>2023年5月30日出具的《乌拉特前旗西沙德盖钼业有限责任公司地下水自行监测2023年第二季度检验监测报告》</w:t>
      </w:r>
      <w:r>
        <w:rPr>
          <w:rFonts w:hint="default" w:ascii="Times New Roman" w:hAnsi="Times New Roman" w:eastAsia="宋体" w:cs="Times New Roman"/>
          <w:bCs/>
          <w:color w:val="auto"/>
          <w:sz w:val="24"/>
          <w:szCs w:val="24"/>
          <w:highlight w:val="none"/>
          <w:lang w:eastAsia="zh-CN"/>
        </w:rPr>
        <w:t>。</w:t>
      </w:r>
    </w:p>
    <w:p>
      <w:pPr>
        <w:pageBreakBefore w:val="0"/>
        <w:wordWrap/>
        <w:bidi w:val="0"/>
        <w:spacing w:line="360" w:lineRule="auto"/>
        <w:ind w:left="0" w:leftChars="0" w:right="0" w:rightChars="0"/>
        <w:jc w:val="center"/>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表</w:t>
      </w:r>
      <w:r>
        <w:rPr>
          <w:rFonts w:hint="default" w:ascii="Times New Roman" w:hAnsi="Times New Roman" w:eastAsia="宋体" w:cs="Times New Roman"/>
          <w:b/>
          <w:bCs/>
          <w:color w:val="auto"/>
          <w:sz w:val="24"/>
          <w:szCs w:val="24"/>
          <w:highlight w:val="none"/>
          <w:lang w:val="en-US" w:eastAsia="zh-CN"/>
        </w:rPr>
        <w:t>5-14地下水</w:t>
      </w:r>
      <w:r>
        <w:rPr>
          <w:rFonts w:hint="default" w:ascii="Times New Roman" w:hAnsi="Times New Roman" w:eastAsia="宋体" w:cs="Times New Roman"/>
          <w:b/>
          <w:bCs/>
          <w:color w:val="auto"/>
          <w:sz w:val="24"/>
          <w:szCs w:val="24"/>
          <w:highlight w:val="none"/>
          <w:lang w:eastAsia="zh-CN"/>
        </w:rPr>
        <w:t>检验检测结果一览</w:t>
      </w:r>
      <w:r>
        <w:rPr>
          <w:rFonts w:hint="default" w:ascii="Times New Roman" w:hAnsi="Times New Roman" w:eastAsia="宋体" w:cs="Times New Roman"/>
          <w:b/>
          <w:bCs/>
          <w:color w:val="auto"/>
          <w:sz w:val="24"/>
          <w:szCs w:val="24"/>
          <w:highlight w:val="none"/>
        </w:rPr>
        <w:t>表</w:t>
      </w:r>
    </w:p>
    <w:tbl>
      <w:tblPr>
        <w:tblStyle w:val="54"/>
        <w:tblW w:w="503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36"/>
        <w:gridCol w:w="874"/>
        <w:gridCol w:w="874"/>
        <w:gridCol w:w="1396"/>
        <w:gridCol w:w="1396"/>
        <w:gridCol w:w="1396"/>
        <w:gridCol w:w="1396"/>
        <w:gridCol w:w="6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260" w:type="pct"/>
            <w:vMerge w:val="restart"/>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序号</w:t>
            </w:r>
          </w:p>
        </w:tc>
        <w:tc>
          <w:tcPr>
            <w:tcW w:w="521" w:type="pct"/>
            <w:vMerge w:val="restart"/>
            <w:vAlign w:val="center"/>
          </w:tcPr>
          <w:p>
            <w:pPr>
              <w:keepNext w:val="0"/>
              <w:keepLines w:val="0"/>
              <w:pageBreakBefore w:val="0"/>
              <w:widowControl/>
              <w:suppressLineNumbers w:val="0"/>
              <w:wordWrap/>
              <w:bidi w:val="0"/>
              <w:spacing w:line="240" w:lineRule="auto"/>
              <w:ind w:left="0" w:leftChars="0" w:right="0" w:rightChars="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kern w:val="0"/>
                <w:sz w:val="21"/>
                <w:szCs w:val="21"/>
                <w:highlight w:val="none"/>
                <w:lang w:val="en-US" w:eastAsia="zh-CN" w:bidi="ar"/>
              </w:rPr>
              <w:t>检测项目</w:t>
            </w:r>
          </w:p>
        </w:tc>
        <w:tc>
          <w:tcPr>
            <w:tcW w:w="521" w:type="pct"/>
            <w:vMerge w:val="restar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单位</w:t>
            </w:r>
          </w:p>
        </w:tc>
        <w:tc>
          <w:tcPr>
            <w:tcW w:w="3332" w:type="pct"/>
            <w:gridSpan w:val="4"/>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检测结果</w:t>
            </w:r>
          </w:p>
        </w:tc>
        <w:tc>
          <w:tcPr>
            <w:tcW w:w="365" w:type="pct"/>
            <w:vMerge w:val="restar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lang w:eastAsia="zh-CN"/>
              </w:rPr>
              <w:t>执行标准</w:t>
            </w:r>
            <w:r>
              <w:rPr>
                <w:rFonts w:hint="default" w:ascii="Times New Roman" w:hAnsi="Times New Roman" w:eastAsia="宋体" w:cs="Times New Roman"/>
                <w:b w:val="0"/>
                <w:bCs/>
                <w:color w:val="auto"/>
                <w:sz w:val="21"/>
                <w:szCs w:val="21"/>
                <w:highlight w:val="none"/>
              </w:rPr>
              <w:t>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260" w:type="pct"/>
            <w:vMerge w:val="continue"/>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val="0"/>
                <w:bCs/>
                <w:color w:val="auto"/>
                <w:sz w:val="21"/>
                <w:szCs w:val="21"/>
                <w:highlight w:val="none"/>
              </w:rPr>
            </w:pPr>
          </w:p>
        </w:tc>
        <w:tc>
          <w:tcPr>
            <w:tcW w:w="521" w:type="pct"/>
            <w:vMerge w:val="continue"/>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val="0"/>
                <w:bCs/>
                <w:color w:val="auto"/>
                <w:sz w:val="21"/>
                <w:szCs w:val="21"/>
                <w:highlight w:val="none"/>
              </w:rPr>
            </w:pPr>
          </w:p>
        </w:tc>
        <w:tc>
          <w:tcPr>
            <w:tcW w:w="521" w:type="pct"/>
            <w:vMerge w:val="continue"/>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b w:val="0"/>
                <w:bCs/>
                <w:color w:val="auto"/>
                <w:sz w:val="21"/>
                <w:szCs w:val="21"/>
                <w:highlight w:val="none"/>
              </w:rPr>
            </w:pPr>
          </w:p>
        </w:tc>
        <w:tc>
          <w:tcPr>
            <w:tcW w:w="833" w:type="pct"/>
            <w:vAlign w:val="center"/>
          </w:tcPr>
          <w:p>
            <w:pPr>
              <w:keepNext w:val="0"/>
              <w:keepLines w:val="0"/>
              <w:pageBreakBefore w:val="0"/>
              <w:widowControl/>
              <w:suppressLineNumbers w:val="0"/>
              <w:wordWrap/>
              <w:bidi w:val="0"/>
              <w:spacing w:line="240" w:lineRule="auto"/>
              <w:ind w:left="0" w:leftChars="0" w:right="0" w:rightChars="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kern w:val="0"/>
                <w:sz w:val="21"/>
                <w:szCs w:val="21"/>
                <w:highlight w:val="none"/>
                <w:lang w:val="en-US" w:eastAsia="zh-CN" w:bidi="ar"/>
              </w:rPr>
              <w:t>地下水井</w:t>
            </w:r>
          </w:p>
          <w:p>
            <w:pPr>
              <w:keepNext w:val="0"/>
              <w:keepLines w:val="0"/>
              <w:pageBreakBefore w:val="0"/>
              <w:widowControl/>
              <w:suppressLineNumbers w:val="0"/>
              <w:wordWrap/>
              <w:bidi w:val="0"/>
              <w:spacing w:line="240" w:lineRule="auto"/>
              <w:ind w:left="0" w:leftChars="0" w:right="0" w:rightChars="0"/>
              <w:jc w:val="center"/>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kern w:val="0"/>
                <w:sz w:val="21"/>
                <w:szCs w:val="21"/>
                <w:highlight w:val="none"/>
                <w:lang w:val="en-US" w:eastAsia="zh-CN" w:bidi="ar"/>
              </w:rPr>
              <w:t>（E:109°26′31.65″；N:40°47′18.12″）</w:t>
            </w:r>
          </w:p>
        </w:tc>
        <w:tc>
          <w:tcPr>
            <w:tcW w:w="833" w:type="pct"/>
            <w:vAlign w:val="center"/>
          </w:tcPr>
          <w:p>
            <w:pPr>
              <w:keepNext w:val="0"/>
              <w:keepLines w:val="0"/>
              <w:pageBreakBefore w:val="0"/>
              <w:widowControl/>
              <w:suppressLineNumbers w:val="0"/>
              <w:wordWrap/>
              <w:bidi w:val="0"/>
              <w:spacing w:line="240" w:lineRule="auto"/>
              <w:ind w:left="0" w:leftChars="0" w:right="0" w:rightChars="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kern w:val="0"/>
                <w:sz w:val="21"/>
                <w:szCs w:val="21"/>
                <w:highlight w:val="none"/>
                <w:lang w:val="en-US" w:eastAsia="zh-CN" w:bidi="ar"/>
              </w:rPr>
              <w:t>地下水井</w:t>
            </w:r>
          </w:p>
          <w:p>
            <w:pPr>
              <w:keepNext w:val="0"/>
              <w:keepLines w:val="0"/>
              <w:pageBreakBefore w:val="0"/>
              <w:widowControl/>
              <w:suppressLineNumbers w:val="0"/>
              <w:wordWrap/>
              <w:bidi w:val="0"/>
              <w:spacing w:line="240" w:lineRule="auto"/>
              <w:ind w:left="0" w:leftChars="0" w:right="0" w:rightChars="0"/>
              <w:jc w:val="center"/>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kern w:val="0"/>
                <w:sz w:val="21"/>
                <w:szCs w:val="21"/>
                <w:highlight w:val="none"/>
                <w:lang w:val="en-US" w:eastAsia="zh-CN" w:bidi="ar"/>
              </w:rPr>
              <w:t>（E:109°26′12.56″；N:40°48′06.09″）</w:t>
            </w:r>
          </w:p>
        </w:tc>
        <w:tc>
          <w:tcPr>
            <w:tcW w:w="833" w:type="pct"/>
            <w:vAlign w:val="center"/>
          </w:tcPr>
          <w:p>
            <w:pPr>
              <w:keepNext w:val="0"/>
              <w:keepLines w:val="0"/>
              <w:pageBreakBefore w:val="0"/>
              <w:widowControl/>
              <w:suppressLineNumbers w:val="0"/>
              <w:wordWrap/>
              <w:bidi w:val="0"/>
              <w:spacing w:line="240" w:lineRule="auto"/>
              <w:ind w:left="0" w:leftChars="0" w:right="0" w:rightChars="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kern w:val="0"/>
                <w:sz w:val="21"/>
                <w:szCs w:val="21"/>
                <w:highlight w:val="none"/>
                <w:lang w:val="en-US" w:eastAsia="zh-CN" w:bidi="ar"/>
              </w:rPr>
              <w:t>地下水井</w:t>
            </w:r>
          </w:p>
          <w:p>
            <w:pPr>
              <w:keepNext w:val="0"/>
              <w:keepLines w:val="0"/>
              <w:pageBreakBefore w:val="0"/>
              <w:widowControl/>
              <w:suppressLineNumbers w:val="0"/>
              <w:wordWrap/>
              <w:bidi w:val="0"/>
              <w:spacing w:line="240" w:lineRule="auto"/>
              <w:ind w:left="0" w:leftChars="0" w:right="0" w:rightChars="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kern w:val="0"/>
                <w:sz w:val="21"/>
                <w:szCs w:val="21"/>
                <w:highlight w:val="none"/>
                <w:lang w:val="en-US" w:eastAsia="zh-CN" w:bidi="ar"/>
              </w:rPr>
              <w:t>（E:109°26′06.5″；</w:t>
            </w:r>
          </w:p>
          <w:p>
            <w:pPr>
              <w:keepNext w:val="0"/>
              <w:keepLines w:val="0"/>
              <w:pageBreakBefore w:val="0"/>
              <w:widowControl/>
              <w:suppressLineNumbers w:val="0"/>
              <w:wordWrap/>
              <w:bidi w:val="0"/>
              <w:spacing w:line="240" w:lineRule="auto"/>
              <w:ind w:left="0" w:leftChars="0" w:right="0" w:rightChars="0"/>
              <w:jc w:val="center"/>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kern w:val="0"/>
                <w:sz w:val="21"/>
                <w:szCs w:val="21"/>
                <w:highlight w:val="none"/>
                <w:lang w:val="en-US" w:eastAsia="zh-CN" w:bidi="ar"/>
              </w:rPr>
              <w:t>N:40°48′50.54″）</w:t>
            </w:r>
          </w:p>
        </w:tc>
        <w:tc>
          <w:tcPr>
            <w:tcW w:w="833" w:type="pct"/>
            <w:vAlign w:val="center"/>
          </w:tcPr>
          <w:p>
            <w:pPr>
              <w:keepNext w:val="0"/>
              <w:keepLines w:val="0"/>
              <w:pageBreakBefore w:val="0"/>
              <w:widowControl/>
              <w:suppressLineNumbers w:val="0"/>
              <w:wordWrap/>
              <w:bidi w:val="0"/>
              <w:spacing w:line="240" w:lineRule="auto"/>
              <w:ind w:left="0" w:leftChars="0" w:right="0" w:rightChars="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kern w:val="0"/>
                <w:sz w:val="21"/>
                <w:szCs w:val="21"/>
                <w:highlight w:val="none"/>
                <w:lang w:val="en-US" w:eastAsia="zh-CN" w:bidi="ar"/>
              </w:rPr>
              <w:t>地下水井</w:t>
            </w:r>
          </w:p>
          <w:p>
            <w:pPr>
              <w:keepNext w:val="0"/>
              <w:keepLines w:val="0"/>
              <w:pageBreakBefore w:val="0"/>
              <w:widowControl/>
              <w:suppressLineNumbers w:val="0"/>
              <w:wordWrap/>
              <w:bidi w:val="0"/>
              <w:spacing w:line="240" w:lineRule="auto"/>
              <w:ind w:left="0" w:leftChars="0" w:right="0" w:rightChars="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kern w:val="0"/>
                <w:sz w:val="21"/>
                <w:szCs w:val="21"/>
                <w:highlight w:val="none"/>
                <w:lang w:val="en-US" w:eastAsia="zh-CN" w:bidi="ar"/>
              </w:rPr>
              <w:t>（E:109°26′21.33″；</w:t>
            </w:r>
          </w:p>
          <w:p>
            <w:pPr>
              <w:keepNext w:val="0"/>
              <w:keepLines w:val="0"/>
              <w:pageBreakBefore w:val="0"/>
              <w:widowControl/>
              <w:suppressLineNumbers w:val="0"/>
              <w:wordWrap/>
              <w:bidi w:val="0"/>
              <w:spacing w:line="240" w:lineRule="auto"/>
              <w:ind w:left="0" w:leftChars="0" w:right="0" w:rightChars="0"/>
              <w:jc w:val="center"/>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kern w:val="0"/>
                <w:sz w:val="21"/>
                <w:szCs w:val="21"/>
                <w:highlight w:val="none"/>
                <w:lang w:val="en-US" w:eastAsia="zh-CN" w:bidi="ar"/>
              </w:rPr>
              <w:t>N:40°49′09.08″）</w:t>
            </w:r>
          </w:p>
        </w:tc>
        <w:tc>
          <w:tcPr>
            <w:tcW w:w="365" w:type="pct"/>
            <w:vMerge w:val="continue"/>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b w:val="0"/>
                <w:bCs/>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26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1</w:t>
            </w:r>
          </w:p>
        </w:tc>
        <w:tc>
          <w:tcPr>
            <w:tcW w:w="521"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氟化物</w:t>
            </w:r>
          </w:p>
        </w:tc>
        <w:tc>
          <w:tcPr>
            <w:tcW w:w="521"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mg/L</w:t>
            </w:r>
          </w:p>
        </w:tc>
        <w:tc>
          <w:tcPr>
            <w:tcW w:w="833"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0.60</w:t>
            </w:r>
          </w:p>
        </w:tc>
        <w:tc>
          <w:tcPr>
            <w:tcW w:w="833"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0.58</w:t>
            </w:r>
          </w:p>
        </w:tc>
        <w:tc>
          <w:tcPr>
            <w:tcW w:w="833"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0.56</w:t>
            </w:r>
          </w:p>
        </w:tc>
        <w:tc>
          <w:tcPr>
            <w:tcW w:w="833"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0.53</w:t>
            </w:r>
          </w:p>
        </w:tc>
        <w:tc>
          <w:tcPr>
            <w:tcW w:w="365"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26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2</w:t>
            </w:r>
          </w:p>
        </w:tc>
        <w:tc>
          <w:tcPr>
            <w:tcW w:w="521"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总大肠菌群</w:t>
            </w:r>
          </w:p>
        </w:tc>
        <w:tc>
          <w:tcPr>
            <w:tcW w:w="521"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MPN/100mL</w:t>
            </w:r>
            <w:r>
              <w:rPr>
                <w:rFonts w:hint="default" w:ascii="Times New Roman" w:hAnsi="Times New Roman" w:eastAsia="宋体" w:cs="Times New Roman"/>
                <w:color w:val="auto"/>
                <w:sz w:val="21"/>
                <w:szCs w:val="21"/>
                <w:highlight w:val="none"/>
                <w:lang w:eastAsia="zh-CN"/>
              </w:rPr>
              <w:t>）</w:t>
            </w:r>
          </w:p>
        </w:tc>
        <w:tc>
          <w:tcPr>
            <w:tcW w:w="833"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＜2</w:t>
            </w:r>
          </w:p>
        </w:tc>
        <w:tc>
          <w:tcPr>
            <w:tcW w:w="833"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＜2</w:t>
            </w:r>
          </w:p>
        </w:tc>
        <w:tc>
          <w:tcPr>
            <w:tcW w:w="833"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＜2</w:t>
            </w:r>
          </w:p>
        </w:tc>
        <w:tc>
          <w:tcPr>
            <w:tcW w:w="833"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＜2</w:t>
            </w:r>
          </w:p>
        </w:tc>
        <w:tc>
          <w:tcPr>
            <w:tcW w:w="365"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≤3</w:t>
            </w:r>
          </w:p>
        </w:tc>
      </w:tr>
    </w:tbl>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eastAsia="zh-CN"/>
        </w:rPr>
        <w:t>根据地下水环境监测结果可知，本项目区域地下水</w:t>
      </w:r>
      <w:r>
        <w:rPr>
          <w:rFonts w:hint="default" w:ascii="Times New Roman" w:hAnsi="Times New Roman" w:eastAsia="宋体" w:cs="Times New Roman"/>
          <w:color w:val="auto"/>
          <w:sz w:val="24"/>
          <w:highlight w:val="none"/>
        </w:rPr>
        <w:t>各监测因子均满足《地下水质量标准》（GB</w:t>
      </w:r>
      <w:r>
        <w:rPr>
          <w:rFonts w:hint="default" w:ascii="Times New Roman" w:hAnsi="Times New Roman" w:eastAsia="宋体" w:cs="Times New Roman"/>
          <w:color w:val="auto"/>
          <w:sz w:val="24"/>
          <w:highlight w:val="none"/>
          <w:lang w:val="en-US" w:eastAsia="zh-CN"/>
        </w:rPr>
        <w:t>/T</w:t>
      </w:r>
      <w:r>
        <w:rPr>
          <w:rFonts w:hint="default" w:ascii="Times New Roman" w:hAnsi="Times New Roman" w:eastAsia="宋体" w:cs="Times New Roman"/>
          <w:color w:val="auto"/>
          <w:sz w:val="24"/>
          <w:highlight w:val="none"/>
        </w:rPr>
        <w:t>14848-2017</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中</w:t>
      </w:r>
      <w:r>
        <w:rPr>
          <w:rFonts w:hint="default" w:ascii="Times New Roman" w:hAnsi="Times New Roman" w:eastAsia="宋体" w:cs="Times New Roman"/>
          <w:color w:val="auto"/>
          <w:sz w:val="24"/>
          <w:highlight w:val="none"/>
          <w:lang w:eastAsia="zh-CN"/>
        </w:rPr>
        <w:t>Ⅲ</w:t>
      </w:r>
      <w:r>
        <w:rPr>
          <w:rFonts w:hint="default" w:ascii="Times New Roman" w:hAnsi="Times New Roman" w:eastAsia="宋体" w:cs="Times New Roman"/>
          <w:color w:val="auto"/>
          <w:sz w:val="24"/>
          <w:highlight w:val="none"/>
        </w:rPr>
        <w:t>类标准。</w:t>
      </w:r>
    </w:p>
    <w:p>
      <w:pPr>
        <w:pageBreakBefore w:val="0"/>
        <w:wordWrap/>
        <w:bidi w:val="0"/>
        <w:spacing w:line="360" w:lineRule="auto"/>
        <w:ind w:left="0" w:leftChars="0" w:right="0" w:rightChars="0" w:firstLine="482" w:firstLineChars="200"/>
        <w:rPr>
          <w:rFonts w:hint="default" w:ascii="Times New Roman" w:hAnsi="Times New Roman" w:eastAsia="宋体" w:cs="Times New Roman"/>
          <w:b/>
          <w:bCs/>
          <w:color w:val="auto"/>
          <w:sz w:val="24"/>
          <w:highlight w:val="none"/>
          <w:lang w:eastAsia="zh-CN"/>
        </w:rPr>
      </w:pPr>
      <w:r>
        <w:rPr>
          <w:rFonts w:hint="default" w:ascii="Times New Roman" w:hAnsi="Times New Roman" w:eastAsia="宋体" w:cs="Times New Roman"/>
          <w:b/>
          <w:bCs/>
          <w:color w:val="auto"/>
          <w:sz w:val="24"/>
          <w:highlight w:val="none"/>
          <w:lang w:eastAsia="zh-CN"/>
        </w:rPr>
        <w:t>5.3.1.</w:t>
      </w:r>
      <w:r>
        <w:rPr>
          <w:rFonts w:hint="default" w:ascii="Times New Roman" w:hAnsi="Times New Roman" w:eastAsia="宋体" w:cs="Times New Roman"/>
          <w:b/>
          <w:bCs/>
          <w:color w:val="auto"/>
          <w:sz w:val="24"/>
          <w:highlight w:val="none"/>
          <w:lang w:val="en-US" w:eastAsia="zh-CN"/>
        </w:rPr>
        <w:t>8</w:t>
      </w:r>
      <w:r>
        <w:rPr>
          <w:rFonts w:hint="default" w:ascii="Times New Roman" w:hAnsi="Times New Roman" w:eastAsia="宋体" w:cs="Times New Roman"/>
          <w:b/>
          <w:bCs/>
          <w:color w:val="auto"/>
          <w:sz w:val="24"/>
          <w:highlight w:val="none"/>
          <w:lang w:eastAsia="zh-CN"/>
        </w:rPr>
        <w:t>包气带现状监测</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1、监测布点</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为了解现有工程运行对项目区包气带的污染现状，本次评价委托内蒙古蓝箭环保有限责任公司分别在尾矿库南侧（1#、E:109°25′23.46″N:40°47′44.25″）和尾矿库北侧（</w:t>
      </w:r>
      <w:r>
        <w:rPr>
          <w:rFonts w:hint="default" w:ascii="Times New Roman" w:hAnsi="Times New Roman" w:eastAsia="宋体" w:cs="Times New Roman"/>
          <w:color w:val="auto"/>
          <w:sz w:val="24"/>
          <w:highlight w:val="none"/>
          <w:lang w:val="en-US" w:eastAsia="zh-CN"/>
        </w:rPr>
        <w:t>2</w:t>
      </w:r>
      <w:r>
        <w:rPr>
          <w:rFonts w:hint="default" w:ascii="Times New Roman" w:hAnsi="Times New Roman" w:eastAsia="宋体" w:cs="Times New Roman"/>
          <w:color w:val="auto"/>
          <w:sz w:val="24"/>
          <w:highlight w:val="none"/>
          <w:lang w:eastAsia="zh-CN"/>
        </w:rPr>
        <w:t>#、E:109°26′02.33″N:40°48′23.72″）布设了包气带监测点取样进行浸溶试验。</w:t>
      </w:r>
    </w:p>
    <w:p>
      <w:pPr>
        <w:pageBreakBefore w:val="0"/>
        <w:wordWrap/>
        <w:bidi w:val="0"/>
        <w:spacing w:line="360" w:lineRule="auto"/>
        <w:ind w:left="0" w:leftChars="0" w:right="0" w:rightChars="0" w:firstLine="480" w:firstLineChars="200"/>
        <w:outlineLvl w:val="0"/>
        <w:rPr>
          <w:rFonts w:hint="default" w:ascii="Times New Roman" w:hAnsi="Times New Roman" w:eastAsia="宋体" w:cs="Times New Roman"/>
          <w:color w:val="auto"/>
          <w:sz w:val="24"/>
          <w:highlight w:val="none"/>
          <w:lang w:eastAsia="zh-CN"/>
        </w:rPr>
      </w:pPr>
      <w:bookmarkStart w:id="831" w:name="_Toc18409"/>
      <w:bookmarkStart w:id="832" w:name="_Toc18982"/>
      <w:r>
        <w:rPr>
          <w:rFonts w:hint="default" w:ascii="Times New Roman" w:hAnsi="Times New Roman" w:eastAsia="宋体" w:cs="Times New Roman"/>
          <w:color w:val="auto"/>
          <w:sz w:val="24"/>
          <w:highlight w:val="none"/>
          <w:lang w:eastAsia="zh-CN"/>
        </w:rPr>
        <w:t>（2）监测因子</w:t>
      </w:r>
      <w:bookmarkEnd w:id="831"/>
      <w:bookmarkEnd w:id="832"/>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铜、镉、铅、砷、汞、镍、总铬、锑、硒。</w:t>
      </w:r>
    </w:p>
    <w:p>
      <w:pPr>
        <w:pageBreakBefore w:val="0"/>
        <w:wordWrap/>
        <w:bidi w:val="0"/>
        <w:spacing w:line="360" w:lineRule="auto"/>
        <w:ind w:left="0" w:leftChars="0" w:right="0" w:rightChars="0" w:firstLine="480" w:firstLineChars="200"/>
        <w:outlineLvl w:val="0"/>
        <w:rPr>
          <w:rFonts w:hint="default" w:ascii="Times New Roman" w:hAnsi="Times New Roman" w:eastAsia="宋体" w:cs="Times New Roman"/>
          <w:color w:val="auto"/>
          <w:sz w:val="24"/>
          <w:highlight w:val="none"/>
          <w:lang w:eastAsia="zh-CN"/>
        </w:rPr>
      </w:pPr>
      <w:bookmarkStart w:id="833" w:name="_Toc19740"/>
      <w:bookmarkStart w:id="834" w:name="_Toc28652"/>
      <w:r>
        <w:rPr>
          <w:rFonts w:hint="default" w:ascii="Times New Roman" w:hAnsi="Times New Roman" w:eastAsia="宋体" w:cs="Times New Roman"/>
          <w:color w:val="auto"/>
          <w:sz w:val="24"/>
          <w:highlight w:val="none"/>
          <w:lang w:eastAsia="zh-CN"/>
        </w:rPr>
        <w:t>（3）采样深度</w:t>
      </w:r>
      <w:bookmarkEnd w:id="833"/>
      <w:bookmarkEnd w:id="834"/>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分别在0~20cm、20～60cm、60～100cm采一个样。</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（4）监测结果：见表</w:t>
      </w:r>
      <w:r>
        <w:rPr>
          <w:rFonts w:hint="default" w:ascii="Times New Roman" w:hAnsi="Times New Roman" w:eastAsia="宋体" w:cs="Times New Roman"/>
          <w:color w:val="auto"/>
          <w:sz w:val="24"/>
          <w:highlight w:val="none"/>
          <w:lang w:val="en-US" w:eastAsia="zh-CN"/>
        </w:rPr>
        <w:t>5-15</w:t>
      </w:r>
      <w:r>
        <w:rPr>
          <w:rFonts w:hint="default" w:ascii="Times New Roman" w:hAnsi="Times New Roman" w:eastAsia="宋体" w:cs="Times New Roman"/>
          <w:color w:val="auto"/>
          <w:sz w:val="24"/>
          <w:highlight w:val="none"/>
          <w:lang w:eastAsia="zh-CN"/>
        </w:rPr>
        <w:t>。</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（5）评价结论</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采用单因子标准指数法进行评价，评价结果见表</w:t>
      </w:r>
      <w:r>
        <w:rPr>
          <w:rFonts w:hint="default" w:ascii="Times New Roman" w:hAnsi="Times New Roman" w:eastAsia="宋体" w:cs="Times New Roman"/>
          <w:color w:val="auto"/>
          <w:sz w:val="24"/>
          <w:highlight w:val="none"/>
          <w:lang w:val="en-US" w:eastAsia="zh-CN"/>
        </w:rPr>
        <w:t>5-15</w:t>
      </w:r>
      <w:r>
        <w:rPr>
          <w:rFonts w:hint="default" w:ascii="Times New Roman" w:hAnsi="Times New Roman" w:eastAsia="宋体" w:cs="Times New Roman"/>
          <w:color w:val="auto"/>
          <w:sz w:val="24"/>
          <w:highlight w:val="none"/>
          <w:lang w:eastAsia="zh-CN"/>
        </w:rPr>
        <w:t>。</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由表</w:t>
      </w:r>
      <w:r>
        <w:rPr>
          <w:rFonts w:hint="default" w:ascii="Times New Roman" w:hAnsi="Times New Roman" w:eastAsia="宋体" w:cs="Times New Roman"/>
          <w:color w:val="auto"/>
          <w:sz w:val="24"/>
          <w:highlight w:val="none"/>
          <w:lang w:val="en-US" w:eastAsia="zh-CN"/>
        </w:rPr>
        <w:t>5-15</w:t>
      </w:r>
      <w:r>
        <w:rPr>
          <w:rFonts w:hint="default" w:ascii="Times New Roman" w:hAnsi="Times New Roman" w:eastAsia="宋体" w:cs="Times New Roman"/>
          <w:color w:val="auto"/>
          <w:sz w:val="24"/>
          <w:highlight w:val="none"/>
          <w:lang w:eastAsia="zh-CN"/>
        </w:rPr>
        <w:t>可知，项目区内包气带检测结果均能满足地下水Ⅲ类水质标准要求，说明项目场地内包气带未受到现有工程的污染。</w:t>
      </w:r>
    </w:p>
    <w:p>
      <w:pPr>
        <w:pageBreakBefore w:val="0"/>
        <w:wordWrap/>
        <w:bidi w:val="0"/>
        <w:spacing w:line="360" w:lineRule="auto"/>
        <w:ind w:left="0" w:leftChars="0" w:right="0" w:rightChars="0"/>
        <w:jc w:val="center"/>
        <w:rPr>
          <w:rFonts w:hint="default" w:ascii="Times New Roman" w:hAnsi="Times New Roman" w:eastAsia="宋体" w:cs="Times New Roman"/>
          <w:b/>
          <w:bCs/>
          <w:color w:val="auto"/>
          <w:sz w:val="24"/>
          <w:highlight w:val="none"/>
          <w:lang w:eastAsia="zh-CN"/>
        </w:rPr>
      </w:pPr>
      <w:r>
        <w:rPr>
          <w:rFonts w:hint="default" w:ascii="Times New Roman" w:hAnsi="Times New Roman" w:eastAsia="宋体" w:cs="Times New Roman"/>
          <w:b/>
          <w:bCs/>
          <w:color w:val="auto"/>
          <w:sz w:val="24"/>
          <w:highlight w:val="none"/>
          <w:lang w:eastAsia="zh-CN"/>
        </w:rPr>
        <w:t>表</w:t>
      </w:r>
      <w:r>
        <w:rPr>
          <w:rFonts w:hint="default" w:ascii="Times New Roman" w:hAnsi="Times New Roman" w:eastAsia="宋体" w:cs="Times New Roman"/>
          <w:b/>
          <w:bCs/>
          <w:color w:val="auto"/>
          <w:sz w:val="24"/>
          <w:highlight w:val="none"/>
          <w:lang w:val="en-US" w:eastAsia="zh-CN"/>
        </w:rPr>
        <w:t>5-15</w:t>
      </w:r>
      <w:r>
        <w:rPr>
          <w:rFonts w:hint="default" w:ascii="Times New Roman" w:hAnsi="Times New Roman" w:eastAsia="宋体" w:cs="Times New Roman"/>
          <w:b/>
          <w:bCs/>
          <w:color w:val="auto"/>
          <w:sz w:val="24"/>
          <w:highlight w:val="none"/>
          <w:lang w:eastAsia="zh-CN"/>
        </w:rPr>
        <w:t>包气带现状监测结果一览表</w:t>
      </w:r>
    </w:p>
    <w:tbl>
      <w:tblPr>
        <w:tblStyle w:val="54"/>
        <w:tblW w:w="8504" w:type="dxa"/>
        <w:tblInd w:w="96" w:type="dxa"/>
        <w:tblLayout w:type="autofit"/>
        <w:tblCellMar>
          <w:top w:w="0" w:type="dxa"/>
          <w:left w:w="108" w:type="dxa"/>
          <w:bottom w:w="0" w:type="dxa"/>
          <w:right w:w="108" w:type="dxa"/>
        </w:tblCellMar>
      </w:tblPr>
      <w:tblGrid>
        <w:gridCol w:w="725"/>
        <w:gridCol w:w="882"/>
        <w:gridCol w:w="882"/>
        <w:gridCol w:w="882"/>
        <w:gridCol w:w="882"/>
        <w:gridCol w:w="882"/>
        <w:gridCol w:w="882"/>
        <w:gridCol w:w="2487"/>
      </w:tblGrid>
      <w:tr>
        <w:tblPrEx>
          <w:tblCellMar>
            <w:top w:w="0" w:type="dxa"/>
            <w:left w:w="108" w:type="dxa"/>
            <w:bottom w:w="0" w:type="dxa"/>
            <w:right w:w="108" w:type="dxa"/>
          </w:tblCellMar>
        </w:tblPrEx>
        <w:trPr>
          <w:trHeight w:val="340" w:hRule="atLeast"/>
        </w:trPr>
        <w:tc>
          <w:tcPr>
            <w:tcW w:w="567" w:type="dxa"/>
            <w:vMerge w:val="restart"/>
            <w:tcBorders>
              <w:top w:val="single" w:color="000000" w:sz="4" w:space="0"/>
              <w:left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分析项目</w:t>
            </w:r>
          </w:p>
        </w:tc>
        <w:tc>
          <w:tcPr>
            <w:tcW w:w="567" w:type="dxa"/>
            <w:gridSpan w:val="3"/>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尾矿库内</w:t>
            </w:r>
          </w:p>
        </w:tc>
        <w:tc>
          <w:tcPr>
            <w:tcW w:w="567" w:type="dxa"/>
            <w:gridSpan w:val="3"/>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尾矿库外</w:t>
            </w:r>
          </w:p>
        </w:tc>
        <w:tc>
          <w:tcPr>
            <w:tcW w:w="567" w:type="dxa"/>
            <w:vMerge w:val="restart"/>
            <w:tcBorders>
              <w:top w:val="single" w:color="000000" w:sz="4" w:space="0"/>
              <w:left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《土壤环境质量建设用地土壤污染风险管控标准（试行）》</w:t>
            </w:r>
          </w:p>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（GB36600-2018）表1</w:t>
            </w:r>
          </w:p>
        </w:tc>
      </w:tr>
      <w:tr>
        <w:tblPrEx>
          <w:tblCellMar>
            <w:top w:w="0" w:type="dxa"/>
            <w:left w:w="108" w:type="dxa"/>
            <w:bottom w:w="0" w:type="dxa"/>
            <w:right w:w="108" w:type="dxa"/>
          </w:tblCellMar>
        </w:tblPrEx>
        <w:trPr>
          <w:trHeight w:val="340" w:hRule="atLeast"/>
        </w:trPr>
        <w:tc>
          <w:tcPr>
            <w:tcW w:w="567" w:type="dxa"/>
            <w:vMerge w:val="continue"/>
            <w:tcBorders>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p>
        </w:tc>
        <w:tc>
          <w:tcPr>
            <w:tcW w:w="567"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表</w:t>
            </w:r>
          </w:p>
        </w:tc>
        <w:tc>
          <w:tcPr>
            <w:tcW w:w="567"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中</w:t>
            </w:r>
          </w:p>
        </w:tc>
        <w:tc>
          <w:tcPr>
            <w:tcW w:w="567"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深</w:t>
            </w:r>
          </w:p>
        </w:tc>
        <w:tc>
          <w:tcPr>
            <w:tcW w:w="567"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表</w:t>
            </w:r>
          </w:p>
        </w:tc>
        <w:tc>
          <w:tcPr>
            <w:tcW w:w="567"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中</w:t>
            </w:r>
          </w:p>
        </w:tc>
        <w:tc>
          <w:tcPr>
            <w:tcW w:w="567"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深</w:t>
            </w:r>
          </w:p>
        </w:tc>
        <w:tc>
          <w:tcPr>
            <w:tcW w:w="567" w:type="dxa"/>
            <w:vMerge w:val="continue"/>
            <w:tcBorders>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p>
        </w:tc>
      </w:tr>
      <w:tr>
        <w:tblPrEx>
          <w:tblCellMar>
            <w:top w:w="0" w:type="dxa"/>
            <w:left w:w="108" w:type="dxa"/>
            <w:bottom w:w="0" w:type="dxa"/>
            <w:right w:w="108" w:type="dxa"/>
          </w:tblCellMar>
        </w:tblPrEx>
        <w:trPr>
          <w:trHeight w:val="340" w:hRule="atLeast"/>
        </w:trPr>
        <w:tc>
          <w:tcPr>
            <w:tcW w:w="567"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铜</w:t>
            </w:r>
          </w:p>
        </w:tc>
        <w:tc>
          <w:tcPr>
            <w:tcW w:w="567"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20</w:t>
            </w:r>
          </w:p>
        </w:tc>
        <w:tc>
          <w:tcPr>
            <w:tcW w:w="567"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17</w:t>
            </w:r>
          </w:p>
        </w:tc>
        <w:tc>
          <w:tcPr>
            <w:tcW w:w="567"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18</w:t>
            </w:r>
          </w:p>
        </w:tc>
        <w:tc>
          <w:tcPr>
            <w:tcW w:w="567"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15</w:t>
            </w:r>
          </w:p>
        </w:tc>
        <w:tc>
          <w:tcPr>
            <w:tcW w:w="567"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16</w:t>
            </w:r>
          </w:p>
        </w:tc>
        <w:tc>
          <w:tcPr>
            <w:tcW w:w="567"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16</w:t>
            </w:r>
          </w:p>
        </w:tc>
        <w:tc>
          <w:tcPr>
            <w:tcW w:w="567"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36000</w:t>
            </w:r>
          </w:p>
        </w:tc>
      </w:tr>
      <w:tr>
        <w:tblPrEx>
          <w:tblCellMar>
            <w:top w:w="0" w:type="dxa"/>
            <w:left w:w="108" w:type="dxa"/>
            <w:bottom w:w="0" w:type="dxa"/>
            <w:right w:w="108" w:type="dxa"/>
          </w:tblCellMar>
        </w:tblPrEx>
        <w:trPr>
          <w:trHeight w:val="340" w:hRule="atLeast"/>
        </w:trPr>
        <w:tc>
          <w:tcPr>
            <w:tcW w:w="567"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镉</w:t>
            </w:r>
          </w:p>
        </w:tc>
        <w:tc>
          <w:tcPr>
            <w:tcW w:w="567"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0.33</w:t>
            </w:r>
          </w:p>
        </w:tc>
        <w:tc>
          <w:tcPr>
            <w:tcW w:w="567"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0.20</w:t>
            </w:r>
          </w:p>
        </w:tc>
        <w:tc>
          <w:tcPr>
            <w:tcW w:w="567"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0.31</w:t>
            </w:r>
          </w:p>
        </w:tc>
        <w:tc>
          <w:tcPr>
            <w:tcW w:w="567"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0.32</w:t>
            </w:r>
          </w:p>
        </w:tc>
        <w:tc>
          <w:tcPr>
            <w:tcW w:w="567"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0.29</w:t>
            </w:r>
          </w:p>
        </w:tc>
        <w:tc>
          <w:tcPr>
            <w:tcW w:w="567"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0.32</w:t>
            </w:r>
          </w:p>
        </w:tc>
        <w:tc>
          <w:tcPr>
            <w:tcW w:w="567"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172</w:t>
            </w:r>
          </w:p>
        </w:tc>
      </w:tr>
      <w:tr>
        <w:tblPrEx>
          <w:tblCellMar>
            <w:top w:w="0" w:type="dxa"/>
            <w:left w:w="108" w:type="dxa"/>
            <w:bottom w:w="0" w:type="dxa"/>
            <w:right w:w="108" w:type="dxa"/>
          </w:tblCellMar>
        </w:tblPrEx>
        <w:trPr>
          <w:trHeight w:val="340" w:hRule="atLeast"/>
        </w:trPr>
        <w:tc>
          <w:tcPr>
            <w:tcW w:w="567"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铅</w:t>
            </w:r>
          </w:p>
        </w:tc>
        <w:tc>
          <w:tcPr>
            <w:tcW w:w="567"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32</w:t>
            </w:r>
          </w:p>
        </w:tc>
        <w:tc>
          <w:tcPr>
            <w:tcW w:w="567"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29</w:t>
            </w:r>
          </w:p>
        </w:tc>
        <w:tc>
          <w:tcPr>
            <w:tcW w:w="567"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36</w:t>
            </w:r>
          </w:p>
        </w:tc>
        <w:tc>
          <w:tcPr>
            <w:tcW w:w="567"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31</w:t>
            </w:r>
          </w:p>
        </w:tc>
        <w:tc>
          <w:tcPr>
            <w:tcW w:w="567"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34</w:t>
            </w:r>
          </w:p>
        </w:tc>
        <w:tc>
          <w:tcPr>
            <w:tcW w:w="567"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33</w:t>
            </w:r>
          </w:p>
        </w:tc>
        <w:tc>
          <w:tcPr>
            <w:tcW w:w="567"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2500</w:t>
            </w:r>
          </w:p>
        </w:tc>
      </w:tr>
      <w:tr>
        <w:tblPrEx>
          <w:tblCellMar>
            <w:top w:w="0" w:type="dxa"/>
            <w:left w:w="108" w:type="dxa"/>
            <w:bottom w:w="0" w:type="dxa"/>
            <w:right w:w="108" w:type="dxa"/>
          </w:tblCellMar>
        </w:tblPrEx>
        <w:trPr>
          <w:trHeight w:val="340" w:hRule="atLeast"/>
        </w:trPr>
        <w:tc>
          <w:tcPr>
            <w:tcW w:w="567"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砷</w:t>
            </w:r>
          </w:p>
        </w:tc>
        <w:tc>
          <w:tcPr>
            <w:tcW w:w="567"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34.3</w:t>
            </w:r>
          </w:p>
        </w:tc>
        <w:tc>
          <w:tcPr>
            <w:tcW w:w="567"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10.5</w:t>
            </w:r>
          </w:p>
        </w:tc>
        <w:tc>
          <w:tcPr>
            <w:tcW w:w="567"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26.2</w:t>
            </w:r>
          </w:p>
        </w:tc>
        <w:tc>
          <w:tcPr>
            <w:tcW w:w="567"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6.09</w:t>
            </w:r>
          </w:p>
        </w:tc>
        <w:tc>
          <w:tcPr>
            <w:tcW w:w="567"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6.11</w:t>
            </w:r>
          </w:p>
        </w:tc>
        <w:tc>
          <w:tcPr>
            <w:tcW w:w="567"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12.7</w:t>
            </w:r>
          </w:p>
        </w:tc>
        <w:tc>
          <w:tcPr>
            <w:tcW w:w="567"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140</w:t>
            </w:r>
          </w:p>
        </w:tc>
      </w:tr>
      <w:tr>
        <w:tblPrEx>
          <w:tblCellMar>
            <w:top w:w="0" w:type="dxa"/>
            <w:left w:w="108" w:type="dxa"/>
            <w:bottom w:w="0" w:type="dxa"/>
            <w:right w:w="108" w:type="dxa"/>
          </w:tblCellMar>
        </w:tblPrEx>
        <w:trPr>
          <w:trHeight w:val="340" w:hRule="atLeast"/>
        </w:trPr>
        <w:tc>
          <w:tcPr>
            <w:tcW w:w="567"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汞</w:t>
            </w:r>
          </w:p>
        </w:tc>
        <w:tc>
          <w:tcPr>
            <w:tcW w:w="567"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0.153</w:t>
            </w:r>
          </w:p>
        </w:tc>
        <w:tc>
          <w:tcPr>
            <w:tcW w:w="567"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0.091</w:t>
            </w:r>
          </w:p>
        </w:tc>
        <w:tc>
          <w:tcPr>
            <w:tcW w:w="567"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0.677</w:t>
            </w:r>
          </w:p>
        </w:tc>
        <w:tc>
          <w:tcPr>
            <w:tcW w:w="567"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0.142</w:t>
            </w:r>
          </w:p>
        </w:tc>
        <w:tc>
          <w:tcPr>
            <w:tcW w:w="567"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2.90</w:t>
            </w:r>
          </w:p>
        </w:tc>
        <w:tc>
          <w:tcPr>
            <w:tcW w:w="567"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1.11</w:t>
            </w:r>
          </w:p>
        </w:tc>
        <w:tc>
          <w:tcPr>
            <w:tcW w:w="567"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82</w:t>
            </w:r>
          </w:p>
        </w:tc>
      </w:tr>
      <w:tr>
        <w:tblPrEx>
          <w:tblCellMar>
            <w:top w:w="0" w:type="dxa"/>
            <w:left w:w="108" w:type="dxa"/>
            <w:bottom w:w="0" w:type="dxa"/>
            <w:right w:w="108" w:type="dxa"/>
          </w:tblCellMar>
        </w:tblPrEx>
        <w:trPr>
          <w:trHeight w:val="340" w:hRule="atLeast"/>
        </w:trPr>
        <w:tc>
          <w:tcPr>
            <w:tcW w:w="567"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镍</w:t>
            </w:r>
          </w:p>
        </w:tc>
        <w:tc>
          <w:tcPr>
            <w:tcW w:w="567"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31</w:t>
            </w:r>
          </w:p>
        </w:tc>
        <w:tc>
          <w:tcPr>
            <w:tcW w:w="567"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33</w:t>
            </w:r>
          </w:p>
        </w:tc>
        <w:tc>
          <w:tcPr>
            <w:tcW w:w="567"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30</w:t>
            </w:r>
          </w:p>
        </w:tc>
        <w:tc>
          <w:tcPr>
            <w:tcW w:w="567"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27</w:t>
            </w:r>
          </w:p>
        </w:tc>
        <w:tc>
          <w:tcPr>
            <w:tcW w:w="567"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30</w:t>
            </w:r>
          </w:p>
        </w:tc>
        <w:tc>
          <w:tcPr>
            <w:tcW w:w="567"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27</w:t>
            </w:r>
          </w:p>
        </w:tc>
        <w:tc>
          <w:tcPr>
            <w:tcW w:w="567"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2000</w:t>
            </w:r>
          </w:p>
        </w:tc>
      </w:tr>
      <w:tr>
        <w:tblPrEx>
          <w:tblCellMar>
            <w:top w:w="0" w:type="dxa"/>
            <w:left w:w="108" w:type="dxa"/>
            <w:bottom w:w="0" w:type="dxa"/>
            <w:right w:w="108" w:type="dxa"/>
          </w:tblCellMar>
        </w:tblPrEx>
        <w:trPr>
          <w:trHeight w:val="340" w:hRule="atLeast"/>
        </w:trPr>
        <w:tc>
          <w:tcPr>
            <w:tcW w:w="567"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总铬</w:t>
            </w:r>
          </w:p>
        </w:tc>
        <w:tc>
          <w:tcPr>
            <w:tcW w:w="567"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62</w:t>
            </w:r>
          </w:p>
        </w:tc>
        <w:tc>
          <w:tcPr>
            <w:tcW w:w="567"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61</w:t>
            </w:r>
          </w:p>
        </w:tc>
        <w:tc>
          <w:tcPr>
            <w:tcW w:w="567"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60</w:t>
            </w:r>
          </w:p>
        </w:tc>
        <w:tc>
          <w:tcPr>
            <w:tcW w:w="567"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54</w:t>
            </w:r>
          </w:p>
        </w:tc>
        <w:tc>
          <w:tcPr>
            <w:tcW w:w="567"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56</w:t>
            </w:r>
          </w:p>
        </w:tc>
        <w:tc>
          <w:tcPr>
            <w:tcW w:w="567"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58</w:t>
            </w:r>
          </w:p>
        </w:tc>
        <w:tc>
          <w:tcPr>
            <w:tcW w:w="567"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r>
      <w:tr>
        <w:tblPrEx>
          <w:tblCellMar>
            <w:top w:w="0" w:type="dxa"/>
            <w:left w:w="108" w:type="dxa"/>
            <w:bottom w:w="0" w:type="dxa"/>
            <w:right w:w="108" w:type="dxa"/>
          </w:tblCellMar>
        </w:tblPrEx>
        <w:trPr>
          <w:trHeight w:val="340" w:hRule="atLeast"/>
        </w:trPr>
        <w:tc>
          <w:tcPr>
            <w:tcW w:w="567"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锑</w:t>
            </w:r>
          </w:p>
        </w:tc>
        <w:tc>
          <w:tcPr>
            <w:tcW w:w="567"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2.43</w:t>
            </w:r>
          </w:p>
        </w:tc>
        <w:tc>
          <w:tcPr>
            <w:tcW w:w="567"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0.814</w:t>
            </w:r>
          </w:p>
        </w:tc>
        <w:tc>
          <w:tcPr>
            <w:tcW w:w="567"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1.89</w:t>
            </w:r>
          </w:p>
        </w:tc>
        <w:tc>
          <w:tcPr>
            <w:tcW w:w="567"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0.480</w:t>
            </w:r>
          </w:p>
        </w:tc>
        <w:tc>
          <w:tcPr>
            <w:tcW w:w="567"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0.569</w:t>
            </w:r>
          </w:p>
        </w:tc>
        <w:tc>
          <w:tcPr>
            <w:tcW w:w="567"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1.36</w:t>
            </w:r>
          </w:p>
        </w:tc>
        <w:tc>
          <w:tcPr>
            <w:tcW w:w="567"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360</w:t>
            </w:r>
          </w:p>
        </w:tc>
      </w:tr>
      <w:tr>
        <w:tblPrEx>
          <w:tblCellMar>
            <w:top w:w="0" w:type="dxa"/>
            <w:left w:w="108" w:type="dxa"/>
            <w:bottom w:w="0" w:type="dxa"/>
            <w:right w:w="108" w:type="dxa"/>
          </w:tblCellMar>
        </w:tblPrEx>
        <w:trPr>
          <w:trHeight w:val="340" w:hRule="atLeast"/>
        </w:trPr>
        <w:tc>
          <w:tcPr>
            <w:tcW w:w="567"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硒</w:t>
            </w:r>
          </w:p>
        </w:tc>
        <w:tc>
          <w:tcPr>
            <w:tcW w:w="567" w:type="dxa"/>
            <w:tcBorders>
              <w:top w:val="single" w:color="000000" w:sz="4" w:space="0"/>
              <w:left w:val="single" w:color="000000" w:sz="4" w:space="0"/>
              <w:bottom w:val="single" w:color="000000" w:sz="4" w:space="0"/>
              <w:right w:val="single" w:color="000000"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0.429</w:t>
            </w:r>
          </w:p>
        </w:tc>
        <w:tc>
          <w:tcPr>
            <w:tcW w:w="567"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0.272</w:t>
            </w:r>
          </w:p>
        </w:tc>
        <w:tc>
          <w:tcPr>
            <w:tcW w:w="567"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0.212</w:t>
            </w:r>
          </w:p>
        </w:tc>
        <w:tc>
          <w:tcPr>
            <w:tcW w:w="567"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0.114</w:t>
            </w:r>
          </w:p>
        </w:tc>
        <w:tc>
          <w:tcPr>
            <w:tcW w:w="567"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0.221</w:t>
            </w:r>
          </w:p>
        </w:tc>
        <w:tc>
          <w:tcPr>
            <w:tcW w:w="567"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0.167</w:t>
            </w:r>
          </w:p>
        </w:tc>
        <w:tc>
          <w:tcPr>
            <w:tcW w:w="567" w:type="dxa"/>
            <w:tcBorders>
              <w:top w:val="single" w:color="000000" w:sz="4" w:space="0"/>
              <w:left w:val="single" w:color="000000" w:sz="4" w:space="0"/>
              <w:bottom w:val="single" w:color="000000" w:sz="4" w:space="0"/>
              <w:right w:val="single" w:color="000000" w:sz="4" w:space="0"/>
            </w:tcBorders>
            <w:noWrap/>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p>
        </w:tc>
      </w:tr>
    </w:tbl>
    <w:p>
      <w:pPr>
        <w:pStyle w:val="4"/>
        <w:pageBreakBefore w:val="0"/>
        <w:numPr>
          <w:ilvl w:val="1"/>
          <w:numId w:val="0"/>
        </w:numPr>
        <w:wordWrap/>
        <w:bidi w:val="0"/>
        <w:ind w:left="0" w:leftChars="0" w:right="0" w:rightChars="0" w:firstLine="0" w:firstLineChars="0"/>
        <w:rPr>
          <w:rFonts w:hint="default" w:ascii="Times New Roman" w:hAnsi="Times New Roman" w:eastAsia="宋体" w:cs="Times New Roman"/>
          <w:b/>
          <w:bCs w:val="0"/>
          <w:color w:val="auto"/>
          <w:highlight w:val="none"/>
        </w:rPr>
      </w:pPr>
      <w:bookmarkStart w:id="835" w:name="_Toc13741"/>
      <w:bookmarkStart w:id="836" w:name="_Toc10780"/>
      <w:r>
        <w:rPr>
          <w:rFonts w:hint="default" w:ascii="Times New Roman" w:hAnsi="Times New Roman" w:eastAsia="宋体" w:cs="Times New Roman"/>
          <w:b/>
          <w:bCs/>
          <w:i w:val="0"/>
          <w:color w:val="auto"/>
          <w:kern w:val="2"/>
          <w:sz w:val="28"/>
          <w:szCs w:val="28"/>
          <w:highlight w:val="none"/>
          <w:lang w:val="en-US" w:eastAsia="zh-CN" w:bidi="ar-SA"/>
        </w:rPr>
        <w:t>5.4</w:t>
      </w:r>
      <w:r>
        <w:rPr>
          <w:rFonts w:hint="default" w:ascii="Times New Roman" w:hAnsi="Times New Roman" w:eastAsia="宋体" w:cs="Times New Roman"/>
          <w:b/>
          <w:bCs/>
          <w:color w:val="auto"/>
          <w:highlight w:val="none"/>
        </w:rPr>
        <w:t>土</w:t>
      </w:r>
      <w:r>
        <w:rPr>
          <w:rFonts w:hint="default" w:ascii="Times New Roman" w:hAnsi="Times New Roman" w:eastAsia="宋体" w:cs="Times New Roman"/>
          <w:b/>
          <w:bCs w:val="0"/>
          <w:color w:val="auto"/>
          <w:highlight w:val="none"/>
        </w:rPr>
        <w:t>壤环境质量现状监测与评价</w:t>
      </w:r>
      <w:bookmarkEnd w:id="835"/>
      <w:bookmarkEnd w:id="836"/>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bCs/>
          <w:color w:val="auto"/>
          <w:sz w:val="24"/>
          <w:highlight w:val="none"/>
        </w:rPr>
        <w:t>为了</w:t>
      </w:r>
      <w:r>
        <w:rPr>
          <w:rFonts w:hint="default" w:ascii="Times New Roman" w:hAnsi="Times New Roman" w:eastAsia="宋体" w:cs="Times New Roman"/>
          <w:color w:val="auto"/>
          <w:sz w:val="24"/>
          <w:highlight w:val="none"/>
        </w:rPr>
        <w:t>解本项目所在区域土壤环境现状</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并为影响评价提供基础资料和数据</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委托</w:t>
      </w:r>
      <w:r>
        <w:rPr>
          <w:rFonts w:hint="default" w:ascii="Times New Roman" w:hAnsi="Times New Roman" w:eastAsia="宋体" w:cs="Times New Roman"/>
          <w:bCs/>
          <w:color w:val="auto"/>
          <w:sz w:val="24"/>
          <w:highlight w:val="none"/>
        </w:rPr>
        <w:t>内蒙古加通环境检测治理有限公司</w:t>
      </w:r>
      <w:r>
        <w:rPr>
          <w:rFonts w:hint="default" w:ascii="Times New Roman" w:hAnsi="Times New Roman" w:eastAsia="宋体" w:cs="Times New Roman"/>
          <w:color w:val="auto"/>
          <w:sz w:val="24"/>
          <w:highlight w:val="none"/>
        </w:rPr>
        <w:t>对项目周围的土壤进行了现状监测。</w:t>
      </w:r>
    </w:p>
    <w:p>
      <w:pPr>
        <w:pStyle w:val="5"/>
        <w:pageBreakBefore w:val="0"/>
        <w:numPr>
          <w:ilvl w:val="2"/>
          <w:numId w:val="0"/>
        </w:numPr>
        <w:wordWrap/>
        <w:bidi w:val="0"/>
        <w:adjustRightInd w:val="0"/>
        <w:snapToGrid w:val="0"/>
        <w:ind w:left="0" w:leftChars="0" w:right="0" w:rightChars="0"/>
        <w:rPr>
          <w:rFonts w:hint="default" w:ascii="Times New Roman" w:hAnsi="Times New Roman" w:eastAsia="宋体" w:cs="Times New Roman"/>
          <w:b/>
          <w:bCs/>
          <w:color w:val="auto"/>
          <w:highlight w:val="none"/>
        </w:rPr>
      </w:pPr>
      <w:bookmarkStart w:id="837" w:name="_Toc2934"/>
      <w:bookmarkStart w:id="838" w:name="_Toc15355"/>
      <w:bookmarkStart w:id="839" w:name="_Toc28368"/>
      <w:r>
        <w:rPr>
          <w:rFonts w:hint="default" w:ascii="Times New Roman" w:hAnsi="Times New Roman" w:eastAsia="宋体" w:cs="Times New Roman"/>
          <w:b/>
          <w:bCs/>
          <w:i w:val="0"/>
          <w:iCs w:val="0"/>
          <w:caps w:val="0"/>
          <w:smallCaps w:val="0"/>
          <w:strike w:val="0"/>
          <w:dstrike w:val="0"/>
          <w:vanish w:val="0"/>
          <w:color w:val="auto"/>
          <w:spacing w:val="0"/>
          <w:kern w:val="2"/>
          <w:position w:val="0"/>
          <w:sz w:val="24"/>
          <w:szCs w:val="24"/>
          <w:highlight w:val="none"/>
          <w:u w:val="none"/>
          <w:vertAlign w:val="baseline"/>
          <w:lang w:val="en-US" w:eastAsia="zh-CN" w:bidi="ar-SA"/>
          <w14:shadow w14:blurRad="0" w14:dist="0" w14:dir="0" w14:sx="0" w14:sy="0" w14:kx="0" w14:ky="0" w14:algn="none">
            <w14:srgbClr w14:val="000000"/>
          </w14:shadow>
        </w:rPr>
        <w:t>5.4.1</w:t>
      </w:r>
      <w:r>
        <w:rPr>
          <w:rFonts w:hint="default" w:ascii="Times New Roman" w:hAnsi="Times New Roman" w:eastAsia="宋体" w:cs="Times New Roman"/>
          <w:b/>
          <w:bCs/>
          <w:color w:val="auto"/>
          <w:highlight w:val="none"/>
        </w:rPr>
        <w:t>监测点位</w:t>
      </w:r>
      <w:bookmarkEnd w:id="837"/>
      <w:bookmarkEnd w:id="838"/>
      <w:bookmarkEnd w:id="839"/>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bidi="ar"/>
        </w:rPr>
        <w:t>根据建设项目的实际情况</w:t>
      </w:r>
      <w:r>
        <w:rPr>
          <w:rFonts w:hint="default" w:ascii="Times New Roman" w:hAnsi="Times New Roman" w:eastAsia="宋体" w:cs="Times New Roman"/>
          <w:color w:val="auto"/>
          <w:sz w:val="24"/>
          <w:highlight w:val="none"/>
          <w:lang w:eastAsia="zh-CN" w:bidi="ar"/>
        </w:rPr>
        <w:t>，</w:t>
      </w:r>
      <w:r>
        <w:rPr>
          <w:rFonts w:hint="default" w:ascii="Times New Roman" w:hAnsi="Times New Roman" w:eastAsia="宋体" w:cs="Times New Roman"/>
          <w:color w:val="auto"/>
          <w:sz w:val="24"/>
          <w:highlight w:val="none"/>
          <w:lang w:bidi="ar"/>
        </w:rPr>
        <w:t>本次评价布设3个点位</w:t>
      </w:r>
      <w:r>
        <w:rPr>
          <w:rFonts w:hint="default" w:ascii="Times New Roman" w:hAnsi="Times New Roman" w:eastAsia="宋体" w:cs="Times New Roman"/>
          <w:color w:val="auto"/>
          <w:sz w:val="24"/>
          <w:highlight w:val="none"/>
          <w:lang w:eastAsia="zh-CN" w:bidi="ar"/>
        </w:rPr>
        <w:t>，</w:t>
      </w:r>
      <w:r>
        <w:rPr>
          <w:rFonts w:hint="default" w:ascii="Times New Roman" w:hAnsi="Times New Roman" w:eastAsia="宋体" w:cs="Times New Roman"/>
          <w:color w:val="auto"/>
          <w:sz w:val="24"/>
          <w:highlight w:val="none"/>
          <w:lang w:bidi="ar"/>
        </w:rPr>
        <w:t>位于项目区内</w:t>
      </w:r>
      <w:r>
        <w:rPr>
          <w:rFonts w:hint="default" w:ascii="Times New Roman" w:hAnsi="Times New Roman" w:eastAsia="宋体" w:cs="Times New Roman"/>
          <w:color w:val="auto"/>
          <w:sz w:val="24"/>
          <w:highlight w:val="none"/>
          <w:lang w:eastAsia="zh-CN" w:bidi="ar"/>
        </w:rPr>
        <w:t>，</w:t>
      </w:r>
      <w:r>
        <w:rPr>
          <w:rFonts w:hint="default" w:ascii="Times New Roman" w:hAnsi="Times New Roman" w:eastAsia="宋体" w:cs="Times New Roman"/>
          <w:color w:val="auto"/>
          <w:sz w:val="24"/>
          <w:highlight w:val="none"/>
          <w:lang w:bidi="ar"/>
        </w:rPr>
        <w:t>点位细况详见表5-1</w:t>
      </w:r>
      <w:r>
        <w:rPr>
          <w:rFonts w:hint="default" w:ascii="Times New Roman" w:hAnsi="Times New Roman" w:eastAsia="宋体" w:cs="Times New Roman"/>
          <w:color w:val="auto"/>
          <w:sz w:val="24"/>
          <w:highlight w:val="none"/>
          <w:lang w:val="en-US" w:eastAsia="zh-CN" w:bidi="ar"/>
        </w:rPr>
        <w:t>6</w:t>
      </w:r>
      <w:r>
        <w:rPr>
          <w:rFonts w:hint="default" w:ascii="Times New Roman" w:hAnsi="Times New Roman" w:eastAsia="宋体" w:cs="Times New Roman"/>
          <w:color w:val="auto"/>
          <w:sz w:val="24"/>
          <w:highlight w:val="none"/>
          <w:lang w:bidi="ar"/>
        </w:rPr>
        <w:t>。</w:t>
      </w:r>
    </w:p>
    <w:p>
      <w:pPr>
        <w:pageBreakBefore w:val="0"/>
        <w:tabs>
          <w:tab w:val="left" w:pos="3062"/>
        </w:tabs>
        <w:wordWrap/>
        <w:bidi w:val="0"/>
        <w:spacing w:line="360" w:lineRule="auto"/>
        <w:ind w:left="0" w:leftChars="0" w:right="0" w:rightChars="0"/>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表5-1</w:t>
      </w:r>
      <w:r>
        <w:rPr>
          <w:rFonts w:hint="default" w:ascii="Times New Roman" w:hAnsi="Times New Roman" w:eastAsia="宋体" w:cs="Times New Roman"/>
          <w:b/>
          <w:bCs/>
          <w:color w:val="auto"/>
          <w:sz w:val="24"/>
          <w:highlight w:val="none"/>
          <w:lang w:val="en-US" w:eastAsia="zh-CN"/>
        </w:rPr>
        <w:t>6</w:t>
      </w:r>
      <w:r>
        <w:rPr>
          <w:rFonts w:hint="default" w:ascii="Times New Roman" w:hAnsi="Times New Roman" w:eastAsia="宋体" w:cs="Times New Roman"/>
          <w:b/>
          <w:bCs/>
          <w:color w:val="auto"/>
          <w:sz w:val="24"/>
          <w:highlight w:val="none"/>
        </w:rPr>
        <w:t>建设用地土壤理化特性调查表</w:t>
      </w:r>
    </w:p>
    <w:tbl>
      <w:tblPr>
        <w:tblStyle w:val="54"/>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843"/>
        <w:gridCol w:w="2931"/>
        <w:gridCol w:w="274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68" w:type="pct"/>
            <w:tcBorders>
              <w:top w:val="single" w:color="auto" w:sz="4" w:space="0"/>
              <w:lef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lang w:bidi="ar"/>
              </w:rPr>
              <w:t>1#</w:t>
            </w:r>
          </w:p>
        </w:tc>
        <w:tc>
          <w:tcPr>
            <w:tcW w:w="1719" w:type="pct"/>
            <w:tcBorders>
              <w:top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lang w:bidi="ar"/>
              </w:rPr>
              <w:t>2#</w:t>
            </w:r>
          </w:p>
        </w:tc>
        <w:tc>
          <w:tcPr>
            <w:tcW w:w="1612" w:type="pct"/>
            <w:tcBorders>
              <w:top w:val="single" w:color="auto" w:sz="4" w:space="0"/>
              <w:righ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lang w:bidi="ar"/>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68" w:type="pct"/>
            <w:tcBorders>
              <w:left w:val="single" w:color="auto" w:sz="4" w:space="0"/>
            </w:tcBorders>
            <w:vAlign w:val="center"/>
          </w:tcPr>
          <w:p>
            <w:pPr>
              <w:pStyle w:val="509"/>
              <w:pageBreakBefore w:val="0"/>
              <w:framePr w:hSpace="0" w:wrap="auto" w:vAnchor="margin" w:hAnchor="text" w:xAlign="left" w:yAlign="inline"/>
              <w:wordWrap/>
              <w:bidi w:val="0"/>
              <w:spacing w:line="240" w:lineRule="auto"/>
              <w:ind w:left="0" w:leftChars="0" w:right="0" w:rightChars="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尾矿库</w:t>
            </w:r>
            <w:r>
              <w:rPr>
                <w:rFonts w:hint="default" w:ascii="Times New Roman" w:hAnsi="Times New Roman" w:eastAsia="宋体" w:cs="Times New Roman"/>
                <w:color w:val="auto"/>
                <w:highlight w:val="none"/>
                <w:lang w:eastAsia="zh-CN"/>
              </w:rPr>
              <w:t>西侧</w:t>
            </w:r>
          </w:p>
          <w:p>
            <w:pPr>
              <w:pStyle w:val="509"/>
              <w:pageBreakBefore w:val="0"/>
              <w:framePr w:hSpace="0" w:wrap="auto" w:vAnchor="margin" w:hAnchor="text" w:xAlign="left" w:yAlign="inline"/>
              <w:wordWrap/>
              <w:bidi w:val="0"/>
              <w:spacing w:line="240" w:lineRule="auto"/>
              <w:ind w:left="0" w:leftChars="0" w:right="0" w:right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1#表层样</w:t>
            </w:r>
          </w:p>
        </w:tc>
        <w:tc>
          <w:tcPr>
            <w:tcW w:w="1719" w:type="pct"/>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尾矿库</w:t>
            </w:r>
            <w:r>
              <w:rPr>
                <w:rFonts w:hint="default" w:ascii="Times New Roman" w:hAnsi="Times New Roman" w:eastAsia="宋体" w:cs="Times New Roman"/>
                <w:color w:val="auto"/>
                <w:highlight w:val="none"/>
                <w:lang w:eastAsia="zh-CN"/>
              </w:rPr>
              <w:t>南侧</w:t>
            </w:r>
          </w:p>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2#表层样</w:t>
            </w:r>
          </w:p>
        </w:tc>
        <w:tc>
          <w:tcPr>
            <w:tcW w:w="1612" w:type="pct"/>
            <w:tcBorders>
              <w:righ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尾矿库</w:t>
            </w:r>
            <w:r>
              <w:rPr>
                <w:rFonts w:hint="default" w:ascii="Times New Roman" w:hAnsi="Times New Roman" w:eastAsia="宋体" w:cs="Times New Roman"/>
                <w:color w:val="auto"/>
                <w:szCs w:val="21"/>
                <w:highlight w:val="none"/>
                <w:lang w:eastAsia="zh-CN"/>
              </w:rPr>
              <w:t>东</w:t>
            </w:r>
            <w:r>
              <w:rPr>
                <w:rFonts w:hint="default" w:ascii="Times New Roman" w:hAnsi="Times New Roman" w:eastAsia="宋体" w:cs="Times New Roman"/>
                <w:color w:val="auto"/>
                <w:highlight w:val="none"/>
                <w:lang w:eastAsia="zh-CN"/>
              </w:rPr>
              <w:t>南侧</w:t>
            </w:r>
          </w:p>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3#表层样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68" w:type="pct"/>
            <w:tcBorders>
              <w:left w:val="single" w:color="auto" w:sz="4" w:space="0"/>
              <w:bottom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bidi="ar"/>
              </w:rPr>
              <w:t>表土层（0~20cm</w:t>
            </w:r>
            <w:r>
              <w:rPr>
                <w:rFonts w:hint="default" w:ascii="Times New Roman" w:hAnsi="Times New Roman" w:eastAsia="宋体" w:cs="Times New Roman"/>
                <w:color w:val="auto"/>
                <w:szCs w:val="21"/>
                <w:highlight w:val="none"/>
                <w:lang w:eastAsia="zh-CN" w:bidi="ar"/>
              </w:rPr>
              <w:t>）</w:t>
            </w:r>
          </w:p>
        </w:tc>
        <w:tc>
          <w:tcPr>
            <w:tcW w:w="1719" w:type="pct"/>
            <w:tcBorders>
              <w:bottom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bidi="ar"/>
              </w:rPr>
              <w:t>表土层（0~20cm</w:t>
            </w:r>
            <w:r>
              <w:rPr>
                <w:rFonts w:hint="default" w:ascii="Times New Roman" w:hAnsi="Times New Roman" w:eastAsia="宋体" w:cs="Times New Roman"/>
                <w:color w:val="auto"/>
                <w:szCs w:val="21"/>
                <w:highlight w:val="none"/>
                <w:lang w:eastAsia="zh-CN" w:bidi="ar"/>
              </w:rPr>
              <w:t>）</w:t>
            </w:r>
          </w:p>
        </w:tc>
        <w:tc>
          <w:tcPr>
            <w:tcW w:w="1612" w:type="pct"/>
            <w:tcBorders>
              <w:bottom w:val="single" w:color="auto" w:sz="4" w:space="0"/>
              <w:righ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bidi="ar"/>
              </w:rPr>
              <w:t>表土层（0~20cm</w:t>
            </w:r>
            <w:r>
              <w:rPr>
                <w:rFonts w:hint="default" w:ascii="Times New Roman" w:hAnsi="Times New Roman" w:eastAsia="宋体" w:cs="Times New Roman"/>
                <w:color w:val="auto"/>
                <w:szCs w:val="21"/>
                <w:highlight w:val="none"/>
                <w:lang w:eastAsia="zh-CN" w:bidi="ar"/>
              </w:rPr>
              <w:t>）</w:t>
            </w:r>
          </w:p>
        </w:tc>
      </w:tr>
    </w:tbl>
    <w:p>
      <w:pPr>
        <w:pStyle w:val="5"/>
        <w:pageBreakBefore w:val="0"/>
        <w:numPr>
          <w:ilvl w:val="2"/>
          <w:numId w:val="0"/>
        </w:numPr>
        <w:wordWrap/>
        <w:bidi w:val="0"/>
        <w:adjustRightInd w:val="0"/>
        <w:snapToGrid w:val="0"/>
        <w:ind w:left="0" w:leftChars="0" w:right="0" w:rightChars="0"/>
        <w:rPr>
          <w:rFonts w:hint="default" w:ascii="Times New Roman" w:hAnsi="Times New Roman" w:eastAsia="宋体" w:cs="Times New Roman"/>
          <w:b/>
          <w:bCs/>
          <w:color w:val="auto"/>
          <w:highlight w:val="none"/>
        </w:rPr>
      </w:pPr>
      <w:bookmarkStart w:id="840" w:name="_Toc4134"/>
      <w:bookmarkStart w:id="841" w:name="_Toc16473"/>
      <w:bookmarkStart w:id="842" w:name="_Toc6045"/>
      <w:r>
        <w:rPr>
          <w:rFonts w:hint="default" w:ascii="Times New Roman" w:hAnsi="Times New Roman" w:eastAsia="宋体" w:cs="Times New Roman"/>
          <w:b/>
          <w:bCs/>
          <w:i w:val="0"/>
          <w:iCs w:val="0"/>
          <w:caps w:val="0"/>
          <w:smallCaps w:val="0"/>
          <w:strike w:val="0"/>
          <w:dstrike w:val="0"/>
          <w:vanish w:val="0"/>
          <w:color w:val="auto"/>
          <w:spacing w:val="0"/>
          <w:kern w:val="2"/>
          <w:position w:val="0"/>
          <w:sz w:val="24"/>
          <w:szCs w:val="24"/>
          <w:highlight w:val="none"/>
          <w:u w:val="none"/>
          <w:vertAlign w:val="baseline"/>
          <w:lang w:val="en-US" w:eastAsia="zh-CN" w:bidi="ar-SA"/>
          <w14:shadow w14:blurRad="0" w14:dist="0" w14:dir="0" w14:sx="0" w14:sy="0" w14:kx="0" w14:ky="0" w14:algn="none">
            <w14:srgbClr w14:val="000000"/>
          </w14:shadow>
        </w:rPr>
        <w:t>5.4.2</w:t>
      </w:r>
      <w:r>
        <w:rPr>
          <w:rFonts w:hint="default" w:ascii="Times New Roman" w:hAnsi="Times New Roman" w:eastAsia="宋体" w:cs="Times New Roman"/>
          <w:b/>
          <w:bCs/>
          <w:color w:val="auto"/>
          <w:highlight w:val="none"/>
        </w:rPr>
        <w:t>监测项目</w:t>
      </w:r>
      <w:bookmarkEnd w:id="840"/>
      <w:bookmarkEnd w:id="841"/>
      <w:bookmarkEnd w:id="842"/>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砷、汞、六价铬、镉、铅、铜、镍、2-氯酚、硝基苯、萘、苯并</w:t>
      </w:r>
      <w:r>
        <w:rPr>
          <w:rFonts w:hint="default" w:ascii="Times New Roman" w:hAnsi="Times New Roman" w:eastAsia="宋体" w:cs="Times New Roman"/>
          <w:color w:val="auto"/>
          <w:sz w:val="24"/>
          <w:highlight w:val="none"/>
          <w:lang w:eastAsia="zh-CN"/>
        </w:rPr>
        <w:t>（A）</w:t>
      </w:r>
      <w:r>
        <w:rPr>
          <w:rFonts w:hint="default" w:ascii="Times New Roman" w:hAnsi="Times New Roman" w:eastAsia="宋体" w:cs="Times New Roman"/>
          <w:color w:val="auto"/>
          <w:sz w:val="24"/>
          <w:highlight w:val="none"/>
        </w:rPr>
        <w:t>蒽、䓛、苯并（b</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荧蒽、苯并（k</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荧蒽、苯并</w:t>
      </w:r>
      <w:r>
        <w:rPr>
          <w:rFonts w:hint="default" w:ascii="Times New Roman" w:hAnsi="Times New Roman" w:eastAsia="宋体" w:cs="Times New Roman"/>
          <w:color w:val="auto"/>
          <w:sz w:val="24"/>
          <w:highlight w:val="none"/>
          <w:lang w:eastAsia="zh-CN"/>
        </w:rPr>
        <w:t>（A）</w:t>
      </w:r>
      <w:r>
        <w:rPr>
          <w:rFonts w:hint="default" w:ascii="Times New Roman" w:hAnsi="Times New Roman" w:eastAsia="宋体" w:cs="Times New Roman"/>
          <w:color w:val="auto"/>
          <w:sz w:val="24"/>
          <w:highlight w:val="none"/>
        </w:rPr>
        <w:t>芘、茚并（1</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2</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3-cd</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芘、二苯并（a</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h</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蒽、苯胺、氯乙烯、1</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1-二氯乙烯、二氯甲烷、反式1</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2-二氯乙烯、1</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1-二氯乙烷、顺式1</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2-二氯乙烯、氯仿、1</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1</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1-三氯乙烷、四氯化碳、氯甲烷、苯、1</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2-二氯乙烷、三氯乙烯、1</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2-二氯丙烷、甲苯、1</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1</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2-三氯乙烷、四氯乙烯、氯苯、乙苯、1</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1</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1</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2-四氯乙烷、间/对二甲苯、邻二甲苯、苯乙烯、1</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1</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2</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2-四氯乙烷、1</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2</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3-三氯丙烷、1</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4-二氯苯、1</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2-二氯苯</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共45项；</w:t>
      </w:r>
    </w:p>
    <w:p>
      <w:pPr>
        <w:pStyle w:val="5"/>
        <w:pageBreakBefore w:val="0"/>
        <w:numPr>
          <w:ilvl w:val="2"/>
          <w:numId w:val="0"/>
        </w:numPr>
        <w:wordWrap/>
        <w:bidi w:val="0"/>
        <w:snapToGrid w:val="0"/>
        <w:ind w:left="0" w:leftChars="0" w:right="0" w:rightChars="0"/>
        <w:rPr>
          <w:rFonts w:hint="default" w:ascii="Times New Roman" w:hAnsi="Times New Roman" w:eastAsia="宋体" w:cs="Times New Roman"/>
          <w:b/>
          <w:bCs/>
          <w:color w:val="auto"/>
          <w:highlight w:val="none"/>
        </w:rPr>
      </w:pPr>
      <w:bookmarkStart w:id="843" w:name="_Toc30854"/>
      <w:bookmarkStart w:id="844" w:name="_Toc15564"/>
      <w:bookmarkStart w:id="845" w:name="_Toc10510"/>
      <w:r>
        <w:rPr>
          <w:rFonts w:hint="default" w:ascii="Times New Roman" w:hAnsi="Times New Roman" w:eastAsia="宋体" w:cs="Times New Roman"/>
          <w:b/>
          <w:bCs/>
          <w:i w:val="0"/>
          <w:iCs w:val="0"/>
          <w:caps w:val="0"/>
          <w:smallCaps w:val="0"/>
          <w:strike w:val="0"/>
          <w:dstrike w:val="0"/>
          <w:vanish w:val="0"/>
          <w:color w:val="auto"/>
          <w:spacing w:val="0"/>
          <w:kern w:val="2"/>
          <w:position w:val="0"/>
          <w:sz w:val="24"/>
          <w:szCs w:val="24"/>
          <w:highlight w:val="none"/>
          <w:u w:val="none"/>
          <w:vertAlign w:val="baseline"/>
          <w:lang w:val="en-US" w:eastAsia="zh-CN" w:bidi="ar-SA"/>
          <w14:shadow w14:blurRad="0" w14:dist="0" w14:dir="0" w14:sx="0" w14:sy="0" w14:kx="0" w14:ky="0" w14:algn="none">
            <w14:srgbClr w14:val="000000"/>
          </w14:shadow>
        </w:rPr>
        <w:t>5.4.3</w:t>
      </w:r>
      <w:r>
        <w:rPr>
          <w:rFonts w:hint="default" w:ascii="Times New Roman" w:hAnsi="Times New Roman" w:eastAsia="宋体" w:cs="Times New Roman"/>
          <w:b/>
          <w:bCs/>
          <w:color w:val="auto"/>
          <w:highlight w:val="none"/>
        </w:rPr>
        <w:t>监测时间与频率</w:t>
      </w:r>
      <w:bookmarkEnd w:id="843"/>
      <w:bookmarkEnd w:id="844"/>
      <w:bookmarkEnd w:id="845"/>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1#-3#采样时间为2023年4月18日</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检测1天</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每天1次。</w:t>
      </w:r>
    </w:p>
    <w:p>
      <w:pPr>
        <w:pStyle w:val="5"/>
        <w:pageBreakBefore w:val="0"/>
        <w:numPr>
          <w:ilvl w:val="2"/>
          <w:numId w:val="0"/>
        </w:numPr>
        <w:wordWrap/>
        <w:bidi w:val="0"/>
        <w:adjustRightInd w:val="0"/>
        <w:snapToGrid w:val="0"/>
        <w:ind w:left="0" w:leftChars="0" w:right="0" w:rightChars="0"/>
        <w:rPr>
          <w:rFonts w:hint="default" w:ascii="Times New Roman" w:hAnsi="Times New Roman" w:eastAsia="宋体" w:cs="Times New Roman"/>
          <w:b/>
          <w:bCs/>
          <w:color w:val="auto"/>
          <w:highlight w:val="none"/>
        </w:rPr>
      </w:pPr>
      <w:bookmarkStart w:id="846" w:name="_Toc27976"/>
      <w:bookmarkStart w:id="847" w:name="_Toc17483"/>
      <w:bookmarkStart w:id="848" w:name="_Toc31755"/>
      <w:r>
        <w:rPr>
          <w:rFonts w:hint="default" w:ascii="Times New Roman" w:hAnsi="Times New Roman" w:eastAsia="宋体" w:cs="Times New Roman"/>
          <w:b/>
          <w:bCs/>
          <w:i w:val="0"/>
          <w:iCs w:val="0"/>
          <w:caps w:val="0"/>
          <w:smallCaps w:val="0"/>
          <w:strike w:val="0"/>
          <w:dstrike w:val="0"/>
          <w:vanish w:val="0"/>
          <w:color w:val="auto"/>
          <w:spacing w:val="0"/>
          <w:kern w:val="2"/>
          <w:position w:val="0"/>
          <w:sz w:val="24"/>
          <w:szCs w:val="24"/>
          <w:highlight w:val="none"/>
          <w:u w:val="none"/>
          <w:vertAlign w:val="baseline"/>
          <w:lang w:val="en-US" w:eastAsia="zh-CN" w:bidi="ar-SA"/>
          <w14:shadow w14:blurRad="0" w14:dist="0" w14:dir="0" w14:sx="0" w14:sy="0" w14:kx="0" w14:ky="0" w14:algn="none">
            <w14:srgbClr w14:val="000000"/>
          </w14:shadow>
        </w:rPr>
        <w:t>5.4.4</w:t>
      </w:r>
      <w:r>
        <w:rPr>
          <w:rFonts w:hint="default" w:ascii="Times New Roman" w:hAnsi="Times New Roman" w:eastAsia="宋体" w:cs="Times New Roman"/>
          <w:b/>
          <w:bCs/>
          <w:color w:val="auto"/>
          <w:highlight w:val="none"/>
        </w:rPr>
        <w:t>评价标准及方法</w:t>
      </w:r>
      <w:bookmarkEnd w:id="846"/>
      <w:bookmarkEnd w:id="847"/>
      <w:bookmarkEnd w:id="848"/>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占地范围内1#~3#执行《土壤环境质量建设用地土壤污染风险管控标准》GB36600-2018中表1建设用地土壤污染风险筛选值和管制值中筛选值第二类用地限值。</w:t>
      </w:r>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本次现状评价土壤现状监测方法见表5-1</w:t>
      </w:r>
      <w:r>
        <w:rPr>
          <w:rFonts w:hint="default" w:ascii="Times New Roman" w:hAnsi="Times New Roman" w:eastAsia="宋体" w:cs="Times New Roman"/>
          <w:color w:val="auto"/>
          <w:sz w:val="24"/>
          <w:highlight w:val="none"/>
          <w:lang w:val="en-US" w:eastAsia="zh-CN"/>
        </w:rPr>
        <w:t>7</w:t>
      </w:r>
      <w:r>
        <w:rPr>
          <w:rFonts w:hint="default" w:ascii="Times New Roman" w:hAnsi="Times New Roman" w:eastAsia="宋体" w:cs="Times New Roman"/>
          <w:color w:val="auto"/>
          <w:sz w:val="24"/>
          <w:highlight w:val="none"/>
        </w:rPr>
        <w:t>。</w:t>
      </w:r>
    </w:p>
    <w:p>
      <w:pPr>
        <w:pageBreakBefore w:val="0"/>
        <w:tabs>
          <w:tab w:val="left" w:pos="3062"/>
        </w:tabs>
        <w:wordWrap/>
        <w:bidi w:val="0"/>
        <w:spacing w:line="360" w:lineRule="auto"/>
        <w:ind w:left="0" w:leftChars="0" w:right="0" w:rightChars="0"/>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表5-1</w:t>
      </w:r>
      <w:r>
        <w:rPr>
          <w:rFonts w:hint="default" w:ascii="Times New Roman" w:hAnsi="Times New Roman" w:eastAsia="宋体" w:cs="Times New Roman"/>
          <w:b/>
          <w:bCs/>
          <w:color w:val="auto"/>
          <w:sz w:val="24"/>
          <w:highlight w:val="none"/>
          <w:lang w:val="en-US" w:eastAsia="zh-CN"/>
        </w:rPr>
        <w:t>7</w:t>
      </w:r>
      <w:r>
        <w:rPr>
          <w:rFonts w:hint="default" w:ascii="Times New Roman" w:hAnsi="Times New Roman" w:eastAsia="宋体" w:cs="Times New Roman"/>
          <w:b/>
          <w:bCs/>
          <w:color w:val="auto"/>
          <w:sz w:val="24"/>
          <w:highlight w:val="none"/>
        </w:rPr>
        <w:t>土壤现状监测方法</w:t>
      </w:r>
    </w:p>
    <w:tbl>
      <w:tblPr>
        <w:tblStyle w:val="54"/>
        <w:tblW w:w="82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94"/>
        <w:gridCol w:w="495"/>
        <w:gridCol w:w="495"/>
        <w:gridCol w:w="3088"/>
        <w:gridCol w:w="1853"/>
        <w:gridCol w:w="1111"/>
        <w:gridCol w:w="7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54" w:type="dxa"/>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序号</w:t>
            </w:r>
          </w:p>
        </w:tc>
        <w:tc>
          <w:tcPr>
            <w:tcW w:w="454" w:type="dxa"/>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样品类别</w:t>
            </w:r>
          </w:p>
        </w:tc>
        <w:tc>
          <w:tcPr>
            <w:tcW w:w="454" w:type="dxa"/>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分析项目</w:t>
            </w:r>
          </w:p>
        </w:tc>
        <w:tc>
          <w:tcPr>
            <w:tcW w:w="2835" w:type="dxa"/>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检测依据</w:t>
            </w:r>
          </w:p>
        </w:tc>
        <w:tc>
          <w:tcPr>
            <w:tcW w:w="1701" w:type="dxa"/>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检测仪器</w:t>
            </w:r>
          </w:p>
        </w:tc>
        <w:tc>
          <w:tcPr>
            <w:tcW w:w="1020" w:type="dxa"/>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检出限/最低检出浓度</w:t>
            </w:r>
          </w:p>
        </w:tc>
        <w:tc>
          <w:tcPr>
            <w:tcW w:w="680" w:type="dxa"/>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54" w:type="dxa"/>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454" w:type="dxa"/>
            <w:vMerge w:val="restart"/>
            <w:textDirection w:val="tbRlV"/>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土壤</w:t>
            </w:r>
          </w:p>
        </w:tc>
        <w:tc>
          <w:tcPr>
            <w:tcW w:w="454" w:type="dxa"/>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砷</w:t>
            </w:r>
          </w:p>
        </w:tc>
        <w:tc>
          <w:tcPr>
            <w:tcW w:w="2835"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《土壤质量总汞、总砷、总铅的测定原子荧光法第2部分</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土壤中总砷的测定》</w:t>
            </w:r>
          </w:p>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GB/T22105.2-2008</w:t>
            </w:r>
          </w:p>
        </w:tc>
        <w:tc>
          <w:tcPr>
            <w:tcW w:w="1701" w:type="dxa"/>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RGF-6200原子荧光光度计JT-02</w:t>
            </w:r>
          </w:p>
        </w:tc>
        <w:tc>
          <w:tcPr>
            <w:tcW w:w="1020"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0.01</w:t>
            </w:r>
          </w:p>
        </w:tc>
        <w:tc>
          <w:tcPr>
            <w:tcW w:w="680"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54" w:type="dxa"/>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tc>
        <w:tc>
          <w:tcPr>
            <w:tcW w:w="454" w:type="dxa"/>
            <w:vMerge w:val="continue"/>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454" w:type="dxa"/>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镉</w:t>
            </w:r>
          </w:p>
        </w:tc>
        <w:tc>
          <w:tcPr>
            <w:tcW w:w="2835" w:type="dxa"/>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《土壤质量铅、镉的测定石墨炉原子吸收分光光度法》</w:t>
            </w:r>
          </w:p>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GB/T17141-1997</w:t>
            </w:r>
          </w:p>
        </w:tc>
        <w:tc>
          <w:tcPr>
            <w:tcW w:w="1701" w:type="dxa"/>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Z-2700日立原子吸收（石墨炉</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JT-11</w:t>
            </w:r>
          </w:p>
        </w:tc>
        <w:tc>
          <w:tcPr>
            <w:tcW w:w="1020"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0.01</w:t>
            </w:r>
          </w:p>
        </w:tc>
        <w:tc>
          <w:tcPr>
            <w:tcW w:w="680"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54" w:type="dxa"/>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w:t>
            </w:r>
          </w:p>
        </w:tc>
        <w:tc>
          <w:tcPr>
            <w:tcW w:w="454" w:type="dxa"/>
            <w:vMerge w:val="continue"/>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454" w:type="dxa"/>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铬（六价</w:t>
            </w:r>
            <w:r>
              <w:rPr>
                <w:rFonts w:hint="default" w:ascii="Times New Roman" w:hAnsi="Times New Roman" w:eastAsia="宋体" w:cs="Times New Roman"/>
                <w:color w:val="auto"/>
                <w:sz w:val="21"/>
                <w:szCs w:val="21"/>
                <w:highlight w:val="none"/>
                <w:lang w:eastAsia="zh-CN"/>
              </w:rPr>
              <w:t>）</w:t>
            </w:r>
          </w:p>
        </w:tc>
        <w:tc>
          <w:tcPr>
            <w:tcW w:w="2835"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《土壤和沉积物六价铬的测定碱溶液提取-火焰原子吸收分光光度法》HJ1082-2019</w:t>
            </w:r>
          </w:p>
        </w:tc>
        <w:tc>
          <w:tcPr>
            <w:tcW w:w="1701" w:type="dxa"/>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AA-6300C岛津光学双光束原子吸收分光光度计JT-01</w:t>
            </w:r>
          </w:p>
        </w:tc>
        <w:tc>
          <w:tcPr>
            <w:tcW w:w="1020"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0.5</w:t>
            </w:r>
          </w:p>
        </w:tc>
        <w:tc>
          <w:tcPr>
            <w:tcW w:w="680"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54" w:type="dxa"/>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w:t>
            </w:r>
          </w:p>
        </w:tc>
        <w:tc>
          <w:tcPr>
            <w:tcW w:w="454" w:type="dxa"/>
            <w:vMerge w:val="continue"/>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454" w:type="dxa"/>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铜</w:t>
            </w:r>
          </w:p>
        </w:tc>
        <w:tc>
          <w:tcPr>
            <w:tcW w:w="2835" w:type="dxa"/>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sz w:val="21"/>
                <w:szCs w:val="21"/>
                <w:highlight w:val="none"/>
              </w:rPr>
              <w:t>《土壤和沉积物铜、锌、铅、镍、铬的测定</w:t>
            </w:r>
            <w:r>
              <w:rPr>
                <w:rFonts w:hint="default" w:ascii="Times New Roman" w:hAnsi="Times New Roman" w:eastAsia="宋体" w:cs="Times New Roman"/>
                <w:color w:val="auto"/>
                <w:kern w:val="0"/>
                <w:sz w:val="21"/>
                <w:szCs w:val="21"/>
                <w:highlight w:val="none"/>
                <w:lang w:bidi="ar"/>
              </w:rPr>
              <w:t>火焰原子吸收分光光度法</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kern w:val="0"/>
                <w:sz w:val="21"/>
                <w:szCs w:val="21"/>
                <w:highlight w:val="none"/>
                <w:lang w:bidi="ar"/>
              </w:rPr>
              <w:t>HJ491-2019</w:t>
            </w:r>
          </w:p>
        </w:tc>
        <w:tc>
          <w:tcPr>
            <w:tcW w:w="1701" w:type="dxa"/>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AA-6300C岛津光学双光束原子吸收分光光度计JT-01</w:t>
            </w:r>
          </w:p>
        </w:tc>
        <w:tc>
          <w:tcPr>
            <w:tcW w:w="1020"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680"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54" w:type="dxa"/>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w:t>
            </w:r>
          </w:p>
        </w:tc>
        <w:tc>
          <w:tcPr>
            <w:tcW w:w="454" w:type="dxa"/>
            <w:vMerge w:val="continue"/>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454" w:type="dxa"/>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铅</w:t>
            </w:r>
          </w:p>
        </w:tc>
        <w:tc>
          <w:tcPr>
            <w:tcW w:w="2835"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sz w:val="21"/>
                <w:szCs w:val="21"/>
                <w:highlight w:val="none"/>
              </w:rPr>
              <w:t>《土壤和沉积物铜、锌、铅、镍、铬的测定</w:t>
            </w:r>
            <w:r>
              <w:rPr>
                <w:rFonts w:hint="default" w:ascii="Times New Roman" w:hAnsi="Times New Roman" w:eastAsia="宋体" w:cs="Times New Roman"/>
                <w:color w:val="auto"/>
                <w:kern w:val="0"/>
                <w:sz w:val="21"/>
                <w:szCs w:val="21"/>
                <w:highlight w:val="none"/>
                <w:lang w:bidi="ar"/>
              </w:rPr>
              <w:t>火焰原子吸收分光光度法</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kern w:val="0"/>
                <w:sz w:val="21"/>
                <w:szCs w:val="21"/>
                <w:highlight w:val="none"/>
                <w:lang w:bidi="ar"/>
              </w:rPr>
              <w:t>HJ491-2019</w:t>
            </w:r>
          </w:p>
        </w:tc>
        <w:tc>
          <w:tcPr>
            <w:tcW w:w="1701" w:type="dxa"/>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AA-6300C岛津光学双光束原子吸收分光光度计JT-01</w:t>
            </w:r>
          </w:p>
        </w:tc>
        <w:tc>
          <w:tcPr>
            <w:tcW w:w="1020"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w:t>
            </w:r>
          </w:p>
        </w:tc>
        <w:tc>
          <w:tcPr>
            <w:tcW w:w="680"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54" w:type="dxa"/>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w:t>
            </w:r>
          </w:p>
        </w:tc>
        <w:tc>
          <w:tcPr>
            <w:tcW w:w="454" w:type="dxa"/>
            <w:vMerge w:val="continue"/>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454" w:type="dxa"/>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汞</w:t>
            </w:r>
          </w:p>
        </w:tc>
        <w:tc>
          <w:tcPr>
            <w:tcW w:w="2835"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《土壤质量总汞、总砷、总铅的测定原子荧光法第1部分</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土壤中总汞的测定》</w:t>
            </w:r>
          </w:p>
          <w:p>
            <w:pPr>
              <w:pageBreakBefore w:val="0"/>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sz w:val="21"/>
                <w:szCs w:val="21"/>
                <w:highlight w:val="none"/>
              </w:rPr>
              <w:t>GB/T22105.1-2008</w:t>
            </w:r>
          </w:p>
        </w:tc>
        <w:tc>
          <w:tcPr>
            <w:tcW w:w="1701" w:type="dxa"/>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RGF-6200原子荧光光度计JT-02</w:t>
            </w:r>
          </w:p>
        </w:tc>
        <w:tc>
          <w:tcPr>
            <w:tcW w:w="1020"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2×10</w:t>
            </w:r>
            <w:r>
              <w:rPr>
                <w:rFonts w:hint="default" w:ascii="Times New Roman" w:hAnsi="Times New Roman" w:eastAsia="宋体" w:cs="Times New Roman"/>
                <w:color w:val="auto"/>
                <w:sz w:val="21"/>
                <w:szCs w:val="21"/>
                <w:highlight w:val="none"/>
                <w:vertAlign w:val="superscript"/>
              </w:rPr>
              <w:t>-3</w:t>
            </w:r>
          </w:p>
        </w:tc>
        <w:tc>
          <w:tcPr>
            <w:tcW w:w="680"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54" w:type="dxa"/>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w:t>
            </w:r>
          </w:p>
        </w:tc>
        <w:tc>
          <w:tcPr>
            <w:tcW w:w="454" w:type="dxa"/>
            <w:vMerge w:val="continue"/>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454" w:type="dxa"/>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镍</w:t>
            </w:r>
          </w:p>
        </w:tc>
        <w:tc>
          <w:tcPr>
            <w:tcW w:w="2835"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《土壤和沉积物铜、锌、铅、镍、铬的测定</w:t>
            </w:r>
            <w:r>
              <w:rPr>
                <w:rFonts w:hint="default" w:ascii="Times New Roman" w:hAnsi="Times New Roman" w:eastAsia="宋体" w:cs="Times New Roman"/>
                <w:color w:val="auto"/>
                <w:kern w:val="0"/>
                <w:sz w:val="21"/>
                <w:szCs w:val="21"/>
                <w:highlight w:val="none"/>
                <w:lang w:bidi="ar"/>
              </w:rPr>
              <w:t>火焰原子吸收分光光度法</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kern w:val="0"/>
                <w:sz w:val="21"/>
                <w:szCs w:val="21"/>
                <w:highlight w:val="none"/>
                <w:lang w:bidi="ar"/>
              </w:rPr>
              <w:t>HJ491-2019</w:t>
            </w:r>
          </w:p>
        </w:tc>
        <w:tc>
          <w:tcPr>
            <w:tcW w:w="1701" w:type="dxa"/>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AA-6300C岛津光学双光束原子吸收分光光度计JT-01</w:t>
            </w:r>
          </w:p>
        </w:tc>
        <w:tc>
          <w:tcPr>
            <w:tcW w:w="1020"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w:t>
            </w:r>
          </w:p>
        </w:tc>
        <w:tc>
          <w:tcPr>
            <w:tcW w:w="680"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54" w:type="dxa"/>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8</w:t>
            </w:r>
          </w:p>
        </w:tc>
        <w:tc>
          <w:tcPr>
            <w:tcW w:w="454" w:type="dxa"/>
            <w:vMerge w:val="continue"/>
            <w:textDirection w:val="tbRlV"/>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454" w:type="dxa"/>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sz w:val="21"/>
                <w:szCs w:val="21"/>
                <w:highlight w:val="none"/>
              </w:rPr>
              <w:t>四氯化碳</w:t>
            </w:r>
          </w:p>
        </w:tc>
        <w:tc>
          <w:tcPr>
            <w:tcW w:w="2835" w:type="dxa"/>
            <w:vMerge w:val="restart"/>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《土壤和沉积物挥发性有机物的测定顶空/气相色谱-质谱法》HJ642-2013</w:t>
            </w:r>
          </w:p>
        </w:tc>
        <w:tc>
          <w:tcPr>
            <w:tcW w:w="1701" w:type="dxa"/>
            <w:vMerge w:val="restart"/>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安捷伦6890N-5973气质联用仪JT-04</w:t>
            </w:r>
          </w:p>
        </w:tc>
        <w:tc>
          <w:tcPr>
            <w:tcW w:w="1020"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2.1×10</w:t>
            </w:r>
            <w:r>
              <w:rPr>
                <w:rFonts w:hint="default" w:ascii="Times New Roman" w:hAnsi="Times New Roman" w:eastAsia="宋体" w:cs="Times New Roman"/>
                <w:color w:val="auto"/>
                <w:kern w:val="0"/>
                <w:sz w:val="21"/>
                <w:szCs w:val="21"/>
                <w:highlight w:val="none"/>
                <w:vertAlign w:val="superscript"/>
                <w:lang w:bidi="ar"/>
              </w:rPr>
              <w:t>-3</w:t>
            </w:r>
          </w:p>
        </w:tc>
        <w:tc>
          <w:tcPr>
            <w:tcW w:w="680"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54" w:type="dxa"/>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9</w:t>
            </w:r>
          </w:p>
        </w:tc>
        <w:tc>
          <w:tcPr>
            <w:tcW w:w="454" w:type="dxa"/>
            <w:vMerge w:val="continue"/>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454" w:type="dxa"/>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氯仿</w:t>
            </w:r>
          </w:p>
        </w:tc>
        <w:tc>
          <w:tcPr>
            <w:tcW w:w="2835" w:type="dxa"/>
            <w:vMerge w:val="continue"/>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1701" w:type="dxa"/>
            <w:vMerge w:val="continue"/>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1020" w:type="dxa"/>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1.5</w:t>
            </w:r>
            <w:r>
              <w:rPr>
                <w:rFonts w:hint="default" w:ascii="Times New Roman" w:hAnsi="Times New Roman" w:eastAsia="宋体" w:cs="Times New Roman"/>
                <w:color w:val="auto"/>
                <w:kern w:val="0"/>
                <w:sz w:val="21"/>
                <w:szCs w:val="21"/>
                <w:highlight w:val="none"/>
                <w:lang w:bidi="ar"/>
              </w:rPr>
              <w:t>×10</w:t>
            </w:r>
            <w:r>
              <w:rPr>
                <w:rFonts w:hint="default" w:ascii="Times New Roman" w:hAnsi="Times New Roman" w:eastAsia="宋体" w:cs="Times New Roman"/>
                <w:color w:val="auto"/>
                <w:kern w:val="0"/>
                <w:sz w:val="21"/>
                <w:szCs w:val="21"/>
                <w:highlight w:val="none"/>
                <w:vertAlign w:val="superscript"/>
                <w:lang w:bidi="ar"/>
              </w:rPr>
              <w:t>-3</w:t>
            </w:r>
          </w:p>
        </w:tc>
        <w:tc>
          <w:tcPr>
            <w:tcW w:w="680"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54" w:type="dxa"/>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w:t>
            </w:r>
          </w:p>
        </w:tc>
        <w:tc>
          <w:tcPr>
            <w:tcW w:w="454" w:type="dxa"/>
            <w:vMerge w:val="continue"/>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454" w:type="dxa"/>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氯甲烷</w:t>
            </w:r>
          </w:p>
        </w:tc>
        <w:tc>
          <w:tcPr>
            <w:tcW w:w="2835"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《土壤和沉积物挥发性卤代烃的测定顶空/气相色谱-质谱法》</w:t>
            </w:r>
          </w:p>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HJ736-2015</w:t>
            </w:r>
          </w:p>
        </w:tc>
        <w:tc>
          <w:tcPr>
            <w:tcW w:w="1701" w:type="dxa"/>
            <w:vMerge w:val="continue"/>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1020" w:type="dxa"/>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3×10</w:t>
            </w:r>
            <w:r>
              <w:rPr>
                <w:rFonts w:hint="default" w:ascii="Times New Roman" w:hAnsi="Times New Roman" w:eastAsia="宋体" w:cs="Times New Roman"/>
                <w:color w:val="auto"/>
                <w:kern w:val="0"/>
                <w:sz w:val="21"/>
                <w:szCs w:val="21"/>
                <w:highlight w:val="none"/>
                <w:vertAlign w:val="superscript"/>
                <w:lang w:bidi="ar"/>
              </w:rPr>
              <w:t>-3</w:t>
            </w:r>
          </w:p>
        </w:tc>
        <w:tc>
          <w:tcPr>
            <w:tcW w:w="680"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54" w:type="dxa"/>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11</w:t>
            </w:r>
          </w:p>
        </w:tc>
        <w:tc>
          <w:tcPr>
            <w:tcW w:w="454" w:type="dxa"/>
            <w:vMerge w:val="continue"/>
            <w:textDirection w:val="tbRlV"/>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454" w:type="dxa"/>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1-二氯乙烷</w:t>
            </w:r>
          </w:p>
        </w:tc>
        <w:tc>
          <w:tcPr>
            <w:tcW w:w="2835" w:type="dxa"/>
            <w:vMerge w:val="restart"/>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《土壤和沉积物挥发性有机物的测定顶空/气相色谱-质谱法》</w:t>
            </w:r>
          </w:p>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HJ642-2013</w:t>
            </w:r>
          </w:p>
        </w:tc>
        <w:tc>
          <w:tcPr>
            <w:tcW w:w="1701" w:type="dxa"/>
            <w:vMerge w:val="restart"/>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安捷伦6890N-5973气质联用仪JT-04</w:t>
            </w:r>
          </w:p>
        </w:tc>
        <w:tc>
          <w:tcPr>
            <w:tcW w:w="1020" w:type="dxa"/>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sz w:val="21"/>
                <w:szCs w:val="21"/>
                <w:highlight w:val="none"/>
              </w:rPr>
              <w:t>1.6</w:t>
            </w:r>
            <w:r>
              <w:rPr>
                <w:rFonts w:hint="default" w:ascii="Times New Roman" w:hAnsi="Times New Roman" w:eastAsia="宋体" w:cs="Times New Roman"/>
                <w:color w:val="auto"/>
                <w:kern w:val="0"/>
                <w:sz w:val="21"/>
                <w:szCs w:val="21"/>
                <w:highlight w:val="none"/>
                <w:lang w:bidi="ar"/>
              </w:rPr>
              <w:t>×10</w:t>
            </w:r>
            <w:r>
              <w:rPr>
                <w:rFonts w:hint="default" w:ascii="Times New Roman" w:hAnsi="Times New Roman" w:eastAsia="宋体" w:cs="Times New Roman"/>
                <w:color w:val="auto"/>
                <w:kern w:val="0"/>
                <w:sz w:val="21"/>
                <w:szCs w:val="21"/>
                <w:highlight w:val="none"/>
                <w:vertAlign w:val="superscript"/>
                <w:lang w:bidi="ar"/>
              </w:rPr>
              <w:t>-3</w:t>
            </w:r>
          </w:p>
        </w:tc>
        <w:tc>
          <w:tcPr>
            <w:tcW w:w="680"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54" w:type="dxa"/>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12</w:t>
            </w:r>
          </w:p>
        </w:tc>
        <w:tc>
          <w:tcPr>
            <w:tcW w:w="454" w:type="dxa"/>
            <w:vMerge w:val="continue"/>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454" w:type="dxa"/>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2-二氯乙烷</w:t>
            </w:r>
          </w:p>
        </w:tc>
        <w:tc>
          <w:tcPr>
            <w:tcW w:w="2835" w:type="dxa"/>
            <w:vMerge w:val="continue"/>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1701" w:type="dxa"/>
            <w:vMerge w:val="continue"/>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1020" w:type="dxa"/>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sz w:val="21"/>
                <w:szCs w:val="21"/>
                <w:highlight w:val="none"/>
              </w:rPr>
              <w:t>1.3</w:t>
            </w:r>
            <w:r>
              <w:rPr>
                <w:rFonts w:hint="default" w:ascii="Times New Roman" w:hAnsi="Times New Roman" w:eastAsia="宋体" w:cs="Times New Roman"/>
                <w:color w:val="auto"/>
                <w:kern w:val="0"/>
                <w:sz w:val="21"/>
                <w:szCs w:val="21"/>
                <w:highlight w:val="none"/>
                <w:lang w:bidi="ar"/>
              </w:rPr>
              <w:t>×10</w:t>
            </w:r>
            <w:r>
              <w:rPr>
                <w:rFonts w:hint="default" w:ascii="Times New Roman" w:hAnsi="Times New Roman" w:eastAsia="宋体" w:cs="Times New Roman"/>
                <w:color w:val="auto"/>
                <w:kern w:val="0"/>
                <w:sz w:val="21"/>
                <w:szCs w:val="21"/>
                <w:highlight w:val="none"/>
                <w:vertAlign w:val="superscript"/>
                <w:lang w:bidi="ar"/>
              </w:rPr>
              <w:t>-3</w:t>
            </w:r>
          </w:p>
        </w:tc>
        <w:tc>
          <w:tcPr>
            <w:tcW w:w="680"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54" w:type="dxa"/>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13</w:t>
            </w:r>
          </w:p>
        </w:tc>
        <w:tc>
          <w:tcPr>
            <w:tcW w:w="454" w:type="dxa"/>
            <w:vMerge w:val="continue"/>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454" w:type="dxa"/>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1-二氯乙烯</w:t>
            </w:r>
          </w:p>
        </w:tc>
        <w:tc>
          <w:tcPr>
            <w:tcW w:w="2835" w:type="dxa"/>
            <w:vMerge w:val="continue"/>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1701" w:type="dxa"/>
            <w:vMerge w:val="continue"/>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1020" w:type="dxa"/>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sz w:val="21"/>
                <w:szCs w:val="21"/>
                <w:highlight w:val="none"/>
              </w:rPr>
              <w:t>8</w:t>
            </w:r>
            <w:r>
              <w:rPr>
                <w:rFonts w:hint="default" w:ascii="Times New Roman" w:hAnsi="Times New Roman" w:eastAsia="宋体" w:cs="Times New Roman"/>
                <w:color w:val="auto"/>
                <w:kern w:val="0"/>
                <w:sz w:val="21"/>
                <w:szCs w:val="21"/>
                <w:highlight w:val="none"/>
                <w:lang w:bidi="ar"/>
              </w:rPr>
              <w:t>×10</w:t>
            </w:r>
            <w:r>
              <w:rPr>
                <w:rFonts w:hint="default" w:ascii="Times New Roman" w:hAnsi="Times New Roman" w:eastAsia="宋体" w:cs="Times New Roman"/>
                <w:color w:val="auto"/>
                <w:kern w:val="0"/>
                <w:sz w:val="21"/>
                <w:szCs w:val="21"/>
                <w:highlight w:val="none"/>
                <w:vertAlign w:val="superscript"/>
                <w:lang w:bidi="ar"/>
              </w:rPr>
              <w:t>-4</w:t>
            </w:r>
          </w:p>
        </w:tc>
        <w:tc>
          <w:tcPr>
            <w:tcW w:w="680"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54" w:type="dxa"/>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br w:type="page"/>
            </w:r>
            <w:r>
              <w:rPr>
                <w:rFonts w:hint="default" w:ascii="Times New Roman" w:hAnsi="Times New Roman" w:eastAsia="宋体" w:cs="Times New Roman"/>
                <w:color w:val="auto"/>
                <w:sz w:val="21"/>
                <w:szCs w:val="21"/>
                <w:highlight w:val="none"/>
              </w:rPr>
              <w:t>14</w:t>
            </w:r>
          </w:p>
        </w:tc>
        <w:tc>
          <w:tcPr>
            <w:tcW w:w="454" w:type="dxa"/>
            <w:vMerge w:val="continue"/>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454" w:type="dxa"/>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顺-1</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2-二氯乙烯</w:t>
            </w:r>
          </w:p>
        </w:tc>
        <w:tc>
          <w:tcPr>
            <w:tcW w:w="2835" w:type="dxa"/>
            <w:vMerge w:val="continue"/>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1701" w:type="dxa"/>
            <w:vMerge w:val="continue"/>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1020" w:type="dxa"/>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sz w:val="21"/>
                <w:szCs w:val="21"/>
                <w:highlight w:val="none"/>
              </w:rPr>
              <w:t>9</w:t>
            </w:r>
            <w:r>
              <w:rPr>
                <w:rFonts w:hint="default" w:ascii="Times New Roman" w:hAnsi="Times New Roman" w:eastAsia="宋体" w:cs="Times New Roman"/>
                <w:color w:val="auto"/>
                <w:kern w:val="0"/>
                <w:sz w:val="21"/>
                <w:szCs w:val="21"/>
                <w:highlight w:val="none"/>
                <w:lang w:bidi="ar"/>
              </w:rPr>
              <w:t>×10</w:t>
            </w:r>
            <w:r>
              <w:rPr>
                <w:rFonts w:hint="default" w:ascii="Times New Roman" w:hAnsi="Times New Roman" w:eastAsia="宋体" w:cs="Times New Roman"/>
                <w:color w:val="auto"/>
                <w:kern w:val="0"/>
                <w:sz w:val="21"/>
                <w:szCs w:val="21"/>
                <w:highlight w:val="none"/>
                <w:vertAlign w:val="superscript"/>
                <w:lang w:bidi="ar"/>
              </w:rPr>
              <w:t>-4</w:t>
            </w:r>
          </w:p>
        </w:tc>
        <w:tc>
          <w:tcPr>
            <w:tcW w:w="680"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54" w:type="dxa"/>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15</w:t>
            </w:r>
          </w:p>
        </w:tc>
        <w:tc>
          <w:tcPr>
            <w:tcW w:w="454" w:type="dxa"/>
            <w:vMerge w:val="continue"/>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454" w:type="dxa"/>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反-1</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2-二氯乙烯</w:t>
            </w:r>
          </w:p>
        </w:tc>
        <w:tc>
          <w:tcPr>
            <w:tcW w:w="2835" w:type="dxa"/>
            <w:vMerge w:val="continue"/>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1701" w:type="dxa"/>
            <w:vMerge w:val="continue"/>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1020" w:type="dxa"/>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sz w:val="21"/>
                <w:szCs w:val="21"/>
                <w:highlight w:val="none"/>
              </w:rPr>
              <w:t>9</w:t>
            </w:r>
            <w:r>
              <w:rPr>
                <w:rFonts w:hint="default" w:ascii="Times New Roman" w:hAnsi="Times New Roman" w:eastAsia="宋体" w:cs="Times New Roman"/>
                <w:color w:val="auto"/>
                <w:kern w:val="0"/>
                <w:sz w:val="21"/>
                <w:szCs w:val="21"/>
                <w:highlight w:val="none"/>
                <w:lang w:bidi="ar"/>
              </w:rPr>
              <w:t>×10</w:t>
            </w:r>
            <w:r>
              <w:rPr>
                <w:rFonts w:hint="default" w:ascii="Times New Roman" w:hAnsi="Times New Roman" w:eastAsia="宋体" w:cs="Times New Roman"/>
                <w:color w:val="auto"/>
                <w:kern w:val="0"/>
                <w:sz w:val="21"/>
                <w:szCs w:val="21"/>
                <w:highlight w:val="none"/>
                <w:vertAlign w:val="superscript"/>
                <w:lang w:bidi="ar"/>
              </w:rPr>
              <w:t>-4</w:t>
            </w:r>
          </w:p>
        </w:tc>
        <w:tc>
          <w:tcPr>
            <w:tcW w:w="680"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54" w:type="dxa"/>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16</w:t>
            </w:r>
          </w:p>
        </w:tc>
        <w:tc>
          <w:tcPr>
            <w:tcW w:w="454" w:type="dxa"/>
            <w:vMerge w:val="continue"/>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454" w:type="dxa"/>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二氯甲烷</w:t>
            </w:r>
          </w:p>
        </w:tc>
        <w:tc>
          <w:tcPr>
            <w:tcW w:w="2835" w:type="dxa"/>
            <w:vMerge w:val="continue"/>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1701" w:type="dxa"/>
            <w:vMerge w:val="continue"/>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1020" w:type="dxa"/>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sz w:val="21"/>
                <w:szCs w:val="21"/>
                <w:highlight w:val="none"/>
              </w:rPr>
              <w:t>2.6</w:t>
            </w:r>
            <w:r>
              <w:rPr>
                <w:rFonts w:hint="default" w:ascii="Times New Roman" w:hAnsi="Times New Roman" w:eastAsia="宋体" w:cs="Times New Roman"/>
                <w:color w:val="auto"/>
                <w:kern w:val="0"/>
                <w:sz w:val="21"/>
                <w:szCs w:val="21"/>
                <w:highlight w:val="none"/>
                <w:lang w:bidi="ar"/>
              </w:rPr>
              <w:t>×10</w:t>
            </w:r>
            <w:r>
              <w:rPr>
                <w:rFonts w:hint="default" w:ascii="Times New Roman" w:hAnsi="Times New Roman" w:eastAsia="宋体" w:cs="Times New Roman"/>
                <w:color w:val="auto"/>
                <w:kern w:val="0"/>
                <w:sz w:val="21"/>
                <w:szCs w:val="21"/>
                <w:highlight w:val="none"/>
                <w:vertAlign w:val="superscript"/>
                <w:lang w:bidi="ar"/>
              </w:rPr>
              <w:t>-3</w:t>
            </w:r>
          </w:p>
        </w:tc>
        <w:tc>
          <w:tcPr>
            <w:tcW w:w="680"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54" w:type="dxa"/>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17</w:t>
            </w:r>
          </w:p>
        </w:tc>
        <w:tc>
          <w:tcPr>
            <w:tcW w:w="454" w:type="dxa"/>
            <w:vMerge w:val="continue"/>
            <w:textDirection w:val="tbRlV"/>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454" w:type="dxa"/>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2-二氯丙烷</w:t>
            </w:r>
          </w:p>
        </w:tc>
        <w:tc>
          <w:tcPr>
            <w:tcW w:w="2835" w:type="dxa"/>
            <w:vMerge w:val="continue"/>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1701" w:type="dxa"/>
            <w:vMerge w:val="continue"/>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1020" w:type="dxa"/>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sz w:val="21"/>
                <w:szCs w:val="21"/>
                <w:highlight w:val="none"/>
              </w:rPr>
              <w:t>1.9</w:t>
            </w:r>
            <w:r>
              <w:rPr>
                <w:rFonts w:hint="default" w:ascii="Times New Roman" w:hAnsi="Times New Roman" w:eastAsia="宋体" w:cs="Times New Roman"/>
                <w:color w:val="auto"/>
                <w:kern w:val="0"/>
                <w:sz w:val="21"/>
                <w:szCs w:val="21"/>
                <w:highlight w:val="none"/>
                <w:lang w:bidi="ar"/>
              </w:rPr>
              <w:t>×10</w:t>
            </w:r>
            <w:r>
              <w:rPr>
                <w:rFonts w:hint="default" w:ascii="Times New Roman" w:hAnsi="Times New Roman" w:eastAsia="宋体" w:cs="Times New Roman"/>
                <w:color w:val="auto"/>
                <w:kern w:val="0"/>
                <w:sz w:val="21"/>
                <w:szCs w:val="21"/>
                <w:highlight w:val="none"/>
                <w:vertAlign w:val="superscript"/>
                <w:lang w:bidi="ar"/>
              </w:rPr>
              <w:t>-3</w:t>
            </w:r>
          </w:p>
        </w:tc>
        <w:tc>
          <w:tcPr>
            <w:tcW w:w="680"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54" w:type="dxa"/>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18</w:t>
            </w:r>
          </w:p>
        </w:tc>
        <w:tc>
          <w:tcPr>
            <w:tcW w:w="454" w:type="dxa"/>
            <w:vMerge w:val="continue"/>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454" w:type="dxa"/>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1</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1</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2-四氯乙烷</w:t>
            </w:r>
          </w:p>
        </w:tc>
        <w:tc>
          <w:tcPr>
            <w:tcW w:w="2835" w:type="dxa"/>
            <w:vMerge w:val="continue"/>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1701" w:type="dxa"/>
            <w:vMerge w:val="continue"/>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1020" w:type="dxa"/>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sz w:val="21"/>
                <w:szCs w:val="21"/>
                <w:highlight w:val="none"/>
              </w:rPr>
              <w:t>1.0</w:t>
            </w:r>
            <w:r>
              <w:rPr>
                <w:rFonts w:hint="default" w:ascii="Times New Roman" w:hAnsi="Times New Roman" w:eastAsia="宋体" w:cs="Times New Roman"/>
                <w:color w:val="auto"/>
                <w:kern w:val="0"/>
                <w:sz w:val="21"/>
                <w:szCs w:val="21"/>
                <w:highlight w:val="none"/>
                <w:lang w:bidi="ar"/>
              </w:rPr>
              <w:t>×10</w:t>
            </w:r>
            <w:r>
              <w:rPr>
                <w:rFonts w:hint="default" w:ascii="Times New Roman" w:hAnsi="Times New Roman" w:eastAsia="宋体" w:cs="Times New Roman"/>
                <w:color w:val="auto"/>
                <w:kern w:val="0"/>
                <w:sz w:val="21"/>
                <w:szCs w:val="21"/>
                <w:highlight w:val="none"/>
                <w:vertAlign w:val="superscript"/>
                <w:lang w:bidi="ar"/>
              </w:rPr>
              <w:t>-3</w:t>
            </w:r>
          </w:p>
        </w:tc>
        <w:tc>
          <w:tcPr>
            <w:tcW w:w="680"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54" w:type="dxa"/>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19</w:t>
            </w:r>
          </w:p>
        </w:tc>
        <w:tc>
          <w:tcPr>
            <w:tcW w:w="454" w:type="dxa"/>
            <w:vMerge w:val="continue"/>
            <w:textDirection w:val="tbRlV"/>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454" w:type="dxa"/>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1</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2</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2-四氯乙烷</w:t>
            </w:r>
          </w:p>
        </w:tc>
        <w:tc>
          <w:tcPr>
            <w:tcW w:w="2835" w:type="dxa"/>
            <w:vMerge w:val="continue"/>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1701" w:type="dxa"/>
            <w:vMerge w:val="continue"/>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1020" w:type="dxa"/>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sz w:val="21"/>
                <w:szCs w:val="21"/>
                <w:highlight w:val="none"/>
              </w:rPr>
              <w:t>1.0</w:t>
            </w:r>
            <w:r>
              <w:rPr>
                <w:rFonts w:hint="default" w:ascii="Times New Roman" w:hAnsi="Times New Roman" w:eastAsia="宋体" w:cs="Times New Roman"/>
                <w:color w:val="auto"/>
                <w:kern w:val="0"/>
                <w:sz w:val="21"/>
                <w:szCs w:val="21"/>
                <w:highlight w:val="none"/>
                <w:lang w:bidi="ar"/>
              </w:rPr>
              <w:t>×10</w:t>
            </w:r>
            <w:r>
              <w:rPr>
                <w:rFonts w:hint="default" w:ascii="Times New Roman" w:hAnsi="Times New Roman" w:eastAsia="宋体" w:cs="Times New Roman"/>
                <w:color w:val="auto"/>
                <w:kern w:val="0"/>
                <w:sz w:val="21"/>
                <w:szCs w:val="21"/>
                <w:highlight w:val="none"/>
                <w:vertAlign w:val="superscript"/>
                <w:lang w:bidi="ar"/>
              </w:rPr>
              <w:t>-3</w:t>
            </w:r>
          </w:p>
        </w:tc>
        <w:tc>
          <w:tcPr>
            <w:tcW w:w="680"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54" w:type="dxa"/>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w:t>
            </w:r>
          </w:p>
        </w:tc>
        <w:tc>
          <w:tcPr>
            <w:tcW w:w="454" w:type="dxa"/>
            <w:vMerge w:val="continue"/>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454" w:type="dxa"/>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四氯乙烯</w:t>
            </w:r>
          </w:p>
        </w:tc>
        <w:tc>
          <w:tcPr>
            <w:tcW w:w="2835" w:type="dxa"/>
            <w:vMerge w:val="continue"/>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1701" w:type="dxa"/>
            <w:vMerge w:val="continue"/>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1020" w:type="dxa"/>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sz w:val="21"/>
                <w:szCs w:val="21"/>
                <w:highlight w:val="none"/>
              </w:rPr>
              <w:t>8</w:t>
            </w:r>
            <w:r>
              <w:rPr>
                <w:rFonts w:hint="default" w:ascii="Times New Roman" w:hAnsi="Times New Roman" w:eastAsia="宋体" w:cs="Times New Roman"/>
                <w:color w:val="auto"/>
                <w:kern w:val="0"/>
                <w:sz w:val="21"/>
                <w:szCs w:val="21"/>
                <w:highlight w:val="none"/>
                <w:lang w:bidi="ar"/>
              </w:rPr>
              <w:t>×10</w:t>
            </w:r>
            <w:r>
              <w:rPr>
                <w:rFonts w:hint="default" w:ascii="Times New Roman" w:hAnsi="Times New Roman" w:eastAsia="宋体" w:cs="Times New Roman"/>
                <w:color w:val="auto"/>
                <w:kern w:val="0"/>
                <w:sz w:val="21"/>
                <w:szCs w:val="21"/>
                <w:highlight w:val="none"/>
                <w:vertAlign w:val="superscript"/>
                <w:lang w:bidi="ar"/>
              </w:rPr>
              <w:t>-4</w:t>
            </w:r>
          </w:p>
        </w:tc>
        <w:tc>
          <w:tcPr>
            <w:tcW w:w="680"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54" w:type="dxa"/>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21</w:t>
            </w:r>
          </w:p>
        </w:tc>
        <w:tc>
          <w:tcPr>
            <w:tcW w:w="454" w:type="dxa"/>
            <w:vMerge w:val="restart"/>
            <w:textDirection w:val="tbRlV"/>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土壤</w:t>
            </w:r>
          </w:p>
        </w:tc>
        <w:tc>
          <w:tcPr>
            <w:tcW w:w="454" w:type="dxa"/>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1</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1-三氯乙烷</w:t>
            </w:r>
          </w:p>
        </w:tc>
        <w:tc>
          <w:tcPr>
            <w:tcW w:w="2835" w:type="dxa"/>
            <w:vMerge w:val="restart"/>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《土壤和沉积物挥发性有机物的测定顶空/气相色谱-质谱法》</w:t>
            </w:r>
          </w:p>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HJ642-2013</w:t>
            </w:r>
          </w:p>
        </w:tc>
        <w:tc>
          <w:tcPr>
            <w:tcW w:w="1701" w:type="dxa"/>
            <w:vMerge w:val="restart"/>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安捷伦6890N-5973气质联用仪JT-04</w:t>
            </w:r>
          </w:p>
        </w:tc>
        <w:tc>
          <w:tcPr>
            <w:tcW w:w="1020" w:type="dxa"/>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sz w:val="21"/>
                <w:szCs w:val="21"/>
                <w:highlight w:val="none"/>
              </w:rPr>
              <w:t>1.1</w:t>
            </w:r>
            <w:r>
              <w:rPr>
                <w:rFonts w:hint="default" w:ascii="Times New Roman" w:hAnsi="Times New Roman" w:eastAsia="宋体" w:cs="Times New Roman"/>
                <w:color w:val="auto"/>
                <w:kern w:val="0"/>
                <w:sz w:val="21"/>
                <w:szCs w:val="21"/>
                <w:highlight w:val="none"/>
                <w:lang w:bidi="ar"/>
              </w:rPr>
              <w:t>×10</w:t>
            </w:r>
            <w:r>
              <w:rPr>
                <w:rFonts w:hint="default" w:ascii="Times New Roman" w:hAnsi="Times New Roman" w:eastAsia="宋体" w:cs="Times New Roman"/>
                <w:color w:val="auto"/>
                <w:kern w:val="0"/>
                <w:sz w:val="21"/>
                <w:szCs w:val="21"/>
                <w:highlight w:val="none"/>
                <w:vertAlign w:val="superscript"/>
                <w:lang w:bidi="ar"/>
              </w:rPr>
              <w:t>-3</w:t>
            </w:r>
          </w:p>
        </w:tc>
        <w:tc>
          <w:tcPr>
            <w:tcW w:w="680"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54" w:type="dxa"/>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22</w:t>
            </w:r>
          </w:p>
        </w:tc>
        <w:tc>
          <w:tcPr>
            <w:tcW w:w="454" w:type="dxa"/>
            <w:vMerge w:val="continue"/>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454" w:type="dxa"/>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1</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2-三氯乙烷</w:t>
            </w:r>
          </w:p>
        </w:tc>
        <w:tc>
          <w:tcPr>
            <w:tcW w:w="2835" w:type="dxa"/>
            <w:vMerge w:val="continue"/>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1701" w:type="dxa"/>
            <w:vMerge w:val="continue"/>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1020" w:type="dxa"/>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sz w:val="21"/>
                <w:szCs w:val="21"/>
                <w:highlight w:val="none"/>
              </w:rPr>
              <w:t>1.4</w:t>
            </w:r>
            <w:r>
              <w:rPr>
                <w:rFonts w:hint="default" w:ascii="Times New Roman" w:hAnsi="Times New Roman" w:eastAsia="宋体" w:cs="Times New Roman"/>
                <w:color w:val="auto"/>
                <w:kern w:val="0"/>
                <w:sz w:val="21"/>
                <w:szCs w:val="21"/>
                <w:highlight w:val="none"/>
                <w:lang w:bidi="ar"/>
              </w:rPr>
              <w:t>×10</w:t>
            </w:r>
            <w:r>
              <w:rPr>
                <w:rFonts w:hint="default" w:ascii="Times New Roman" w:hAnsi="Times New Roman" w:eastAsia="宋体" w:cs="Times New Roman"/>
                <w:color w:val="auto"/>
                <w:kern w:val="0"/>
                <w:sz w:val="21"/>
                <w:szCs w:val="21"/>
                <w:highlight w:val="none"/>
                <w:vertAlign w:val="superscript"/>
                <w:lang w:bidi="ar"/>
              </w:rPr>
              <w:t>-3</w:t>
            </w:r>
          </w:p>
        </w:tc>
        <w:tc>
          <w:tcPr>
            <w:tcW w:w="680"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54" w:type="dxa"/>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23</w:t>
            </w:r>
          </w:p>
        </w:tc>
        <w:tc>
          <w:tcPr>
            <w:tcW w:w="454" w:type="dxa"/>
            <w:vMerge w:val="continue"/>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454" w:type="dxa"/>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三氯乙烯</w:t>
            </w:r>
          </w:p>
        </w:tc>
        <w:tc>
          <w:tcPr>
            <w:tcW w:w="2835" w:type="dxa"/>
            <w:vMerge w:val="continue"/>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1701" w:type="dxa"/>
            <w:vMerge w:val="continue"/>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1020" w:type="dxa"/>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sz w:val="21"/>
                <w:szCs w:val="21"/>
                <w:highlight w:val="none"/>
              </w:rPr>
              <w:t>9</w:t>
            </w:r>
            <w:r>
              <w:rPr>
                <w:rFonts w:hint="default" w:ascii="Times New Roman" w:hAnsi="Times New Roman" w:eastAsia="宋体" w:cs="Times New Roman"/>
                <w:color w:val="auto"/>
                <w:kern w:val="0"/>
                <w:sz w:val="21"/>
                <w:szCs w:val="21"/>
                <w:highlight w:val="none"/>
                <w:lang w:bidi="ar"/>
              </w:rPr>
              <w:t>×10</w:t>
            </w:r>
            <w:r>
              <w:rPr>
                <w:rFonts w:hint="default" w:ascii="Times New Roman" w:hAnsi="Times New Roman" w:eastAsia="宋体" w:cs="Times New Roman"/>
                <w:color w:val="auto"/>
                <w:kern w:val="0"/>
                <w:sz w:val="21"/>
                <w:szCs w:val="21"/>
                <w:highlight w:val="none"/>
                <w:vertAlign w:val="superscript"/>
                <w:lang w:bidi="ar"/>
              </w:rPr>
              <w:t>-4</w:t>
            </w:r>
          </w:p>
        </w:tc>
        <w:tc>
          <w:tcPr>
            <w:tcW w:w="680"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54" w:type="dxa"/>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24</w:t>
            </w:r>
          </w:p>
        </w:tc>
        <w:tc>
          <w:tcPr>
            <w:tcW w:w="454" w:type="dxa"/>
            <w:vMerge w:val="continue"/>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454" w:type="dxa"/>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2</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3-三氯丙烷</w:t>
            </w:r>
          </w:p>
        </w:tc>
        <w:tc>
          <w:tcPr>
            <w:tcW w:w="2835" w:type="dxa"/>
            <w:vMerge w:val="continue"/>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1701" w:type="dxa"/>
            <w:vMerge w:val="continue"/>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1020" w:type="dxa"/>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sz w:val="21"/>
                <w:szCs w:val="21"/>
                <w:highlight w:val="none"/>
              </w:rPr>
              <w:t>1.0</w:t>
            </w:r>
            <w:r>
              <w:rPr>
                <w:rFonts w:hint="default" w:ascii="Times New Roman" w:hAnsi="Times New Roman" w:eastAsia="宋体" w:cs="Times New Roman"/>
                <w:color w:val="auto"/>
                <w:kern w:val="0"/>
                <w:sz w:val="21"/>
                <w:szCs w:val="21"/>
                <w:highlight w:val="none"/>
                <w:lang w:bidi="ar"/>
              </w:rPr>
              <w:t>×10</w:t>
            </w:r>
            <w:r>
              <w:rPr>
                <w:rFonts w:hint="default" w:ascii="Times New Roman" w:hAnsi="Times New Roman" w:eastAsia="宋体" w:cs="Times New Roman"/>
                <w:color w:val="auto"/>
                <w:kern w:val="0"/>
                <w:sz w:val="21"/>
                <w:szCs w:val="21"/>
                <w:highlight w:val="none"/>
                <w:vertAlign w:val="superscript"/>
                <w:lang w:bidi="ar"/>
              </w:rPr>
              <w:t>-3</w:t>
            </w:r>
          </w:p>
        </w:tc>
        <w:tc>
          <w:tcPr>
            <w:tcW w:w="680"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54" w:type="dxa"/>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25</w:t>
            </w:r>
          </w:p>
        </w:tc>
        <w:tc>
          <w:tcPr>
            <w:tcW w:w="454" w:type="dxa"/>
            <w:vMerge w:val="continue"/>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454" w:type="dxa"/>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氯乙烯</w:t>
            </w:r>
          </w:p>
        </w:tc>
        <w:tc>
          <w:tcPr>
            <w:tcW w:w="2835" w:type="dxa"/>
            <w:vMerge w:val="continue"/>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1701" w:type="dxa"/>
            <w:vMerge w:val="continue"/>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1020" w:type="dxa"/>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sz w:val="21"/>
                <w:szCs w:val="21"/>
                <w:highlight w:val="none"/>
              </w:rPr>
              <w:t>1.5</w:t>
            </w:r>
            <w:r>
              <w:rPr>
                <w:rFonts w:hint="default" w:ascii="Times New Roman" w:hAnsi="Times New Roman" w:eastAsia="宋体" w:cs="Times New Roman"/>
                <w:color w:val="auto"/>
                <w:kern w:val="0"/>
                <w:sz w:val="21"/>
                <w:szCs w:val="21"/>
                <w:highlight w:val="none"/>
                <w:lang w:bidi="ar"/>
              </w:rPr>
              <w:t>×10</w:t>
            </w:r>
            <w:r>
              <w:rPr>
                <w:rFonts w:hint="default" w:ascii="Times New Roman" w:hAnsi="Times New Roman" w:eastAsia="宋体" w:cs="Times New Roman"/>
                <w:color w:val="auto"/>
                <w:kern w:val="0"/>
                <w:sz w:val="21"/>
                <w:szCs w:val="21"/>
                <w:highlight w:val="none"/>
                <w:vertAlign w:val="superscript"/>
                <w:lang w:bidi="ar"/>
              </w:rPr>
              <w:t>-3</w:t>
            </w:r>
          </w:p>
        </w:tc>
        <w:tc>
          <w:tcPr>
            <w:tcW w:w="680"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54" w:type="dxa"/>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26</w:t>
            </w:r>
          </w:p>
        </w:tc>
        <w:tc>
          <w:tcPr>
            <w:tcW w:w="454" w:type="dxa"/>
            <w:vMerge w:val="continue"/>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454" w:type="dxa"/>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苯</w:t>
            </w:r>
          </w:p>
        </w:tc>
        <w:tc>
          <w:tcPr>
            <w:tcW w:w="2835" w:type="dxa"/>
            <w:vMerge w:val="continue"/>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1701" w:type="dxa"/>
            <w:vMerge w:val="continue"/>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1020" w:type="dxa"/>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sz w:val="21"/>
                <w:szCs w:val="21"/>
                <w:highlight w:val="none"/>
              </w:rPr>
              <w:t>1.6</w:t>
            </w:r>
            <w:r>
              <w:rPr>
                <w:rFonts w:hint="default" w:ascii="Times New Roman" w:hAnsi="Times New Roman" w:eastAsia="宋体" w:cs="Times New Roman"/>
                <w:color w:val="auto"/>
                <w:kern w:val="0"/>
                <w:sz w:val="21"/>
                <w:szCs w:val="21"/>
                <w:highlight w:val="none"/>
                <w:lang w:bidi="ar"/>
              </w:rPr>
              <w:t>×10</w:t>
            </w:r>
            <w:r>
              <w:rPr>
                <w:rFonts w:hint="default" w:ascii="Times New Roman" w:hAnsi="Times New Roman" w:eastAsia="宋体" w:cs="Times New Roman"/>
                <w:color w:val="auto"/>
                <w:kern w:val="0"/>
                <w:sz w:val="21"/>
                <w:szCs w:val="21"/>
                <w:highlight w:val="none"/>
                <w:vertAlign w:val="superscript"/>
                <w:lang w:bidi="ar"/>
              </w:rPr>
              <w:t>-3</w:t>
            </w:r>
          </w:p>
        </w:tc>
        <w:tc>
          <w:tcPr>
            <w:tcW w:w="680"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54" w:type="dxa"/>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27</w:t>
            </w:r>
          </w:p>
        </w:tc>
        <w:tc>
          <w:tcPr>
            <w:tcW w:w="454" w:type="dxa"/>
            <w:vMerge w:val="continue"/>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454" w:type="dxa"/>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氯苯</w:t>
            </w:r>
          </w:p>
        </w:tc>
        <w:tc>
          <w:tcPr>
            <w:tcW w:w="2835" w:type="dxa"/>
            <w:vMerge w:val="continue"/>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1701" w:type="dxa"/>
            <w:vMerge w:val="continue"/>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1020" w:type="dxa"/>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sz w:val="21"/>
                <w:szCs w:val="21"/>
                <w:highlight w:val="none"/>
              </w:rPr>
              <w:t>1.1</w:t>
            </w:r>
            <w:r>
              <w:rPr>
                <w:rFonts w:hint="default" w:ascii="Times New Roman" w:hAnsi="Times New Roman" w:eastAsia="宋体" w:cs="Times New Roman"/>
                <w:color w:val="auto"/>
                <w:kern w:val="0"/>
                <w:sz w:val="21"/>
                <w:szCs w:val="21"/>
                <w:highlight w:val="none"/>
                <w:lang w:bidi="ar"/>
              </w:rPr>
              <w:t>×10</w:t>
            </w:r>
            <w:r>
              <w:rPr>
                <w:rFonts w:hint="default" w:ascii="Times New Roman" w:hAnsi="Times New Roman" w:eastAsia="宋体" w:cs="Times New Roman"/>
                <w:color w:val="auto"/>
                <w:kern w:val="0"/>
                <w:sz w:val="21"/>
                <w:szCs w:val="21"/>
                <w:highlight w:val="none"/>
                <w:vertAlign w:val="superscript"/>
                <w:lang w:bidi="ar"/>
              </w:rPr>
              <w:t>-3</w:t>
            </w:r>
          </w:p>
        </w:tc>
        <w:tc>
          <w:tcPr>
            <w:tcW w:w="680"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54" w:type="dxa"/>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28</w:t>
            </w:r>
          </w:p>
        </w:tc>
        <w:tc>
          <w:tcPr>
            <w:tcW w:w="454" w:type="dxa"/>
            <w:vMerge w:val="continue"/>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454" w:type="dxa"/>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2-二氯苯</w:t>
            </w:r>
          </w:p>
        </w:tc>
        <w:tc>
          <w:tcPr>
            <w:tcW w:w="2835" w:type="dxa"/>
            <w:vMerge w:val="continue"/>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1701" w:type="dxa"/>
            <w:vMerge w:val="continue"/>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1020" w:type="dxa"/>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sz w:val="21"/>
                <w:szCs w:val="21"/>
                <w:highlight w:val="none"/>
              </w:rPr>
              <w:t>1.0</w:t>
            </w:r>
            <w:r>
              <w:rPr>
                <w:rFonts w:hint="default" w:ascii="Times New Roman" w:hAnsi="Times New Roman" w:eastAsia="宋体" w:cs="Times New Roman"/>
                <w:color w:val="auto"/>
                <w:kern w:val="0"/>
                <w:sz w:val="21"/>
                <w:szCs w:val="21"/>
                <w:highlight w:val="none"/>
                <w:lang w:bidi="ar"/>
              </w:rPr>
              <w:t>×10</w:t>
            </w:r>
            <w:r>
              <w:rPr>
                <w:rFonts w:hint="default" w:ascii="Times New Roman" w:hAnsi="Times New Roman" w:eastAsia="宋体" w:cs="Times New Roman"/>
                <w:color w:val="auto"/>
                <w:kern w:val="0"/>
                <w:sz w:val="21"/>
                <w:szCs w:val="21"/>
                <w:highlight w:val="none"/>
                <w:vertAlign w:val="superscript"/>
                <w:lang w:bidi="ar"/>
              </w:rPr>
              <w:t>-3</w:t>
            </w:r>
          </w:p>
        </w:tc>
        <w:tc>
          <w:tcPr>
            <w:tcW w:w="680"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54" w:type="dxa"/>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29</w:t>
            </w:r>
          </w:p>
        </w:tc>
        <w:tc>
          <w:tcPr>
            <w:tcW w:w="454" w:type="dxa"/>
            <w:vMerge w:val="continue"/>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454" w:type="dxa"/>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4-二氯苯</w:t>
            </w:r>
          </w:p>
        </w:tc>
        <w:tc>
          <w:tcPr>
            <w:tcW w:w="2835" w:type="dxa"/>
            <w:vMerge w:val="continue"/>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1701" w:type="dxa"/>
            <w:vMerge w:val="continue"/>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1020" w:type="dxa"/>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sz w:val="21"/>
                <w:szCs w:val="21"/>
                <w:highlight w:val="none"/>
              </w:rPr>
              <w:t>1.2</w:t>
            </w:r>
            <w:r>
              <w:rPr>
                <w:rFonts w:hint="default" w:ascii="Times New Roman" w:hAnsi="Times New Roman" w:eastAsia="宋体" w:cs="Times New Roman"/>
                <w:color w:val="auto"/>
                <w:kern w:val="0"/>
                <w:sz w:val="21"/>
                <w:szCs w:val="21"/>
                <w:highlight w:val="none"/>
                <w:lang w:bidi="ar"/>
              </w:rPr>
              <w:t>×10</w:t>
            </w:r>
            <w:r>
              <w:rPr>
                <w:rFonts w:hint="default" w:ascii="Times New Roman" w:hAnsi="Times New Roman" w:eastAsia="宋体" w:cs="Times New Roman"/>
                <w:color w:val="auto"/>
                <w:kern w:val="0"/>
                <w:sz w:val="21"/>
                <w:szCs w:val="21"/>
                <w:highlight w:val="none"/>
                <w:vertAlign w:val="superscript"/>
                <w:lang w:bidi="ar"/>
              </w:rPr>
              <w:t>-3</w:t>
            </w:r>
          </w:p>
        </w:tc>
        <w:tc>
          <w:tcPr>
            <w:tcW w:w="680"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54" w:type="dxa"/>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30</w:t>
            </w:r>
          </w:p>
        </w:tc>
        <w:tc>
          <w:tcPr>
            <w:tcW w:w="454" w:type="dxa"/>
            <w:vMerge w:val="continue"/>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454" w:type="dxa"/>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乙苯</w:t>
            </w:r>
          </w:p>
        </w:tc>
        <w:tc>
          <w:tcPr>
            <w:tcW w:w="2835" w:type="dxa"/>
            <w:vMerge w:val="continue"/>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1701" w:type="dxa"/>
            <w:vMerge w:val="continue"/>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1020" w:type="dxa"/>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sz w:val="21"/>
                <w:szCs w:val="21"/>
                <w:highlight w:val="none"/>
              </w:rPr>
              <w:t>1.2</w:t>
            </w:r>
            <w:r>
              <w:rPr>
                <w:rFonts w:hint="default" w:ascii="Times New Roman" w:hAnsi="Times New Roman" w:eastAsia="宋体" w:cs="Times New Roman"/>
                <w:color w:val="auto"/>
                <w:kern w:val="0"/>
                <w:sz w:val="21"/>
                <w:szCs w:val="21"/>
                <w:highlight w:val="none"/>
                <w:lang w:bidi="ar"/>
              </w:rPr>
              <w:t>×10</w:t>
            </w:r>
            <w:r>
              <w:rPr>
                <w:rFonts w:hint="default" w:ascii="Times New Roman" w:hAnsi="Times New Roman" w:eastAsia="宋体" w:cs="Times New Roman"/>
                <w:color w:val="auto"/>
                <w:kern w:val="0"/>
                <w:sz w:val="21"/>
                <w:szCs w:val="21"/>
                <w:highlight w:val="none"/>
                <w:vertAlign w:val="superscript"/>
                <w:lang w:bidi="ar"/>
              </w:rPr>
              <w:t>-3</w:t>
            </w:r>
          </w:p>
        </w:tc>
        <w:tc>
          <w:tcPr>
            <w:tcW w:w="680"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54" w:type="dxa"/>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31</w:t>
            </w:r>
          </w:p>
        </w:tc>
        <w:tc>
          <w:tcPr>
            <w:tcW w:w="454" w:type="dxa"/>
            <w:vMerge w:val="continue"/>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454" w:type="dxa"/>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苯乙烯</w:t>
            </w:r>
          </w:p>
        </w:tc>
        <w:tc>
          <w:tcPr>
            <w:tcW w:w="2835" w:type="dxa"/>
            <w:vMerge w:val="continue"/>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1701" w:type="dxa"/>
            <w:vMerge w:val="continue"/>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1020" w:type="dxa"/>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sz w:val="21"/>
                <w:szCs w:val="21"/>
                <w:highlight w:val="none"/>
              </w:rPr>
              <w:t>1.6</w:t>
            </w:r>
            <w:r>
              <w:rPr>
                <w:rFonts w:hint="default" w:ascii="Times New Roman" w:hAnsi="Times New Roman" w:eastAsia="宋体" w:cs="Times New Roman"/>
                <w:color w:val="auto"/>
                <w:kern w:val="0"/>
                <w:sz w:val="21"/>
                <w:szCs w:val="21"/>
                <w:highlight w:val="none"/>
                <w:lang w:bidi="ar"/>
              </w:rPr>
              <w:t>×10</w:t>
            </w:r>
            <w:r>
              <w:rPr>
                <w:rFonts w:hint="default" w:ascii="Times New Roman" w:hAnsi="Times New Roman" w:eastAsia="宋体" w:cs="Times New Roman"/>
                <w:color w:val="auto"/>
                <w:kern w:val="0"/>
                <w:sz w:val="21"/>
                <w:szCs w:val="21"/>
                <w:highlight w:val="none"/>
                <w:vertAlign w:val="superscript"/>
                <w:lang w:bidi="ar"/>
              </w:rPr>
              <w:t>-3</w:t>
            </w:r>
          </w:p>
        </w:tc>
        <w:tc>
          <w:tcPr>
            <w:tcW w:w="680"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54" w:type="dxa"/>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32</w:t>
            </w:r>
          </w:p>
        </w:tc>
        <w:tc>
          <w:tcPr>
            <w:tcW w:w="454" w:type="dxa"/>
            <w:vMerge w:val="continue"/>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454" w:type="dxa"/>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甲苯</w:t>
            </w:r>
          </w:p>
        </w:tc>
        <w:tc>
          <w:tcPr>
            <w:tcW w:w="2835" w:type="dxa"/>
            <w:vMerge w:val="continue"/>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1701" w:type="dxa"/>
            <w:vMerge w:val="continue"/>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1020" w:type="dxa"/>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sz w:val="21"/>
                <w:szCs w:val="21"/>
                <w:highlight w:val="none"/>
              </w:rPr>
              <w:t>2.0</w:t>
            </w:r>
            <w:r>
              <w:rPr>
                <w:rFonts w:hint="default" w:ascii="Times New Roman" w:hAnsi="Times New Roman" w:eastAsia="宋体" w:cs="Times New Roman"/>
                <w:color w:val="auto"/>
                <w:kern w:val="0"/>
                <w:sz w:val="21"/>
                <w:szCs w:val="21"/>
                <w:highlight w:val="none"/>
                <w:lang w:bidi="ar"/>
              </w:rPr>
              <w:t>×10</w:t>
            </w:r>
            <w:r>
              <w:rPr>
                <w:rFonts w:hint="default" w:ascii="Times New Roman" w:hAnsi="Times New Roman" w:eastAsia="宋体" w:cs="Times New Roman"/>
                <w:color w:val="auto"/>
                <w:kern w:val="0"/>
                <w:sz w:val="21"/>
                <w:szCs w:val="21"/>
                <w:highlight w:val="none"/>
                <w:vertAlign w:val="superscript"/>
                <w:lang w:bidi="ar"/>
              </w:rPr>
              <w:t>-3</w:t>
            </w:r>
          </w:p>
        </w:tc>
        <w:tc>
          <w:tcPr>
            <w:tcW w:w="680"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54" w:type="dxa"/>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33</w:t>
            </w:r>
          </w:p>
        </w:tc>
        <w:tc>
          <w:tcPr>
            <w:tcW w:w="454" w:type="dxa"/>
            <w:vMerge w:val="continue"/>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454" w:type="dxa"/>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间二甲苯+对二甲苯</w:t>
            </w:r>
          </w:p>
        </w:tc>
        <w:tc>
          <w:tcPr>
            <w:tcW w:w="2835" w:type="dxa"/>
            <w:vMerge w:val="continue"/>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1701" w:type="dxa"/>
            <w:vMerge w:val="continue"/>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1020" w:type="dxa"/>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sz w:val="21"/>
                <w:szCs w:val="21"/>
                <w:highlight w:val="none"/>
              </w:rPr>
              <w:t>3.6</w:t>
            </w:r>
            <w:r>
              <w:rPr>
                <w:rFonts w:hint="default" w:ascii="Times New Roman" w:hAnsi="Times New Roman" w:eastAsia="宋体" w:cs="Times New Roman"/>
                <w:color w:val="auto"/>
                <w:kern w:val="0"/>
                <w:sz w:val="21"/>
                <w:szCs w:val="21"/>
                <w:highlight w:val="none"/>
                <w:lang w:bidi="ar"/>
              </w:rPr>
              <w:t>×10</w:t>
            </w:r>
            <w:r>
              <w:rPr>
                <w:rFonts w:hint="default" w:ascii="Times New Roman" w:hAnsi="Times New Roman" w:eastAsia="宋体" w:cs="Times New Roman"/>
                <w:color w:val="auto"/>
                <w:kern w:val="0"/>
                <w:sz w:val="21"/>
                <w:szCs w:val="21"/>
                <w:highlight w:val="none"/>
                <w:vertAlign w:val="superscript"/>
                <w:lang w:bidi="ar"/>
              </w:rPr>
              <w:t>-3</w:t>
            </w:r>
          </w:p>
        </w:tc>
        <w:tc>
          <w:tcPr>
            <w:tcW w:w="680"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54" w:type="dxa"/>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34</w:t>
            </w:r>
          </w:p>
        </w:tc>
        <w:tc>
          <w:tcPr>
            <w:tcW w:w="454" w:type="dxa"/>
            <w:vMerge w:val="continue"/>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454" w:type="dxa"/>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邻二甲苯</w:t>
            </w:r>
          </w:p>
        </w:tc>
        <w:tc>
          <w:tcPr>
            <w:tcW w:w="2835" w:type="dxa"/>
            <w:vMerge w:val="continue"/>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1701" w:type="dxa"/>
            <w:vMerge w:val="continue"/>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1020" w:type="dxa"/>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sz w:val="21"/>
                <w:szCs w:val="21"/>
                <w:highlight w:val="none"/>
              </w:rPr>
              <w:t>1.3</w:t>
            </w:r>
            <w:r>
              <w:rPr>
                <w:rFonts w:hint="default" w:ascii="Times New Roman" w:hAnsi="Times New Roman" w:eastAsia="宋体" w:cs="Times New Roman"/>
                <w:color w:val="auto"/>
                <w:kern w:val="0"/>
                <w:sz w:val="21"/>
                <w:szCs w:val="21"/>
                <w:highlight w:val="none"/>
                <w:lang w:bidi="ar"/>
              </w:rPr>
              <w:t>×10</w:t>
            </w:r>
            <w:r>
              <w:rPr>
                <w:rFonts w:hint="default" w:ascii="Times New Roman" w:hAnsi="Times New Roman" w:eastAsia="宋体" w:cs="Times New Roman"/>
                <w:color w:val="auto"/>
                <w:kern w:val="0"/>
                <w:sz w:val="21"/>
                <w:szCs w:val="21"/>
                <w:highlight w:val="none"/>
                <w:vertAlign w:val="superscript"/>
                <w:lang w:bidi="ar"/>
              </w:rPr>
              <w:t>-3</w:t>
            </w:r>
          </w:p>
        </w:tc>
        <w:tc>
          <w:tcPr>
            <w:tcW w:w="680"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54" w:type="dxa"/>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35</w:t>
            </w:r>
          </w:p>
        </w:tc>
        <w:tc>
          <w:tcPr>
            <w:tcW w:w="454" w:type="dxa"/>
            <w:vMerge w:val="continue"/>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454" w:type="dxa"/>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2-氯苯酚</w:t>
            </w:r>
          </w:p>
        </w:tc>
        <w:tc>
          <w:tcPr>
            <w:tcW w:w="2835" w:type="dxa"/>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《土壤和沉积物半挥发性有机物的测定气相色谱-质谱法》HJ834-2017</w:t>
            </w:r>
          </w:p>
        </w:tc>
        <w:tc>
          <w:tcPr>
            <w:tcW w:w="1701" w:type="dxa"/>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安捷伦6890N气相色谱仪JT-04</w:t>
            </w:r>
          </w:p>
        </w:tc>
        <w:tc>
          <w:tcPr>
            <w:tcW w:w="1020" w:type="dxa"/>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0.06</w:t>
            </w:r>
          </w:p>
        </w:tc>
        <w:tc>
          <w:tcPr>
            <w:tcW w:w="680" w:type="dxa"/>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54" w:type="dxa"/>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36</w:t>
            </w:r>
          </w:p>
        </w:tc>
        <w:tc>
          <w:tcPr>
            <w:tcW w:w="454" w:type="dxa"/>
            <w:vMerge w:val="continue"/>
            <w:textDirection w:val="tbRlV"/>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454" w:type="dxa"/>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苯胺*</w:t>
            </w:r>
          </w:p>
        </w:tc>
        <w:tc>
          <w:tcPr>
            <w:tcW w:w="2835" w:type="dxa"/>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《EPAMethod8270DSem</w:t>
            </w:r>
            <w:r>
              <w:rPr>
                <w:rFonts w:hint="default" w:ascii="Times New Roman" w:hAnsi="Times New Roman" w:eastAsia="宋体" w:cs="Times New Roman"/>
                <w:color w:val="auto"/>
                <w:sz w:val="21"/>
                <w:szCs w:val="21"/>
                <w:highlight w:val="none"/>
                <w:lang w:eastAsia="zh-CN"/>
              </w:rPr>
              <w:t>Ⅳ</w:t>
            </w:r>
            <w:r>
              <w:rPr>
                <w:rFonts w:hint="default" w:ascii="Times New Roman" w:hAnsi="Times New Roman" w:eastAsia="宋体" w:cs="Times New Roman"/>
                <w:color w:val="auto"/>
                <w:sz w:val="21"/>
                <w:szCs w:val="21"/>
                <w:highlight w:val="none"/>
              </w:rPr>
              <w:t>olatileOrganicCompoundsbyGasChromatography/MassSpectrometry（GC/MS</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-Revision4》</w:t>
            </w:r>
          </w:p>
        </w:tc>
        <w:tc>
          <w:tcPr>
            <w:tcW w:w="1701" w:type="dxa"/>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020" w:type="dxa"/>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rPr>
              <w:t>0.001</w:t>
            </w:r>
          </w:p>
        </w:tc>
        <w:tc>
          <w:tcPr>
            <w:tcW w:w="680" w:type="dxa"/>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54" w:type="dxa"/>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37</w:t>
            </w:r>
          </w:p>
        </w:tc>
        <w:tc>
          <w:tcPr>
            <w:tcW w:w="454" w:type="dxa"/>
            <w:vMerge w:val="continue"/>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454" w:type="dxa"/>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硝基苯</w:t>
            </w:r>
          </w:p>
        </w:tc>
        <w:tc>
          <w:tcPr>
            <w:tcW w:w="2835" w:type="dxa"/>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《土壤和沉积物半挥发性有机物的测定气相色谱-质谱法》</w:t>
            </w:r>
          </w:p>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HJ834-2017</w:t>
            </w:r>
          </w:p>
        </w:tc>
        <w:tc>
          <w:tcPr>
            <w:tcW w:w="1701" w:type="dxa"/>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安捷伦6890N气相色谱仪JT-04</w:t>
            </w:r>
          </w:p>
        </w:tc>
        <w:tc>
          <w:tcPr>
            <w:tcW w:w="1020" w:type="dxa"/>
            <w:vAlign w:val="center"/>
          </w:tcPr>
          <w:p>
            <w:pPr>
              <w:pageBreakBefore w:val="0"/>
              <w:wordWrap/>
              <w:bidi w:val="0"/>
              <w:snapToGrid w:val="0"/>
              <w:spacing w:line="240" w:lineRule="auto"/>
              <w:ind w:left="0" w:leftChars="0" w:right="0" w:right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bCs/>
                <w:color w:val="auto"/>
                <w:sz w:val="21"/>
                <w:szCs w:val="21"/>
                <w:highlight w:val="none"/>
              </w:rPr>
              <w:t>0.09</w:t>
            </w:r>
          </w:p>
        </w:tc>
        <w:tc>
          <w:tcPr>
            <w:tcW w:w="680" w:type="dxa"/>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54" w:type="dxa"/>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38</w:t>
            </w:r>
          </w:p>
        </w:tc>
        <w:tc>
          <w:tcPr>
            <w:tcW w:w="454" w:type="dxa"/>
            <w:vMerge w:val="continue"/>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454" w:type="dxa"/>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苯并〔a〕蒽</w:t>
            </w:r>
          </w:p>
        </w:tc>
        <w:tc>
          <w:tcPr>
            <w:tcW w:w="2835" w:type="dxa"/>
            <w:vMerge w:val="restar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《土壤和沉积物多环芳烃的测定高效液相色谱法》</w:t>
            </w:r>
          </w:p>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HJ784-2016</w:t>
            </w:r>
          </w:p>
        </w:tc>
        <w:tc>
          <w:tcPr>
            <w:tcW w:w="1701" w:type="dxa"/>
            <w:vMerge w:val="restart"/>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1100series液相色谱仪JT-13</w:t>
            </w:r>
          </w:p>
        </w:tc>
        <w:tc>
          <w:tcPr>
            <w:tcW w:w="1020" w:type="dxa"/>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4</w:t>
            </w:r>
            <w:r>
              <w:rPr>
                <w:rFonts w:hint="default" w:ascii="Times New Roman" w:hAnsi="Times New Roman" w:eastAsia="宋体" w:cs="Times New Roman"/>
                <w:color w:val="auto"/>
                <w:kern w:val="0"/>
                <w:sz w:val="21"/>
                <w:szCs w:val="21"/>
                <w:highlight w:val="none"/>
                <w:lang w:bidi="ar"/>
              </w:rPr>
              <w:t>×10</w:t>
            </w:r>
            <w:r>
              <w:rPr>
                <w:rFonts w:hint="default" w:ascii="Times New Roman" w:hAnsi="Times New Roman" w:eastAsia="宋体" w:cs="Times New Roman"/>
                <w:color w:val="auto"/>
                <w:kern w:val="0"/>
                <w:sz w:val="21"/>
                <w:szCs w:val="21"/>
                <w:highlight w:val="none"/>
                <w:vertAlign w:val="superscript"/>
                <w:lang w:bidi="ar"/>
              </w:rPr>
              <w:t>-3</w:t>
            </w:r>
          </w:p>
        </w:tc>
        <w:tc>
          <w:tcPr>
            <w:tcW w:w="680" w:type="dxa"/>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54" w:type="dxa"/>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39</w:t>
            </w:r>
          </w:p>
        </w:tc>
        <w:tc>
          <w:tcPr>
            <w:tcW w:w="454" w:type="dxa"/>
            <w:vMerge w:val="continue"/>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454" w:type="dxa"/>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苯并〔a〕芘</w:t>
            </w:r>
          </w:p>
        </w:tc>
        <w:tc>
          <w:tcPr>
            <w:tcW w:w="2835" w:type="dxa"/>
            <w:vMerge w:val="continue"/>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p>
        </w:tc>
        <w:tc>
          <w:tcPr>
            <w:tcW w:w="1701" w:type="dxa"/>
            <w:vMerge w:val="continue"/>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1020" w:type="dxa"/>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5</w:t>
            </w:r>
            <w:r>
              <w:rPr>
                <w:rFonts w:hint="default" w:ascii="Times New Roman" w:hAnsi="Times New Roman" w:eastAsia="宋体" w:cs="Times New Roman"/>
                <w:color w:val="auto"/>
                <w:kern w:val="0"/>
                <w:sz w:val="21"/>
                <w:szCs w:val="21"/>
                <w:highlight w:val="none"/>
                <w:lang w:bidi="ar"/>
              </w:rPr>
              <w:t>×10</w:t>
            </w:r>
            <w:r>
              <w:rPr>
                <w:rFonts w:hint="default" w:ascii="Times New Roman" w:hAnsi="Times New Roman" w:eastAsia="宋体" w:cs="Times New Roman"/>
                <w:color w:val="auto"/>
                <w:kern w:val="0"/>
                <w:sz w:val="21"/>
                <w:szCs w:val="21"/>
                <w:highlight w:val="none"/>
                <w:vertAlign w:val="superscript"/>
                <w:lang w:bidi="ar"/>
              </w:rPr>
              <w:t>-3</w:t>
            </w:r>
          </w:p>
        </w:tc>
        <w:tc>
          <w:tcPr>
            <w:tcW w:w="680" w:type="dxa"/>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54" w:type="dxa"/>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40</w:t>
            </w:r>
          </w:p>
        </w:tc>
        <w:tc>
          <w:tcPr>
            <w:tcW w:w="454" w:type="dxa"/>
            <w:vMerge w:val="continue"/>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454" w:type="dxa"/>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苯并〔b〕荧蒽</w:t>
            </w:r>
          </w:p>
        </w:tc>
        <w:tc>
          <w:tcPr>
            <w:tcW w:w="2835" w:type="dxa"/>
            <w:vMerge w:val="continue"/>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p>
        </w:tc>
        <w:tc>
          <w:tcPr>
            <w:tcW w:w="1701" w:type="dxa"/>
            <w:vMerge w:val="continue"/>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1020" w:type="dxa"/>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5</w:t>
            </w:r>
            <w:r>
              <w:rPr>
                <w:rFonts w:hint="default" w:ascii="Times New Roman" w:hAnsi="Times New Roman" w:eastAsia="宋体" w:cs="Times New Roman"/>
                <w:color w:val="auto"/>
                <w:kern w:val="0"/>
                <w:sz w:val="21"/>
                <w:szCs w:val="21"/>
                <w:highlight w:val="none"/>
                <w:lang w:bidi="ar"/>
              </w:rPr>
              <w:t>×10</w:t>
            </w:r>
            <w:r>
              <w:rPr>
                <w:rFonts w:hint="default" w:ascii="Times New Roman" w:hAnsi="Times New Roman" w:eastAsia="宋体" w:cs="Times New Roman"/>
                <w:color w:val="auto"/>
                <w:kern w:val="0"/>
                <w:sz w:val="21"/>
                <w:szCs w:val="21"/>
                <w:highlight w:val="none"/>
                <w:vertAlign w:val="superscript"/>
                <w:lang w:bidi="ar"/>
              </w:rPr>
              <w:t>-3</w:t>
            </w:r>
          </w:p>
        </w:tc>
        <w:tc>
          <w:tcPr>
            <w:tcW w:w="680" w:type="dxa"/>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54" w:type="dxa"/>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41</w:t>
            </w:r>
          </w:p>
        </w:tc>
        <w:tc>
          <w:tcPr>
            <w:tcW w:w="454" w:type="dxa"/>
            <w:vMerge w:val="continue"/>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454" w:type="dxa"/>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苯并〔k〕荧蒽</w:t>
            </w:r>
          </w:p>
        </w:tc>
        <w:tc>
          <w:tcPr>
            <w:tcW w:w="2835" w:type="dxa"/>
            <w:vMerge w:val="restar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《土壤和沉积物多环芳烃的测定高效液相色谱法》</w:t>
            </w:r>
          </w:p>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HJ784-2016</w:t>
            </w:r>
          </w:p>
        </w:tc>
        <w:tc>
          <w:tcPr>
            <w:tcW w:w="1701" w:type="dxa"/>
            <w:vMerge w:val="restart"/>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1100series液相色谱仪JT-13</w:t>
            </w:r>
          </w:p>
        </w:tc>
        <w:tc>
          <w:tcPr>
            <w:tcW w:w="1020" w:type="dxa"/>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5</w:t>
            </w:r>
            <w:r>
              <w:rPr>
                <w:rFonts w:hint="default" w:ascii="Times New Roman" w:hAnsi="Times New Roman" w:eastAsia="宋体" w:cs="Times New Roman"/>
                <w:color w:val="auto"/>
                <w:kern w:val="0"/>
                <w:sz w:val="21"/>
                <w:szCs w:val="21"/>
                <w:highlight w:val="none"/>
                <w:lang w:bidi="ar"/>
              </w:rPr>
              <w:t>×10</w:t>
            </w:r>
            <w:r>
              <w:rPr>
                <w:rFonts w:hint="default" w:ascii="Times New Roman" w:hAnsi="Times New Roman" w:eastAsia="宋体" w:cs="Times New Roman"/>
                <w:color w:val="auto"/>
                <w:kern w:val="0"/>
                <w:sz w:val="21"/>
                <w:szCs w:val="21"/>
                <w:highlight w:val="none"/>
                <w:vertAlign w:val="superscript"/>
                <w:lang w:bidi="ar"/>
              </w:rPr>
              <w:t>-3</w:t>
            </w:r>
          </w:p>
        </w:tc>
        <w:tc>
          <w:tcPr>
            <w:tcW w:w="680" w:type="dxa"/>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54" w:type="dxa"/>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42</w:t>
            </w:r>
          </w:p>
        </w:tc>
        <w:tc>
          <w:tcPr>
            <w:tcW w:w="454" w:type="dxa"/>
            <w:vMerge w:val="continue"/>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454" w:type="dxa"/>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䓛</w:t>
            </w:r>
          </w:p>
        </w:tc>
        <w:tc>
          <w:tcPr>
            <w:tcW w:w="2835" w:type="dxa"/>
            <w:vMerge w:val="continue"/>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p>
        </w:tc>
        <w:tc>
          <w:tcPr>
            <w:tcW w:w="1701" w:type="dxa"/>
            <w:vMerge w:val="continue"/>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1020" w:type="dxa"/>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w:t>
            </w:r>
            <w:r>
              <w:rPr>
                <w:rFonts w:hint="default" w:ascii="Times New Roman" w:hAnsi="Times New Roman" w:eastAsia="宋体" w:cs="Times New Roman"/>
                <w:color w:val="auto"/>
                <w:kern w:val="0"/>
                <w:sz w:val="21"/>
                <w:szCs w:val="21"/>
                <w:highlight w:val="none"/>
                <w:lang w:bidi="ar"/>
              </w:rPr>
              <w:t>×10</w:t>
            </w:r>
            <w:r>
              <w:rPr>
                <w:rFonts w:hint="default" w:ascii="Times New Roman" w:hAnsi="Times New Roman" w:eastAsia="宋体" w:cs="Times New Roman"/>
                <w:color w:val="auto"/>
                <w:kern w:val="0"/>
                <w:sz w:val="21"/>
                <w:szCs w:val="21"/>
                <w:highlight w:val="none"/>
                <w:vertAlign w:val="superscript"/>
                <w:lang w:bidi="ar"/>
              </w:rPr>
              <w:t>-3</w:t>
            </w:r>
          </w:p>
        </w:tc>
        <w:tc>
          <w:tcPr>
            <w:tcW w:w="680" w:type="dxa"/>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54" w:type="dxa"/>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43</w:t>
            </w:r>
          </w:p>
        </w:tc>
        <w:tc>
          <w:tcPr>
            <w:tcW w:w="454" w:type="dxa"/>
            <w:vMerge w:val="continue"/>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454" w:type="dxa"/>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二苯并〔a</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h〕蒽</w:t>
            </w:r>
          </w:p>
        </w:tc>
        <w:tc>
          <w:tcPr>
            <w:tcW w:w="2835" w:type="dxa"/>
            <w:vMerge w:val="continue"/>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p>
        </w:tc>
        <w:tc>
          <w:tcPr>
            <w:tcW w:w="1701" w:type="dxa"/>
            <w:vMerge w:val="continue"/>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1020" w:type="dxa"/>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5</w:t>
            </w:r>
            <w:r>
              <w:rPr>
                <w:rFonts w:hint="default" w:ascii="Times New Roman" w:hAnsi="Times New Roman" w:eastAsia="宋体" w:cs="Times New Roman"/>
                <w:color w:val="auto"/>
                <w:kern w:val="0"/>
                <w:sz w:val="21"/>
                <w:szCs w:val="21"/>
                <w:highlight w:val="none"/>
                <w:lang w:bidi="ar"/>
              </w:rPr>
              <w:t>×10</w:t>
            </w:r>
            <w:r>
              <w:rPr>
                <w:rFonts w:hint="default" w:ascii="Times New Roman" w:hAnsi="Times New Roman" w:eastAsia="宋体" w:cs="Times New Roman"/>
                <w:color w:val="auto"/>
                <w:kern w:val="0"/>
                <w:sz w:val="21"/>
                <w:szCs w:val="21"/>
                <w:highlight w:val="none"/>
                <w:vertAlign w:val="superscript"/>
                <w:lang w:bidi="ar"/>
              </w:rPr>
              <w:t>-3</w:t>
            </w:r>
          </w:p>
        </w:tc>
        <w:tc>
          <w:tcPr>
            <w:tcW w:w="680" w:type="dxa"/>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54" w:type="dxa"/>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44</w:t>
            </w:r>
          </w:p>
        </w:tc>
        <w:tc>
          <w:tcPr>
            <w:tcW w:w="454" w:type="dxa"/>
            <w:vMerge w:val="continue"/>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454" w:type="dxa"/>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茚并〔1</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2</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3-cd〕芘</w:t>
            </w:r>
          </w:p>
        </w:tc>
        <w:tc>
          <w:tcPr>
            <w:tcW w:w="2835" w:type="dxa"/>
            <w:vMerge w:val="continue"/>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p>
        </w:tc>
        <w:tc>
          <w:tcPr>
            <w:tcW w:w="1701" w:type="dxa"/>
            <w:vMerge w:val="continue"/>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1020" w:type="dxa"/>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4</w:t>
            </w:r>
            <w:r>
              <w:rPr>
                <w:rFonts w:hint="default" w:ascii="Times New Roman" w:hAnsi="Times New Roman" w:eastAsia="宋体" w:cs="Times New Roman"/>
                <w:color w:val="auto"/>
                <w:kern w:val="0"/>
                <w:sz w:val="21"/>
                <w:szCs w:val="21"/>
                <w:highlight w:val="none"/>
                <w:lang w:bidi="ar"/>
              </w:rPr>
              <w:t>×10</w:t>
            </w:r>
            <w:r>
              <w:rPr>
                <w:rFonts w:hint="default" w:ascii="Times New Roman" w:hAnsi="Times New Roman" w:eastAsia="宋体" w:cs="Times New Roman"/>
                <w:color w:val="auto"/>
                <w:kern w:val="0"/>
                <w:sz w:val="21"/>
                <w:szCs w:val="21"/>
                <w:highlight w:val="none"/>
                <w:vertAlign w:val="superscript"/>
                <w:lang w:bidi="ar"/>
              </w:rPr>
              <w:t>-3</w:t>
            </w:r>
          </w:p>
        </w:tc>
        <w:tc>
          <w:tcPr>
            <w:tcW w:w="680" w:type="dxa"/>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54" w:type="dxa"/>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45</w:t>
            </w:r>
          </w:p>
        </w:tc>
        <w:tc>
          <w:tcPr>
            <w:tcW w:w="454" w:type="dxa"/>
            <w:vMerge w:val="continue"/>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454" w:type="dxa"/>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萘</w:t>
            </w:r>
          </w:p>
        </w:tc>
        <w:tc>
          <w:tcPr>
            <w:tcW w:w="2835" w:type="dxa"/>
            <w:vMerge w:val="continue"/>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p>
        </w:tc>
        <w:tc>
          <w:tcPr>
            <w:tcW w:w="1701" w:type="dxa"/>
            <w:vMerge w:val="continue"/>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1020" w:type="dxa"/>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3</w:t>
            </w:r>
            <w:r>
              <w:rPr>
                <w:rFonts w:hint="default" w:ascii="Times New Roman" w:hAnsi="Times New Roman" w:eastAsia="宋体" w:cs="Times New Roman"/>
                <w:color w:val="auto"/>
                <w:kern w:val="0"/>
                <w:sz w:val="21"/>
                <w:szCs w:val="21"/>
                <w:highlight w:val="none"/>
                <w:lang w:bidi="ar"/>
              </w:rPr>
              <w:t>×10</w:t>
            </w:r>
            <w:r>
              <w:rPr>
                <w:rFonts w:hint="default" w:ascii="Times New Roman" w:hAnsi="Times New Roman" w:eastAsia="宋体" w:cs="Times New Roman"/>
                <w:color w:val="auto"/>
                <w:kern w:val="0"/>
                <w:sz w:val="21"/>
                <w:szCs w:val="21"/>
                <w:highlight w:val="none"/>
                <w:vertAlign w:val="superscript"/>
                <w:lang w:bidi="ar"/>
              </w:rPr>
              <w:t>-3</w:t>
            </w:r>
          </w:p>
        </w:tc>
        <w:tc>
          <w:tcPr>
            <w:tcW w:w="680" w:type="dxa"/>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mg/kg</w:t>
            </w:r>
          </w:p>
        </w:tc>
      </w:tr>
    </w:tbl>
    <w:p>
      <w:pPr>
        <w:pStyle w:val="5"/>
        <w:pageBreakBefore w:val="0"/>
        <w:numPr>
          <w:ilvl w:val="2"/>
          <w:numId w:val="0"/>
        </w:numPr>
        <w:wordWrap/>
        <w:bidi w:val="0"/>
        <w:ind w:left="0" w:leftChars="0" w:right="0" w:rightChars="0"/>
        <w:rPr>
          <w:rFonts w:hint="default" w:ascii="Times New Roman" w:hAnsi="Times New Roman" w:eastAsia="宋体" w:cs="Times New Roman"/>
          <w:b/>
          <w:bCs/>
          <w:color w:val="auto"/>
          <w:highlight w:val="none"/>
        </w:rPr>
      </w:pPr>
      <w:bookmarkStart w:id="849" w:name="_Toc3259"/>
      <w:bookmarkStart w:id="850" w:name="_Toc5680"/>
      <w:bookmarkStart w:id="851" w:name="_Toc17973"/>
      <w:r>
        <w:rPr>
          <w:rFonts w:hint="default" w:ascii="Times New Roman" w:hAnsi="Times New Roman" w:eastAsia="宋体" w:cs="Times New Roman"/>
          <w:b/>
          <w:bCs/>
          <w:i w:val="0"/>
          <w:iCs w:val="0"/>
          <w:caps w:val="0"/>
          <w:smallCaps w:val="0"/>
          <w:strike w:val="0"/>
          <w:dstrike w:val="0"/>
          <w:vanish w:val="0"/>
          <w:color w:val="auto"/>
          <w:spacing w:val="0"/>
          <w:kern w:val="2"/>
          <w:position w:val="0"/>
          <w:sz w:val="24"/>
          <w:szCs w:val="24"/>
          <w:highlight w:val="none"/>
          <w:u w:val="none"/>
          <w:vertAlign w:val="baseline"/>
          <w:lang w:val="en-US" w:eastAsia="zh-CN" w:bidi="ar-SA"/>
          <w14:shadow w14:blurRad="0" w14:dist="0" w14:dir="0" w14:sx="0" w14:sy="0" w14:kx="0" w14:ky="0" w14:algn="none">
            <w14:srgbClr w14:val="000000"/>
          </w14:shadow>
        </w:rPr>
        <w:t>5.4.5</w:t>
      </w:r>
      <w:r>
        <w:rPr>
          <w:rFonts w:hint="default" w:ascii="Times New Roman" w:hAnsi="Times New Roman" w:eastAsia="宋体" w:cs="Times New Roman"/>
          <w:b/>
          <w:bCs/>
          <w:color w:val="auto"/>
          <w:highlight w:val="none"/>
        </w:rPr>
        <w:t>监测结果</w:t>
      </w:r>
      <w:bookmarkEnd w:id="849"/>
      <w:bookmarkEnd w:id="850"/>
      <w:bookmarkEnd w:id="851"/>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土壤检测结果见表5-1</w:t>
      </w:r>
      <w:r>
        <w:rPr>
          <w:rFonts w:hint="default" w:ascii="Times New Roman" w:hAnsi="Times New Roman" w:eastAsia="宋体" w:cs="Times New Roman"/>
          <w:color w:val="auto"/>
          <w:sz w:val="24"/>
          <w:highlight w:val="none"/>
          <w:lang w:val="en-US" w:eastAsia="zh-CN"/>
        </w:rPr>
        <w:t>8</w:t>
      </w:r>
      <w:r>
        <w:rPr>
          <w:rFonts w:hint="default" w:ascii="Times New Roman" w:hAnsi="Times New Roman" w:eastAsia="宋体" w:cs="Times New Roman"/>
          <w:color w:val="auto"/>
          <w:sz w:val="24"/>
          <w:highlight w:val="none"/>
        </w:rPr>
        <w:t>。</w:t>
      </w:r>
    </w:p>
    <w:p>
      <w:pPr>
        <w:pageBreakBefore w:val="0"/>
        <w:tabs>
          <w:tab w:val="left" w:pos="3062"/>
        </w:tabs>
        <w:wordWrap/>
        <w:bidi w:val="0"/>
        <w:spacing w:line="360" w:lineRule="auto"/>
        <w:ind w:left="0" w:leftChars="0" w:right="0" w:rightChars="0"/>
        <w:jc w:val="center"/>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w:t>表5-1</w:t>
      </w:r>
      <w:r>
        <w:rPr>
          <w:rFonts w:hint="default" w:ascii="Times New Roman" w:hAnsi="Times New Roman" w:eastAsia="宋体" w:cs="Times New Roman"/>
          <w:b/>
          <w:color w:val="auto"/>
          <w:sz w:val="24"/>
          <w:highlight w:val="none"/>
          <w:lang w:val="en-US" w:eastAsia="zh-CN"/>
        </w:rPr>
        <w:t>8</w:t>
      </w:r>
      <w:r>
        <w:rPr>
          <w:rFonts w:hint="default" w:ascii="Times New Roman" w:hAnsi="Times New Roman" w:eastAsia="宋体" w:cs="Times New Roman"/>
          <w:b/>
          <w:color w:val="auto"/>
          <w:sz w:val="24"/>
          <w:highlight w:val="none"/>
        </w:rPr>
        <w:t>土壤检测结果（占地范围内1#-3#</w:t>
      </w:r>
      <w:r>
        <w:rPr>
          <w:rFonts w:hint="default" w:ascii="Times New Roman" w:hAnsi="Times New Roman" w:eastAsia="宋体" w:cs="Times New Roman"/>
          <w:b/>
          <w:color w:val="auto"/>
          <w:sz w:val="24"/>
          <w:highlight w:val="none"/>
          <w:lang w:eastAsia="zh-CN"/>
        </w:rPr>
        <w:t>）</w:t>
      </w:r>
      <w:r>
        <w:rPr>
          <w:rFonts w:hint="default" w:ascii="Times New Roman" w:hAnsi="Times New Roman" w:eastAsia="宋体" w:cs="Times New Roman"/>
          <w:b/>
          <w:color w:val="auto"/>
          <w:sz w:val="24"/>
          <w:highlight w:val="none"/>
        </w:rPr>
        <w:t>单位</w:t>
      </w:r>
      <w:r>
        <w:rPr>
          <w:rFonts w:hint="default" w:ascii="Times New Roman" w:hAnsi="Times New Roman" w:eastAsia="宋体" w:cs="Times New Roman"/>
          <w:b/>
          <w:color w:val="auto"/>
          <w:sz w:val="24"/>
          <w:highlight w:val="none"/>
          <w:lang w:eastAsia="zh-CN"/>
        </w:rPr>
        <w:t>：</w:t>
      </w:r>
      <w:r>
        <w:rPr>
          <w:rFonts w:hint="default" w:ascii="Times New Roman" w:hAnsi="Times New Roman" w:eastAsia="宋体" w:cs="Times New Roman"/>
          <w:b/>
          <w:color w:val="auto"/>
          <w:sz w:val="24"/>
          <w:highlight w:val="none"/>
        </w:rPr>
        <w:t>mg/kg</w:t>
      </w:r>
    </w:p>
    <w:tbl>
      <w:tblPr>
        <w:tblStyle w:val="54"/>
        <w:tblpPr w:leftFromText="180" w:rightFromText="180" w:vertAnchor="text" w:horzAnchor="margin" w:tblpY="50"/>
        <w:tblOverlap w:val="never"/>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68"/>
        <w:gridCol w:w="2273"/>
        <w:gridCol w:w="1136"/>
        <w:gridCol w:w="1136"/>
        <w:gridCol w:w="1136"/>
        <w:gridCol w:w="1136"/>
        <w:gridCol w:w="113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0" w:type="pct"/>
            <w:vMerge w:val="restart"/>
            <w:tcBorders>
              <w:top w:val="single" w:color="auto" w:sz="4" w:space="0"/>
              <w:left w:val="single" w:color="auto" w:sz="4" w:space="0"/>
              <w:right w:val="single" w:color="auto" w:sz="4" w:space="0"/>
            </w:tcBorders>
            <w:vAlign w:val="center"/>
          </w:tcPr>
          <w:p>
            <w:pPr>
              <w:pStyle w:val="53"/>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序号</w:t>
            </w:r>
          </w:p>
        </w:tc>
        <w:tc>
          <w:tcPr>
            <w:tcW w:w="1000" w:type="pct"/>
            <w:vMerge w:val="restart"/>
            <w:tcBorders>
              <w:top w:val="single" w:color="auto" w:sz="4" w:space="0"/>
              <w:left w:val="single" w:color="auto" w:sz="4" w:space="0"/>
              <w:right w:val="single" w:color="auto" w:sz="4" w:space="0"/>
            </w:tcBorders>
            <w:vAlign w:val="center"/>
          </w:tcPr>
          <w:p>
            <w:pPr>
              <w:pStyle w:val="53"/>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检测项目</w:t>
            </w:r>
          </w:p>
        </w:tc>
        <w:tc>
          <w:tcPr>
            <w:tcW w:w="500" w:type="pct"/>
            <w:vMerge w:val="restart"/>
            <w:tcBorders>
              <w:top w:val="single" w:color="auto" w:sz="4" w:space="0"/>
              <w:left w:val="single" w:color="auto" w:sz="4" w:space="0"/>
              <w:right w:val="single" w:color="auto" w:sz="4" w:space="0"/>
            </w:tcBorders>
            <w:vAlign w:val="center"/>
          </w:tcPr>
          <w:p>
            <w:pPr>
              <w:pStyle w:val="53"/>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单位</w:t>
            </w:r>
          </w:p>
        </w:tc>
        <w:tc>
          <w:tcPr>
            <w:tcW w:w="500" w:type="pct"/>
            <w:gridSpan w:val="3"/>
            <w:tcBorders>
              <w:top w:val="single" w:color="auto" w:sz="4" w:space="0"/>
              <w:left w:val="single" w:color="auto" w:sz="4" w:space="0"/>
              <w:right w:val="single" w:color="auto" w:sz="4" w:space="0"/>
            </w:tcBorders>
            <w:vAlign w:val="center"/>
          </w:tcPr>
          <w:p>
            <w:pPr>
              <w:pageBreakBefore w:val="0"/>
              <w:widowControl/>
              <w:wordWrap/>
              <w:bidi w:val="0"/>
              <w:adjustRightInd w:val="0"/>
              <w:snapToGrid w:val="0"/>
              <w:spacing w:line="240" w:lineRule="auto"/>
              <w:ind w:left="0" w:leftChars="0" w:right="0" w:rightChars="0"/>
              <w:jc w:val="center"/>
              <w:textAlignment w:val="center"/>
              <w:rPr>
                <w:rFonts w:hint="default" w:ascii="Times New Roman" w:hAnsi="Times New Roman" w:eastAsia="宋体" w:cs="Times New Roman"/>
                <w:b/>
                <w:color w:val="auto"/>
                <w:kern w:val="0"/>
                <w:sz w:val="21"/>
                <w:szCs w:val="21"/>
                <w:highlight w:val="none"/>
                <w:lang w:bidi="ar"/>
              </w:rPr>
            </w:pPr>
            <w:r>
              <w:rPr>
                <w:rFonts w:hint="default" w:ascii="Times New Roman" w:hAnsi="Times New Roman" w:eastAsia="宋体" w:cs="Times New Roman"/>
                <w:b/>
                <w:color w:val="auto"/>
                <w:kern w:val="0"/>
                <w:sz w:val="21"/>
                <w:szCs w:val="21"/>
                <w:highlight w:val="none"/>
                <w:lang w:bidi="ar"/>
              </w:rPr>
              <w:t>检测结果</w:t>
            </w:r>
          </w:p>
        </w:tc>
        <w:tc>
          <w:tcPr>
            <w:tcW w:w="500" w:type="pct"/>
            <w:vMerge w:val="restart"/>
            <w:tcBorders>
              <w:top w:val="single" w:color="auto" w:sz="4" w:space="0"/>
              <w:left w:val="single" w:color="auto" w:sz="4" w:space="0"/>
              <w:right w:val="single" w:color="auto" w:sz="4" w:space="0"/>
            </w:tcBorders>
            <w:vAlign w:val="center"/>
          </w:tcPr>
          <w:p>
            <w:pPr>
              <w:pageBreakBefore w:val="0"/>
              <w:widowControl/>
              <w:wordWrap/>
              <w:bidi w:val="0"/>
              <w:adjustRightInd w:val="0"/>
              <w:snapToGrid w:val="0"/>
              <w:spacing w:line="240" w:lineRule="auto"/>
              <w:ind w:left="0" w:leftChars="0" w:right="0" w:rightChars="0"/>
              <w:jc w:val="center"/>
              <w:textAlignment w:val="center"/>
              <w:rPr>
                <w:rFonts w:hint="default" w:ascii="Times New Roman" w:hAnsi="Times New Roman" w:eastAsia="宋体" w:cs="Times New Roman"/>
                <w:b/>
                <w:color w:val="auto"/>
                <w:kern w:val="0"/>
                <w:sz w:val="21"/>
                <w:szCs w:val="21"/>
                <w:highlight w:val="none"/>
                <w:lang w:bidi="ar"/>
              </w:rPr>
            </w:pPr>
            <w:r>
              <w:rPr>
                <w:rFonts w:hint="default" w:ascii="Times New Roman" w:hAnsi="Times New Roman" w:eastAsia="宋体" w:cs="Times New Roman"/>
                <w:b/>
                <w:color w:val="auto"/>
                <w:kern w:val="0"/>
                <w:sz w:val="21"/>
                <w:szCs w:val="21"/>
                <w:highlight w:val="none"/>
                <w:lang w:bidi="ar"/>
              </w:rPr>
              <w:t>标准限值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0" w:type="pct"/>
            <w:vMerge w:val="continue"/>
            <w:tcBorders>
              <w:left w:val="single" w:color="auto" w:sz="4" w:space="0"/>
              <w:right w:val="single" w:color="auto" w:sz="4" w:space="0"/>
            </w:tcBorders>
            <w:vAlign w:val="center"/>
          </w:tcPr>
          <w:p>
            <w:pPr>
              <w:pStyle w:val="53"/>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1000" w:type="pct"/>
            <w:vMerge w:val="continue"/>
            <w:tcBorders>
              <w:left w:val="single" w:color="auto" w:sz="4" w:space="0"/>
              <w:right w:val="single" w:color="auto" w:sz="4" w:space="0"/>
            </w:tcBorders>
            <w:vAlign w:val="center"/>
          </w:tcPr>
          <w:p>
            <w:pPr>
              <w:pStyle w:val="53"/>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500" w:type="pct"/>
            <w:vMerge w:val="continue"/>
            <w:tcBorders>
              <w:left w:val="single" w:color="auto" w:sz="4" w:space="0"/>
              <w:right w:val="single" w:color="auto" w:sz="4" w:space="0"/>
            </w:tcBorders>
            <w:vAlign w:val="center"/>
          </w:tcPr>
          <w:p>
            <w:pPr>
              <w:pStyle w:val="53"/>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500" w:type="pct"/>
            <w:tcBorders>
              <w:left w:val="single" w:color="auto" w:sz="4" w:space="0"/>
              <w:right w:val="single" w:color="auto" w:sz="4" w:space="0"/>
            </w:tcBorders>
            <w:vAlign w:val="center"/>
          </w:tcPr>
          <w:p>
            <w:pPr>
              <w:pageBreakBefore w:val="0"/>
              <w:widowControl/>
              <w:wordWrap/>
              <w:bidi w:val="0"/>
              <w:adjustRightInd w:val="0"/>
              <w:snapToGrid w:val="0"/>
              <w:spacing w:line="240" w:lineRule="auto"/>
              <w:ind w:left="0" w:leftChars="0" w:right="0" w:rightChars="0"/>
              <w:jc w:val="center"/>
              <w:textAlignment w:val="center"/>
              <w:rPr>
                <w:rFonts w:hint="default" w:ascii="Times New Roman" w:hAnsi="Times New Roman" w:eastAsia="宋体" w:cs="Times New Roman"/>
                <w:b/>
                <w:color w:val="auto"/>
                <w:kern w:val="0"/>
                <w:sz w:val="21"/>
                <w:szCs w:val="21"/>
                <w:highlight w:val="none"/>
                <w:lang w:bidi="ar"/>
              </w:rPr>
            </w:pPr>
            <w:r>
              <w:rPr>
                <w:rFonts w:hint="default" w:ascii="Times New Roman" w:hAnsi="Times New Roman" w:eastAsia="宋体" w:cs="Times New Roman"/>
                <w:b/>
                <w:color w:val="auto"/>
                <w:kern w:val="0"/>
                <w:sz w:val="21"/>
                <w:szCs w:val="21"/>
                <w:highlight w:val="none"/>
                <w:lang w:bidi="ar"/>
              </w:rPr>
              <w:t>1#项目区西北侧</w:t>
            </w:r>
          </w:p>
        </w:tc>
        <w:tc>
          <w:tcPr>
            <w:tcW w:w="500" w:type="pct"/>
            <w:tcBorders>
              <w:left w:val="single" w:color="auto" w:sz="4" w:space="0"/>
              <w:right w:val="single" w:color="auto" w:sz="4" w:space="0"/>
            </w:tcBorders>
            <w:vAlign w:val="center"/>
          </w:tcPr>
          <w:p>
            <w:pPr>
              <w:pageBreakBefore w:val="0"/>
              <w:widowControl/>
              <w:wordWrap/>
              <w:bidi w:val="0"/>
              <w:adjustRightInd w:val="0"/>
              <w:snapToGrid w:val="0"/>
              <w:spacing w:line="240" w:lineRule="auto"/>
              <w:ind w:left="0" w:leftChars="0" w:right="0" w:rightChars="0"/>
              <w:jc w:val="center"/>
              <w:textAlignment w:val="center"/>
              <w:rPr>
                <w:rFonts w:hint="default" w:ascii="Times New Roman" w:hAnsi="Times New Roman" w:eastAsia="宋体" w:cs="Times New Roman"/>
                <w:b/>
                <w:color w:val="auto"/>
                <w:kern w:val="0"/>
                <w:sz w:val="21"/>
                <w:szCs w:val="21"/>
                <w:highlight w:val="none"/>
                <w:lang w:bidi="ar"/>
              </w:rPr>
            </w:pPr>
            <w:r>
              <w:rPr>
                <w:rFonts w:hint="default" w:ascii="Times New Roman" w:hAnsi="Times New Roman" w:eastAsia="宋体" w:cs="Times New Roman"/>
                <w:b/>
                <w:color w:val="auto"/>
                <w:kern w:val="0"/>
                <w:sz w:val="21"/>
                <w:szCs w:val="21"/>
                <w:highlight w:val="none"/>
                <w:lang w:bidi="ar"/>
              </w:rPr>
              <w:t>2#项目区西侧</w:t>
            </w:r>
          </w:p>
        </w:tc>
        <w:tc>
          <w:tcPr>
            <w:tcW w:w="500" w:type="pct"/>
            <w:tcBorders>
              <w:left w:val="single" w:color="auto" w:sz="4" w:space="0"/>
              <w:right w:val="single" w:color="auto" w:sz="4" w:space="0"/>
            </w:tcBorders>
            <w:vAlign w:val="center"/>
          </w:tcPr>
          <w:p>
            <w:pPr>
              <w:pageBreakBefore w:val="0"/>
              <w:widowControl/>
              <w:wordWrap/>
              <w:bidi w:val="0"/>
              <w:adjustRightInd w:val="0"/>
              <w:snapToGrid w:val="0"/>
              <w:spacing w:line="240" w:lineRule="auto"/>
              <w:ind w:left="0" w:leftChars="0" w:right="0" w:rightChars="0"/>
              <w:jc w:val="center"/>
              <w:textAlignment w:val="center"/>
              <w:rPr>
                <w:rFonts w:hint="default" w:ascii="Times New Roman" w:hAnsi="Times New Roman" w:eastAsia="宋体" w:cs="Times New Roman"/>
                <w:b/>
                <w:color w:val="auto"/>
                <w:kern w:val="0"/>
                <w:sz w:val="21"/>
                <w:szCs w:val="21"/>
                <w:highlight w:val="none"/>
                <w:lang w:bidi="ar"/>
              </w:rPr>
            </w:pPr>
            <w:r>
              <w:rPr>
                <w:rFonts w:hint="default" w:ascii="Times New Roman" w:hAnsi="Times New Roman" w:eastAsia="宋体" w:cs="Times New Roman"/>
                <w:b/>
                <w:color w:val="auto"/>
                <w:kern w:val="0"/>
                <w:sz w:val="21"/>
                <w:szCs w:val="21"/>
                <w:highlight w:val="none"/>
                <w:lang w:bidi="ar"/>
              </w:rPr>
              <w:t>3#项目区西南侧</w:t>
            </w:r>
          </w:p>
        </w:tc>
        <w:tc>
          <w:tcPr>
            <w:tcW w:w="500" w:type="pct"/>
            <w:vMerge w:val="continue"/>
            <w:tcBorders>
              <w:left w:val="single" w:color="auto" w:sz="4" w:space="0"/>
              <w:right w:val="single" w:color="auto" w:sz="4" w:space="0"/>
            </w:tcBorders>
            <w:vAlign w:val="center"/>
          </w:tcPr>
          <w:p>
            <w:pPr>
              <w:pageBreakBefore w:val="0"/>
              <w:widowControl/>
              <w:wordWrap/>
              <w:bidi w:val="0"/>
              <w:adjustRightInd w:val="0"/>
              <w:snapToGrid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0" w:type="pct"/>
            <w:tcBorders>
              <w:left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1000" w:type="pct"/>
            <w:tcBorders>
              <w:left w:val="single" w:color="auto" w:sz="4" w:space="0"/>
              <w:right w:val="single" w:color="auto" w:sz="4" w:space="0"/>
            </w:tcBorders>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砷</w:t>
            </w:r>
          </w:p>
        </w:tc>
        <w:tc>
          <w:tcPr>
            <w:tcW w:w="500" w:type="pct"/>
            <w:tcBorders>
              <w:left w:val="single" w:color="auto" w:sz="4" w:space="0"/>
              <w:right w:val="single" w:color="auto" w:sz="4" w:space="0"/>
            </w:tcBorders>
            <w:vAlign w:val="center"/>
          </w:tcPr>
          <w:p>
            <w:pPr>
              <w:pageBreakBefore w:val="0"/>
              <w:widowControl/>
              <w:wordWrap/>
              <w:bidi w:val="0"/>
              <w:adjustRightInd w:val="0"/>
              <w:snapToGrid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mg/kg</w:t>
            </w:r>
          </w:p>
        </w:tc>
        <w:tc>
          <w:tcPr>
            <w:tcW w:w="500" w:type="pct"/>
            <w:tcBorders>
              <w:left w:val="single" w:color="auto" w:sz="4" w:space="0"/>
              <w:right w:val="single" w:color="auto" w:sz="4" w:space="0"/>
            </w:tcBorders>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16.5</w:t>
            </w:r>
          </w:p>
        </w:tc>
        <w:tc>
          <w:tcPr>
            <w:tcW w:w="500" w:type="pct"/>
            <w:tcBorders>
              <w:left w:val="single" w:color="auto" w:sz="4" w:space="0"/>
              <w:right w:val="single" w:color="auto" w:sz="4" w:space="0"/>
            </w:tcBorders>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12.7</w:t>
            </w:r>
          </w:p>
        </w:tc>
        <w:tc>
          <w:tcPr>
            <w:tcW w:w="500" w:type="pct"/>
            <w:tcBorders>
              <w:left w:val="single" w:color="auto" w:sz="4" w:space="0"/>
              <w:right w:val="single" w:color="auto" w:sz="4" w:space="0"/>
            </w:tcBorders>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14.8</w:t>
            </w:r>
          </w:p>
        </w:tc>
        <w:tc>
          <w:tcPr>
            <w:tcW w:w="500" w:type="pct"/>
            <w:tcBorders>
              <w:left w:val="single" w:color="auto" w:sz="4" w:space="0"/>
              <w:right w:val="single" w:color="auto" w:sz="4" w:space="0"/>
            </w:tcBorders>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0" w:type="pct"/>
            <w:tcBorders>
              <w:left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tc>
        <w:tc>
          <w:tcPr>
            <w:tcW w:w="1000" w:type="pct"/>
            <w:tcBorders>
              <w:left w:val="single" w:color="auto" w:sz="4" w:space="0"/>
              <w:right w:val="single" w:color="auto" w:sz="4" w:space="0"/>
            </w:tcBorders>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镉</w:t>
            </w:r>
          </w:p>
        </w:tc>
        <w:tc>
          <w:tcPr>
            <w:tcW w:w="500" w:type="pct"/>
            <w:tcBorders>
              <w:left w:val="single" w:color="auto" w:sz="4" w:space="0"/>
              <w:right w:val="single" w:color="auto" w:sz="4" w:space="0"/>
            </w:tcBorders>
            <w:vAlign w:val="center"/>
          </w:tcPr>
          <w:p>
            <w:pPr>
              <w:pageBreakBefore w:val="0"/>
              <w:widowControl/>
              <w:wordWrap/>
              <w:bidi w:val="0"/>
              <w:adjustRightInd w:val="0"/>
              <w:snapToGrid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mg/kg</w:t>
            </w:r>
          </w:p>
        </w:tc>
        <w:tc>
          <w:tcPr>
            <w:tcW w:w="500" w:type="pct"/>
            <w:tcBorders>
              <w:left w:val="single" w:color="auto" w:sz="4" w:space="0"/>
              <w:right w:val="single" w:color="auto" w:sz="4" w:space="0"/>
            </w:tcBorders>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0.21</w:t>
            </w:r>
          </w:p>
        </w:tc>
        <w:tc>
          <w:tcPr>
            <w:tcW w:w="500" w:type="pct"/>
            <w:tcBorders>
              <w:left w:val="single" w:color="auto" w:sz="4" w:space="0"/>
              <w:right w:val="single" w:color="auto" w:sz="4" w:space="0"/>
            </w:tcBorders>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0.36</w:t>
            </w:r>
          </w:p>
        </w:tc>
        <w:tc>
          <w:tcPr>
            <w:tcW w:w="500" w:type="pct"/>
            <w:tcBorders>
              <w:left w:val="single" w:color="auto" w:sz="4" w:space="0"/>
              <w:right w:val="single" w:color="auto" w:sz="4" w:space="0"/>
            </w:tcBorders>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0.36</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0" w:type="pct"/>
            <w:tcBorders>
              <w:left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w:t>
            </w:r>
          </w:p>
        </w:tc>
        <w:tc>
          <w:tcPr>
            <w:tcW w:w="1000" w:type="pct"/>
            <w:tcBorders>
              <w:left w:val="single" w:color="auto" w:sz="4" w:space="0"/>
              <w:right w:val="single" w:color="auto" w:sz="4" w:space="0"/>
            </w:tcBorders>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铬（六价</w:t>
            </w:r>
            <w:r>
              <w:rPr>
                <w:rFonts w:hint="default" w:ascii="Times New Roman" w:hAnsi="Times New Roman" w:eastAsia="宋体" w:cs="Times New Roman"/>
                <w:color w:val="auto"/>
                <w:sz w:val="21"/>
                <w:szCs w:val="21"/>
                <w:highlight w:val="none"/>
                <w:lang w:eastAsia="zh-CN"/>
              </w:rPr>
              <w:t>）</w:t>
            </w:r>
          </w:p>
        </w:tc>
        <w:tc>
          <w:tcPr>
            <w:tcW w:w="500" w:type="pct"/>
            <w:tcBorders>
              <w:left w:val="single" w:color="auto" w:sz="4" w:space="0"/>
              <w:right w:val="single" w:color="auto" w:sz="4" w:space="0"/>
            </w:tcBorders>
            <w:vAlign w:val="center"/>
          </w:tcPr>
          <w:p>
            <w:pPr>
              <w:pageBreakBefore w:val="0"/>
              <w:widowControl/>
              <w:wordWrap/>
              <w:bidi w:val="0"/>
              <w:adjustRightInd w:val="0"/>
              <w:snapToGrid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mg/kg</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0" w:type="pct"/>
            <w:tcBorders>
              <w:left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w:t>
            </w:r>
          </w:p>
        </w:tc>
        <w:tc>
          <w:tcPr>
            <w:tcW w:w="1000" w:type="pct"/>
            <w:tcBorders>
              <w:left w:val="single" w:color="auto" w:sz="4" w:space="0"/>
              <w:right w:val="single" w:color="auto" w:sz="4" w:space="0"/>
            </w:tcBorders>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铜</w:t>
            </w:r>
          </w:p>
        </w:tc>
        <w:tc>
          <w:tcPr>
            <w:tcW w:w="500" w:type="pct"/>
            <w:tcBorders>
              <w:left w:val="single" w:color="auto" w:sz="4" w:space="0"/>
              <w:right w:val="single" w:color="auto" w:sz="4" w:space="0"/>
            </w:tcBorders>
            <w:vAlign w:val="center"/>
          </w:tcPr>
          <w:p>
            <w:pPr>
              <w:pageBreakBefore w:val="0"/>
              <w:widowControl/>
              <w:wordWrap/>
              <w:bidi w:val="0"/>
              <w:adjustRightInd w:val="0"/>
              <w:snapToGrid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mg/kg</w:t>
            </w:r>
          </w:p>
        </w:tc>
        <w:tc>
          <w:tcPr>
            <w:tcW w:w="500" w:type="pct"/>
            <w:tcBorders>
              <w:left w:val="single" w:color="auto" w:sz="4" w:space="0"/>
              <w:right w:val="single" w:color="auto" w:sz="4" w:space="0"/>
            </w:tcBorders>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23</w:t>
            </w:r>
          </w:p>
        </w:tc>
        <w:tc>
          <w:tcPr>
            <w:tcW w:w="500" w:type="pct"/>
            <w:tcBorders>
              <w:left w:val="single" w:color="auto" w:sz="4" w:space="0"/>
              <w:right w:val="single" w:color="auto" w:sz="4" w:space="0"/>
            </w:tcBorders>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23</w:t>
            </w:r>
          </w:p>
        </w:tc>
        <w:tc>
          <w:tcPr>
            <w:tcW w:w="500" w:type="pct"/>
            <w:tcBorders>
              <w:left w:val="single" w:color="auto" w:sz="4" w:space="0"/>
              <w:right w:val="single" w:color="auto" w:sz="4" w:space="0"/>
            </w:tcBorders>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19</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≤18000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0" w:type="pct"/>
            <w:tcBorders>
              <w:left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w:t>
            </w:r>
          </w:p>
        </w:tc>
        <w:tc>
          <w:tcPr>
            <w:tcW w:w="1000" w:type="pct"/>
            <w:tcBorders>
              <w:left w:val="single" w:color="auto" w:sz="4" w:space="0"/>
              <w:right w:val="single" w:color="auto" w:sz="4" w:space="0"/>
            </w:tcBorders>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铅</w:t>
            </w:r>
          </w:p>
        </w:tc>
        <w:tc>
          <w:tcPr>
            <w:tcW w:w="500" w:type="pct"/>
            <w:tcBorders>
              <w:left w:val="single" w:color="auto" w:sz="4" w:space="0"/>
              <w:right w:val="single" w:color="auto" w:sz="4" w:space="0"/>
            </w:tcBorders>
            <w:vAlign w:val="center"/>
          </w:tcPr>
          <w:p>
            <w:pPr>
              <w:pageBreakBefore w:val="0"/>
              <w:widowControl/>
              <w:wordWrap/>
              <w:bidi w:val="0"/>
              <w:adjustRightInd w:val="0"/>
              <w:snapToGrid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mg/kg</w:t>
            </w:r>
          </w:p>
        </w:tc>
        <w:tc>
          <w:tcPr>
            <w:tcW w:w="500" w:type="pct"/>
            <w:tcBorders>
              <w:left w:val="single" w:color="auto" w:sz="4" w:space="0"/>
              <w:right w:val="single" w:color="auto" w:sz="4" w:space="0"/>
            </w:tcBorders>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36</w:t>
            </w:r>
          </w:p>
        </w:tc>
        <w:tc>
          <w:tcPr>
            <w:tcW w:w="500" w:type="pct"/>
            <w:tcBorders>
              <w:left w:val="single" w:color="auto" w:sz="4" w:space="0"/>
              <w:right w:val="single" w:color="auto" w:sz="4" w:space="0"/>
            </w:tcBorders>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41</w:t>
            </w:r>
          </w:p>
        </w:tc>
        <w:tc>
          <w:tcPr>
            <w:tcW w:w="500" w:type="pct"/>
            <w:tcBorders>
              <w:left w:val="single" w:color="auto" w:sz="4" w:space="0"/>
              <w:right w:val="single" w:color="auto" w:sz="4" w:space="0"/>
            </w:tcBorders>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40</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≤800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0" w:type="pct"/>
            <w:tcBorders>
              <w:left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w:t>
            </w:r>
          </w:p>
        </w:tc>
        <w:tc>
          <w:tcPr>
            <w:tcW w:w="1000" w:type="pct"/>
            <w:tcBorders>
              <w:left w:val="single" w:color="auto" w:sz="4" w:space="0"/>
              <w:right w:val="single" w:color="auto" w:sz="4" w:space="0"/>
            </w:tcBorders>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汞</w:t>
            </w:r>
          </w:p>
        </w:tc>
        <w:tc>
          <w:tcPr>
            <w:tcW w:w="500" w:type="pct"/>
            <w:tcBorders>
              <w:left w:val="single" w:color="auto" w:sz="4" w:space="0"/>
              <w:right w:val="single" w:color="auto" w:sz="4" w:space="0"/>
            </w:tcBorders>
            <w:vAlign w:val="center"/>
          </w:tcPr>
          <w:p>
            <w:pPr>
              <w:pageBreakBefore w:val="0"/>
              <w:widowControl/>
              <w:wordWrap/>
              <w:bidi w:val="0"/>
              <w:adjustRightInd w:val="0"/>
              <w:snapToGrid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mg/kg</w:t>
            </w:r>
          </w:p>
        </w:tc>
        <w:tc>
          <w:tcPr>
            <w:tcW w:w="500" w:type="pct"/>
            <w:tcBorders>
              <w:left w:val="single" w:color="auto" w:sz="4" w:space="0"/>
              <w:right w:val="single" w:color="auto" w:sz="4" w:space="0"/>
            </w:tcBorders>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0.174</w:t>
            </w:r>
          </w:p>
        </w:tc>
        <w:tc>
          <w:tcPr>
            <w:tcW w:w="500" w:type="pct"/>
            <w:tcBorders>
              <w:left w:val="single" w:color="auto" w:sz="4" w:space="0"/>
              <w:right w:val="single" w:color="auto" w:sz="4" w:space="0"/>
            </w:tcBorders>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0.107</w:t>
            </w:r>
          </w:p>
        </w:tc>
        <w:tc>
          <w:tcPr>
            <w:tcW w:w="500" w:type="pct"/>
            <w:tcBorders>
              <w:left w:val="single" w:color="auto" w:sz="4" w:space="0"/>
              <w:right w:val="single" w:color="auto" w:sz="4" w:space="0"/>
            </w:tcBorders>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9.03×10</w:t>
            </w:r>
            <w:r>
              <w:rPr>
                <w:rFonts w:hint="default" w:ascii="Times New Roman" w:hAnsi="Times New Roman" w:eastAsia="宋体" w:cs="Times New Roman"/>
                <w:color w:val="auto"/>
                <w:sz w:val="21"/>
                <w:szCs w:val="21"/>
                <w:highlight w:val="none"/>
                <w:vertAlign w:val="superscript"/>
              </w:rPr>
              <w:t>-2</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0" w:type="pct"/>
            <w:tcBorders>
              <w:left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w:t>
            </w:r>
          </w:p>
        </w:tc>
        <w:tc>
          <w:tcPr>
            <w:tcW w:w="1000" w:type="pct"/>
            <w:tcBorders>
              <w:left w:val="single" w:color="auto" w:sz="4" w:space="0"/>
              <w:right w:val="single" w:color="auto" w:sz="4" w:space="0"/>
            </w:tcBorders>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镍</w:t>
            </w:r>
          </w:p>
        </w:tc>
        <w:tc>
          <w:tcPr>
            <w:tcW w:w="500" w:type="pct"/>
            <w:tcBorders>
              <w:left w:val="single" w:color="auto" w:sz="4" w:space="0"/>
              <w:right w:val="single" w:color="auto" w:sz="4" w:space="0"/>
            </w:tcBorders>
            <w:vAlign w:val="center"/>
          </w:tcPr>
          <w:p>
            <w:pPr>
              <w:pageBreakBefore w:val="0"/>
              <w:widowControl/>
              <w:wordWrap/>
              <w:bidi w:val="0"/>
              <w:adjustRightInd w:val="0"/>
              <w:snapToGrid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mg/kg</w:t>
            </w:r>
          </w:p>
        </w:tc>
        <w:tc>
          <w:tcPr>
            <w:tcW w:w="500" w:type="pct"/>
            <w:tcBorders>
              <w:left w:val="single" w:color="auto" w:sz="4" w:space="0"/>
              <w:right w:val="single" w:color="auto" w:sz="4" w:space="0"/>
            </w:tcBorders>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35</w:t>
            </w:r>
          </w:p>
        </w:tc>
        <w:tc>
          <w:tcPr>
            <w:tcW w:w="500" w:type="pct"/>
            <w:tcBorders>
              <w:left w:val="single" w:color="auto" w:sz="4" w:space="0"/>
              <w:right w:val="single" w:color="auto" w:sz="4" w:space="0"/>
            </w:tcBorders>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26</w:t>
            </w:r>
          </w:p>
        </w:tc>
        <w:tc>
          <w:tcPr>
            <w:tcW w:w="500" w:type="pct"/>
            <w:tcBorders>
              <w:left w:val="single" w:color="auto" w:sz="4" w:space="0"/>
              <w:right w:val="single" w:color="auto" w:sz="4" w:space="0"/>
            </w:tcBorders>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35</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≤900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0" w:type="pct"/>
            <w:tcBorders>
              <w:left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8</w:t>
            </w:r>
          </w:p>
        </w:tc>
        <w:tc>
          <w:tcPr>
            <w:tcW w:w="1000" w:type="pct"/>
            <w:tcBorders>
              <w:left w:val="single" w:color="auto" w:sz="4" w:space="0"/>
              <w:right w:val="single" w:color="auto"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sz w:val="21"/>
                <w:szCs w:val="21"/>
                <w:highlight w:val="none"/>
              </w:rPr>
              <w:t>四氯化碳</w:t>
            </w:r>
          </w:p>
        </w:tc>
        <w:tc>
          <w:tcPr>
            <w:tcW w:w="500" w:type="pct"/>
            <w:tcBorders>
              <w:left w:val="single" w:color="auto" w:sz="4" w:space="0"/>
              <w:right w:val="single" w:color="auto" w:sz="4" w:space="0"/>
            </w:tcBorders>
            <w:vAlign w:val="center"/>
          </w:tcPr>
          <w:p>
            <w:pPr>
              <w:pageBreakBefore w:val="0"/>
              <w:widowControl/>
              <w:wordWrap/>
              <w:bidi w:val="0"/>
              <w:adjustRightInd w:val="0"/>
              <w:snapToGrid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mg/kg</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0" w:type="pct"/>
            <w:tcBorders>
              <w:left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9</w:t>
            </w:r>
          </w:p>
        </w:tc>
        <w:tc>
          <w:tcPr>
            <w:tcW w:w="1000" w:type="pct"/>
            <w:tcBorders>
              <w:left w:val="single" w:color="auto" w:sz="4" w:space="0"/>
              <w:right w:val="single" w:color="auto"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氯仿</w:t>
            </w:r>
          </w:p>
        </w:tc>
        <w:tc>
          <w:tcPr>
            <w:tcW w:w="500" w:type="pct"/>
            <w:tcBorders>
              <w:left w:val="single" w:color="auto" w:sz="4" w:space="0"/>
              <w:right w:val="single" w:color="auto" w:sz="4" w:space="0"/>
            </w:tcBorders>
            <w:vAlign w:val="center"/>
          </w:tcPr>
          <w:p>
            <w:pPr>
              <w:pageBreakBefore w:val="0"/>
              <w:widowControl/>
              <w:wordWrap/>
              <w:bidi w:val="0"/>
              <w:adjustRightInd w:val="0"/>
              <w:snapToGrid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mg/kg</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0" w:type="pct"/>
            <w:tcBorders>
              <w:left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w:t>
            </w:r>
          </w:p>
        </w:tc>
        <w:tc>
          <w:tcPr>
            <w:tcW w:w="1000" w:type="pct"/>
            <w:tcBorders>
              <w:left w:val="single" w:color="auto" w:sz="4" w:space="0"/>
              <w:right w:val="single" w:color="auto"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氯甲烷</w:t>
            </w:r>
          </w:p>
        </w:tc>
        <w:tc>
          <w:tcPr>
            <w:tcW w:w="500" w:type="pct"/>
            <w:tcBorders>
              <w:left w:val="single" w:color="auto" w:sz="4" w:space="0"/>
              <w:right w:val="single" w:color="auto" w:sz="4" w:space="0"/>
            </w:tcBorders>
            <w:vAlign w:val="center"/>
          </w:tcPr>
          <w:p>
            <w:pPr>
              <w:pageBreakBefore w:val="0"/>
              <w:widowControl/>
              <w:wordWrap/>
              <w:bidi w:val="0"/>
              <w:adjustRightInd w:val="0"/>
              <w:snapToGrid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mg/kg</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0" w:type="pct"/>
            <w:tcBorders>
              <w:left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11</w:t>
            </w:r>
          </w:p>
        </w:tc>
        <w:tc>
          <w:tcPr>
            <w:tcW w:w="1000" w:type="pct"/>
            <w:tcBorders>
              <w:left w:val="single" w:color="auto" w:sz="4" w:space="0"/>
              <w:right w:val="single" w:color="auto"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1-二氯乙烷</w:t>
            </w:r>
          </w:p>
        </w:tc>
        <w:tc>
          <w:tcPr>
            <w:tcW w:w="500" w:type="pct"/>
            <w:tcBorders>
              <w:left w:val="single" w:color="auto" w:sz="4" w:space="0"/>
              <w:right w:val="single" w:color="auto" w:sz="4" w:space="0"/>
            </w:tcBorders>
            <w:vAlign w:val="center"/>
          </w:tcPr>
          <w:p>
            <w:pPr>
              <w:pageBreakBefore w:val="0"/>
              <w:widowControl/>
              <w:wordWrap/>
              <w:bidi w:val="0"/>
              <w:adjustRightInd w:val="0"/>
              <w:snapToGrid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mg/kg</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0" w:type="pct"/>
            <w:tcBorders>
              <w:left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12</w:t>
            </w:r>
          </w:p>
        </w:tc>
        <w:tc>
          <w:tcPr>
            <w:tcW w:w="1000" w:type="pct"/>
            <w:tcBorders>
              <w:left w:val="single" w:color="auto" w:sz="4" w:space="0"/>
              <w:right w:val="single" w:color="auto"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2-二氯乙烷</w:t>
            </w:r>
          </w:p>
        </w:tc>
        <w:tc>
          <w:tcPr>
            <w:tcW w:w="500" w:type="pct"/>
            <w:tcBorders>
              <w:left w:val="single" w:color="auto" w:sz="4" w:space="0"/>
              <w:right w:val="single" w:color="auto" w:sz="4" w:space="0"/>
            </w:tcBorders>
            <w:vAlign w:val="center"/>
          </w:tcPr>
          <w:p>
            <w:pPr>
              <w:pageBreakBefore w:val="0"/>
              <w:widowControl/>
              <w:wordWrap/>
              <w:bidi w:val="0"/>
              <w:adjustRightInd w:val="0"/>
              <w:snapToGrid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mg/kg</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0" w:type="pct"/>
            <w:tcBorders>
              <w:left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13</w:t>
            </w:r>
          </w:p>
        </w:tc>
        <w:tc>
          <w:tcPr>
            <w:tcW w:w="1000" w:type="pct"/>
            <w:tcBorders>
              <w:left w:val="single" w:color="auto" w:sz="4" w:space="0"/>
              <w:right w:val="single" w:color="auto"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1-二氯乙烯</w:t>
            </w:r>
          </w:p>
        </w:tc>
        <w:tc>
          <w:tcPr>
            <w:tcW w:w="500" w:type="pct"/>
            <w:tcBorders>
              <w:left w:val="single" w:color="auto" w:sz="4" w:space="0"/>
              <w:right w:val="single" w:color="auto" w:sz="4" w:space="0"/>
            </w:tcBorders>
            <w:vAlign w:val="center"/>
          </w:tcPr>
          <w:p>
            <w:pPr>
              <w:pageBreakBefore w:val="0"/>
              <w:widowControl/>
              <w:wordWrap/>
              <w:bidi w:val="0"/>
              <w:adjustRightInd w:val="0"/>
              <w:snapToGrid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mg/kg</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0" w:type="pct"/>
            <w:tcBorders>
              <w:left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14</w:t>
            </w:r>
          </w:p>
        </w:tc>
        <w:tc>
          <w:tcPr>
            <w:tcW w:w="1000" w:type="pct"/>
            <w:tcBorders>
              <w:left w:val="single" w:color="auto" w:sz="4" w:space="0"/>
              <w:right w:val="single" w:color="auto"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顺-1</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2-二氯乙烯</w:t>
            </w:r>
          </w:p>
        </w:tc>
        <w:tc>
          <w:tcPr>
            <w:tcW w:w="500" w:type="pct"/>
            <w:tcBorders>
              <w:left w:val="single" w:color="auto" w:sz="4" w:space="0"/>
              <w:right w:val="single" w:color="auto" w:sz="4" w:space="0"/>
            </w:tcBorders>
            <w:vAlign w:val="center"/>
          </w:tcPr>
          <w:p>
            <w:pPr>
              <w:pageBreakBefore w:val="0"/>
              <w:widowControl/>
              <w:wordWrap/>
              <w:bidi w:val="0"/>
              <w:adjustRightInd w:val="0"/>
              <w:snapToGrid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mg/kg</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≤596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0" w:type="pct"/>
            <w:tcBorders>
              <w:left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15</w:t>
            </w:r>
          </w:p>
        </w:tc>
        <w:tc>
          <w:tcPr>
            <w:tcW w:w="1000" w:type="pct"/>
            <w:tcBorders>
              <w:left w:val="single" w:color="auto" w:sz="4" w:space="0"/>
              <w:right w:val="single" w:color="auto"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反-1</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2-二氯乙烯</w:t>
            </w:r>
          </w:p>
        </w:tc>
        <w:tc>
          <w:tcPr>
            <w:tcW w:w="500" w:type="pct"/>
            <w:tcBorders>
              <w:left w:val="single" w:color="auto" w:sz="4" w:space="0"/>
              <w:right w:val="single" w:color="auto" w:sz="4" w:space="0"/>
            </w:tcBorders>
            <w:vAlign w:val="center"/>
          </w:tcPr>
          <w:p>
            <w:pPr>
              <w:pageBreakBefore w:val="0"/>
              <w:widowControl/>
              <w:wordWrap/>
              <w:bidi w:val="0"/>
              <w:adjustRightInd w:val="0"/>
              <w:snapToGrid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mg/kg</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0" w:type="pct"/>
            <w:tcBorders>
              <w:left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16</w:t>
            </w:r>
          </w:p>
        </w:tc>
        <w:tc>
          <w:tcPr>
            <w:tcW w:w="1000" w:type="pct"/>
            <w:tcBorders>
              <w:left w:val="single" w:color="auto" w:sz="4" w:space="0"/>
              <w:right w:val="single" w:color="auto"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二氯甲烷</w:t>
            </w:r>
          </w:p>
        </w:tc>
        <w:tc>
          <w:tcPr>
            <w:tcW w:w="500" w:type="pct"/>
            <w:tcBorders>
              <w:left w:val="single" w:color="auto" w:sz="4" w:space="0"/>
              <w:right w:val="single" w:color="auto" w:sz="4" w:space="0"/>
            </w:tcBorders>
            <w:vAlign w:val="center"/>
          </w:tcPr>
          <w:p>
            <w:pPr>
              <w:pageBreakBefore w:val="0"/>
              <w:widowControl/>
              <w:wordWrap/>
              <w:bidi w:val="0"/>
              <w:adjustRightInd w:val="0"/>
              <w:snapToGrid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mg/kg</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≤616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0" w:type="pct"/>
            <w:tcBorders>
              <w:left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17</w:t>
            </w:r>
          </w:p>
        </w:tc>
        <w:tc>
          <w:tcPr>
            <w:tcW w:w="1000" w:type="pct"/>
            <w:tcBorders>
              <w:left w:val="single" w:color="auto" w:sz="4" w:space="0"/>
              <w:right w:val="single" w:color="auto"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2-二氯丙烷</w:t>
            </w:r>
          </w:p>
        </w:tc>
        <w:tc>
          <w:tcPr>
            <w:tcW w:w="500" w:type="pct"/>
            <w:tcBorders>
              <w:left w:val="single" w:color="auto" w:sz="4" w:space="0"/>
              <w:right w:val="single" w:color="auto" w:sz="4" w:space="0"/>
            </w:tcBorders>
            <w:vAlign w:val="center"/>
          </w:tcPr>
          <w:p>
            <w:pPr>
              <w:pageBreakBefore w:val="0"/>
              <w:widowControl/>
              <w:wordWrap/>
              <w:bidi w:val="0"/>
              <w:adjustRightInd w:val="0"/>
              <w:snapToGrid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mg/kg</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0" w:type="pct"/>
            <w:tcBorders>
              <w:left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18</w:t>
            </w:r>
          </w:p>
        </w:tc>
        <w:tc>
          <w:tcPr>
            <w:tcW w:w="1000" w:type="pct"/>
            <w:tcBorders>
              <w:left w:val="single" w:color="auto" w:sz="4" w:space="0"/>
              <w:right w:val="single" w:color="auto"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1</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1</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2-四氯乙烷</w:t>
            </w:r>
          </w:p>
        </w:tc>
        <w:tc>
          <w:tcPr>
            <w:tcW w:w="500" w:type="pct"/>
            <w:tcBorders>
              <w:left w:val="single" w:color="auto" w:sz="4" w:space="0"/>
              <w:right w:val="single" w:color="auto" w:sz="4" w:space="0"/>
            </w:tcBorders>
            <w:vAlign w:val="center"/>
          </w:tcPr>
          <w:p>
            <w:pPr>
              <w:pageBreakBefore w:val="0"/>
              <w:widowControl/>
              <w:wordWrap/>
              <w:bidi w:val="0"/>
              <w:adjustRightInd w:val="0"/>
              <w:snapToGrid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mg/kg</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0" w:type="pct"/>
            <w:tcBorders>
              <w:left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19</w:t>
            </w:r>
          </w:p>
        </w:tc>
        <w:tc>
          <w:tcPr>
            <w:tcW w:w="1000" w:type="pct"/>
            <w:tcBorders>
              <w:left w:val="single" w:color="auto" w:sz="4" w:space="0"/>
              <w:right w:val="single" w:color="auto"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1</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2</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2-四氯乙烷</w:t>
            </w:r>
          </w:p>
        </w:tc>
        <w:tc>
          <w:tcPr>
            <w:tcW w:w="500" w:type="pct"/>
            <w:tcBorders>
              <w:left w:val="single" w:color="auto" w:sz="4" w:space="0"/>
              <w:right w:val="single" w:color="auto" w:sz="4" w:space="0"/>
            </w:tcBorders>
            <w:vAlign w:val="center"/>
          </w:tcPr>
          <w:p>
            <w:pPr>
              <w:pageBreakBefore w:val="0"/>
              <w:widowControl/>
              <w:wordWrap/>
              <w:bidi w:val="0"/>
              <w:adjustRightInd w:val="0"/>
              <w:snapToGrid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mg/kg</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0" w:type="pct"/>
            <w:tcBorders>
              <w:left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w:t>
            </w:r>
          </w:p>
        </w:tc>
        <w:tc>
          <w:tcPr>
            <w:tcW w:w="1000" w:type="pct"/>
            <w:tcBorders>
              <w:left w:val="single" w:color="auto" w:sz="4" w:space="0"/>
              <w:right w:val="single" w:color="auto"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四氯乙烯</w:t>
            </w:r>
          </w:p>
        </w:tc>
        <w:tc>
          <w:tcPr>
            <w:tcW w:w="500" w:type="pct"/>
            <w:tcBorders>
              <w:left w:val="single" w:color="auto" w:sz="4" w:space="0"/>
              <w:right w:val="single" w:color="auto" w:sz="4" w:space="0"/>
            </w:tcBorders>
            <w:vAlign w:val="center"/>
          </w:tcPr>
          <w:p>
            <w:pPr>
              <w:pageBreakBefore w:val="0"/>
              <w:widowControl/>
              <w:wordWrap/>
              <w:bidi w:val="0"/>
              <w:adjustRightInd w:val="0"/>
              <w:snapToGrid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mg/kg</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0" w:type="pct"/>
            <w:tcBorders>
              <w:left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21</w:t>
            </w:r>
          </w:p>
        </w:tc>
        <w:tc>
          <w:tcPr>
            <w:tcW w:w="1000" w:type="pct"/>
            <w:tcBorders>
              <w:left w:val="single" w:color="auto" w:sz="4" w:space="0"/>
              <w:right w:val="single" w:color="auto"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1</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1-三氯乙烷</w:t>
            </w:r>
          </w:p>
        </w:tc>
        <w:tc>
          <w:tcPr>
            <w:tcW w:w="500" w:type="pct"/>
            <w:tcBorders>
              <w:left w:val="single" w:color="auto" w:sz="4" w:space="0"/>
              <w:right w:val="single" w:color="auto" w:sz="4" w:space="0"/>
            </w:tcBorders>
            <w:vAlign w:val="center"/>
          </w:tcPr>
          <w:p>
            <w:pPr>
              <w:pageBreakBefore w:val="0"/>
              <w:widowControl/>
              <w:wordWrap/>
              <w:bidi w:val="0"/>
              <w:adjustRightInd w:val="0"/>
              <w:snapToGrid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mg/kg</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≤840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0" w:type="pct"/>
            <w:tcBorders>
              <w:left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22</w:t>
            </w:r>
          </w:p>
        </w:tc>
        <w:tc>
          <w:tcPr>
            <w:tcW w:w="1000" w:type="pct"/>
            <w:tcBorders>
              <w:left w:val="single" w:color="auto" w:sz="4" w:space="0"/>
              <w:right w:val="single" w:color="auto"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1</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2-三氯乙烷</w:t>
            </w:r>
          </w:p>
        </w:tc>
        <w:tc>
          <w:tcPr>
            <w:tcW w:w="500" w:type="pct"/>
            <w:tcBorders>
              <w:left w:val="single" w:color="auto" w:sz="4" w:space="0"/>
              <w:right w:val="single" w:color="auto" w:sz="4" w:space="0"/>
            </w:tcBorders>
            <w:vAlign w:val="center"/>
          </w:tcPr>
          <w:p>
            <w:pPr>
              <w:pageBreakBefore w:val="0"/>
              <w:widowControl/>
              <w:wordWrap/>
              <w:bidi w:val="0"/>
              <w:adjustRightInd w:val="0"/>
              <w:snapToGrid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mg/kg</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0" w:type="pct"/>
            <w:tcBorders>
              <w:left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23</w:t>
            </w:r>
          </w:p>
        </w:tc>
        <w:tc>
          <w:tcPr>
            <w:tcW w:w="1000" w:type="pct"/>
            <w:tcBorders>
              <w:left w:val="single" w:color="auto" w:sz="4" w:space="0"/>
              <w:right w:val="single" w:color="auto"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三氯乙烯</w:t>
            </w:r>
          </w:p>
        </w:tc>
        <w:tc>
          <w:tcPr>
            <w:tcW w:w="500" w:type="pct"/>
            <w:tcBorders>
              <w:left w:val="single" w:color="auto" w:sz="4" w:space="0"/>
              <w:right w:val="single" w:color="auto" w:sz="4" w:space="0"/>
            </w:tcBorders>
            <w:vAlign w:val="center"/>
          </w:tcPr>
          <w:p>
            <w:pPr>
              <w:pageBreakBefore w:val="0"/>
              <w:widowControl/>
              <w:wordWrap/>
              <w:bidi w:val="0"/>
              <w:adjustRightInd w:val="0"/>
              <w:snapToGrid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mg/kg</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0" w:type="pct"/>
            <w:tcBorders>
              <w:left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24</w:t>
            </w:r>
          </w:p>
        </w:tc>
        <w:tc>
          <w:tcPr>
            <w:tcW w:w="1000" w:type="pct"/>
            <w:tcBorders>
              <w:left w:val="single" w:color="auto" w:sz="4" w:space="0"/>
              <w:right w:val="single" w:color="auto"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2</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3-三氯丙烷</w:t>
            </w:r>
          </w:p>
        </w:tc>
        <w:tc>
          <w:tcPr>
            <w:tcW w:w="500" w:type="pct"/>
            <w:tcBorders>
              <w:left w:val="single" w:color="auto" w:sz="4" w:space="0"/>
              <w:right w:val="single" w:color="auto" w:sz="4" w:space="0"/>
            </w:tcBorders>
            <w:vAlign w:val="center"/>
          </w:tcPr>
          <w:p>
            <w:pPr>
              <w:pageBreakBefore w:val="0"/>
              <w:widowControl/>
              <w:wordWrap/>
              <w:bidi w:val="0"/>
              <w:adjustRightInd w:val="0"/>
              <w:snapToGrid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mg/kg</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0" w:type="pct"/>
            <w:tcBorders>
              <w:left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25</w:t>
            </w:r>
          </w:p>
        </w:tc>
        <w:tc>
          <w:tcPr>
            <w:tcW w:w="1000" w:type="pct"/>
            <w:tcBorders>
              <w:left w:val="single" w:color="auto" w:sz="4" w:space="0"/>
              <w:right w:val="single" w:color="auto"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氯乙烯</w:t>
            </w:r>
          </w:p>
        </w:tc>
        <w:tc>
          <w:tcPr>
            <w:tcW w:w="500" w:type="pct"/>
            <w:tcBorders>
              <w:left w:val="single" w:color="auto" w:sz="4" w:space="0"/>
              <w:right w:val="single" w:color="auto" w:sz="4" w:space="0"/>
            </w:tcBorders>
            <w:vAlign w:val="center"/>
          </w:tcPr>
          <w:p>
            <w:pPr>
              <w:pageBreakBefore w:val="0"/>
              <w:widowControl/>
              <w:wordWrap/>
              <w:bidi w:val="0"/>
              <w:adjustRightInd w:val="0"/>
              <w:snapToGrid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mg/kg</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≤0.43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0" w:type="pct"/>
            <w:tcBorders>
              <w:left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26</w:t>
            </w:r>
          </w:p>
        </w:tc>
        <w:tc>
          <w:tcPr>
            <w:tcW w:w="1000" w:type="pct"/>
            <w:tcBorders>
              <w:left w:val="single" w:color="auto" w:sz="4" w:space="0"/>
              <w:right w:val="single" w:color="auto"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苯</w:t>
            </w:r>
          </w:p>
        </w:tc>
        <w:tc>
          <w:tcPr>
            <w:tcW w:w="500" w:type="pct"/>
            <w:tcBorders>
              <w:left w:val="single" w:color="auto" w:sz="4" w:space="0"/>
              <w:right w:val="single" w:color="auto" w:sz="4" w:space="0"/>
            </w:tcBorders>
            <w:vAlign w:val="center"/>
          </w:tcPr>
          <w:p>
            <w:pPr>
              <w:pageBreakBefore w:val="0"/>
              <w:widowControl/>
              <w:wordWrap/>
              <w:bidi w:val="0"/>
              <w:adjustRightInd w:val="0"/>
              <w:snapToGrid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mg/kg</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0" w:type="pct"/>
            <w:tcBorders>
              <w:left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27</w:t>
            </w:r>
          </w:p>
        </w:tc>
        <w:tc>
          <w:tcPr>
            <w:tcW w:w="1000" w:type="pct"/>
            <w:tcBorders>
              <w:left w:val="single" w:color="auto" w:sz="4" w:space="0"/>
              <w:right w:val="single" w:color="auto"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氯苯</w:t>
            </w:r>
          </w:p>
        </w:tc>
        <w:tc>
          <w:tcPr>
            <w:tcW w:w="500" w:type="pct"/>
            <w:tcBorders>
              <w:left w:val="single" w:color="auto" w:sz="4" w:space="0"/>
              <w:right w:val="single" w:color="auto" w:sz="4" w:space="0"/>
            </w:tcBorders>
            <w:vAlign w:val="center"/>
          </w:tcPr>
          <w:p>
            <w:pPr>
              <w:pageBreakBefore w:val="0"/>
              <w:widowControl/>
              <w:wordWrap/>
              <w:bidi w:val="0"/>
              <w:adjustRightInd w:val="0"/>
              <w:snapToGrid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mg/kg</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0" w:type="pct"/>
            <w:tcBorders>
              <w:left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28</w:t>
            </w:r>
          </w:p>
        </w:tc>
        <w:tc>
          <w:tcPr>
            <w:tcW w:w="1000" w:type="pct"/>
            <w:tcBorders>
              <w:left w:val="single" w:color="auto" w:sz="4" w:space="0"/>
              <w:right w:val="single" w:color="auto"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2-二氯苯</w:t>
            </w:r>
          </w:p>
        </w:tc>
        <w:tc>
          <w:tcPr>
            <w:tcW w:w="500" w:type="pct"/>
            <w:tcBorders>
              <w:left w:val="single" w:color="auto" w:sz="4" w:space="0"/>
              <w:right w:val="single" w:color="auto" w:sz="4" w:space="0"/>
            </w:tcBorders>
            <w:vAlign w:val="center"/>
          </w:tcPr>
          <w:p>
            <w:pPr>
              <w:pageBreakBefore w:val="0"/>
              <w:widowControl/>
              <w:wordWrap/>
              <w:bidi w:val="0"/>
              <w:adjustRightInd w:val="0"/>
              <w:snapToGrid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mg/kg</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0" w:type="pct"/>
            <w:tcBorders>
              <w:left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29</w:t>
            </w:r>
          </w:p>
        </w:tc>
        <w:tc>
          <w:tcPr>
            <w:tcW w:w="1000" w:type="pct"/>
            <w:tcBorders>
              <w:left w:val="single" w:color="auto" w:sz="4" w:space="0"/>
              <w:right w:val="single" w:color="auto"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4-二氯苯</w:t>
            </w:r>
          </w:p>
        </w:tc>
        <w:tc>
          <w:tcPr>
            <w:tcW w:w="500" w:type="pct"/>
            <w:tcBorders>
              <w:left w:val="single" w:color="auto" w:sz="4" w:space="0"/>
              <w:right w:val="single" w:color="auto" w:sz="4" w:space="0"/>
            </w:tcBorders>
            <w:vAlign w:val="center"/>
          </w:tcPr>
          <w:p>
            <w:pPr>
              <w:pageBreakBefore w:val="0"/>
              <w:widowControl/>
              <w:wordWrap/>
              <w:bidi w:val="0"/>
              <w:adjustRightInd w:val="0"/>
              <w:snapToGrid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mg/kg</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0" w:type="pct"/>
            <w:tcBorders>
              <w:left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30</w:t>
            </w:r>
          </w:p>
        </w:tc>
        <w:tc>
          <w:tcPr>
            <w:tcW w:w="1000" w:type="pct"/>
            <w:tcBorders>
              <w:left w:val="single" w:color="auto" w:sz="4" w:space="0"/>
              <w:right w:val="single" w:color="auto"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乙苯</w:t>
            </w:r>
          </w:p>
        </w:tc>
        <w:tc>
          <w:tcPr>
            <w:tcW w:w="500" w:type="pct"/>
            <w:tcBorders>
              <w:left w:val="single" w:color="auto" w:sz="4" w:space="0"/>
              <w:right w:val="single" w:color="auto" w:sz="4" w:space="0"/>
            </w:tcBorders>
            <w:vAlign w:val="center"/>
          </w:tcPr>
          <w:p>
            <w:pPr>
              <w:pageBreakBefore w:val="0"/>
              <w:widowControl/>
              <w:wordWrap/>
              <w:bidi w:val="0"/>
              <w:adjustRightInd w:val="0"/>
              <w:snapToGrid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mg/kg</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0" w:type="pct"/>
            <w:tcBorders>
              <w:left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31</w:t>
            </w:r>
          </w:p>
        </w:tc>
        <w:tc>
          <w:tcPr>
            <w:tcW w:w="1000" w:type="pct"/>
            <w:tcBorders>
              <w:left w:val="single" w:color="auto" w:sz="4" w:space="0"/>
              <w:right w:val="single" w:color="auto"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苯乙烯</w:t>
            </w:r>
          </w:p>
        </w:tc>
        <w:tc>
          <w:tcPr>
            <w:tcW w:w="500" w:type="pct"/>
            <w:tcBorders>
              <w:left w:val="single" w:color="auto" w:sz="4" w:space="0"/>
              <w:right w:val="single" w:color="auto" w:sz="4" w:space="0"/>
            </w:tcBorders>
            <w:vAlign w:val="center"/>
          </w:tcPr>
          <w:p>
            <w:pPr>
              <w:pageBreakBefore w:val="0"/>
              <w:widowControl/>
              <w:wordWrap/>
              <w:bidi w:val="0"/>
              <w:adjustRightInd w:val="0"/>
              <w:snapToGrid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mg/kg</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≤1290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0" w:type="pct"/>
            <w:tcBorders>
              <w:left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32</w:t>
            </w:r>
          </w:p>
        </w:tc>
        <w:tc>
          <w:tcPr>
            <w:tcW w:w="1000" w:type="pct"/>
            <w:tcBorders>
              <w:left w:val="single" w:color="auto" w:sz="4" w:space="0"/>
              <w:right w:val="single" w:color="auto"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甲苯</w:t>
            </w:r>
          </w:p>
        </w:tc>
        <w:tc>
          <w:tcPr>
            <w:tcW w:w="500" w:type="pct"/>
            <w:tcBorders>
              <w:left w:val="single" w:color="auto" w:sz="4" w:space="0"/>
              <w:right w:val="single" w:color="auto" w:sz="4" w:space="0"/>
            </w:tcBorders>
            <w:vAlign w:val="center"/>
          </w:tcPr>
          <w:p>
            <w:pPr>
              <w:pageBreakBefore w:val="0"/>
              <w:widowControl/>
              <w:wordWrap/>
              <w:bidi w:val="0"/>
              <w:adjustRightInd w:val="0"/>
              <w:snapToGrid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mg/kg</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≤1200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0" w:type="pct"/>
            <w:tcBorders>
              <w:left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33</w:t>
            </w:r>
          </w:p>
        </w:tc>
        <w:tc>
          <w:tcPr>
            <w:tcW w:w="1000" w:type="pct"/>
            <w:tcBorders>
              <w:left w:val="single" w:color="auto" w:sz="4" w:space="0"/>
              <w:right w:val="single" w:color="auto"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间二甲苯+对二甲苯</w:t>
            </w:r>
          </w:p>
        </w:tc>
        <w:tc>
          <w:tcPr>
            <w:tcW w:w="500" w:type="pct"/>
            <w:tcBorders>
              <w:left w:val="single" w:color="auto" w:sz="4" w:space="0"/>
              <w:right w:val="single" w:color="auto" w:sz="4" w:space="0"/>
            </w:tcBorders>
            <w:vAlign w:val="center"/>
          </w:tcPr>
          <w:p>
            <w:pPr>
              <w:pageBreakBefore w:val="0"/>
              <w:widowControl/>
              <w:wordWrap/>
              <w:bidi w:val="0"/>
              <w:adjustRightInd w:val="0"/>
              <w:snapToGrid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mg/kg</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0" w:type="pct"/>
            <w:tcBorders>
              <w:left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34</w:t>
            </w:r>
          </w:p>
        </w:tc>
        <w:tc>
          <w:tcPr>
            <w:tcW w:w="1000" w:type="pct"/>
            <w:tcBorders>
              <w:left w:val="single" w:color="auto" w:sz="4" w:space="0"/>
              <w:right w:val="single" w:color="auto"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邻二甲苯</w:t>
            </w:r>
          </w:p>
        </w:tc>
        <w:tc>
          <w:tcPr>
            <w:tcW w:w="500" w:type="pct"/>
            <w:tcBorders>
              <w:left w:val="single" w:color="auto" w:sz="4" w:space="0"/>
              <w:right w:val="single" w:color="auto" w:sz="4" w:space="0"/>
            </w:tcBorders>
            <w:vAlign w:val="center"/>
          </w:tcPr>
          <w:p>
            <w:pPr>
              <w:pageBreakBefore w:val="0"/>
              <w:widowControl/>
              <w:wordWrap/>
              <w:bidi w:val="0"/>
              <w:adjustRightInd w:val="0"/>
              <w:snapToGrid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mg/kg</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0" w:type="pct"/>
            <w:tcBorders>
              <w:left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35</w:t>
            </w:r>
          </w:p>
        </w:tc>
        <w:tc>
          <w:tcPr>
            <w:tcW w:w="1000" w:type="pct"/>
            <w:tcBorders>
              <w:left w:val="single" w:color="auto" w:sz="4" w:space="0"/>
              <w:right w:val="single" w:color="auto"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2-氯酚</w:t>
            </w:r>
          </w:p>
        </w:tc>
        <w:tc>
          <w:tcPr>
            <w:tcW w:w="500" w:type="pct"/>
            <w:tcBorders>
              <w:left w:val="single" w:color="auto" w:sz="4" w:space="0"/>
              <w:right w:val="single" w:color="auto" w:sz="4" w:space="0"/>
            </w:tcBorders>
            <w:vAlign w:val="center"/>
          </w:tcPr>
          <w:p>
            <w:pPr>
              <w:pageBreakBefore w:val="0"/>
              <w:widowControl/>
              <w:wordWrap/>
              <w:bidi w:val="0"/>
              <w:adjustRightInd w:val="0"/>
              <w:snapToGrid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mg/kg</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≤2256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0" w:type="pct"/>
            <w:tcBorders>
              <w:left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36</w:t>
            </w:r>
          </w:p>
        </w:tc>
        <w:tc>
          <w:tcPr>
            <w:tcW w:w="1000" w:type="pct"/>
            <w:tcBorders>
              <w:left w:val="single" w:color="auto" w:sz="4" w:space="0"/>
              <w:right w:val="single" w:color="auto" w:sz="4" w:space="0"/>
            </w:tcBorders>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苯胺*</w:t>
            </w:r>
          </w:p>
        </w:tc>
        <w:tc>
          <w:tcPr>
            <w:tcW w:w="500" w:type="pct"/>
            <w:tcBorders>
              <w:left w:val="single" w:color="auto" w:sz="4" w:space="0"/>
              <w:right w:val="single" w:color="auto" w:sz="4" w:space="0"/>
            </w:tcBorders>
            <w:vAlign w:val="center"/>
          </w:tcPr>
          <w:p>
            <w:pPr>
              <w:pageBreakBefore w:val="0"/>
              <w:widowControl/>
              <w:wordWrap/>
              <w:bidi w:val="0"/>
              <w:adjustRightInd w:val="0"/>
              <w:snapToGrid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mg/kg</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0" w:type="pct"/>
            <w:tcBorders>
              <w:left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37</w:t>
            </w:r>
          </w:p>
        </w:tc>
        <w:tc>
          <w:tcPr>
            <w:tcW w:w="1000" w:type="pct"/>
            <w:tcBorders>
              <w:left w:val="single" w:color="auto" w:sz="4" w:space="0"/>
              <w:right w:val="single" w:color="auto"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硝基苯</w:t>
            </w:r>
          </w:p>
        </w:tc>
        <w:tc>
          <w:tcPr>
            <w:tcW w:w="500" w:type="pct"/>
            <w:tcBorders>
              <w:left w:val="single" w:color="auto" w:sz="4" w:space="0"/>
              <w:right w:val="single" w:color="auto" w:sz="4" w:space="0"/>
            </w:tcBorders>
            <w:vAlign w:val="center"/>
          </w:tcPr>
          <w:p>
            <w:pPr>
              <w:pageBreakBefore w:val="0"/>
              <w:widowControl/>
              <w:wordWrap/>
              <w:bidi w:val="0"/>
              <w:adjustRightInd w:val="0"/>
              <w:snapToGrid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mg/kg</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0" w:type="pct"/>
            <w:tcBorders>
              <w:left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38</w:t>
            </w:r>
          </w:p>
        </w:tc>
        <w:tc>
          <w:tcPr>
            <w:tcW w:w="1000" w:type="pct"/>
            <w:tcBorders>
              <w:left w:val="single" w:color="auto" w:sz="4" w:space="0"/>
              <w:right w:val="single" w:color="auto"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苯并〔a〕蒽</w:t>
            </w:r>
          </w:p>
        </w:tc>
        <w:tc>
          <w:tcPr>
            <w:tcW w:w="500" w:type="pct"/>
            <w:tcBorders>
              <w:left w:val="single" w:color="auto" w:sz="4" w:space="0"/>
              <w:right w:val="single" w:color="auto" w:sz="4" w:space="0"/>
            </w:tcBorders>
            <w:vAlign w:val="center"/>
          </w:tcPr>
          <w:p>
            <w:pPr>
              <w:pageBreakBefore w:val="0"/>
              <w:widowControl/>
              <w:wordWrap/>
              <w:bidi w:val="0"/>
              <w:adjustRightInd w:val="0"/>
              <w:snapToGrid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mg/kg</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0" w:type="pct"/>
            <w:tcBorders>
              <w:left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39</w:t>
            </w:r>
          </w:p>
        </w:tc>
        <w:tc>
          <w:tcPr>
            <w:tcW w:w="1000" w:type="pct"/>
            <w:tcBorders>
              <w:left w:val="single" w:color="auto" w:sz="4" w:space="0"/>
              <w:right w:val="single" w:color="auto"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苯并〔a〕芘</w:t>
            </w:r>
          </w:p>
        </w:tc>
        <w:tc>
          <w:tcPr>
            <w:tcW w:w="500" w:type="pct"/>
            <w:tcBorders>
              <w:left w:val="single" w:color="auto" w:sz="4" w:space="0"/>
              <w:right w:val="single" w:color="auto" w:sz="4" w:space="0"/>
            </w:tcBorders>
            <w:vAlign w:val="center"/>
          </w:tcPr>
          <w:p>
            <w:pPr>
              <w:pageBreakBefore w:val="0"/>
              <w:widowControl/>
              <w:wordWrap/>
              <w:bidi w:val="0"/>
              <w:adjustRightInd w:val="0"/>
              <w:snapToGrid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mg/kg</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0" w:type="pct"/>
            <w:tcBorders>
              <w:left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40</w:t>
            </w:r>
          </w:p>
        </w:tc>
        <w:tc>
          <w:tcPr>
            <w:tcW w:w="1000" w:type="pct"/>
            <w:tcBorders>
              <w:left w:val="single" w:color="auto" w:sz="4" w:space="0"/>
              <w:right w:val="single" w:color="auto"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苯并〔b〕荧蒽</w:t>
            </w:r>
          </w:p>
        </w:tc>
        <w:tc>
          <w:tcPr>
            <w:tcW w:w="500" w:type="pct"/>
            <w:tcBorders>
              <w:left w:val="single" w:color="auto" w:sz="4" w:space="0"/>
              <w:right w:val="single" w:color="auto" w:sz="4" w:space="0"/>
            </w:tcBorders>
            <w:vAlign w:val="center"/>
          </w:tcPr>
          <w:p>
            <w:pPr>
              <w:pageBreakBefore w:val="0"/>
              <w:widowControl/>
              <w:wordWrap/>
              <w:bidi w:val="0"/>
              <w:adjustRightInd w:val="0"/>
              <w:snapToGrid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mg/kg</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0" w:type="pct"/>
            <w:tcBorders>
              <w:left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41</w:t>
            </w:r>
          </w:p>
        </w:tc>
        <w:tc>
          <w:tcPr>
            <w:tcW w:w="1000" w:type="pct"/>
            <w:tcBorders>
              <w:left w:val="single" w:color="auto" w:sz="4" w:space="0"/>
              <w:right w:val="single" w:color="auto"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苯并〔k〕荧蒽</w:t>
            </w:r>
          </w:p>
        </w:tc>
        <w:tc>
          <w:tcPr>
            <w:tcW w:w="500" w:type="pct"/>
            <w:tcBorders>
              <w:left w:val="single" w:color="auto" w:sz="4" w:space="0"/>
              <w:right w:val="single" w:color="auto" w:sz="4" w:space="0"/>
            </w:tcBorders>
            <w:vAlign w:val="center"/>
          </w:tcPr>
          <w:p>
            <w:pPr>
              <w:pageBreakBefore w:val="0"/>
              <w:widowControl/>
              <w:wordWrap/>
              <w:bidi w:val="0"/>
              <w:adjustRightInd w:val="0"/>
              <w:snapToGrid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mg/kg</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≤151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0" w:type="pct"/>
            <w:tcBorders>
              <w:left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42</w:t>
            </w:r>
          </w:p>
        </w:tc>
        <w:tc>
          <w:tcPr>
            <w:tcW w:w="1000" w:type="pct"/>
            <w:tcBorders>
              <w:left w:val="single" w:color="auto" w:sz="4" w:space="0"/>
              <w:right w:val="single" w:color="auto"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䓛</w:t>
            </w:r>
          </w:p>
        </w:tc>
        <w:tc>
          <w:tcPr>
            <w:tcW w:w="500" w:type="pct"/>
            <w:tcBorders>
              <w:left w:val="single" w:color="auto" w:sz="4" w:space="0"/>
              <w:right w:val="single" w:color="auto" w:sz="4" w:space="0"/>
            </w:tcBorders>
            <w:vAlign w:val="center"/>
          </w:tcPr>
          <w:p>
            <w:pPr>
              <w:pageBreakBefore w:val="0"/>
              <w:widowControl/>
              <w:wordWrap/>
              <w:bidi w:val="0"/>
              <w:adjustRightInd w:val="0"/>
              <w:snapToGrid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mg/kg</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≤1293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0" w:type="pct"/>
            <w:tcBorders>
              <w:left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43</w:t>
            </w:r>
          </w:p>
        </w:tc>
        <w:tc>
          <w:tcPr>
            <w:tcW w:w="1000" w:type="pct"/>
            <w:tcBorders>
              <w:left w:val="single" w:color="auto" w:sz="4" w:space="0"/>
              <w:right w:val="single" w:color="auto"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二苯并〔a</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h〕蒽</w:t>
            </w:r>
          </w:p>
        </w:tc>
        <w:tc>
          <w:tcPr>
            <w:tcW w:w="500" w:type="pct"/>
            <w:tcBorders>
              <w:left w:val="single" w:color="auto" w:sz="4" w:space="0"/>
              <w:right w:val="single" w:color="auto" w:sz="4" w:space="0"/>
            </w:tcBorders>
            <w:vAlign w:val="center"/>
          </w:tcPr>
          <w:p>
            <w:pPr>
              <w:pageBreakBefore w:val="0"/>
              <w:widowControl/>
              <w:wordWrap/>
              <w:bidi w:val="0"/>
              <w:adjustRightInd w:val="0"/>
              <w:snapToGrid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mg/kg</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0" w:type="pct"/>
            <w:tcBorders>
              <w:left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44</w:t>
            </w:r>
          </w:p>
        </w:tc>
        <w:tc>
          <w:tcPr>
            <w:tcW w:w="1000" w:type="pct"/>
            <w:tcBorders>
              <w:left w:val="single" w:color="auto" w:sz="4" w:space="0"/>
              <w:right w:val="single" w:color="auto"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茚并〔1</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2</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3-Cd〕芘</w:t>
            </w:r>
          </w:p>
        </w:tc>
        <w:tc>
          <w:tcPr>
            <w:tcW w:w="500" w:type="pct"/>
            <w:tcBorders>
              <w:left w:val="single" w:color="auto" w:sz="4" w:space="0"/>
              <w:right w:val="single" w:color="auto" w:sz="4" w:space="0"/>
            </w:tcBorders>
            <w:vAlign w:val="center"/>
          </w:tcPr>
          <w:p>
            <w:pPr>
              <w:pageBreakBefore w:val="0"/>
              <w:widowControl/>
              <w:wordWrap/>
              <w:bidi w:val="0"/>
              <w:adjustRightInd w:val="0"/>
              <w:snapToGrid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mg/kg</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0" w:type="pct"/>
            <w:tcBorders>
              <w:left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45</w:t>
            </w:r>
          </w:p>
        </w:tc>
        <w:tc>
          <w:tcPr>
            <w:tcW w:w="1000" w:type="pct"/>
            <w:tcBorders>
              <w:left w:val="single" w:color="auto" w:sz="4" w:space="0"/>
              <w:right w:val="single" w:color="auto"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萘</w:t>
            </w:r>
          </w:p>
        </w:tc>
        <w:tc>
          <w:tcPr>
            <w:tcW w:w="500" w:type="pct"/>
            <w:tcBorders>
              <w:left w:val="single" w:color="auto" w:sz="4" w:space="0"/>
              <w:right w:val="single" w:color="auto" w:sz="4" w:space="0"/>
            </w:tcBorders>
            <w:vAlign w:val="center"/>
          </w:tcPr>
          <w:p>
            <w:pPr>
              <w:pageBreakBefore w:val="0"/>
              <w:widowControl/>
              <w:wordWrap/>
              <w:bidi w:val="0"/>
              <w:adjustRightInd w:val="0"/>
              <w:snapToGrid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mg/kg</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未检出</w:t>
            </w:r>
          </w:p>
        </w:tc>
        <w:tc>
          <w:tcPr>
            <w:tcW w:w="500" w:type="pct"/>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0" w:type="pct"/>
            <w:tcBorders>
              <w:left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评价标准</w:t>
            </w:r>
          </w:p>
        </w:tc>
        <w:tc>
          <w:tcPr>
            <w:tcW w:w="1000" w:type="pct"/>
            <w:gridSpan w:val="6"/>
            <w:tcBorders>
              <w:left w:val="single" w:color="auto" w:sz="4" w:space="0"/>
              <w:right w:val="single" w:color="auto" w:sz="4" w:space="0"/>
            </w:tcBorders>
            <w:vAlign w:val="center"/>
          </w:tcPr>
          <w:p>
            <w:pPr>
              <w:pageBreakBefore w:val="0"/>
              <w:widowControl/>
              <w:wordWrap/>
              <w:bidi w:val="0"/>
              <w:adjustRightInd w:val="0"/>
              <w:snapToGrid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eastAsia="zh-CN" w:bidi="ar"/>
              </w:rPr>
            </w:pPr>
            <w:r>
              <w:rPr>
                <w:rFonts w:hint="default" w:ascii="Times New Roman" w:hAnsi="Times New Roman" w:eastAsia="宋体" w:cs="Times New Roman"/>
                <w:color w:val="auto"/>
                <w:sz w:val="21"/>
                <w:szCs w:val="21"/>
                <w:highlight w:val="none"/>
              </w:rPr>
              <w:t>《土壤环境质量建设用地土壤污染风险管控标准》（GB36600-2018</w:t>
            </w:r>
            <w:r>
              <w:rPr>
                <w:rFonts w:hint="default" w:ascii="Times New Roman" w:hAnsi="Times New Roman" w:eastAsia="宋体" w:cs="Times New Roman"/>
                <w:color w:val="auto"/>
                <w:sz w:val="21"/>
                <w:szCs w:val="21"/>
                <w:highlight w:val="no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0" w:type="pct"/>
            <w:tcBorders>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检测</w:t>
            </w:r>
          </w:p>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结论</w:t>
            </w:r>
          </w:p>
        </w:tc>
        <w:tc>
          <w:tcPr>
            <w:tcW w:w="1000" w:type="pct"/>
            <w:gridSpan w:val="6"/>
            <w:tcBorders>
              <w:left w:val="single" w:color="auto" w:sz="4" w:space="0"/>
              <w:bottom w:val="single" w:color="auto" w:sz="4" w:space="0"/>
              <w:right w:val="single" w:color="auto" w:sz="4" w:space="0"/>
            </w:tcBorders>
            <w:vAlign w:val="center"/>
          </w:tcPr>
          <w:p>
            <w:pPr>
              <w:pageBreakBefore w:val="0"/>
              <w:widowControl/>
              <w:wordWrap/>
              <w:bidi w:val="0"/>
              <w:adjustRightInd w:val="0"/>
              <w:snapToGrid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bCs/>
                <w:color w:val="auto"/>
                <w:kern w:val="0"/>
                <w:sz w:val="21"/>
                <w:szCs w:val="21"/>
                <w:highlight w:val="none"/>
                <w:lang w:bidi="ar"/>
              </w:rPr>
              <w:t>经检测</w:t>
            </w:r>
            <w:r>
              <w:rPr>
                <w:rFonts w:hint="default" w:ascii="Times New Roman" w:hAnsi="Times New Roman" w:eastAsia="宋体" w:cs="Times New Roman"/>
                <w:bCs/>
                <w:color w:val="auto"/>
                <w:kern w:val="0"/>
                <w:sz w:val="21"/>
                <w:szCs w:val="21"/>
                <w:highlight w:val="none"/>
                <w:lang w:eastAsia="zh-CN" w:bidi="ar"/>
              </w:rPr>
              <w:t>，</w:t>
            </w:r>
            <w:r>
              <w:rPr>
                <w:rFonts w:hint="default" w:ascii="Times New Roman" w:hAnsi="Times New Roman" w:eastAsia="宋体" w:cs="Times New Roman"/>
                <w:bCs/>
                <w:color w:val="auto"/>
                <w:kern w:val="0"/>
                <w:sz w:val="21"/>
                <w:szCs w:val="21"/>
                <w:highlight w:val="none"/>
                <w:lang w:bidi="ar"/>
              </w:rPr>
              <w:t>所</w:t>
            </w:r>
            <w:r>
              <w:rPr>
                <w:rFonts w:hint="default" w:ascii="Times New Roman" w:hAnsi="Times New Roman" w:eastAsia="宋体" w:cs="Times New Roman"/>
                <w:color w:val="auto"/>
                <w:kern w:val="0"/>
                <w:sz w:val="21"/>
                <w:szCs w:val="21"/>
                <w:highlight w:val="none"/>
                <w:lang w:bidi="ar"/>
              </w:rPr>
              <w:t>检测因子均符合《土壤环境质量建设用地土壤污染风险管控标准》GB36600-2018表1筛选值二类用地的标准限值要求</w:t>
            </w:r>
            <w:r>
              <w:rPr>
                <w:rFonts w:hint="default" w:ascii="Times New Roman" w:hAnsi="Times New Roman" w:eastAsia="宋体" w:cs="Times New Roman"/>
                <w:color w:val="auto"/>
                <w:kern w:val="0"/>
                <w:sz w:val="21"/>
                <w:szCs w:val="21"/>
                <w:highlight w:val="none"/>
                <w:lang w:eastAsia="zh-CN" w:bidi="ar"/>
              </w:rPr>
              <w:t>，</w:t>
            </w:r>
            <w:r>
              <w:rPr>
                <w:rFonts w:hint="default" w:ascii="Times New Roman" w:hAnsi="Times New Roman" w:eastAsia="宋体" w:cs="Times New Roman"/>
                <w:color w:val="auto"/>
                <w:kern w:val="0"/>
                <w:sz w:val="21"/>
                <w:szCs w:val="21"/>
                <w:highlight w:val="none"/>
                <w:lang w:bidi="ar"/>
              </w:rPr>
              <w:t>pH、水分无限值。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0"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备注</w:t>
            </w:r>
          </w:p>
        </w:tc>
        <w:tc>
          <w:tcPr>
            <w:tcW w:w="1000" w:type="pct"/>
            <w:gridSpan w:val="6"/>
            <w:tcBorders>
              <w:top w:val="single" w:color="auto" w:sz="4" w:space="0"/>
              <w:left w:val="single" w:color="auto" w:sz="4" w:space="0"/>
              <w:bottom w:val="single" w:color="auto" w:sz="4" w:space="0"/>
              <w:right w:val="single" w:color="auto" w:sz="4" w:space="0"/>
            </w:tcBorders>
            <w:vAlign w:val="center"/>
          </w:tcPr>
          <w:p>
            <w:pPr>
              <w:pageBreakBefore w:val="0"/>
              <w:widowControl/>
              <w:wordWrap/>
              <w:bidi w:val="0"/>
              <w:adjustRightInd w:val="0"/>
              <w:snapToGrid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“L”为低于方法检出限</w:t>
            </w:r>
          </w:p>
        </w:tc>
      </w:tr>
    </w:tbl>
    <w:p>
      <w:pPr>
        <w:pageBreakBefore w:val="0"/>
        <w:wordWrap/>
        <w:bidi w:val="0"/>
        <w:spacing w:line="360" w:lineRule="auto"/>
        <w:ind w:left="0" w:leftChars="0" w:right="0" w:rightChars="0" w:firstLine="480" w:firstLineChars="200"/>
        <w:rPr>
          <w:rFonts w:hint="default" w:ascii="Times New Roman" w:hAnsi="Times New Roman" w:eastAsia="宋体" w:cs="Times New Roman"/>
          <w:bCs/>
          <w:color w:val="auto"/>
          <w:sz w:val="24"/>
          <w:highlight w:val="none"/>
          <w:lang w:eastAsia="zh-CN"/>
        </w:rPr>
      </w:pPr>
      <w:r>
        <w:rPr>
          <w:rFonts w:hint="default" w:ascii="Times New Roman" w:hAnsi="Times New Roman" w:eastAsia="宋体" w:cs="Times New Roman"/>
          <w:color w:val="auto"/>
          <w:sz w:val="24"/>
          <w:szCs w:val="24"/>
          <w:highlight w:val="none"/>
          <w:lang w:eastAsia="zh-CN"/>
        </w:rPr>
        <w:t>钼参照</w:t>
      </w:r>
      <w:r>
        <w:rPr>
          <w:rFonts w:hint="default" w:ascii="Times New Roman" w:hAnsi="Times New Roman" w:eastAsia="宋体" w:cs="Times New Roman"/>
          <w:bCs/>
          <w:color w:val="auto"/>
          <w:sz w:val="24"/>
          <w:highlight w:val="none"/>
          <w:lang w:eastAsia="zh-CN"/>
        </w:rPr>
        <w:t>内蒙古路易精普检测科技有限公司于</w:t>
      </w:r>
      <w:r>
        <w:rPr>
          <w:rFonts w:hint="default" w:ascii="Times New Roman" w:hAnsi="Times New Roman" w:eastAsia="宋体" w:cs="Times New Roman"/>
          <w:bCs/>
          <w:color w:val="auto"/>
          <w:sz w:val="24"/>
          <w:highlight w:val="none"/>
          <w:lang w:val="en-US" w:eastAsia="zh-CN"/>
        </w:rPr>
        <w:t>2023年4月4日出具的《乌拉特前旗西沙德盖钼业有限责任公司尾矿库自行监测2023年第一季度检验监测报告》</w:t>
      </w:r>
      <w:r>
        <w:rPr>
          <w:rFonts w:hint="default" w:ascii="Times New Roman" w:hAnsi="Times New Roman" w:eastAsia="宋体" w:cs="Times New Roman"/>
          <w:bCs/>
          <w:color w:val="auto"/>
          <w:sz w:val="24"/>
          <w:highlight w:val="none"/>
          <w:lang w:eastAsia="zh-CN"/>
        </w:rPr>
        <w:t>。</w:t>
      </w:r>
    </w:p>
    <w:p>
      <w:pPr>
        <w:pageBreakBefore w:val="0"/>
        <w:wordWrap/>
        <w:bidi w:val="0"/>
        <w:spacing w:line="360" w:lineRule="auto"/>
        <w:ind w:left="0" w:leftChars="0" w:right="0" w:rightChars="0"/>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表</w:t>
      </w:r>
      <w:r>
        <w:rPr>
          <w:rFonts w:hint="default" w:ascii="Times New Roman" w:hAnsi="Times New Roman" w:eastAsia="宋体" w:cs="Times New Roman"/>
          <w:b/>
          <w:bCs/>
          <w:color w:val="auto"/>
          <w:sz w:val="24"/>
          <w:highlight w:val="none"/>
          <w:lang w:val="en-US" w:eastAsia="zh-CN"/>
        </w:rPr>
        <w:t>5</w:t>
      </w:r>
      <w:r>
        <w:rPr>
          <w:rFonts w:hint="default" w:ascii="Times New Roman" w:hAnsi="Times New Roman" w:eastAsia="宋体" w:cs="Times New Roman"/>
          <w:b/>
          <w:bCs/>
          <w:color w:val="auto"/>
          <w:sz w:val="24"/>
          <w:highlight w:val="none"/>
        </w:rPr>
        <w:t>-</w:t>
      </w:r>
      <w:r>
        <w:rPr>
          <w:rFonts w:hint="default" w:ascii="Times New Roman" w:hAnsi="Times New Roman" w:eastAsia="宋体" w:cs="Times New Roman"/>
          <w:b/>
          <w:bCs/>
          <w:color w:val="auto"/>
          <w:sz w:val="24"/>
          <w:highlight w:val="none"/>
          <w:lang w:val="en-US" w:eastAsia="zh-CN"/>
        </w:rPr>
        <w:t>19土壤</w:t>
      </w:r>
      <w:r>
        <w:rPr>
          <w:rFonts w:hint="default" w:ascii="Times New Roman" w:hAnsi="Times New Roman" w:eastAsia="宋体" w:cs="Times New Roman"/>
          <w:b/>
          <w:bCs/>
          <w:color w:val="auto"/>
          <w:sz w:val="24"/>
          <w:highlight w:val="none"/>
          <w:lang w:eastAsia="zh-CN"/>
        </w:rPr>
        <w:t>检验检测结果一览</w:t>
      </w:r>
      <w:r>
        <w:rPr>
          <w:rFonts w:hint="default" w:ascii="Times New Roman" w:hAnsi="Times New Roman" w:eastAsia="宋体" w:cs="Times New Roman"/>
          <w:b/>
          <w:bCs/>
          <w:color w:val="auto"/>
          <w:sz w:val="24"/>
          <w:highlight w:val="none"/>
        </w:rPr>
        <w:t>表</w:t>
      </w:r>
    </w:p>
    <w:tbl>
      <w:tblPr>
        <w:tblStyle w:val="54"/>
        <w:tblW w:w="501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2083"/>
        <w:gridCol w:w="2083"/>
        <w:gridCol w:w="2085"/>
        <w:gridCol w:w="20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082"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序号</w:t>
            </w:r>
          </w:p>
        </w:tc>
        <w:tc>
          <w:tcPr>
            <w:tcW w:w="2082"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检测项目</w:t>
            </w:r>
          </w:p>
        </w:tc>
        <w:tc>
          <w:tcPr>
            <w:tcW w:w="2084"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检测结果</w:t>
            </w:r>
          </w:p>
        </w:tc>
        <w:tc>
          <w:tcPr>
            <w:tcW w:w="2084"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执行标准限值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082"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w:t>
            </w:r>
          </w:p>
        </w:tc>
        <w:tc>
          <w:tcPr>
            <w:tcW w:w="2082"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钼</w:t>
            </w:r>
            <w:r>
              <w:rPr>
                <w:rFonts w:hint="default" w:ascii="Times New Roman" w:hAnsi="Times New Roman" w:eastAsia="宋体" w:cs="Times New Roman"/>
                <w:color w:val="auto"/>
                <w:sz w:val="21"/>
                <w:szCs w:val="21"/>
                <w:highlight w:val="none"/>
                <w:lang w:val="en-US" w:eastAsia="zh-CN"/>
              </w:rPr>
              <w:t>mg/kg</w:t>
            </w:r>
          </w:p>
        </w:tc>
        <w:tc>
          <w:tcPr>
            <w:tcW w:w="2084"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0.6</w:t>
            </w:r>
          </w:p>
        </w:tc>
        <w:tc>
          <w:tcPr>
            <w:tcW w:w="2084" w:type="dxa"/>
            <w:tcBorders>
              <w:top w:val="single" w:color="auto" w:sz="4" w:space="0"/>
              <w:left w:val="single" w:color="auto" w:sz="4" w:space="0"/>
              <w:bottom w:val="single" w:color="auto" w:sz="4" w:space="0"/>
              <w:right w:val="single" w:color="auto" w:sz="4" w:space="0"/>
            </w:tcBorders>
            <w:noWrap w:val="0"/>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r>
    </w:tbl>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bCs/>
          <w:color w:val="auto"/>
          <w:sz w:val="24"/>
          <w:highlight w:val="none"/>
          <w:lang w:eastAsia="zh-CN"/>
        </w:rPr>
        <w:t>综上，</w:t>
      </w:r>
      <w:r>
        <w:rPr>
          <w:rFonts w:hint="default" w:ascii="Times New Roman" w:hAnsi="Times New Roman" w:eastAsia="宋体" w:cs="Times New Roman"/>
          <w:color w:val="auto"/>
          <w:sz w:val="24"/>
          <w:szCs w:val="24"/>
          <w:highlight w:val="none"/>
          <w:lang w:val="en-US" w:eastAsia="zh-CN"/>
        </w:rPr>
        <w:t>本项目</w:t>
      </w:r>
      <w:r>
        <w:rPr>
          <w:rFonts w:hint="default" w:ascii="Times New Roman" w:hAnsi="Times New Roman" w:eastAsia="宋体" w:cs="Times New Roman"/>
          <w:bCs/>
          <w:color w:val="auto"/>
          <w:sz w:val="24"/>
          <w:szCs w:val="24"/>
          <w:highlight w:val="none"/>
          <w:lang w:eastAsia="zh-CN"/>
        </w:rPr>
        <w:t>尾矿库</w:t>
      </w:r>
      <w:r>
        <w:rPr>
          <w:rFonts w:hint="default" w:ascii="Times New Roman" w:hAnsi="Times New Roman" w:eastAsia="宋体" w:cs="Times New Roman"/>
          <w:color w:val="auto"/>
          <w:sz w:val="24"/>
          <w:szCs w:val="24"/>
          <w:highlight w:val="none"/>
          <w:lang w:val="en-US" w:eastAsia="zh-CN"/>
        </w:rPr>
        <w:t>各</w:t>
      </w:r>
      <w:r>
        <w:rPr>
          <w:rFonts w:hint="default" w:ascii="Times New Roman" w:hAnsi="Times New Roman" w:eastAsia="宋体" w:cs="Times New Roman"/>
          <w:bCs/>
          <w:color w:val="auto"/>
          <w:sz w:val="24"/>
          <w:szCs w:val="24"/>
          <w:highlight w:val="none"/>
          <w:lang w:eastAsia="zh-CN"/>
        </w:rPr>
        <w:t>土壤</w:t>
      </w:r>
      <w:r>
        <w:rPr>
          <w:rFonts w:hint="default" w:ascii="Times New Roman" w:hAnsi="Times New Roman" w:eastAsia="宋体" w:cs="Times New Roman"/>
          <w:color w:val="auto"/>
          <w:sz w:val="24"/>
          <w:szCs w:val="24"/>
          <w:highlight w:val="none"/>
          <w:lang w:val="en-US" w:eastAsia="zh-CN"/>
        </w:rPr>
        <w:t>监测点均</w:t>
      </w:r>
      <w:r>
        <w:rPr>
          <w:rFonts w:hint="default" w:ascii="Times New Roman" w:hAnsi="Times New Roman" w:eastAsia="宋体" w:cs="Times New Roman"/>
          <w:bCs/>
          <w:color w:val="auto"/>
          <w:sz w:val="24"/>
          <w:highlight w:val="none"/>
          <w:lang w:eastAsia="zh-CN"/>
        </w:rPr>
        <w:t>满足《土壤环境质量建设用地土壤污染风险管控标准（试行）》（GB36600-2018）二类用地的筛选值。</w:t>
      </w:r>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lang w:eastAsia="zh-CN"/>
        </w:rPr>
      </w:pPr>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lang w:val="en-US" w:eastAsia="zh-CN"/>
        </w:rPr>
      </w:pPr>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lang w:val="en-US" w:eastAsia="zh-CN"/>
        </w:rPr>
        <w:sectPr>
          <w:pgSz w:w="11906" w:h="16838"/>
          <w:pgMar w:top="1440" w:right="1800" w:bottom="1440" w:left="1800" w:header="851" w:footer="992" w:gutter="0"/>
          <w:pgNumType w:fmt="decimal"/>
          <w:cols w:space="720" w:num="1"/>
          <w:docGrid w:type="lines" w:linePitch="312" w:charSpace="0"/>
        </w:sectPr>
      </w:pPr>
    </w:p>
    <w:p>
      <w:pPr>
        <w:pageBreakBefore w:val="0"/>
        <w:wordWrap/>
        <w:bidi w:val="0"/>
        <w:adjustRightInd w:val="0"/>
        <w:snapToGrid w:val="0"/>
        <w:spacing w:line="360" w:lineRule="auto"/>
        <w:ind w:left="0" w:leftChars="0" w:right="0" w:rightChars="0"/>
        <w:jc w:val="center"/>
        <w:rPr>
          <w:rFonts w:hint="default" w:ascii="Times New Roman" w:hAnsi="Times New Roman" w:eastAsia="宋体" w:cs="Times New Roman"/>
          <w:color w:val="auto"/>
          <w:sz w:val="13"/>
          <w:szCs w:val="13"/>
          <w:highlight w:val="none"/>
          <w:lang w:eastAsia="zh-CN"/>
        </w:rPr>
      </w:pPr>
      <w:r>
        <w:rPr>
          <w:rFonts w:hint="default" w:ascii="Times New Roman" w:hAnsi="Times New Roman" w:eastAsia="宋体" w:cs="Times New Roman"/>
          <w:color w:val="auto"/>
          <w:sz w:val="13"/>
          <w:highlight w:val="none"/>
        </w:rPr>
        <mc:AlternateContent>
          <mc:Choice Requires="wps">
            <w:drawing>
              <wp:anchor distT="0" distB="0" distL="114300" distR="114300" simplePos="0" relativeHeight="251738112" behindDoc="0" locked="0" layoutInCell="1" allowOverlap="1">
                <wp:simplePos x="0" y="0"/>
                <wp:positionH relativeFrom="column">
                  <wp:posOffset>4147185</wp:posOffset>
                </wp:positionH>
                <wp:positionV relativeFrom="paragraph">
                  <wp:posOffset>2597150</wp:posOffset>
                </wp:positionV>
                <wp:extent cx="144145" cy="144145"/>
                <wp:effectExtent l="6350" t="6350" r="20955" b="20955"/>
                <wp:wrapNone/>
                <wp:docPr id="122" name="椭圆 122"/>
                <wp:cNvGraphicFramePr/>
                <a:graphic xmlns:a="http://schemas.openxmlformats.org/drawingml/2006/main">
                  <a:graphicData uri="http://schemas.microsoft.com/office/word/2010/wordprocessingShape">
                    <wps:wsp>
                      <wps:cNvSpPr/>
                      <wps:spPr>
                        <a:xfrm>
                          <a:off x="0" y="0"/>
                          <a:ext cx="144145" cy="144145"/>
                        </a:xfrm>
                        <a:prstGeom prst="ellipse">
                          <a:avLst/>
                        </a:prstGeom>
                        <a:solidFill>
                          <a:srgbClr val="00B05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26.55pt;margin-top:204.5pt;height:11.35pt;width:11.35pt;z-index:251738112;v-text-anchor:middle;mso-width-relative:page;mso-height-relative:page;" fillcolor="#00B050" filled="t" stroked="t" coordsize="21600,21600" o:gfxdata="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oMseedsAAAALAQAADwAAAAAAAAABACAAAAAiAAAAZHJzL2Rv&#10;d25yZXYueG1sUEsBAhQAFAAAAAgAh07iQAvx+ZhwAgAA+gQAAA4AAAAAAAAAAQAgAAAAKgEAAGRy&#10;cy9lMm9Eb2MueG1sUEsFBgAAAAAGAAYAWQEAAAwGAAAAAA==&#10;">
                <v:fill on="t" focussize="0,0"/>
                <v:stroke weight="1pt" color="#000000 [3213]" miterlimit="8" joinstyle="miter"/>
                <v:imagedata o:title=""/>
                <o:lock v:ext="edit" aspectratio="f"/>
              </v:shape>
            </w:pict>
          </mc:Fallback>
        </mc:AlternateContent>
      </w:r>
      <w:r>
        <w:rPr>
          <w:rFonts w:hint="default" w:ascii="Times New Roman" w:hAnsi="Times New Roman" w:eastAsia="宋体" w:cs="Times New Roman"/>
          <w:color w:val="auto"/>
          <w:sz w:val="13"/>
          <w:highlight w:val="none"/>
        </w:rPr>
        <mc:AlternateContent>
          <mc:Choice Requires="wps">
            <w:drawing>
              <wp:anchor distT="0" distB="0" distL="114300" distR="114300" simplePos="0" relativeHeight="251737088" behindDoc="0" locked="0" layoutInCell="1" allowOverlap="1">
                <wp:simplePos x="0" y="0"/>
                <wp:positionH relativeFrom="column">
                  <wp:posOffset>2904490</wp:posOffset>
                </wp:positionH>
                <wp:positionV relativeFrom="paragraph">
                  <wp:posOffset>2366645</wp:posOffset>
                </wp:positionV>
                <wp:extent cx="144145" cy="144145"/>
                <wp:effectExtent l="6350" t="6350" r="20955" b="20955"/>
                <wp:wrapNone/>
                <wp:docPr id="121" name="椭圆 121"/>
                <wp:cNvGraphicFramePr/>
                <a:graphic xmlns:a="http://schemas.openxmlformats.org/drawingml/2006/main">
                  <a:graphicData uri="http://schemas.microsoft.com/office/word/2010/wordprocessingShape">
                    <wps:wsp>
                      <wps:cNvSpPr/>
                      <wps:spPr>
                        <a:xfrm>
                          <a:off x="0" y="0"/>
                          <a:ext cx="144145" cy="144145"/>
                        </a:xfrm>
                        <a:prstGeom prst="ellipse">
                          <a:avLst/>
                        </a:prstGeom>
                        <a:solidFill>
                          <a:srgbClr val="00B05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28.7pt;margin-top:186.35pt;height:11.35pt;width:11.35pt;z-index:251737088;v-text-anchor:middle;mso-width-relative:page;mso-height-relative:page;" fillcolor="#00B050" filled="t" stroked="t" coordsize="21600,21600" o:gfxdata="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DLjCB+2wAAAAsBAAAPAAAAAAAAAAEAIAAAACIAAABkcnMvZG93&#10;bnJldi54bWxQSwECFAAUAAAACACHTuJAK27htW8CAAD6BAAADgAAAAAAAAABACAAAAAqAQAAZHJz&#10;L2Uyb0RvYy54bWxQSwUGAAAAAAYABgBZAQAACwYAAAAA&#10;">
                <v:fill on="t" focussize="0,0"/>
                <v:stroke weight="1pt" color="#000000 [3213]" miterlimit="8" joinstyle="miter"/>
                <v:imagedata o:title=""/>
                <o:lock v:ext="edit" aspectratio="f"/>
              </v:shape>
            </w:pict>
          </mc:Fallback>
        </mc:AlternateContent>
      </w:r>
      <w:r>
        <w:rPr>
          <w:rFonts w:hint="default" w:ascii="Times New Roman" w:hAnsi="Times New Roman" w:eastAsia="宋体" w:cs="Times New Roman"/>
          <w:color w:val="auto"/>
          <w:sz w:val="13"/>
          <w:highlight w:val="none"/>
        </w:rPr>
        <mc:AlternateContent>
          <mc:Choice Requires="wps">
            <w:drawing>
              <wp:anchor distT="0" distB="0" distL="114300" distR="114300" simplePos="0" relativeHeight="251736064" behindDoc="0" locked="0" layoutInCell="1" allowOverlap="1">
                <wp:simplePos x="0" y="0"/>
                <wp:positionH relativeFrom="column">
                  <wp:posOffset>3998595</wp:posOffset>
                </wp:positionH>
                <wp:positionV relativeFrom="paragraph">
                  <wp:posOffset>3451860</wp:posOffset>
                </wp:positionV>
                <wp:extent cx="144145" cy="144145"/>
                <wp:effectExtent l="6350" t="6350" r="20955" b="20955"/>
                <wp:wrapNone/>
                <wp:docPr id="120" name="椭圆 120"/>
                <wp:cNvGraphicFramePr/>
                <a:graphic xmlns:a="http://schemas.openxmlformats.org/drawingml/2006/main">
                  <a:graphicData uri="http://schemas.microsoft.com/office/word/2010/wordprocessingShape">
                    <wps:wsp>
                      <wps:cNvSpPr/>
                      <wps:spPr>
                        <a:xfrm>
                          <a:off x="0" y="0"/>
                          <a:ext cx="144145" cy="144145"/>
                        </a:xfrm>
                        <a:prstGeom prst="ellipse">
                          <a:avLst/>
                        </a:prstGeom>
                        <a:solidFill>
                          <a:srgbClr val="00B05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14.85pt;margin-top:271.8pt;height:11.35pt;width:11.35pt;z-index:251736064;v-text-anchor:middle;mso-width-relative:page;mso-height-relative:page;" fillcolor="#00B050" filled="t" stroked="t" coordsize="21600,21600" o:gfxdata="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ArCz2j2wAAAAsBAAAPAAAAAAAAAAEAIAAAACIAAABkcnMvZG93&#10;bnJldi54bWxQSwECFAAUAAAACACHTuJA9OY5GG8CAAD6BAAADgAAAAAAAAABACAAAAAqAQAAZHJz&#10;L2Uyb0RvYy54bWxQSwUGAAAAAAYABgBZAQAACwYAAAAA&#10;">
                <v:fill on="t" focussize="0,0"/>
                <v:stroke weight="1pt" color="#000000 [3213]" miterlimit="8" joinstyle="miter"/>
                <v:imagedata o:title=""/>
                <o:lock v:ext="edit" aspectratio="f"/>
              </v:shape>
            </w:pict>
          </mc:Fallback>
        </mc:AlternateContent>
      </w:r>
      <w:r>
        <w:rPr>
          <w:rFonts w:hint="default" w:ascii="Times New Roman" w:hAnsi="Times New Roman" w:eastAsia="宋体" w:cs="Times New Roman"/>
          <w:color w:val="auto"/>
          <w:sz w:val="13"/>
          <w:highlight w:val="none"/>
        </w:rPr>
        <mc:AlternateContent>
          <mc:Choice Requires="wps">
            <w:drawing>
              <wp:anchor distT="0" distB="0" distL="114300" distR="114300" simplePos="0" relativeHeight="251735040" behindDoc="0" locked="0" layoutInCell="1" allowOverlap="1">
                <wp:simplePos x="0" y="0"/>
                <wp:positionH relativeFrom="column">
                  <wp:posOffset>4244340</wp:posOffset>
                </wp:positionH>
                <wp:positionV relativeFrom="paragraph">
                  <wp:posOffset>2148205</wp:posOffset>
                </wp:positionV>
                <wp:extent cx="144145" cy="144145"/>
                <wp:effectExtent l="6350" t="6350" r="20955" b="20955"/>
                <wp:wrapNone/>
                <wp:docPr id="119" name="椭圆 119"/>
                <wp:cNvGraphicFramePr/>
                <a:graphic xmlns:a="http://schemas.openxmlformats.org/drawingml/2006/main">
                  <a:graphicData uri="http://schemas.microsoft.com/office/word/2010/wordprocessingShape">
                    <wps:wsp>
                      <wps:cNvSpPr/>
                      <wps:spPr>
                        <a:xfrm>
                          <a:off x="3507105" y="2646680"/>
                          <a:ext cx="144145" cy="144145"/>
                        </a:xfrm>
                        <a:prstGeom prst="ellipse">
                          <a:avLst/>
                        </a:prstGeom>
                        <a:solidFill>
                          <a:srgbClr val="00B05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34.2pt;margin-top:169.15pt;height:11.35pt;width:11.35pt;z-index:251735040;v-text-anchor:middle;mso-width-relative:page;mso-height-relative:page;" fillcolor="#00B050" filled="t" stroked="t" coordsize="21600,21600" o:gfxdata="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BKeziU2wAAAAsBAAAPAAAAAAAAAAEA&#10;IAAAACIAAABkcnMvZG93bnJldi54bWxQSwECFAAUAAAACACHTuJARy0zBn4CAAAGBQAADgAAAAAA&#10;AAABACAAAAAqAQAAZHJzL2Uyb0RvYy54bWxQSwUGAAAAAAYABgBZAQAAGgYAAAAA&#10;">
                <v:fill on="t" focussize="0,0"/>
                <v:stroke weight="1pt" color="#000000 [3213]" miterlimit="8" joinstyle="miter"/>
                <v:imagedata o:title=""/>
                <o:lock v:ext="edit" aspectratio="f"/>
              </v:shape>
            </w:pict>
          </mc:Fallback>
        </mc:AlternateContent>
      </w:r>
      <w:r>
        <w:rPr>
          <w:rFonts w:hint="default" w:ascii="Times New Roman" w:hAnsi="Times New Roman" w:eastAsia="宋体" w:cs="Times New Roman"/>
          <w:color w:val="auto"/>
          <w:sz w:val="13"/>
          <w:highlight w:val="none"/>
        </w:rPr>
        <mc:AlternateContent>
          <mc:Choice Requires="wps">
            <w:drawing>
              <wp:anchor distT="0" distB="0" distL="114300" distR="114300" simplePos="0" relativeHeight="251740160" behindDoc="0" locked="0" layoutInCell="1" allowOverlap="1">
                <wp:simplePos x="0" y="0"/>
                <wp:positionH relativeFrom="column">
                  <wp:posOffset>3928110</wp:posOffset>
                </wp:positionH>
                <wp:positionV relativeFrom="paragraph">
                  <wp:posOffset>1320165</wp:posOffset>
                </wp:positionV>
                <wp:extent cx="144145" cy="144145"/>
                <wp:effectExtent l="6350" t="6350" r="20955" b="20955"/>
                <wp:wrapNone/>
                <wp:docPr id="123" name="椭圆 123"/>
                <wp:cNvGraphicFramePr/>
                <a:graphic xmlns:a="http://schemas.openxmlformats.org/drawingml/2006/main">
                  <a:graphicData uri="http://schemas.microsoft.com/office/word/2010/wordprocessingShape">
                    <wps:wsp>
                      <wps:cNvSpPr/>
                      <wps:spPr>
                        <a:xfrm>
                          <a:off x="0" y="0"/>
                          <a:ext cx="144145" cy="144145"/>
                        </a:xfrm>
                        <a:prstGeom prst="ellipse">
                          <a:avLst/>
                        </a:prstGeom>
                        <a:solidFill>
                          <a:srgbClr val="00B05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09.3pt;margin-top:103.95pt;height:11.35pt;width:11.35pt;z-index:251740160;v-text-anchor:middle;mso-width-relative:page;mso-height-relative:page;" fillcolor="#00B050" filled="t" stroked="t" coordsize="21600,21600" o:gfxdata="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3J4hlNsAAAALAQAADwAAAAAAAAABACAAAAAiAAAAZHJzL2Rv&#10;d25yZXYueG1sUEsBAhQAFAAAAAgAh07iQNR5ITVwAgAA+gQAAA4AAAAAAAAAAQAgAAAAKgEAAGRy&#10;cy9lMm9Eb2MueG1sUEsFBgAAAAAGAAYAWQEAAAwGAAAAAA==&#10;">
                <v:fill on="t" focussize="0,0"/>
                <v:stroke weight="1pt" color="#000000 [3213]" miterlimit="8" joinstyle="miter"/>
                <v:imagedata o:title=""/>
                <o:lock v:ext="edit" aspectratio="f"/>
              </v:shape>
            </w:pict>
          </mc:Fallback>
        </mc:AlternateContent>
      </w:r>
      <w:r>
        <w:rPr>
          <w:rFonts w:hint="default" w:ascii="Times New Roman" w:hAnsi="Times New Roman" w:eastAsia="宋体" w:cs="Times New Roman"/>
          <w:color w:val="auto"/>
          <w:sz w:val="13"/>
          <w:szCs w:val="13"/>
          <w:highlight w:val="none"/>
          <w:lang w:eastAsia="zh-CN"/>
        </w:rPr>
        <w:drawing>
          <wp:inline distT="0" distB="0" distL="114300" distR="114300">
            <wp:extent cx="5257800" cy="5307965"/>
            <wp:effectExtent l="0" t="0" r="0" b="6985"/>
            <wp:docPr id="81" name="图片 8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图片1"/>
                    <pic:cNvPicPr>
                      <a:picLocks noChangeAspect="1"/>
                    </pic:cNvPicPr>
                  </pic:nvPicPr>
                  <pic:blipFill>
                    <a:blip r:embed="rId22"/>
                    <a:stretch>
                      <a:fillRect/>
                    </a:stretch>
                  </pic:blipFill>
                  <pic:spPr>
                    <a:xfrm>
                      <a:off x="0" y="0"/>
                      <a:ext cx="5257800" cy="5307965"/>
                    </a:xfrm>
                    <a:prstGeom prst="rect">
                      <a:avLst/>
                    </a:prstGeom>
                  </pic:spPr>
                </pic:pic>
              </a:graphicData>
            </a:graphic>
          </wp:inline>
        </w:drawing>
      </w:r>
    </w:p>
    <w:p>
      <w:pPr>
        <w:pStyle w:val="53"/>
        <w:pageBreakBefore w:val="0"/>
        <w:wordWrap/>
        <w:bidi w:val="0"/>
        <w:ind w:left="0" w:leftChars="0" w:right="0" w:rightChars="0"/>
        <w:rPr>
          <w:rFonts w:hint="default" w:ascii="Times New Roman" w:hAnsi="Times New Roman" w:eastAsia="宋体" w:cs="Times New Roman"/>
          <w:color w:val="auto"/>
          <w:sz w:val="13"/>
          <w:szCs w:val="13"/>
          <w:highlight w:val="none"/>
          <w:lang w:eastAsia="zh-CN"/>
        </w:rPr>
      </w:pPr>
    </w:p>
    <w:p>
      <w:pPr>
        <w:pageBreakBefore w:val="0"/>
        <w:wordWrap/>
        <w:bidi w:val="0"/>
        <w:ind w:left="0" w:leftChars="0" w:right="0" w:rightChars="0"/>
        <w:jc w:val="center"/>
        <w:rPr>
          <w:rFonts w:hint="default" w:ascii="Times New Roman" w:hAnsi="Times New Roman" w:eastAsia="宋体" w:cs="Times New Roman"/>
          <w:color w:val="auto"/>
          <w:highlight w:val="none"/>
          <w:lang w:eastAsia="zh-CN"/>
        </w:rPr>
        <w:sectPr>
          <w:pgSz w:w="11906" w:h="16838"/>
          <w:pgMar w:top="1440" w:right="1800" w:bottom="1440" w:left="1800" w:header="851" w:footer="992" w:gutter="0"/>
          <w:pgNumType w:fmt="decimal"/>
          <w:cols w:space="720" w:num="1"/>
          <w:docGrid w:type="lines" w:linePitch="312" w:charSpace="0"/>
        </w:sectPr>
      </w:pPr>
      <w:r>
        <w:rPr>
          <w:rFonts w:hint="default" w:ascii="Times New Roman" w:hAnsi="Times New Roman" w:eastAsia="宋体" w:cs="Times New Roman"/>
          <w:b/>
          <w:bCs/>
          <w:color w:val="auto"/>
          <w:sz w:val="24"/>
          <w:szCs w:val="24"/>
          <w:highlight w:val="none"/>
        </w:rPr>
        <w:t>图</w:t>
      </w:r>
      <w:r>
        <w:rPr>
          <w:rFonts w:hint="default" w:ascii="Times New Roman" w:hAnsi="Times New Roman" w:eastAsia="宋体" w:cs="Times New Roman"/>
          <w:b/>
          <w:bCs/>
          <w:color w:val="auto"/>
          <w:sz w:val="24"/>
          <w:szCs w:val="24"/>
          <w:highlight w:val="none"/>
          <w:lang w:val="en-US" w:eastAsia="zh-CN"/>
        </w:rPr>
        <w:t>5-1地下水</w:t>
      </w:r>
      <w:r>
        <w:rPr>
          <w:rFonts w:hint="default" w:ascii="Times New Roman" w:hAnsi="Times New Roman" w:eastAsia="宋体" w:cs="Times New Roman"/>
          <w:b/>
          <w:bCs/>
          <w:color w:val="auto"/>
          <w:sz w:val="24"/>
          <w:szCs w:val="24"/>
          <w:highlight w:val="none"/>
        </w:rPr>
        <w:t>环境现状监测布点图</w:t>
      </w:r>
    </w:p>
    <w:p>
      <w:pPr>
        <w:pageBreakBefore w:val="0"/>
        <w:wordWrap/>
        <w:bidi w:val="0"/>
        <w:adjustRightInd w:val="0"/>
        <w:snapToGrid w:val="0"/>
        <w:spacing w:line="360" w:lineRule="auto"/>
        <w:ind w:left="0" w:leftChars="0" w:right="0" w:rightChars="0"/>
        <w:jc w:val="center"/>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drawing>
          <wp:anchor distT="0" distB="0" distL="114300" distR="114300" simplePos="0" relativeHeight="251659264" behindDoc="0" locked="0" layoutInCell="1" allowOverlap="1">
            <wp:simplePos x="0" y="0"/>
            <wp:positionH relativeFrom="column">
              <wp:posOffset>852805</wp:posOffset>
            </wp:positionH>
            <wp:positionV relativeFrom="paragraph">
              <wp:posOffset>11430</wp:posOffset>
            </wp:positionV>
            <wp:extent cx="7167245" cy="4895850"/>
            <wp:effectExtent l="0" t="0" r="14605" b="0"/>
            <wp:wrapSquare wrapText="bothSides"/>
            <wp:docPr id="84" name="图片 84" descr="屏幕截图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屏幕截图222"/>
                    <pic:cNvPicPr>
                      <a:picLocks noChangeAspect="1"/>
                    </pic:cNvPicPr>
                  </pic:nvPicPr>
                  <pic:blipFill>
                    <a:blip r:embed="rId24"/>
                    <a:stretch>
                      <a:fillRect/>
                    </a:stretch>
                  </pic:blipFill>
                  <pic:spPr>
                    <a:xfrm>
                      <a:off x="0" y="0"/>
                      <a:ext cx="7167245" cy="4895850"/>
                    </a:xfrm>
                    <a:prstGeom prst="rect">
                      <a:avLst/>
                    </a:prstGeom>
                  </pic:spPr>
                </pic:pic>
              </a:graphicData>
            </a:graphic>
          </wp:anchor>
        </w:drawing>
      </w:r>
      <w:r>
        <w:rPr>
          <w:rFonts w:hint="default" w:ascii="Times New Roman" w:hAnsi="Times New Roman" w:eastAsia="宋体" w:cs="Times New Roman"/>
          <w:color w:val="auto"/>
          <w:sz w:val="32"/>
          <w:highlight w:val="none"/>
        </w:rPr>
        <mc:AlternateContent>
          <mc:Choice Requires="wps">
            <w:drawing>
              <wp:anchor distT="0" distB="0" distL="114300" distR="114300" simplePos="0" relativeHeight="251723776" behindDoc="0" locked="0" layoutInCell="1" allowOverlap="1">
                <wp:simplePos x="0" y="0"/>
                <wp:positionH relativeFrom="column">
                  <wp:posOffset>4286250</wp:posOffset>
                </wp:positionH>
                <wp:positionV relativeFrom="paragraph">
                  <wp:posOffset>2220595</wp:posOffset>
                </wp:positionV>
                <wp:extent cx="107950" cy="107950"/>
                <wp:effectExtent l="6350" t="6350" r="19050" b="19050"/>
                <wp:wrapNone/>
                <wp:docPr id="97" name="椭圆 97"/>
                <wp:cNvGraphicFramePr/>
                <a:graphic xmlns:a="http://schemas.openxmlformats.org/drawingml/2006/main">
                  <a:graphicData uri="http://schemas.microsoft.com/office/word/2010/wordprocessingShape">
                    <wps:wsp>
                      <wps:cNvSpPr/>
                      <wps:spPr>
                        <a:xfrm>
                          <a:off x="0" y="0"/>
                          <a:ext cx="107950" cy="107950"/>
                        </a:xfrm>
                        <a:prstGeom prst="ellipse">
                          <a:avLst/>
                        </a:prstGeom>
                        <a:solidFill>
                          <a:schemeClr val="tx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37.5pt;margin-top:174.85pt;height:8.5pt;width:8.5pt;z-index:251723776;v-text-anchor:middle;mso-width-relative:page;mso-height-relative:page;" fillcolor="#000000 [3213]" filled="t" stroked="t" coordsize="21600,21600" o:gfxdata="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B53I6B2QAAAAsBAAAPAAAAAAAAAAEAIAAAACIAAABkcnMvZG93bnJl&#10;di54bWxQSwECFAAUAAAACACHTuJALdBZ9G4CAAD4BAAADgAAAAAAAAABACAAAAAoAQAAZHJzL2Uy&#10;b0RvYy54bWxQSwUGAAAAAAYABgBZAQAACAYAAAAA&#10;">
                <v:fill on="t" focussize="0,0"/>
                <v:stroke weight="1pt" color="#FF0000 [3204]" miterlimit="8" joinstyle="miter"/>
                <v:imagedata o:title=""/>
                <o:lock v:ext="edit" aspectratio="f"/>
              </v:shape>
            </w:pict>
          </mc:Fallback>
        </mc:AlternateContent>
      </w:r>
      <w:r>
        <w:rPr>
          <w:rFonts w:hint="default" w:ascii="Times New Roman" w:hAnsi="Times New Roman" w:eastAsia="宋体" w:cs="Times New Roman"/>
          <w:color w:val="auto"/>
          <w:sz w:val="32"/>
          <w:highlight w:val="none"/>
        </w:rPr>
        <mc:AlternateContent>
          <mc:Choice Requires="wps">
            <w:drawing>
              <wp:anchor distT="0" distB="0" distL="114300" distR="114300" simplePos="0" relativeHeight="251718656" behindDoc="0" locked="0" layoutInCell="1" allowOverlap="1">
                <wp:simplePos x="0" y="0"/>
                <wp:positionH relativeFrom="column">
                  <wp:posOffset>1847850</wp:posOffset>
                </wp:positionH>
                <wp:positionV relativeFrom="paragraph">
                  <wp:posOffset>677545</wp:posOffset>
                </wp:positionV>
                <wp:extent cx="4826000" cy="3636010"/>
                <wp:effectExtent l="6350" t="6350" r="6350" b="15240"/>
                <wp:wrapNone/>
                <wp:docPr id="86" name="矩形 86"/>
                <wp:cNvGraphicFramePr/>
                <a:graphic xmlns:a="http://schemas.openxmlformats.org/drawingml/2006/main">
                  <a:graphicData uri="http://schemas.microsoft.com/office/word/2010/wordprocessingShape">
                    <wps:wsp>
                      <wps:cNvSpPr/>
                      <wps:spPr>
                        <a:xfrm>
                          <a:off x="0" y="0"/>
                          <a:ext cx="4826000" cy="363601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45.5pt;margin-top:53.35pt;height:286.3pt;width:380pt;z-index:251718656;v-text-anchor:middle;mso-width-relative:page;mso-height-relative:page;" filled="f" stroked="t" coordsize="21600,21600" o:gfxdata="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LboIfbXAAAADAEAAA8AAAAAAAAAAQAgAAAAIgAAAGRycy9kb3ducmV2LnhtbFBL&#10;AQIUABQAAAAIAIdO4kDDzAZxaQIAAM4EAAAOAAAAAAAAAAEAIAAAACYBAABkcnMvZTJvRG9jLnht&#10;bFBLBQYAAAAABgAGAFkBAAABBgAAAAA=&#10;">
                <v:fill on="f" focussize="0,0"/>
                <v:stroke weight="1pt" color="#FF0000 [3204]" miterlimit="8" joinstyle="miter"/>
                <v:imagedata o:title=""/>
                <o:lock v:ext="edit" aspectratio="f"/>
              </v:rect>
            </w:pict>
          </mc:Fallback>
        </mc:AlternateContent>
      </w:r>
    </w:p>
    <w:p>
      <w:pPr>
        <w:pageBreakBefore w:val="0"/>
        <w:wordWrap/>
        <w:bidi w:val="0"/>
        <w:adjustRightInd w:val="0"/>
        <w:snapToGrid w:val="0"/>
        <w:spacing w:line="360" w:lineRule="auto"/>
        <w:ind w:left="0" w:leftChars="0" w:right="0" w:rightChars="0"/>
        <w:jc w:val="center"/>
        <w:rPr>
          <w:rFonts w:hint="default" w:ascii="Times New Roman" w:hAnsi="Times New Roman" w:eastAsia="宋体" w:cs="Times New Roman"/>
          <w:b/>
          <w:bCs/>
          <w:color w:val="auto"/>
          <w:sz w:val="24"/>
          <w:szCs w:val="24"/>
          <w:highlight w:val="none"/>
        </w:rPr>
      </w:pPr>
    </w:p>
    <w:p>
      <w:pPr>
        <w:pageBreakBefore w:val="0"/>
        <w:wordWrap/>
        <w:bidi w:val="0"/>
        <w:adjustRightInd w:val="0"/>
        <w:snapToGrid w:val="0"/>
        <w:spacing w:line="360" w:lineRule="auto"/>
        <w:ind w:left="0" w:leftChars="0" w:right="0" w:rightChars="0"/>
        <w:jc w:val="center"/>
        <w:rPr>
          <w:rFonts w:hint="default" w:ascii="Times New Roman" w:hAnsi="Times New Roman" w:eastAsia="宋体" w:cs="Times New Roman"/>
          <w:b/>
          <w:bCs/>
          <w:color w:val="auto"/>
          <w:sz w:val="24"/>
          <w:szCs w:val="24"/>
          <w:highlight w:val="none"/>
        </w:rPr>
      </w:pPr>
    </w:p>
    <w:p>
      <w:pPr>
        <w:pageBreakBefore w:val="0"/>
        <w:wordWrap/>
        <w:bidi w:val="0"/>
        <w:adjustRightInd w:val="0"/>
        <w:snapToGrid w:val="0"/>
        <w:spacing w:line="360" w:lineRule="auto"/>
        <w:ind w:left="0" w:leftChars="0" w:right="0" w:rightChars="0"/>
        <w:jc w:val="center"/>
        <w:rPr>
          <w:rFonts w:hint="default" w:ascii="Times New Roman" w:hAnsi="Times New Roman" w:eastAsia="宋体" w:cs="Times New Roman"/>
          <w:b/>
          <w:bCs/>
          <w:color w:val="auto"/>
          <w:sz w:val="24"/>
          <w:szCs w:val="24"/>
          <w:highlight w:val="none"/>
        </w:rPr>
      </w:pPr>
    </w:p>
    <w:p>
      <w:pPr>
        <w:pageBreakBefore w:val="0"/>
        <w:wordWrap/>
        <w:bidi w:val="0"/>
        <w:adjustRightInd w:val="0"/>
        <w:snapToGrid w:val="0"/>
        <w:spacing w:line="360" w:lineRule="auto"/>
        <w:ind w:left="0" w:leftChars="0" w:right="0" w:rightChars="0"/>
        <w:jc w:val="center"/>
        <w:rPr>
          <w:rFonts w:hint="default" w:ascii="Times New Roman" w:hAnsi="Times New Roman" w:eastAsia="宋体" w:cs="Times New Roman"/>
          <w:b/>
          <w:bCs/>
          <w:color w:val="auto"/>
          <w:sz w:val="24"/>
          <w:szCs w:val="24"/>
          <w:highlight w:val="none"/>
        </w:rPr>
      </w:pPr>
    </w:p>
    <w:p>
      <w:pPr>
        <w:pageBreakBefore w:val="0"/>
        <w:wordWrap/>
        <w:bidi w:val="0"/>
        <w:adjustRightInd w:val="0"/>
        <w:snapToGrid w:val="0"/>
        <w:spacing w:line="360" w:lineRule="auto"/>
        <w:ind w:left="0" w:leftChars="0" w:right="0" w:rightChars="0"/>
        <w:jc w:val="center"/>
        <w:rPr>
          <w:rFonts w:hint="default" w:ascii="Times New Roman" w:hAnsi="Times New Roman" w:eastAsia="宋体" w:cs="Times New Roman"/>
          <w:b/>
          <w:bCs/>
          <w:color w:val="auto"/>
          <w:sz w:val="24"/>
          <w:szCs w:val="24"/>
          <w:highlight w:val="none"/>
        </w:rPr>
      </w:pPr>
    </w:p>
    <w:p>
      <w:pPr>
        <w:pageBreakBefore w:val="0"/>
        <w:wordWrap/>
        <w:bidi w:val="0"/>
        <w:adjustRightInd w:val="0"/>
        <w:snapToGrid w:val="0"/>
        <w:spacing w:line="360" w:lineRule="auto"/>
        <w:ind w:left="0" w:leftChars="0" w:right="0" w:rightChars="0"/>
        <w:jc w:val="center"/>
        <w:rPr>
          <w:rFonts w:hint="default" w:ascii="Times New Roman" w:hAnsi="Times New Roman" w:eastAsia="宋体" w:cs="Times New Roman"/>
          <w:b/>
          <w:bCs/>
          <w:color w:val="auto"/>
          <w:sz w:val="24"/>
          <w:szCs w:val="24"/>
          <w:highlight w:val="none"/>
        </w:rPr>
      </w:pPr>
    </w:p>
    <w:p>
      <w:pPr>
        <w:pageBreakBefore w:val="0"/>
        <w:wordWrap/>
        <w:bidi w:val="0"/>
        <w:adjustRightInd w:val="0"/>
        <w:snapToGrid w:val="0"/>
        <w:spacing w:line="360" w:lineRule="auto"/>
        <w:ind w:left="0" w:leftChars="0" w:right="0" w:rightChars="0"/>
        <w:jc w:val="center"/>
        <w:rPr>
          <w:rFonts w:hint="default" w:ascii="Times New Roman" w:hAnsi="Times New Roman" w:eastAsia="宋体" w:cs="Times New Roman"/>
          <w:b/>
          <w:bCs/>
          <w:color w:val="auto"/>
          <w:sz w:val="24"/>
          <w:szCs w:val="24"/>
          <w:highlight w:val="none"/>
        </w:rPr>
      </w:pPr>
    </w:p>
    <w:p>
      <w:pPr>
        <w:pageBreakBefore w:val="0"/>
        <w:wordWrap/>
        <w:bidi w:val="0"/>
        <w:adjustRightInd w:val="0"/>
        <w:snapToGrid w:val="0"/>
        <w:spacing w:line="360" w:lineRule="auto"/>
        <w:ind w:left="0" w:leftChars="0" w:right="0" w:rightChars="0"/>
        <w:jc w:val="center"/>
        <w:rPr>
          <w:rFonts w:hint="default" w:ascii="Times New Roman" w:hAnsi="Times New Roman" w:eastAsia="宋体" w:cs="Times New Roman"/>
          <w:b/>
          <w:bCs/>
          <w:color w:val="auto"/>
          <w:sz w:val="24"/>
          <w:szCs w:val="24"/>
          <w:highlight w:val="none"/>
        </w:rPr>
      </w:pPr>
    </w:p>
    <w:p>
      <w:pPr>
        <w:pageBreakBefore w:val="0"/>
        <w:wordWrap/>
        <w:bidi w:val="0"/>
        <w:adjustRightInd w:val="0"/>
        <w:snapToGrid w:val="0"/>
        <w:spacing w:line="360" w:lineRule="auto"/>
        <w:ind w:left="0" w:leftChars="0" w:right="0" w:rightChars="0"/>
        <w:jc w:val="center"/>
        <w:rPr>
          <w:rFonts w:hint="default" w:ascii="Times New Roman" w:hAnsi="Times New Roman" w:eastAsia="宋体" w:cs="Times New Roman"/>
          <w:b/>
          <w:bCs/>
          <w:color w:val="auto"/>
          <w:sz w:val="24"/>
          <w:szCs w:val="24"/>
          <w:highlight w:val="none"/>
        </w:rPr>
      </w:pPr>
    </w:p>
    <w:p>
      <w:pPr>
        <w:pageBreakBefore w:val="0"/>
        <w:wordWrap/>
        <w:bidi w:val="0"/>
        <w:adjustRightInd w:val="0"/>
        <w:snapToGrid w:val="0"/>
        <w:spacing w:line="360" w:lineRule="auto"/>
        <w:ind w:left="0" w:leftChars="0" w:right="0" w:rightChars="0"/>
        <w:jc w:val="center"/>
        <w:rPr>
          <w:rFonts w:hint="default" w:ascii="Times New Roman" w:hAnsi="Times New Roman" w:eastAsia="宋体" w:cs="Times New Roman"/>
          <w:b/>
          <w:bCs/>
          <w:color w:val="auto"/>
          <w:sz w:val="24"/>
          <w:szCs w:val="24"/>
          <w:highlight w:val="none"/>
        </w:rPr>
      </w:pPr>
    </w:p>
    <w:p>
      <w:pPr>
        <w:pageBreakBefore w:val="0"/>
        <w:wordWrap/>
        <w:bidi w:val="0"/>
        <w:adjustRightInd w:val="0"/>
        <w:snapToGrid w:val="0"/>
        <w:spacing w:line="360" w:lineRule="auto"/>
        <w:ind w:left="0" w:leftChars="0" w:right="0" w:rightChars="0"/>
        <w:jc w:val="center"/>
        <w:rPr>
          <w:rFonts w:hint="default" w:ascii="Times New Roman" w:hAnsi="Times New Roman" w:eastAsia="宋体" w:cs="Times New Roman"/>
          <w:b/>
          <w:bCs/>
          <w:color w:val="auto"/>
          <w:sz w:val="24"/>
          <w:szCs w:val="24"/>
          <w:highlight w:val="none"/>
        </w:rPr>
      </w:pPr>
    </w:p>
    <w:p>
      <w:pPr>
        <w:pageBreakBefore w:val="0"/>
        <w:wordWrap/>
        <w:bidi w:val="0"/>
        <w:adjustRightInd w:val="0"/>
        <w:snapToGrid w:val="0"/>
        <w:spacing w:line="360" w:lineRule="auto"/>
        <w:ind w:left="0" w:leftChars="0" w:right="0" w:rightChars="0"/>
        <w:jc w:val="center"/>
        <w:rPr>
          <w:rFonts w:hint="default" w:ascii="Times New Roman" w:hAnsi="Times New Roman" w:eastAsia="宋体" w:cs="Times New Roman"/>
          <w:b/>
          <w:bCs/>
          <w:color w:val="auto"/>
          <w:sz w:val="24"/>
          <w:szCs w:val="24"/>
          <w:highlight w:val="none"/>
        </w:rPr>
      </w:pPr>
    </w:p>
    <w:p>
      <w:pPr>
        <w:pageBreakBefore w:val="0"/>
        <w:wordWrap/>
        <w:bidi w:val="0"/>
        <w:adjustRightInd w:val="0"/>
        <w:snapToGrid w:val="0"/>
        <w:spacing w:line="360" w:lineRule="auto"/>
        <w:ind w:left="0" w:leftChars="0" w:right="0" w:rightChars="0"/>
        <w:jc w:val="center"/>
        <w:rPr>
          <w:rFonts w:hint="default" w:ascii="Times New Roman" w:hAnsi="Times New Roman" w:eastAsia="宋体" w:cs="Times New Roman"/>
          <w:b/>
          <w:bCs/>
          <w:color w:val="auto"/>
          <w:sz w:val="24"/>
          <w:szCs w:val="24"/>
          <w:highlight w:val="none"/>
        </w:rPr>
      </w:pPr>
    </w:p>
    <w:p>
      <w:pPr>
        <w:pageBreakBefore w:val="0"/>
        <w:wordWrap/>
        <w:bidi w:val="0"/>
        <w:adjustRightInd w:val="0"/>
        <w:snapToGrid w:val="0"/>
        <w:spacing w:line="360" w:lineRule="auto"/>
        <w:ind w:left="0" w:leftChars="0" w:right="0" w:rightChars="0"/>
        <w:jc w:val="center"/>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725824" behindDoc="0" locked="0" layoutInCell="1" allowOverlap="1">
                <wp:simplePos x="0" y="0"/>
                <wp:positionH relativeFrom="column">
                  <wp:posOffset>-144145</wp:posOffset>
                </wp:positionH>
                <wp:positionV relativeFrom="paragraph">
                  <wp:posOffset>1270</wp:posOffset>
                </wp:positionV>
                <wp:extent cx="1850390" cy="1374140"/>
                <wp:effectExtent l="6350" t="6350" r="10160" b="10160"/>
                <wp:wrapNone/>
                <wp:docPr id="98" name="矩形 98"/>
                <wp:cNvGraphicFramePr/>
                <a:graphic xmlns:a="http://schemas.openxmlformats.org/drawingml/2006/main">
                  <a:graphicData uri="http://schemas.microsoft.com/office/word/2010/wordprocessingShape">
                    <wps:wsp>
                      <wps:cNvSpPr/>
                      <wps:spPr>
                        <a:xfrm>
                          <a:off x="0" y="0"/>
                          <a:ext cx="1850390" cy="137414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keepNext w:val="0"/>
                              <w:keepLines w:val="0"/>
                              <w:pageBreakBefore w:val="0"/>
                              <w:widowControl w:val="0"/>
                              <w:kinsoku/>
                              <w:wordWrap/>
                              <w:overflowPunct/>
                              <w:topLinePunct/>
                              <w:autoSpaceDE w:val="0"/>
                              <w:autoSpaceDN/>
                              <w:bidi w:val="0"/>
                              <w:adjustRightInd/>
                              <w:snapToGrid/>
                              <w:spacing w:line="360" w:lineRule="auto"/>
                              <w:ind w:left="0" w:leftChars="0" w:firstLine="0" w:firstLineChars="0"/>
                              <w:jc w:val="center"/>
                              <w:textAlignment w:val="auto"/>
                              <w:rPr>
                                <w:rFonts w:hint="eastAsia"/>
                                <w:color w:val="000000" w:themeColor="text1"/>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图例</w:t>
                            </w:r>
                          </w:p>
                          <w:p>
                            <w:pPr>
                              <w:pStyle w:val="27"/>
                              <w:keepNext w:val="0"/>
                              <w:keepLines w:val="0"/>
                              <w:pageBreakBefore w:val="0"/>
                              <w:widowControl w:val="0"/>
                              <w:kinsoku/>
                              <w:wordWrap/>
                              <w:overflowPunct/>
                              <w:topLinePunct/>
                              <w:autoSpaceDE w:val="0"/>
                              <w:autoSpaceDN/>
                              <w:bidi w:val="0"/>
                              <w:adjustRightInd/>
                              <w:snapToGrid/>
                              <w:spacing w:after="0" w:line="360" w:lineRule="auto"/>
                              <w:ind w:left="0" w:leftChars="0" w:firstLine="0" w:firstLineChars="0"/>
                              <w:jc w:val="left"/>
                              <w:textAlignment w:val="auto"/>
                              <w:rPr>
                                <w:rFonts w:hint="eastAsia"/>
                                <w:color w:val="000000" w:themeColor="text1"/>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场区</w:t>
                            </w:r>
                          </w:p>
                          <w:p>
                            <w:pPr>
                              <w:keepNext w:val="0"/>
                              <w:keepLines w:val="0"/>
                              <w:pageBreakBefore w:val="0"/>
                              <w:widowControl w:val="0"/>
                              <w:kinsoku/>
                              <w:wordWrap/>
                              <w:overflowPunct/>
                              <w:topLinePunct/>
                              <w:autoSpaceDE w:val="0"/>
                              <w:autoSpaceDN/>
                              <w:bidi w:val="0"/>
                              <w:adjustRightInd/>
                              <w:snapToGrid/>
                              <w:spacing w:line="360" w:lineRule="auto"/>
                              <w:ind w:left="0" w:leftChars="0" w:firstLine="0" w:firstLineChars="0"/>
                              <w:jc w:val="left"/>
                              <w:textAlignment w:val="auto"/>
                              <w:rPr>
                                <w:rFonts w:hint="eastAsia"/>
                                <w:color w:val="000000" w:themeColor="text1"/>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环境空气评价范围</w:t>
                            </w:r>
                          </w:p>
                          <w:p>
                            <w:pPr>
                              <w:pStyle w:val="27"/>
                              <w:keepNext w:val="0"/>
                              <w:keepLines w:val="0"/>
                              <w:pageBreakBefore w:val="0"/>
                              <w:widowControl w:val="0"/>
                              <w:kinsoku/>
                              <w:wordWrap/>
                              <w:overflowPunct/>
                              <w:topLinePunct/>
                              <w:autoSpaceDE w:val="0"/>
                              <w:autoSpaceDN/>
                              <w:bidi w:val="0"/>
                              <w:adjustRightInd/>
                              <w:snapToGrid/>
                              <w:spacing w:after="0" w:line="360" w:lineRule="auto"/>
                              <w:ind w:left="0" w:leftChars="0" w:firstLine="0" w:firstLineChars="0"/>
                              <w:jc w:val="left"/>
                              <w:textAlignment w:val="auto"/>
                              <w:rPr>
                                <w:rFonts w:hint="eastAsia"/>
                                <w:color w:val="000000" w:themeColor="text1"/>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大气环境监测点位</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1.35pt;margin-top:0.1pt;height:108.2pt;width:145.7pt;z-index:251725824;v-text-anchor:middle;mso-width-relative:page;mso-height-relative:page;" filled="f" stroked="t" coordsize="21600,21600" o:gfxdata="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AG6qLX1wAAAAgBAAAPAAAAAAAAAAEAIAAAACIAAABkcnMvZG93bnJl&#10;di54bWxQSwECFAAUAAAACACHTuJA4HVITnACAADZBAAADgAAAAAAAAABACAAAAAmAQAAZHJzL2Uy&#10;b0RvYy54bWxQSwUGAAAAAAYABgBZAQAACAYAAAAA&#10;">
                <v:fill on="f" focussize="0,0"/>
                <v:stroke weight="1pt" color="#000000 [3213]" miterlimit="8" joinstyle="miter"/>
                <v:imagedata o:title=""/>
                <o:lock v:ext="edit" aspectratio="f"/>
                <v:textbox>
                  <w:txbxContent>
                    <w:p>
                      <w:pPr>
                        <w:keepNext w:val="0"/>
                        <w:keepLines w:val="0"/>
                        <w:pageBreakBefore w:val="0"/>
                        <w:widowControl w:val="0"/>
                        <w:kinsoku/>
                        <w:wordWrap/>
                        <w:overflowPunct/>
                        <w:topLinePunct/>
                        <w:autoSpaceDE w:val="0"/>
                        <w:autoSpaceDN/>
                        <w:bidi w:val="0"/>
                        <w:adjustRightInd/>
                        <w:snapToGrid/>
                        <w:spacing w:line="360" w:lineRule="auto"/>
                        <w:ind w:left="0" w:leftChars="0" w:firstLine="0" w:firstLineChars="0"/>
                        <w:jc w:val="center"/>
                        <w:textAlignment w:val="auto"/>
                        <w:rPr>
                          <w:rFonts w:hint="eastAsia"/>
                          <w:color w:val="000000" w:themeColor="text1"/>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图例</w:t>
                      </w:r>
                    </w:p>
                    <w:p>
                      <w:pPr>
                        <w:pStyle w:val="27"/>
                        <w:keepNext w:val="0"/>
                        <w:keepLines w:val="0"/>
                        <w:pageBreakBefore w:val="0"/>
                        <w:widowControl w:val="0"/>
                        <w:kinsoku/>
                        <w:wordWrap/>
                        <w:overflowPunct/>
                        <w:topLinePunct/>
                        <w:autoSpaceDE w:val="0"/>
                        <w:autoSpaceDN/>
                        <w:bidi w:val="0"/>
                        <w:adjustRightInd/>
                        <w:snapToGrid/>
                        <w:spacing w:after="0" w:line="360" w:lineRule="auto"/>
                        <w:ind w:left="0" w:leftChars="0" w:firstLine="0" w:firstLineChars="0"/>
                        <w:jc w:val="left"/>
                        <w:textAlignment w:val="auto"/>
                        <w:rPr>
                          <w:rFonts w:hint="eastAsia"/>
                          <w:color w:val="000000" w:themeColor="text1"/>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场区</w:t>
                      </w:r>
                    </w:p>
                    <w:p>
                      <w:pPr>
                        <w:keepNext w:val="0"/>
                        <w:keepLines w:val="0"/>
                        <w:pageBreakBefore w:val="0"/>
                        <w:widowControl w:val="0"/>
                        <w:kinsoku/>
                        <w:wordWrap/>
                        <w:overflowPunct/>
                        <w:topLinePunct/>
                        <w:autoSpaceDE w:val="0"/>
                        <w:autoSpaceDN/>
                        <w:bidi w:val="0"/>
                        <w:adjustRightInd/>
                        <w:snapToGrid/>
                        <w:spacing w:line="360" w:lineRule="auto"/>
                        <w:ind w:left="0" w:leftChars="0" w:firstLine="0" w:firstLineChars="0"/>
                        <w:jc w:val="left"/>
                        <w:textAlignment w:val="auto"/>
                        <w:rPr>
                          <w:rFonts w:hint="eastAsia"/>
                          <w:color w:val="000000" w:themeColor="text1"/>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环境空气评价范围</w:t>
                      </w:r>
                    </w:p>
                    <w:p>
                      <w:pPr>
                        <w:pStyle w:val="27"/>
                        <w:keepNext w:val="0"/>
                        <w:keepLines w:val="0"/>
                        <w:pageBreakBefore w:val="0"/>
                        <w:widowControl w:val="0"/>
                        <w:kinsoku/>
                        <w:wordWrap/>
                        <w:overflowPunct/>
                        <w:topLinePunct/>
                        <w:autoSpaceDE w:val="0"/>
                        <w:autoSpaceDN/>
                        <w:bidi w:val="0"/>
                        <w:adjustRightInd/>
                        <w:snapToGrid/>
                        <w:spacing w:after="0" w:line="360" w:lineRule="auto"/>
                        <w:ind w:left="0" w:leftChars="0" w:firstLine="0" w:firstLineChars="0"/>
                        <w:jc w:val="left"/>
                        <w:textAlignment w:val="auto"/>
                        <w:rPr>
                          <w:rFonts w:hint="eastAsia"/>
                          <w:color w:val="000000" w:themeColor="text1"/>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大气环境监测点位</w:t>
                      </w:r>
                    </w:p>
                  </w:txbxContent>
                </v:textbox>
              </v:rect>
            </w:pict>
          </mc:Fallback>
        </mc:AlternateContent>
      </w:r>
    </w:p>
    <w:p>
      <w:pPr>
        <w:pageBreakBefore w:val="0"/>
        <w:wordWrap/>
        <w:bidi w:val="0"/>
        <w:adjustRightInd w:val="0"/>
        <w:snapToGrid w:val="0"/>
        <w:spacing w:line="360" w:lineRule="auto"/>
        <w:ind w:left="0" w:leftChars="0" w:right="0" w:rightChars="0"/>
        <w:jc w:val="center"/>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721728" behindDoc="0" locked="0" layoutInCell="1" allowOverlap="1">
                <wp:simplePos x="0" y="0"/>
                <wp:positionH relativeFrom="column">
                  <wp:posOffset>421005</wp:posOffset>
                </wp:positionH>
                <wp:positionV relativeFrom="paragraph">
                  <wp:posOffset>199390</wp:posOffset>
                </wp:positionV>
                <wp:extent cx="288290" cy="107950"/>
                <wp:effectExtent l="6350" t="6350" r="10160" b="19050"/>
                <wp:wrapNone/>
                <wp:docPr id="91" name="矩形 91"/>
                <wp:cNvGraphicFramePr/>
                <a:graphic xmlns:a="http://schemas.openxmlformats.org/drawingml/2006/main">
                  <a:graphicData uri="http://schemas.microsoft.com/office/word/2010/wordprocessingShape">
                    <wps:wsp>
                      <wps:cNvSpPr/>
                      <wps:spPr>
                        <a:xfrm>
                          <a:off x="0" y="0"/>
                          <a:ext cx="288290" cy="107950"/>
                        </a:xfrm>
                        <a:prstGeom prst="rect">
                          <a:avLst/>
                        </a:prstGeom>
                        <a:solidFill>
                          <a:srgbClr val="7030A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3.15pt;margin-top:15.7pt;height:8.5pt;width:22.7pt;z-index:251721728;v-text-anchor:middle;mso-width-relative:page;mso-height-relative:page;" fillcolor="#7030A0" filled="t" stroked="t" coordsize="21600,21600" o:gfxdata="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CRb9HE1gAAAAgBAAAPAAAAAAAAAAEAIAAAACIAAABkcnMvZG93&#10;bnJldi54bWxQSwECFAAUAAAACACHTuJA9t/9XnQCAAD1BAAADgAAAAAAAAABACAAAAAlAQAAZHJz&#10;L2Uyb0RvYy54bWxQSwUGAAAAAAYABgBZAQAACwYAAAAA&#10;">
                <v:fill on="t" focussize="0,0"/>
                <v:stroke weight="1pt" color="#FF0000 [3204]" miterlimit="8" joinstyle="miter"/>
                <v:imagedata o:title=""/>
                <o:lock v:ext="edit" aspectratio="f"/>
              </v:rect>
            </w:pict>
          </mc:Fallback>
        </mc:AlternateContent>
      </w:r>
    </w:p>
    <w:p>
      <w:pPr>
        <w:pageBreakBefore w:val="0"/>
        <w:wordWrap/>
        <w:bidi w:val="0"/>
        <w:adjustRightInd w:val="0"/>
        <w:snapToGrid w:val="0"/>
        <w:spacing w:line="360" w:lineRule="auto"/>
        <w:ind w:left="0" w:leftChars="0" w:right="0" w:rightChars="0"/>
        <w:jc w:val="center"/>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724800" behindDoc="1" locked="0" layoutInCell="1" allowOverlap="1">
                <wp:simplePos x="0" y="0"/>
                <wp:positionH relativeFrom="column">
                  <wp:posOffset>1028700</wp:posOffset>
                </wp:positionH>
                <wp:positionV relativeFrom="paragraph">
                  <wp:posOffset>232410</wp:posOffset>
                </wp:positionV>
                <wp:extent cx="288290" cy="107950"/>
                <wp:effectExtent l="6350" t="6350" r="10160" b="19050"/>
                <wp:wrapNone/>
                <wp:docPr id="94" name="矩形 94"/>
                <wp:cNvGraphicFramePr/>
                <a:graphic xmlns:a="http://schemas.openxmlformats.org/drawingml/2006/main">
                  <a:graphicData uri="http://schemas.microsoft.com/office/word/2010/wordprocessingShape">
                    <wps:wsp>
                      <wps:cNvSpPr/>
                      <wps:spPr>
                        <a:xfrm>
                          <a:off x="0" y="0"/>
                          <a:ext cx="288290" cy="1079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1pt;margin-top:18.3pt;height:8.5pt;width:22.7pt;z-index:-251591680;v-text-anchor:middle;mso-width-relative:page;mso-height-relative:page;" filled="f" stroked="t" coordsize="21600,21600" o:gfxdata="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NSaUqnWAAAACQEAAA8AAAAAAAAAAQAgAAAAIgAAAGRycy9kb3ducmV2LnhtbFBL&#10;AQIUABQAAAAIAIdO4kDAzeHJagIAAMwEAAAOAAAAAAAAAAEAIAAAACUBAABkcnMvZTJvRG9jLnht&#10;bFBLBQYAAAAABgAGAFkBAAABBgAAAAA=&#10;">
                <v:fill on="f" focussize="0,0"/>
                <v:stroke weight="1pt" color="#FF0000 [3204]" miterlimit="8" joinstyle="miter"/>
                <v:imagedata o:title=""/>
                <o:lock v:ext="edit" aspectratio="f"/>
              </v:rect>
            </w:pict>
          </mc:Fallback>
        </mc:AlternateContent>
      </w:r>
    </w:p>
    <w:p>
      <w:pPr>
        <w:pageBreakBefore w:val="0"/>
        <w:wordWrap/>
        <w:bidi w:val="0"/>
        <w:adjustRightInd w:val="0"/>
        <w:snapToGrid w:val="0"/>
        <w:spacing w:line="360" w:lineRule="auto"/>
        <w:ind w:left="0" w:leftChars="0" w:right="0" w:rightChars="0"/>
        <w:jc w:val="center"/>
        <w:rPr>
          <w:rFonts w:hint="default" w:ascii="Times New Roman" w:hAnsi="Times New Roman" w:eastAsia="宋体" w:cs="Times New Roman"/>
          <w:b/>
          <w:bCs/>
          <w:color w:val="auto"/>
          <w:sz w:val="24"/>
          <w:szCs w:val="24"/>
          <w:highlight w:val="none"/>
        </w:rPr>
      </w:pPr>
    </w:p>
    <w:p>
      <w:pPr>
        <w:pageBreakBefore w:val="0"/>
        <w:wordWrap/>
        <w:bidi w:val="0"/>
        <w:adjustRightInd w:val="0"/>
        <w:snapToGrid w:val="0"/>
        <w:spacing w:line="360" w:lineRule="auto"/>
        <w:ind w:left="0" w:leftChars="0" w:right="0" w:rightChars="0"/>
        <w:jc w:val="center"/>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color w:val="auto"/>
          <w:sz w:val="32"/>
          <w:highlight w:val="none"/>
        </w:rPr>
        <mc:AlternateContent>
          <mc:Choice Requires="wps">
            <w:drawing>
              <wp:anchor distT="0" distB="0" distL="114300" distR="114300" simplePos="0" relativeHeight="251722752" behindDoc="1" locked="0" layoutInCell="1" allowOverlap="1">
                <wp:simplePos x="0" y="0"/>
                <wp:positionH relativeFrom="column">
                  <wp:posOffset>1172845</wp:posOffset>
                </wp:positionH>
                <wp:positionV relativeFrom="paragraph">
                  <wp:posOffset>12700</wp:posOffset>
                </wp:positionV>
                <wp:extent cx="107950" cy="107950"/>
                <wp:effectExtent l="6350" t="6350" r="19050" b="19050"/>
                <wp:wrapNone/>
                <wp:docPr id="95" name="椭圆 95"/>
                <wp:cNvGraphicFramePr/>
                <a:graphic xmlns:a="http://schemas.openxmlformats.org/drawingml/2006/main">
                  <a:graphicData uri="http://schemas.microsoft.com/office/word/2010/wordprocessingShape">
                    <wps:wsp>
                      <wps:cNvSpPr/>
                      <wps:spPr>
                        <a:xfrm>
                          <a:off x="0" y="0"/>
                          <a:ext cx="107950" cy="107950"/>
                        </a:xfrm>
                        <a:prstGeom prst="ellipse">
                          <a:avLst/>
                        </a:prstGeom>
                        <a:solidFill>
                          <a:schemeClr val="tx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92.35pt;margin-top:1pt;height:8.5pt;width:8.5pt;z-index:-251593728;v-text-anchor:middle;mso-width-relative:page;mso-height-relative:page;" fillcolor="#000000 [3213]" filled="t" stroked="t" coordsize="21600,21600" o:gfxdata="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Dm2kIS0wAAAAgBAAAPAAAAAAAAAAEAIAAAACIAAABkcnMvZG93bnJldi54bWxQ&#10;SwECFAAUAAAACACHTuJAy82cdG4CAAD4BAAADgAAAAAAAAABACAAAAAiAQAAZHJzL2Uyb0RvYy54&#10;bWxQSwUGAAAAAAYABgBZAQAAAgYAAAAA&#10;">
                <v:fill on="t" focussize="0,0"/>
                <v:stroke weight="1pt" color="#FF0000 [3204]" miterlimit="8" joinstyle="miter"/>
                <v:imagedata o:title=""/>
                <o:lock v:ext="edit" aspectratio="f"/>
              </v:shape>
            </w:pict>
          </mc:Fallback>
        </mc:AlternateContent>
      </w:r>
    </w:p>
    <w:p>
      <w:pPr>
        <w:pageBreakBefore w:val="0"/>
        <w:wordWrap/>
        <w:bidi w:val="0"/>
        <w:adjustRightInd w:val="0"/>
        <w:snapToGrid w:val="0"/>
        <w:spacing w:line="360" w:lineRule="auto"/>
        <w:ind w:left="0" w:leftChars="0" w:right="0" w:rightChars="0"/>
        <w:jc w:val="center"/>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图</w:t>
      </w:r>
      <w:r>
        <w:rPr>
          <w:rFonts w:hint="default" w:ascii="Times New Roman" w:hAnsi="Times New Roman" w:eastAsia="宋体" w:cs="Times New Roman"/>
          <w:b/>
          <w:bCs/>
          <w:color w:val="auto"/>
          <w:sz w:val="24"/>
          <w:szCs w:val="24"/>
          <w:highlight w:val="none"/>
          <w:lang w:val="en-US" w:eastAsia="zh-CN"/>
        </w:rPr>
        <w:t>5-2土壤</w:t>
      </w:r>
      <w:r>
        <w:rPr>
          <w:rFonts w:hint="default" w:ascii="Times New Roman" w:hAnsi="Times New Roman" w:eastAsia="宋体" w:cs="Times New Roman"/>
          <w:b/>
          <w:bCs/>
          <w:color w:val="auto"/>
          <w:sz w:val="24"/>
          <w:szCs w:val="24"/>
          <w:highlight w:val="none"/>
        </w:rPr>
        <w:t>环境</w:t>
      </w:r>
      <w:r>
        <w:rPr>
          <w:rFonts w:hint="default" w:ascii="Times New Roman" w:hAnsi="Times New Roman" w:eastAsia="宋体" w:cs="Times New Roman"/>
          <w:b/>
          <w:bCs/>
          <w:color w:val="auto"/>
          <w:sz w:val="24"/>
          <w:szCs w:val="24"/>
          <w:highlight w:val="none"/>
          <w:lang w:eastAsia="zh-CN"/>
        </w:rPr>
        <w:t>和声环境</w:t>
      </w:r>
      <w:r>
        <w:rPr>
          <w:rFonts w:hint="default" w:ascii="Times New Roman" w:hAnsi="Times New Roman" w:eastAsia="宋体" w:cs="Times New Roman"/>
          <w:b/>
          <w:bCs/>
          <w:color w:val="auto"/>
          <w:sz w:val="24"/>
          <w:szCs w:val="24"/>
          <w:highlight w:val="none"/>
        </w:rPr>
        <w:t>现状监测布点图</w: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720704" behindDoc="0" locked="0" layoutInCell="1" allowOverlap="1">
                <wp:simplePos x="0" y="0"/>
                <wp:positionH relativeFrom="column">
                  <wp:posOffset>-118110</wp:posOffset>
                </wp:positionH>
                <wp:positionV relativeFrom="paragraph">
                  <wp:posOffset>3515360</wp:posOffset>
                </wp:positionV>
                <wp:extent cx="1850390" cy="1374140"/>
                <wp:effectExtent l="6350" t="6350" r="10160" b="10160"/>
                <wp:wrapNone/>
                <wp:docPr id="90" name="矩形 90"/>
                <wp:cNvGraphicFramePr/>
                <a:graphic xmlns:a="http://schemas.openxmlformats.org/drawingml/2006/main">
                  <a:graphicData uri="http://schemas.microsoft.com/office/word/2010/wordprocessingShape">
                    <wps:wsp>
                      <wps:cNvSpPr/>
                      <wps:spPr>
                        <a:xfrm>
                          <a:off x="0" y="0"/>
                          <a:ext cx="1850390" cy="1374140"/>
                        </a:xfrm>
                        <a:prstGeom prst="rect">
                          <a:avLst/>
                        </a:prstGeom>
                        <a:solidFill>
                          <a:schemeClr val="accent3">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keepNext w:val="0"/>
                              <w:keepLines w:val="0"/>
                              <w:pageBreakBefore w:val="0"/>
                              <w:widowControl w:val="0"/>
                              <w:kinsoku/>
                              <w:wordWrap/>
                              <w:overflowPunct/>
                              <w:topLinePunct/>
                              <w:autoSpaceDE w:val="0"/>
                              <w:autoSpaceDN/>
                              <w:bidi w:val="0"/>
                              <w:adjustRightInd/>
                              <w:snapToGrid/>
                              <w:spacing w:line="360" w:lineRule="auto"/>
                              <w:ind w:left="0" w:leftChars="0" w:firstLine="0" w:firstLineChars="0"/>
                              <w:jc w:val="center"/>
                              <w:textAlignment w:val="auto"/>
                              <w:rPr>
                                <w:rFonts w:hint="eastAsia"/>
                                <w:color w:val="000000" w:themeColor="text1"/>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图例</w:t>
                            </w:r>
                          </w:p>
                          <w:p>
                            <w:pPr>
                              <w:pStyle w:val="27"/>
                              <w:keepNext w:val="0"/>
                              <w:keepLines w:val="0"/>
                              <w:pageBreakBefore w:val="0"/>
                              <w:widowControl w:val="0"/>
                              <w:kinsoku/>
                              <w:wordWrap/>
                              <w:overflowPunct/>
                              <w:topLinePunct/>
                              <w:autoSpaceDE w:val="0"/>
                              <w:autoSpaceDN/>
                              <w:bidi w:val="0"/>
                              <w:adjustRightInd/>
                              <w:snapToGrid/>
                              <w:spacing w:after="0" w:line="360" w:lineRule="auto"/>
                              <w:ind w:left="0" w:leftChars="0" w:firstLine="0" w:firstLineChars="0"/>
                              <w:jc w:val="left"/>
                              <w:textAlignment w:val="auto"/>
                              <w:rPr>
                                <w:rFonts w:hint="eastAsia"/>
                                <w:color w:val="000000" w:themeColor="text1"/>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场区</w:t>
                            </w:r>
                          </w:p>
                          <w:p>
                            <w:pPr>
                              <w:keepNext w:val="0"/>
                              <w:keepLines w:val="0"/>
                              <w:pageBreakBefore w:val="0"/>
                              <w:widowControl w:val="0"/>
                              <w:kinsoku/>
                              <w:wordWrap/>
                              <w:overflowPunct/>
                              <w:topLinePunct/>
                              <w:autoSpaceDE w:val="0"/>
                              <w:autoSpaceDN/>
                              <w:bidi w:val="0"/>
                              <w:adjustRightInd/>
                              <w:snapToGrid/>
                              <w:spacing w:line="360" w:lineRule="auto"/>
                              <w:ind w:left="0" w:leftChars="0" w:firstLine="0" w:firstLineChars="0"/>
                              <w:jc w:val="left"/>
                              <w:textAlignment w:val="auto"/>
                              <w:rPr>
                                <w:rFonts w:hint="eastAsia"/>
                                <w:color w:val="000000" w:themeColor="text1"/>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环境空气评价范围</w:t>
                            </w:r>
                          </w:p>
                          <w:p>
                            <w:pPr>
                              <w:pStyle w:val="27"/>
                              <w:keepNext w:val="0"/>
                              <w:keepLines w:val="0"/>
                              <w:pageBreakBefore w:val="0"/>
                              <w:widowControl w:val="0"/>
                              <w:kinsoku/>
                              <w:wordWrap/>
                              <w:overflowPunct/>
                              <w:topLinePunct/>
                              <w:autoSpaceDE w:val="0"/>
                              <w:autoSpaceDN/>
                              <w:bidi w:val="0"/>
                              <w:adjustRightInd/>
                              <w:snapToGrid/>
                              <w:spacing w:after="0" w:line="360" w:lineRule="auto"/>
                              <w:ind w:left="0" w:leftChars="0" w:firstLine="0" w:firstLineChars="0"/>
                              <w:jc w:val="left"/>
                              <w:textAlignment w:val="auto"/>
                              <w:rPr>
                                <w:rFonts w:hint="eastAsia"/>
                                <w:color w:val="000000" w:themeColor="text1"/>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大气环境监测点位</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9.3pt;margin-top:276.8pt;height:108.2pt;width:145.7pt;z-index:251720704;v-text-anchor:middle;mso-width-relative:page;mso-height-relative:page;" fillcolor="#DBDBDB [1302]" filled="t" stroked="t" coordsize="21600,21600" o:gfxdata="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">
                <v:fill on="t" focussize="0,0"/>
                <v:stroke weight="1pt" color="#000000 [3213]" miterlimit="8" joinstyle="miter"/>
                <v:imagedata o:title=""/>
                <o:lock v:ext="edit" aspectratio="f"/>
                <v:textbox>
                  <w:txbxContent>
                    <w:p>
                      <w:pPr>
                        <w:keepNext w:val="0"/>
                        <w:keepLines w:val="0"/>
                        <w:pageBreakBefore w:val="0"/>
                        <w:widowControl w:val="0"/>
                        <w:kinsoku/>
                        <w:wordWrap/>
                        <w:overflowPunct/>
                        <w:topLinePunct/>
                        <w:autoSpaceDE w:val="0"/>
                        <w:autoSpaceDN/>
                        <w:bidi w:val="0"/>
                        <w:adjustRightInd/>
                        <w:snapToGrid/>
                        <w:spacing w:line="360" w:lineRule="auto"/>
                        <w:ind w:left="0" w:leftChars="0" w:firstLine="0" w:firstLineChars="0"/>
                        <w:jc w:val="center"/>
                        <w:textAlignment w:val="auto"/>
                        <w:rPr>
                          <w:rFonts w:hint="eastAsia"/>
                          <w:color w:val="000000" w:themeColor="text1"/>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图例</w:t>
                      </w:r>
                    </w:p>
                    <w:p>
                      <w:pPr>
                        <w:pStyle w:val="27"/>
                        <w:keepNext w:val="0"/>
                        <w:keepLines w:val="0"/>
                        <w:pageBreakBefore w:val="0"/>
                        <w:widowControl w:val="0"/>
                        <w:kinsoku/>
                        <w:wordWrap/>
                        <w:overflowPunct/>
                        <w:topLinePunct/>
                        <w:autoSpaceDE w:val="0"/>
                        <w:autoSpaceDN/>
                        <w:bidi w:val="0"/>
                        <w:adjustRightInd/>
                        <w:snapToGrid/>
                        <w:spacing w:after="0" w:line="360" w:lineRule="auto"/>
                        <w:ind w:left="0" w:leftChars="0" w:firstLine="0" w:firstLineChars="0"/>
                        <w:jc w:val="left"/>
                        <w:textAlignment w:val="auto"/>
                        <w:rPr>
                          <w:rFonts w:hint="eastAsia"/>
                          <w:color w:val="000000" w:themeColor="text1"/>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场区</w:t>
                      </w:r>
                    </w:p>
                    <w:p>
                      <w:pPr>
                        <w:keepNext w:val="0"/>
                        <w:keepLines w:val="0"/>
                        <w:pageBreakBefore w:val="0"/>
                        <w:widowControl w:val="0"/>
                        <w:kinsoku/>
                        <w:wordWrap/>
                        <w:overflowPunct/>
                        <w:topLinePunct/>
                        <w:autoSpaceDE w:val="0"/>
                        <w:autoSpaceDN/>
                        <w:bidi w:val="0"/>
                        <w:adjustRightInd/>
                        <w:snapToGrid/>
                        <w:spacing w:line="360" w:lineRule="auto"/>
                        <w:ind w:left="0" w:leftChars="0" w:firstLine="0" w:firstLineChars="0"/>
                        <w:jc w:val="left"/>
                        <w:textAlignment w:val="auto"/>
                        <w:rPr>
                          <w:rFonts w:hint="eastAsia"/>
                          <w:color w:val="000000" w:themeColor="text1"/>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环境空气评价范围</w:t>
                      </w:r>
                    </w:p>
                    <w:p>
                      <w:pPr>
                        <w:pStyle w:val="27"/>
                        <w:keepNext w:val="0"/>
                        <w:keepLines w:val="0"/>
                        <w:pageBreakBefore w:val="0"/>
                        <w:widowControl w:val="0"/>
                        <w:kinsoku/>
                        <w:wordWrap/>
                        <w:overflowPunct/>
                        <w:topLinePunct/>
                        <w:autoSpaceDE w:val="0"/>
                        <w:autoSpaceDN/>
                        <w:bidi w:val="0"/>
                        <w:adjustRightInd/>
                        <w:snapToGrid/>
                        <w:spacing w:after="0" w:line="360" w:lineRule="auto"/>
                        <w:ind w:left="0" w:leftChars="0" w:firstLine="0" w:firstLineChars="0"/>
                        <w:jc w:val="left"/>
                        <w:textAlignment w:val="auto"/>
                        <w:rPr>
                          <w:rFonts w:hint="eastAsia"/>
                          <w:color w:val="000000" w:themeColor="text1"/>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大气环境监测点位</w:t>
                      </w:r>
                    </w:p>
                  </w:txbxContent>
                </v:textbox>
              </v:rect>
            </w:pict>
          </mc:Fallback>
        </mc:AlternateContent>
      </w:r>
      <w:r>
        <w:rPr>
          <w:rFonts w:hint="default" w:ascii="Times New Roman" w:hAnsi="Times New Roman" w:eastAsia="宋体" w:cs="Times New Roman"/>
          <w:color w:val="auto"/>
          <w:highlight w:val="none"/>
        </w:rPr>
        <w:drawing>
          <wp:anchor distT="0" distB="0" distL="114300" distR="114300" simplePos="0" relativeHeight="251719680" behindDoc="0" locked="0" layoutInCell="1" allowOverlap="1">
            <wp:simplePos x="0" y="0"/>
            <wp:positionH relativeFrom="column">
              <wp:posOffset>6892925</wp:posOffset>
            </wp:positionH>
            <wp:positionV relativeFrom="page">
              <wp:posOffset>1146175</wp:posOffset>
            </wp:positionV>
            <wp:extent cx="1106805" cy="1214755"/>
            <wp:effectExtent l="0" t="0" r="17145" b="4445"/>
            <wp:wrapNone/>
            <wp:docPr id="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1"/>
                    <pic:cNvPicPr>
                      <a:picLocks noChangeAspect="1"/>
                    </pic:cNvPicPr>
                  </pic:nvPicPr>
                  <pic:blipFill>
                    <a:blip r:embed="rId23"/>
                    <a:srcRect l="3538" r="4555"/>
                    <a:stretch>
                      <a:fillRect/>
                    </a:stretch>
                  </pic:blipFill>
                  <pic:spPr>
                    <a:xfrm>
                      <a:off x="0" y="0"/>
                      <a:ext cx="1106805" cy="1214755"/>
                    </a:xfrm>
                    <a:prstGeom prst="rect">
                      <a:avLst/>
                    </a:prstGeom>
                    <a:noFill/>
                    <a:ln>
                      <a:noFill/>
                    </a:ln>
                  </pic:spPr>
                </pic:pic>
              </a:graphicData>
            </a:graphic>
          </wp:anchor>
        </w:drawing>
      </w:r>
    </w:p>
    <w:p>
      <w:pPr>
        <w:pageBreakBefore w:val="0"/>
        <w:wordWrap/>
        <w:bidi w:val="0"/>
        <w:adjustRightInd w:val="0"/>
        <w:snapToGrid w:val="0"/>
        <w:spacing w:line="360" w:lineRule="auto"/>
        <w:ind w:left="0" w:leftChars="0" w:right="0" w:rightChars="0"/>
        <w:jc w:val="center"/>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705344" behindDoc="0" locked="0" layoutInCell="1" allowOverlap="1">
                <wp:simplePos x="0" y="0"/>
                <wp:positionH relativeFrom="column">
                  <wp:posOffset>1945005</wp:posOffset>
                </wp:positionH>
                <wp:positionV relativeFrom="paragraph">
                  <wp:posOffset>4287520</wp:posOffset>
                </wp:positionV>
                <wp:extent cx="288290" cy="107950"/>
                <wp:effectExtent l="6350" t="6350" r="10160" b="19050"/>
                <wp:wrapNone/>
                <wp:docPr id="66" name="矩形 66"/>
                <wp:cNvGraphicFramePr/>
                <a:graphic xmlns:a="http://schemas.openxmlformats.org/drawingml/2006/main">
                  <a:graphicData uri="http://schemas.microsoft.com/office/word/2010/wordprocessingShape">
                    <wps:wsp>
                      <wps:cNvSpPr/>
                      <wps:spPr>
                        <a:xfrm>
                          <a:off x="0" y="0"/>
                          <a:ext cx="288290" cy="107950"/>
                        </a:xfrm>
                        <a:prstGeom prst="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53.15pt;margin-top:337.6pt;height:8.5pt;width:22.7pt;z-index:251705344;v-text-anchor:middle;mso-width-relative:page;mso-height-relative:page;" filled="f" stroked="t" coordsize="21600,21600" o:gfxdata="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CoL3fc2wAAAAsBAAAPAAAAAAAAAAEAIAAAACIAAABkcnMvZG93bnJldi54&#10;bWxQSwECFAAUAAAACACHTuJAAtyUYWkCAADMBAAADgAAAAAAAAABACAAAAAqAQAAZHJzL2Uyb0Rv&#10;Yy54bWxQSwUGAAAAAAYABgBZAQAABQYAAAAA&#10;">
                <v:fill on="f" focussize="0,0"/>
                <v:stroke weight="1pt" color="#FFFF00 [3204]" miterlimit="8" joinstyle="miter"/>
                <v:imagedata o:title=""/>
                <o:lock v:ext="edit" aspectratio="f"/>
              </v:rect>
            </w:pict>
          </mc:Fallback>
        </mc:AlternateContent>
      </w:r>
      <w:r>
        <w:rPr>
          <w:rFonts w:hint="default" w:ascii="Times New Roman" w:hAnsi="Times New Roman" w:eastAsia="宋体" w:cs="Times New Roman"/>
          <w:b/>
          <w:bCs/>
          <w:color w:val="auto"/>
          <w:sz w:val="24"/>
          <w:highlight w:val="none"/>
          <w:lang w:eastAsia="zh-CN"/>
        </w:rPr>
        <w:drawing>
          <wp:inline distT="0" distB="0" distL="114300" distR="114300">
            <wp:extent cx="6697345" cy="4895850"/>
            <wp:effectExtent l="0" t="0" r="8255" b="0"/>
            <wp:docPr id="5" name="图片 5" descr="屏幕截图232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屏幕截图232111"/>
                    <pic:cNvPicPr>
                      <a:picLocks noChangeAspect="1"/>
                    </pic:cNvPicPr>
                  </pic:nvPicPr>
                  <pic:blipFill>
                    <a:blip r:embed="rId26"/>
                    <a:stretch>
                      <a:fillRect/>
                    </a:stretch>
                  </pic:blipFill>
                  <pic:spPr>
                    <a:xfrm>
                      <a:off x="0" y="0"/>
                      <a:ext cx="6697345" cy="4895850"/>
                    </a:xfrm>
                    <a:prstGeom prst="rect">
                      <a:avLst/>
                    </a:prstGeom>
                  </pic:spPr>
                </pic:pic>
              </a:graphicData>
            </a:graphic>
          </wp:inline>
        </w:drawing>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716608" behindDoc="0" locked="0" layoutInCell="1" allowOverlap="1">
                <wp:simplePos x="0" y="0"/>
                <wp:positionH relativeFrom="column">
                  <wp:posOffset>1818005</wp:posOffset>
                </wp:positionH>
                <wp:positionV relativeFrom="paragraph">
                  <wp:posOffset>4530090</wp:posOffset>
                </wp:positionV>
                <wp:extent cx="107950" cy="216535"/>
                <wp:effectExtent l="8255" t="26035" r="17145" b="24130"/>
                <wp:wrapNone/>
                <wp:docPr id="77" name="等腰三角形 77"/>
                <wp:cNvGraphicFramePr/>
                <a:graphic xmlns:a="http://schemas.openxmlformats.org/drawingml/2006/main">
                  <a:graphicData uri="http://schemas.microsoft.com/office/word/2010/wordprocessingShape">
                    <wps:wsp>
                      <wps:cNvSpPr/>
                      <wps:spPr>
                        <a:xfrm>
                          <a:off x="0" y="0"/>
                          <a:ext cx="107950" cy="216535"/>
                        </a:xfrm>
                        <a:prstGeom prst="triangle">
                          <a:avLst/>
                        </a:prstGeom>
                        <a:solidFill>
                          <a:srgbClr val="FFFF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143.15pt;margin-top:356.7pt;height:17.05pt;width:8.5pt;z-index:251716608;v-text-anchor:middle;mso-width-relative:page;mso-height-relative:page;" fillcolor="#FFFF00" filled="t" stroked="t" coordsize="21600,21600" o:gfxdata="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" adj="10800">
                <v:fill on="t" focussize="0,0"/>
                <v:stroke weight="1pt" color="#000000 [3213]" miterlimit="8" joinstyle="miter"/>
                <v:imagedata o:title=""/>
                <o:lock v:ext="edit" aspectratio="f"/>
              </v:shape>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717632" behindDoc="0" locked="0" layoutInCell="1" allowOverlap="1">
                <wp:simplePos x="0" y="0"/>
                <wp:positionH relativeFrom="column">
                  <wp:posOffset>1773555</wp:posOffset>
                </wp:positionH>
                <wp:positionV relativeFrom="paragraph">
                  <wp:posOffset>3970655</wp:posOffset>
                </wp:positionV>
                <wp:extent cx="144145" cy="144145"/>
                <wp:effectExtent l="6350" t="6350" r="20955" b="20955"/>
                <wp:wrapNone/>
                <wp:docPr id="78" name="矩形 78"/>
                <wp:cNvGraphicFramePr/>
                <a:graphic xmlns:a="http://schemas.openxmlformats.org/drawingml/2006/main">
                  <a:graphicData uri="http://schemas.microsoft.com/office/word/2010/wordprocessingShape">
                    <wps:wsp>
                      <wps:cNvSpPr/>
                      <wps:spPr>
                        <a:xfrm>
                          <a:off x="0" y="0"/>
                          <a:ext cx="144145" cy="144145"/>
                        </a:xfrm>
                        <a:prstGeom prst="rect">
                          <a:avLst/>
                        </a:prstGeom>
                        <a:solidFill>
                          <a:srgbClr val="00B05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39.65pt;margin-top:312.65pt;height:11.35pt;width:11.35pt;z-index:251717632;v-text-anchor:middle;mso-width-relative:page;mso-height-relative:page;" fillcolor="#00B050" filled="t" stroked="t" coordsize="21600,21600" o:gfxdata="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u/rsqdgAAAALAQAADwAAAAAAAAABACAAAAAiAAAAZHJzL2Rvd25yZXYu&#10;eG1sUEsBAhQAFAAAAAgAh07iQO0N2GFtAgAA9QQAAA4AAAAAAAAAAQAgAAAAJwEAAGRycy9lMm9E&#10;b2MueG1sUEsFBgAAAAAGAAYAWQEAAAYGAAAAAA==&#10;">
                <v:fill on="t" focussize="0,0"/>
                <v:stroke weight="1pt" color="#000000 [3213]" miterlimit="8" joinstyle="miter"/>
                <v:imagedata o:title=""/>
                <o:lock v:ext="edit" aspectratio="f"/>
              </v:rect>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704320" behindDoc="0" locked="0" layoutInCell="1" allowOverlap="1">
                <wp:simplePos x="0" y="0"/>
                <wp:positionH relativeFrom="column">
                  <wp:posOffset>2061845</wp:posOffset>
                </wp:positionH>
                <wp:positionV relativeFrom="paragraph">
                  <wp:posOffset>3704590</wp:posOffset>
                </wp:positionV>
                <wp:extent cx="288290" cy="107950"/>
                <wp:effectExtent l="6350" t="6350" r="10160" b="19050"/>
                <wp:wrapNone/>
                <wp:docPr id="67" name="矩形 67"/>
                <wp:cNvGraphicFramePr/>
                <a:graphic xmlns:a="http://schemas.openxmlformats.org/drawingml/2006/main">
                  <a:graphicData uri="http://schemas.microsoft.com/office/word/2010/wordprocessingShape">
                    <wps:wsp>
                      <wps:cNvSpPr/>
                      <wps:spPr>
                        <a:xfrm>
                          <a:off x="0" y="0"/>
                          <a:ext cx="288290" cy="107950"/>
                        </a:xfrm>
                        <a:prstGeom prst="rect">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62.35pt;margin-top:291.7pt;height:8.5pt;width:22.7pt;z-index:251704320;v-text-anchor:middle;mso-width-relative:page;mso-height-relative:page;" filled="f" stroked="t" coordsize="21600,21600" o:gfxdata="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C0O4zL2gAAAAsBAAAPAAAAAAAAAAEAIAAAACIAAABkcnMvZG93bnJldi54&#10;bWxQSwECFAAUAAAACACHTuJA/G+dI2oCAADMBAAADgAAAAAAAAABACAAAAApAQAAZHJzL2Uyb0Rv&#10;Yy54bWxQSwUGAAAAAAYABgBZAQAABQYAAAAA&#10;">
                <v:fill on="f" focussize="0,0"/>
                <v:stroke weight="1pt" color="#00B050 [3204]" miterlimit="8" joinstyle="miter"/>
                <v:imagedata o:title=""/>
                <o:lock v:ext="edit" aspectratio="f"/>
              </v:rect>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706368" behindDoc="0" locked="0" layoutInCell="1" allowOverlap="1">
                <wp:simplePos x="0" y="0"/>
                <wp:positionH relativeFrom="column">
                  <wp:posOffset>1270000</wp:posOffset>
                </wp:positionH>
                <wp:positionV relativeFrom="paragraph">
                  <wp:posOffset>3401060</wp:posOffset>
                </wp:positionV>
                <wp:extent cx="288290" cy="107950"/>
                <wp:effectExtent l="6350" t="6350" r="10160" b="19050"/>
                <wp:wrapNone/>
                <wp:docPr id="65" name="矩形 65"/>
                <wp:cNvGraphicFramePr/>
                <a:graphic xmlns:a="http://schemas.openxmlformats.org/drawingml/2006/main">
                  <a:graphicData uri="http://schemas.microsoft.com/office/word/2010/wordprocessingShape">
                    <wps:wsp>
                      <wps:cNvSpPr/>
                      <wps:spPr>
                        <a:xfrm>
                          <a:off x="0" y="0"/>
                          <a:ext cx="288290" cy="107950"/>
                        </a:xfrm>
                        <a:prstGeom prst="rect">
                          <a:avLst/>
                        </a:prstGeom>
                        <a:solidFill>
                          <a:srgbClr val="7030A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00pt;margin-top:267.8pt;height:8.5pt;width:22.7pt;z-index:251706368;v-text-anchor:middle;mso-width-relative:page;mso-height-relative:page;" fillcolor="#7030A0" filled="t" stroked="t" coordsize="21600,21600" o:gfxdata="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&#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SznaSdkAAAALAQAADwAAAAAAAAABACAAAAAiAAAAZHJz&#10;L2Rvd25yZXYueG1sUEsBAhQAFAAAAAgAh07iQKx2x351AgAA9QQAAA4AAAAAAAAAAQAgAAAAKAEA&#10;AGRycy9lMm9Eb2MueG1sUEsFBgAAAAAGAAYAWQEAAA8GAAAAAA==&#10;">
                <v:fill on="t" focussize="0,0"/>
                <v:stroke weight="1pt" color="#FF0000 [3204]" miterlimit="8" joinstyle="miter"/>
                <v:imagedata o:title=""/>
                <o:lock v:ext="edit" aspectratio="f"/>
              </v:rect>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701248" behindDoc="0" locked="0" layoutInCell="1" allowOverlap="1">
                <wp:simplePos x="0" y="0"/>
                <wp:positionH relativeFrom="column">
                  <wp:posOffset>846455</wp:posOffset>
                </wp:positionH>
                <wp:positionV relativeFrom="paragraph">
                  <wp:posOffset>2959100</wp:posOffset>
                </wp:positionV>
                <wp:extent cx="1616075" cy="1932305"/>
                <wp:effectExtent l="6350" t="6350" r="15875" b="23495"/>
                <wp:wrapNone/>
                <wp:docPr id="62" name="矩形 62"/>
                <wp:cNvGraphicFramePr/>
                <a:graphic xmlns:a="http://schemas.openxmlformats.org/drawingml/2006/main">
                  <a:graphicData uri="http://schemas.microsoft.com/office/word/2010/wordprocessingShape">
                    <wps:wsp>
                      <wps:cNvSpPr/>
                      <wps:spPr>
                        <a:xfrm>
                          <a:off x="0" y="0"/>
                          <a:ext cx="1616075" cy="1932305"/>
                        </a:xfrm>
                        <a:prstGeom prst="rect">
                          <a:avLst/>
                        </a:prstGeom>
                        <a:solidFill>
                          <a:schemeClr val="accent3">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keepNext w:val="0"/>
                              <w:keepLines w:val="0"/>
                              <w:pageBreakBefore w:val="0"/>
                              <w:widowControl w:val="0"/>
                              <w:kinsoku/>
                              <w:wordWrap/>
                              <w:overflowPunct/>
                              <w:topLinePunct/>
                              <w:autoSpaceDE w:val="0"/>
                              <w:autoSpaceDN/>
                              <w:bidi w:val="0"/>
                              <w:adjustRightInd/>
                              <w:snapToGrid/>
                              <w:spacing w:before="0" w:after="0" w:line="360" w:lineRule="auto"/>
                              <w:ind w:left="0" w:leftChars="0" w:firstLine="0" w:firstLineChars="0"/>
                              <w:jc w:val="center"/>
                              <w:textAlignment w:val="auto"/>
                              <w:rPr>
                                <w:rFonts w:hint="eastAsia"/>
                                <w:color w:val="000000" w:themeColor="text1"/>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图例</w:t>
                            </w:r>
                          </w:p>
                          <w:p>
                            <w:pPr>
                              <w:pStyle w:val="27"/>
                              <w:keepNext w:val="0"/>
                              <w:keepLines w:val="0"/>
                              <w:pageBreakBefore w:val="0"/>
                              <w:widowControl w:val="0"/>
                              <w:kinsoku/>
                              <w:wordWrap/>
                              <w:overflowPunct/>
                              <w:topLinePunct/>
                              <w:autoSpaceDE w:val="0"/>
                              <w:autoSpaceDN/>
                              <w:bidi w:val="0"/>
                              <w:adjustRightInd/>
                              <w:snapToGrid/>
                              <w:spacing w:after="0" w:line="360" w:lineRule="auto"/>
                              <w:ind w:left="0" w:leftChars="0" w:firstLine="0" w:firstLineChars="0"/>
                              <w:jc w:val="left"/>
                              <w:textAlignment w:val="auto"/>
                              <w:rPr>
                                <w:rFonts w:hint="eastAsia"/>
                                <w:color w:val="000000" w:themeColor="text1"/>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场区</w:t>
                            </w:r>
                          </w:p>
                          <w:p>
                            <w:pPr>
                              <w:keepNext w:val="0"/>
                              <w:keepLines w:val="0"/>
                              <w:pageBreakBefore w:val="0"/>
                              <w:widowControl w:val="0"/>
                              <w:kinsoku/>
                              <w:wordWrap/>
                              <w:overflowPunct/>
                              <w:topLinePunct/>
                              <w:autoSpaceDE w:val="0"/>
                              <w:autoSpaceDN/>
                              <w:bidi w:val="0"/>
                              <w:adjustRightInd/>
                              <w:snapToGrid/>
                              <w:spacing w:line="360" w:lineRule="auto"/>
                              <w:ind w:left="0" w:leftChars="0" w:firstLine="0" w:firstLineChars="0"/>
                              <w:jc w:val="left"/>
                              <w:textAlignment w:val="auto"/>
                              <w:rPr>
                                <w:rFonts w:hint="eastAsia"/>
                                <w:color w:val="000000" w:themeColor="text1"/>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土壤环境评价范围</w:t>
                            </w:r>
                          </w:p>
                          <w:p>
                            <w:pPr>
                              <w:pStyle w:val="27"/>
                              <w:keepNext w:val="0"/>
                              <w:keepLines w:val="0"/>
                              <w:pageBreakBefore w:val="0"/>
                              <w:widowControl w:val="0"/>
                              <w:kinsoku/>
                              <w:wordWrap/>
                              <w:overflowPunct/>
                              <w:topLinePunct/>
                              <w:autoSpaceDE w:val="0"/>
                              <w:autoSpaceDN/>
                              <w:bidi w:val="0"/>
                              <w:adjustRightInd/>
                              <w:snapToGrid/>
                              <w:spacing w:after="0" w:line="360" w:lineRule="auto"/>
                              <w:ind w:left="0" w:leftChars="0" w:firstLine="0" w:firstLineChars="0"/>
                              <w:jc w:val="left"/>
                              <w:textAlignment w:val="auto"/>
                              <w:rPr>
                                <w:rFonts w:hint="eastAsia"/>
                                <w:color w:val="000000" w:themeColor="text1"/>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土壤监测点位</w:t>
                            </w:r>
                          </w:p>
                          <w:p>
                            <w:pPr>
                              <w:pStyle w:val="27"/>
                              <w:keepNext w:val="0"/>
                              <w:keepLines w:val="0"/>
                              <w:pageBreakBefore w:val="0"/>
                              <w:widowControl w:val="0"/>
                              <w:kinsoku/>
                              <w:wordWrap/>
                              <w:overflowPunct/>
                              <w:topLinePunct/>
                              <w:autoSpaceDE w:val="0"/>
                              <w:autoSpaceDN/>
                              <w:bidi w:val="0"/>
                              <w:adjustRightInd/>
                              <w:snapToGrid/>
                              <w:spacing w:after="0" w:line="360" w:lineRule="auto"/>
                              <w:ind w:left="0" w:leftChars="0" w:firstLine="0" w:firstLineChars="0"/>
                              <w:jc w:val="left"/>
                              <w:textAlignment w:val="auto"/>
                              <w:rPr>
                                <w:rFonts w:hint="eastAsia"/>
                                <w:color w:val="000000" w:themeColor="text1"/>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声环境评价范围</w:t>
                            </w:r>
                          </w:p>
                          <w:p>
                            <w:pPr>
                              <w:pStyle w:val="27"/>
                              <w:keepNext w:val="0"/>
                              <w:keepLines w:val="0"/>
                              <w:pageBreakBefore w:val="0"/>
                              <w:widowControl w:val="0"/>
                              <w:kinsoku/>
                              <w:wordWrap/>
                              <w:overflowPunct/>
                              <w:topLinePunct/>
                              <w:autoSpaceDE w:val="0"/>
                              <w:autoSpaceDN/>
                              <w:bidi w:val="0"/>
                              <w:adjustRightInd/>
                              <w:snapToGrid/>
                              <w:spacing w:after="0" w:line="360" w:lineRule="auto"/>
                              <w:ind w:left="0" w:leftChars="0" w:firstLine="0" w:firstLineChars="0"/>
                              <w:jc w:val="left"/>
                              <w:textAlignment w:val="auto"/>
                              <w:rPr>
                                <w:rFonts w:hint="eastAsia"/>
                                <w:color w:val="000000" w:themeColor="text1"/>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噪声监测点位</w:t>
                            </w:r>
                          </w:p>
                          <w:p>
                            <w:pPr>
                              <w:pStyle w:val="27"/>
                              <w:keepNext w:val="0"/>
                              <w:keepLines w:val="0"/>
                              <w:pageBreakBefore w:val="0"/>
                              <w:widowControl w:val="0"/>
                              <w:kinsoku/>
                              <w:wordWrap/>
                              <w:overflowPunct/>
                              <w:topLinePunct/>
                              <w:autoSpaceDE w:val="0"/>
                              <w:autoSpaceDN/>
                              <w:bidi w:val="0"/>
                              <w:adjustRightInd/>
                              <w:snapToGrid/>
                              <w:spacing w:after="0" w:line="360" w:lineRule="auto"/>
                              <w:ind w:left="0" w:leftChars="0" w:firstLine="0" w:firstLineChars="0"/>
                              <w:jc w:val="left"/>
                              <w:textAlignment w:val="auto"/>
                              <w:rPr>
                                <w:rFonts w:hint="eastAsia"/>
                                <w:color w:val="000000" w:themeColor="text1"/>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6.65pt;margin-top:233pt;height:152.15pt;width:127.25pt;z-index:251701248;v-text-anchor:middle;mso-width-relative:page;mso-height-relative:page;" fillcolor="#DBDBDB [1302]" filled="t" stroked="t" coordsize="21600,21600" o:gfxdata="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B1Qy2PZ&#10;AAAACwEAAA8AAAAAAAAAAQAgAAAAIgAAAGRycy9kb3ducmV2LnhtbFBLAQIUABQAAAAIAIdO4kAt&#10;CxeGkQIAADsFAAAOAAAAAAAAAAEAIAAAACgBAABkcnMvZTJvRG9jLnhtbFBLBQYAAAAABgAGAFkB&#10;AAArBgAAAAA=&#10;">
                <v:fill on="t" focussize="0,0"/>
                <v:stroke weight="1pt" color="#000000 [3213]" miterlimit="8" joinstyle="miter"/>
                <v:imagedata o:title=""/>
                <o:lock v:ext="edit" aspectratio="f"/>
                <v:textbox>
                  <w:txbxContent>
                    <w:p>
                      <w:pPr>
                        <w:keepNext w:val="0"/>
                        <w:keepLines w:val="0"/>
                        <w:pageBreakBefore w:val="0"/>
                        <w:widowControl w:val="0"/>
                        <w:kinsoku/>
                        <w:wordWrap/>
                        <w:overflowPunct/>
                        <w:topLinePunct/>
                        <w:autoSpaceDE w:val="0"/>
                        <w:autoSpaceDN/>
                        <w:bidi w:val="0"/>
                        <w:adjustRightInd/>
                        <w:snapToGrid/>
                        <w:spacing w:before="0" w:after="0" w:line="360" w:lineRule="auto"/>
                        <w:ind w:left="0" w:leftChars="0" w:firstLine="0" w:firstLineChars="0"/>
                        <w:jc w:val="center"/>
                        <w:textAlignment w:val="auto"/>
                        <w:rPr>
                          <w:rFonts w:hint="eastAsia"/>
                          <w:color w:val="000000" w:themeColor="text1"/>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图例</w:t>
                      </w:r>
                    </w:p>
                    <w:p>
                      <w:pPr>
                        <w:pStyle w:val="27"/>
                        <w:keepNext w:val="0"/>
                        <w:keepLines w:val="0"/>
                        <w:pageBreakBefore w:val="0"/>
                        <w:widowControl w:val="0"/>
                        <w:kinsoku/>
                        <w:wordWrap/>
                        <w:overflowPunct/>
                        <w:topLinePunct/>
                        <w:autoSpaceDE w:val="0"/>
                        <w:autoSpaceDN/>
                        <w:bidi w:val="0"/>
                        <w:adjustRightInd/>
                        <w:snapToGrid/>
                        <w:spacing w:after="0" w:line="360" w:lineRule="auto"/>
                        <w:ind w:left="0" w:leftChars="0" w:firstLine="0" w:firstLineChars="0"/>
                        <w:jc w:val="left"/>
                        <w:textAlignment w:val="auto"/>
                        <w:rPr>
                          <w:rFonts w:hint="eastAsia"/>
                          <w:color w:val="000000" w:themeColor="text1"/>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场区</w:t>
                      </w:r>
                    </w:p>
                    <w:p>
                      <w:pPr>
                        <w:keepNext w:val="0"/>
                        <w:keepLines w:val="0"/>
                        <w:pageBreakBefore w:val="0"/>
                        <w:widowControl w:val="0"/>
                        <w:kinsoku/>
                        <w:wordWrap/>
                        <w:overflowPunct/>
                        <w:topLinePunct/>
                        <w:autoSpaceDE w:val="0"/>
                        <w:autoSpaceDN/>
                        <w:bidi w:val="0"/>
                        <w:adjustRightInd/>
                        <w:snapToGrid/>
                        <w:spacing w:line="360" w:lineRule="auto"/>
                        <w:ind w:left="0" w:leftChars="0" w:firstLine="0" w:firstLineChars="0"/>
                        <w:jc w:val="left"/>
                        <w:textAlignment w:val="auto"/>
                        <w:rPr>
                          <w:rFonts w:hint="eastAsia"/>
                          <w:color w:val="000000" w:themeColor="text1"/>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土壤环境评价范围</w:t>
                      </w:r>
                    </w:p>
                    <w:p>
                      <w:pPr>
                        <w:pStyle w:val="27"/>
                        <w:keepNext w:val="0"/>
                        <w:keepLines w:val="0"/>
                        <w:pageBreakBefore w:val="0"/>
                        <w:widowControl w:val="0"/>
                        <w:kinsoku/>
                        <w:wordWrap/>
                        <w:overflowPunct/>
                        <w:topLinePunct/>
                        <w:autoSpaceDE w:val="0"/>
                        <w:autoSpaceDN/>
                        <w:bidi w:val="0"/>
                        <w:adjustRightInd/>
                        <w:snapToGrid/>
                        <w:spacing w:after="0" w:line="360" w:lineRule="auto"/>
                        <w:ind w:left="0" w:leftChars="0" w:firstLine="0" w:firstLineChars="0"/>
                        <w:jc w:val="left"/>
                        <w:textAlignment w:val="auto"/>
                        <w:rPr>
                          <w:rFonts w:hint="eastAsia"/>
                          <w:color w:val="000000" w:themeColor="text1"/>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土壤监测点位</w:t>
                      </w:r>
                    </w:p>
                    <w:p>
                      <w:pPr>
                        <w:pStyle w:val="27"/>
                        <w:keepNext w:val="0"/>
                        <w:keepLines w:val="0"/>
                        <w:pageBreakBefore w:val="0"/>
                        <w:widowControl w:val="0"/>
                        <w:kinsoku/>
                        <w:wordWrap/>
                        <w:overflowPunct/>
                        <w:topLinePunct/>
                        <w:autoSpaceDE w:val="0"/>
                        <w:autoSpaceDN/>
                        <w:bidi w:val="0"/>
                        <w:adjustRightInd/>
                        <w:snapToGrid/>
                        <w:spacing w:after="0" w:line="360" w:lineRule="auto"/>
                        <w:ind w:left="0" w:leftChars="0" w:firstLine="0" w:firstLineChars="0"/>
                        <w:jc w:val="left"/>
                        <w:textAlignment w:val="auto"/>
                        <w:rPr>
                          <w:rFonts w:hint="eastAsia"/>
                          <w:color w:val="000000" w:themeColor="text1"/>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声环境评价范围</w:t>
                      </w:r>
                    </w:p>
                    <w:p>
                      <w:pPr>
                        <w:pStyle w:val="27"/>
                        <w:keepNext w:val="0"/>
                        <w:keepLines w:val="0"/>
                        <w:pageBreakBefore w:val="0"/>
                        <w:widowControl w:val="0"/>
                        <w:kinsoku/>
                        <w:wordWrap/>
                        <w:overflowPunct/>
                        <w:topLinePunct/>
                        <w:autoSpaceDE w:val="0"/>
                        <w:autoSpaceDN/>
                        <w:bidi w:val="0"/>
                        <w:adjustRightInd/>
                        <w:snapToGrid/>
                        <w:spacing w:after="0" w:line="360" w:lineRule="auto"/>
                        <w:ind w:left="0" w:leftChars="0" w:firstLine="0" w:firstLineChars="0"/>
                        <w:jc w:val="left"/>
                        <w:textAlignment w:val="auto"/>
                        <w:rPr>
                          <w:rFonts w:hint="eastAsia"/>
                          <w:color w:val="000000" w:themeColor="text1"/>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噪声监测点位</w:t>
                      </w:r>
                    </w:p>
                    <w:p>
                      <w:pPr>
                        <w:pStyle w:val="27"/>
                        <w:keepNext w:val="0"/>
                        <w:keepLines w:val="0"/>
                        <w:pageBreakBefore w:val="0"/>
                        <w:widowControl w:val="0"/>
                        <w:kinsoku/>
                        <w:wordWrap/>
                        <w:overflowPunct/>
                        <w:topLinePunct/>
                        <w:autoSpaceDE w:val="0"/>
                        <w:autoSpaceDN/>
                        <w:bidi w:val="0"/>
                        <w:adjustRightInd/>
                        <w:snapToGrid/>
                        <w:spacing w:after="0" w:line="360" w:lineRule="auto"/>
                        <w:ind w:left="0" w:leftChars="0" w:firstLine="0" w:firstLineChars="0"/>
                        <w:jc w:val="left"/>
                        <w:textAlignment w:val="auto"/>
                        <w:rPr>
                          <w:rFonts w:hint="eastAsia"/>
                          <w:color w:val="000000" w:themeColor="text1"/>
                          <w:sz w:val="21"/>
                          <w:szCs w:val="2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p>
                  </w:txbxContent>
                </v:textbox>
              </v:rect>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712512" behindDoc="0" locked="0" layoutInCell="1" allowOverlap="1">
                <wp:simplePos x="0" y="0"/>
                <wp:positionH relativeFrom="column">
                  <wp:posOffset>4716145</wp:posOffset>
                </wp:positionH>
                <wp:positionV relativeFrom="paragraph">
                  <wp:posOffset>2717800</wp:posOffset>
                </wp:positionV>
                <wp:extent cx="107950" cy="216535"/>
                <wp:effectExtent l="8255" t="26035" r="17145" b="24130"/>
                <wp:wrapNone/>
                <wp:docPr id="73" name="等腰三角形 73"/>
                <wp:cNvGraphicFramePr/>
                <a:graphic xmlns:a="http://schemas.openxmlformats.org/drawingml/2006/main">
                  <a:graphicData uri="http://schemas.microsoft.com/office/word/2010/wordprocessingShape">
                    <wps:wsp>
                      <wps:cNvSpPr/>
                      <wps:spPr>
                        <a:xfrm>
                          <a:off x="0" y="0"/>
                          <a:ext cx="107950" cy="216535"/>
                        </a:xfrm>
                        <a:prstGeom prst="triangle">
                          <a:avLst/>
                        </a:prstGeom>
                        <a:solidFill>
                          <a:srgbClr val="FFFF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371.35pt;margin-top:214pt;height:17.05pt;width:8.5pt;z-index:251712512;v-text-anchor:middle;mso-width-relative:page;mso-height-relative:page;" fillcolor="#FFFF00" filled="t" stroked="t" coordsize="21600,21600" o:gfxdata="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" adj="10800">
                <v:fill on="t" focussize="0,0"/>
                <v:stroke weight="1pt" color="#000000 [3213]" miterlimit="8" joinstyle="miter"/>
                <v:imagedata o:title=""/>
                <o:lock v:ext="edit" aspectratio="f"/>
              </v:shape>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715584" behindDoc="0" locked="0" layoutInCell="1" allowOverlap="1">
                <wp:simplePos x="0" y="0"/>
                <wp:positionH relativeFrom="column">
                  <wp:posOffset>5024755</wp:posOffset>
                </wp:positionH>
                <wp:positionV relativeFrom="paragraph">
                  <wp:posOffset>2137410</wp:posOffset>
                </wp:positionV>
                <wp:extent cx="144145" cy="144145"/>
                <wp:effectExtent l="6350" t="6350" r="20955" b="20955"/>
                <wp:wrapNone/>
                <wp:docPr id="76" name="矩形 76"/>
                <wp:cNvGraphicFramePr/>
                <a:graphic xmlns:a="http://schemas.openxmlformats.org/drawingml/2006/main">
                  <a:graphicData uri="http://schemas.microsoft.com/office/word/2010/wordprocessingShape">
                    <wps:wsp>
                      <wps:cNvSpPr/>
                      <wps:spPr>
                        <a:xfrm>
                          <a:off x="0" y="0"/>
                          <a:ext cx="144145" cy="144145"/>
                        </a:xfrm>
                        <a:prstGeom prst="rect">
                          <a:avLst/>
                        </a:prstGeom>
                        <a:solidFill>
                          <a:srgbClr val="00B05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95.65pt;margin-top:168.3pt;height:11.35pt;width:11.35pt;z-index:251715584;v-text-anchor:middle;mso-width-relative:page;mso-height-relative:page;" fillcolor="#00B050" filled="t" stroked="t" coordsize="21600,21600" o:gfxdata="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ySBEedgAAAALAQAADwAAAAAAAAABACAAAAAiAAAAZHJzL2Rvd25yZXYu&#10;eG1sUEsBAhQAFAAAAAgAh07iQHQMdKxtAgAA9QQAAA4AAAAAAAAAAQAgAAAAJwEAAGRycy9lMm9E&#10;b2MueG1sUEsFBgAAAAAGAAYAWQEAAAYGAAAAAA==&#10;">
                <v:fill on="t" focussize="0,0"/>
                <v:stroke weight="1pt" color="#000000 [3213]" miterlimit="8" joinstyle="miter"/>
                <v:imagedata o:title=""/>
                <o:lock v:ext="edit" aspectratio="f"/>
              </v:rect>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711488" behindDoc="0" locked="0" layoutInCell="1" allowOverlap="1">
                <wp:simplePos x="0" y="0"/>
                <wp:positionH relativeFrom="column">
                  <wp:posOffset>5431155</wp:posOffset>
                </wp:positionH>
                <wp:positionV relativeFrom="paragraph">
                  <wp:posOffset>1830705</wp:posOffset>
                </wp:positionV>
                <wp:extent cx="107950" cy="216535"/>
                <wp:effectExtent l="8255" t="26035" r="17145" b="24130"/>
                <wp:wrapNone/>
                <wp:docPr id="72" name="等腰三角形 72"/>
                <wp:cNvGraphicFramePr/>
                <a:graphic xmlns:a="http://schemas.openxmlformats.org/drawingml/2006/main">
                  <a:graphicData uri="http://schemas.microsoft.com/office/word/2010/wordprocessingShape">
                    <wps:wsp>
                      <wps:cNvSpPr/>
                      <wps:spPr>
                        <a:xfrm>
                          <a:off x="0" y="0"/>
                          <a:ext cx="107950" cy="216535"/>
                        </a:xfrm>
                        <a:prstGeom prst="triangle">
                          <a:avLst/>
                        </a:prstGeom>
                        <a:solidFill>
                          <a:srgbClr val="FFFF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427.65pt;margin-top:144.15pt;height:17.05pt;width:8.5pt;z-index:251711488;v-text-anchor:middle;mso-width-relative:page;mso-height-relative:page;" fillcolor="#FFFF00" filled="t" stroked="t" coordsize="21600,21600" o:gfxdata="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" adj="10800">
                <v:fill on="t" focussize="0,0"/>
                <v:stroke weight="1pt" color="#000000 [3213]" miterlimit="8" joinstyle="miter"/>
                <v:imagedata o:title=""/>
                <o:lock v:ext="edit" aspectratio="f"/>
              </v:shape>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710464" behindDoc="0" locked="0" layoutInCell="1" allowOverlap="1">
                <wp:simplePos x="0" y="0"/>
                <wp:positionH relativeFrom="column">
                  <wp:posOffset>4789170</wp:posOffset>
                </wp:positionH>
                <wp:positionV relativeFrom="paragraph">
                  <wp:posOffset>1250315</wp:posOffset>
                </wp:positionV>
                <wp:extent cx="107950" cy="216535"/>
                <wp:effectExtent l="8255" t="26035" r="17145" b="24130"/>
                <wp:wrapNone/>
                <wp:docPr id="71" name="等腰三角形 71"/>
                <wp:cNvGraphicFramePr/>
                <a:graphic xmlns:a="http://schemas.openxmlformats.org/drawingml/2006/main">
                  <a:graphicData uri="http://schemas.microsoft.com/office/word/2010/wordprocessingShape">
                    <wps:wsp>
                      <wps:cNvSpPr/>
                      <wps:spPr>
                        <a:xfrm>
                          <a:off x="0" y="0"/>
                          <a:ext cx="107950" cy="216535"/>
                        </a:xfrm>
                        <a:prstGeom prst="triangle">
                          <a:avLst/>
                        </a:prstGeom>
                        <a:solidFill>
                          <a:srgbClr val="FFFF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377.1pt;margin-top:98.45pt;height:17.05pt;width:8.5pt;z-index:251710464;v-text-anchor:middle;mso-width-relative:page;mso-height-relative:page;" fillcolor="#FFFF00" filled="t" stroked="t" coordsize="21600,21600" o:gfxdata="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" adj="10800">
                <v:fill on="t" focussize="0,0"/>
                <v:stroke weight="1pt" color="#000000 [3213]" miterlimit="8" joinstyle="miter"/>
                <v:imagedata o:title=""/>
                <o:lock v:ext="edit" aspectratio="f"/>
              </v:shape>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708416" behindDoc="0" locked="0" layoutInCell="1" allowOverlap="1">
                <wp:simplePos x="0" y="0"/>
                <wp:positionH relativeFrom="column">
                  <wp:posOffset>3905885</wp:posOffset>
                </wp:positionH>
                <wp:positionV relativeFrom="paragraph">
                  <wp:posOffset>1465580</wp:posOffset>
                </wp:positionV>
                <wp:extent cx="107950" cy="216535"/>
                <wp:effectExtent l="8255" t="26035" r="17145" b="24130"/>
                <wp:wrapNone/>
                <wp:docPr id="69" name="等腰三角形 69"/>
                <wp:cNvGraphicFramePr/>
                <a:graphic xmlns:a="http://schemas.openxmlformats.org/drawingml/2006/main">
                  <a:graphicData uri="http://schemas.microsoft.com/office/word/2010/wordprocessingShape">
                    <wps:wsp>
                      <wps:cNvSpPr/>
                      <wps:spPr>
                        <a:xfrm>
                          <a:off x="0" y="0"/>
                          <a:ext cx="107950" cy="216535"/>
                        </a:xfrm>
                        <a:prstGeom prst="triangle">
                          <a:avLst/>
                        </a:prstGeom>
                        <a:solidFill>
                          <a:srgbClr val="FFFF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307.55pt;margin-top:115.4pt;height:17.05pt;width:8.5pt;z-index:251708416;v-text-anchor:middle;mso-width-relative:page;mso-height-relative:page;" fillcolor="#FFFF00" filled="t" stroked="t" coordsize="21600,21600" o:gfxdata="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" adj="10800">
                <v:fill on="t" focussize="0,0"/>
                <v:stroke weight="1pt" color="#000000 [3213]" miterlimit="8" joinstyle="miter"/>
                <v:imagedata o:title=""/>
                <o:lock v:ext="edit" aspectratio="f"/>
              </v:shape>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709440" behindDoc="0" locked="0" layoutInCell="1" allowOverlap="1">
                <wp:simplePos x="0" y="0"/>
                <wp:positionH relativeFrom="column">
                  <wp:posOffset>3228975</wp:posOffset>
                </wp:positionH>
                <wp:positionV relativeFrom="paragraph">
                  <wp:posOffset>1932305</wp:posOffset>
                </wp:positionV>
                <wp:extent cx="107950" cy="216535"/>
                <wp:effectExtent l="8255" t="26035" r="17145" b="24130"/>
                <wp:wrapNone/>
                <wp:docPr id="70" name="等腰三角形 70"/>
                <wp:cNvGraphicFramePr/>
                <a:graphic xmlns:a="http://schemas.openxmlformats.org/drawingml/2006/main">
                  <a:graphicData uri="http://schemas.microsoft.com/office/word/2010/wordprocessingShape">
                    <wps:wsp>
                      <wps:cNvSpPr/>
                      <wps:spPr>
                        <a:xfrm>
                          <a:off x="0" y="0"/>
                          <a:ext cx="107950" cy="216535"/>
                        </a:xfrm>
                        <a:prstGeom prst="triangle">
                          <a:avLst/>
                        </a:prstGeom>
                        <a:solidFill>
                          <a:srgbClr val="FFFF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254.25pt;margin-top:152.15pt;height:17.05pt;width:8.5pt;z-index:251709440;v-text-anchor:middle;mso-width-relative:page;mso-height-relative:page;" fillcolor="#FFFF00" filled="t" stroked="t" coordsize="21600,21600" o:gfxdata="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" adj="10800">
                <v:fill on="t" focussize="0,0"/>
                <v:stroke weight="1pt" color="#000000 [3213]" miterlimit="8" joinstyle="miter"/>
                <v:imagedata o:title=""/>
                <o:lock v:ext="edit" aspectratio="f"/>
              </v:shape>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707392" behindDoc="0" locked="0" layoutInCell="1" allowOverlap="1">
                <wp:simplePos x="0" y="0"/>
                <wp:positionH relativeFrom="column">
                  <wp:posOffset>3032760</wp:posOffset>
                </wp:positionH>
                <wp:positionV relativeFrom="paragraph">
                  <wp:posOffset>3041650</wp:posOffset>
                </wp:positionV>
                <wp:extent cx="107950" cy="216535"/>
                <wp:effectExtent l="8255" t="26035" r="17145" b="24130"/>
                <wp:wrapNone/>
                <wp:docPr id="68" name="等腰三角形 68"/>
                <wp:cNvGraphicFramePr/>
                <a:graphic xmlns:a="http://schemas.openxmlformats.org/drawingml/2006/main">
                  <a:graphicData uri="http://schemas.microsoft.com/office/word/2010/wordprocessingShape">
                    <wps:wsp>
                      <wps:cNvSpPr/>
                      <wps:spPr>
                        <a:xfrm>
                          <a:off x="3950335" y="1933575"/>
                          <a:ext cx="107950" cy="216535"/>
                        </a:xfrm>
                        <a:prstGeom prst="triangle">
                          <a:avLst/>
                        </a:prstGeom>
                        <a:solidFill>
                          <a:srgbClr val="FFFF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238.8pt;margin-top:239.5pt;height:17.05pt;width:8.5pt;z-index:251707392;v-text-anchor:middle;mso-width-relative:page;mso-height-relative:page;" fillcolor="#FFFF00" filled="t" stroked="t" coordsize="21600,21600" o:gfxdata="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" adj="10800">
                <v:fill on="t" focussize="0,0"/>
                <v:stroke weight="1pt" color="#000000 [3213]" miterlimit="8" joinstyle="miter"/>
                <v:imagedata o:title=""/>
                <o:lock v:ext="edit" aspectratio="f"/>
              </v:shape>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714560" behindDoc="0" locked="0" layoutInCell="1" allowOverlap="1">
                <wp:simplePos x="0" y="0"/>
                <wp:positionH relativeFrom="column">
                  <wp:posOffset>3380740</wp:posOffset>
                </wp:positionH>
                <wp:positionV relativeFrom="paragraph">
                  <wp:posOffset>2314575</wp:posOffset>
                </wp:positionV>
                <wp:extent cx="144145" cy="144145"/>
                <wp:effectExtent l="6350" t="6350" r="20955" b="20955"/>
                <wp:wrapNone/>
                <wp:docPr id="75" name="矩形 75"/>
                <wp:cNvGraphicFramePr/>
                <a:graphic xmlns:a="http://schemas.openxmlformats.org/drawingml/2006/main">
                  <a:graphicData uri="http://schemas.microsoft.com/office/word/2010/wordprocessingShape">
                    <wps:wsp>
                      <wps:cNvSpPr/>
                      <wps:spPr>
                        <a:xfrm>
                          <a:off x="0" y="0"/>
                          <a:ext cx="144145" cy="144145"/>
                        </a:xfrm>
                        <a:prstGeom prst="rect">
                          <a:avLst/>
                        </a:prstGeom>
                        <a:solidFill>
                          <a:srgbClr val="00B05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66.2pt;margin-top:182.25pt;height:11.35pt;width:11.35pt;z-index:251714560;v-text-anchor:middle;mso-width-relative:page;mso-height-relative:page;" fillcolor="#00B050" filled="t" stroked="t" coordsize="21600,21600" o:gfxdata="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GEZ/mzZAAAACwEAAA8AAAAAAAAAAQAgAAAAIgAAAGRycy9kb3ducmV2&#10;LnhtbFBLAQIUABQAAAAIAIdO4kDTV1m2bQIAAPUEAAAOAAAAAAAAAAEAIAAAACgBAABkcnMvZTJv&#10;RG9jLnhtbFBLBQYAAAAABgAGAFkBAAAHBgAAAAA=&#10;">
                <v:fill on="t" focussize="0,0"/>
                <v:stroke weight="1pt" color="#000000 [3213]" miterlimit="8" joinstyle="miter"/>
                <v:imagedata o:title=""/>
                <o:lock v:ext="edit" aspectratio="f"/>
              </v:rect>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713536" behindDoc="0" locked="0" layoutInCell="1" allowOverlap="1">
                <wp:simplePos x="0" y="0"/>
                <wp:positionH relativeFrom="column">
                  <wp:posOffset>3883660</wp:posOffset>
                </wp:positionH>
                <wp:positionV relativeFrom="paragraph">
                  <wp:posOffset>2780030</wp:posOffset>
                </wp:positionV>
                <wp:extent cx="144145" cy="144145"/>
                <wp:effectExtent l="6350" t="6350" r="20955" b="20955"/>
                <wp:wrapNone/>
                <wp:docPr id="74" name="矩形 74"/>
                <wp:cNvGraphicFramePr/>
                <a:graphic xmlns:a="http://schemas.openxmlformats.org/drawingml/2006/main">
                  <a:graphicData uri="http://schemas.microsoft.com/office/word/2010/wordprocessingShape">
                    <wps:wsp>
                      <wps:cNvSpPr/>
                      <wps:spPr>
                        <a:xfrm>
                          <a:off x="3162935" y="1919605"/>
                          <a:ext cx="144145" cy="144145"/>
                        </a:xfrm>
                        <a:prstGeom prst="rect">
                          <a:avLst/>
                        </a:prstGeom>
                        <a:solidFill>
                          <a:srgbClr val="00B05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05.8pt;margin-top:218.9pt;height:11.35pt;width:11.35pt;z-index:251713536;v-text-anchor:middle;mso-width-relative:page;mso-height-relative:page;" fillcolor="#00B050" filled="t" stroked="t" coordsize="21600,21600" o:gfxdata="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Dz7nrU1wAAAAsBAAAPAAAAAAAAAAEAIAAAACIA&#10;AABkcnMvZG93bnJldi54bWxQSwECFAAUAAAACACHTuJAfaE9k3wCAAABBQAADgAAAAAAAAABACAA&#10;AAAmAQAAZHJzL2Uyb0RvYy54bWxQSwUGAAAAAAYABgBZAQAAFAYAAAAA&#10;">
                <v:fill on="t" focussize="0,0"/>
                <v:stroke weight="1pt" color="#000000 [3213]" miterlimit="8" joinstyle="miter"/>
                <v:imagedata o:title=""/>
                <o:lock v:ext="edit" aspectratio="f"/>
              </v:rect>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703296" behindDoc="0" locked="0" layoutInCell="1" allowOverlap="1">
                <wp:simplePos x="0" y="0"/>
                <wp:positionH relativeFrom="column">
                  <wp:posOffset>2595245</wp:posOffset>
                </wp:positionH>
                <wp:positionV relativeFrom="paragraph">
                  <wp:posOffset>973455</wp:posOffset>
                </wp:positionV>
                <wp:extent cx="3392170" cy="2698750"/>
                <wp:effectExtent l="6985" t="6350" r="10795" b="19050"/>
                <wp:wrapNone/>
                <wp:docPr id="63" name="任意多边形 63"/>
                <wp:cNvGraphicFramePr/>
                <a:graphic xmlns:a="http://schemas.openxmlformats.org/drawingml/2006/main">
                  <a:graphicData uri="http://schemas.microsoft.com/office/word/2010/wordprocessingShape">
                    <wps:wsp>
                      <wps:cNvSpPr/>
                      <wps:spPr>
                        <a:xfrm>
                          <a:off x="0" y="0"/>
                          <a:ext cx="3392170" cy="2698750"/>
                        </a:xfrm>
                        <a:custGeom>
                          <a:avLst/>
                          <a:gdLst>
                            <a:gd name="connisteX0" fmla="*/ 1407795 w 3392170"/>
                            <a:gd name="connsiteY0" fmla="*/ 344170 h 2698750"/>
                            <a:gd name="connisteX1" fmla="*/ 212090 w 3392170"/>
                            <a:gd name="connsiteY1" fmla="*/ 1164590 h 2698750"/>
                            <a:gd name="connisteX2" fmla="*/ 0 w 3392170"/>
                            <a:gd name="connsiteY2" fmla="*/ 2000250 h 2698750"/>
                            <a:gd name="connisteX3" fmla="*/ 534670 w 3392170"/>
                            <a:gd name="connsiteY3" fmla="*/ 2603500 h 2698750"/>
                            <a:gd name="connisteX4" fmla="*/ 756920 w 3392170"/>
                            <a:gd name="connsiteY4" fmla="*/ 2540000 h 2698750"/>
                            <a:gd name="connisteX5" fmla="*/ 831215 w 3392170"/>
                            <a:gd name="connsiteY5" fmla="*/ 2698750 h 2698750"/>
                            <a:gd name="connisteX6" fmla="*/ 1206500 w 3392170"/>
                            <a:gd name="connsiteY6" fmla="*/ 2682875 h 2698750"/>
                            <a:gd name="connisteX7" fmla="*/ 1455420 w 3392170"/>
                            <a:gd name="connsiteY7" fmla="*/ 2413000 h 2698750"/>
                            <a:gd name="connisteX8" fmla="*/ 1963420 w 3392170"/>
                            <a:gd name="connsiteY8" fmla="*/ 2228215 h 2698750"/>
                            <a:gd name="connisteX9" fmla="*/ 3074670 w 3392170"/>
                            <a:gd name="connsiteY9" fmla="*/ 1497965 h 2698750"/>
                            <a:gd name="connisteX10" fmla="*/ 3175000 w 3392170"/>
                            <a:gd name="connsiteY10" fmla="*/ 841375 h 2698750"/>
                            <a:gd name="connisteX11" fmla="*/ 3392170 w 3392170"/>
                            <a:gd name="connsiteY11" fmla="*/ 407670 h 2698750"/>
                            <a:gd name="connisteX12" fmla="*/ 3101340 w 3392170"/>
                            <a:gd name="connsiteY12" fmla="*/ 0 h 2698750"/>
                            <a:gd name="connisteX13" fmla="*/ 2513965 w 3392170"/>
                            <a:gd name="connsiteY13" fmla="*/ 31750 h 2698750"/>
                            <a:gd name="connisteX14" fmla="*/ 2540000 w 3392170"/>
                            <a:gd name="connsiteY14" fmla="*/ 222250 h 2698750"/>
                            <a:gd name="connisteX15" fmla="*/ 2450465 w 3392170"/>
                            <a:gd name="connsiteY15" fmla="*/ 243840 h 2698750"/>
                            <a:gd name="connisteX16" fmla="*/ 2254250 w 3392170"/>
                            <a:gd name="connsiteY16" fmla="*/ 227965 h 2698750"/>
                            <a:gd name="connisteX17" fmla="*/ 1407795 w 3392170"/>
                            <a:gd name="connsiteY17" fmla="*/ 344170 h 269875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Lst>
                          <a:rect l="l" t="t" r="r" b="b"/>
                          <a:pathLst>
                            <a:path w="3392170" h="2698750">
                              <a:moveTo>
                                <a:pt x="1407795" y="344170"/>
                              </a:moveTo>
                              <a:lnTo>
                                <a:pt x="212090" y="1164590"/>
                              </a:lnTo>
                              <a:lnTo>
                                <a:pt x="0" y="2000250"/>
                              </a:lnTo>
                              <a:lnTo>
                                <a:pt x="534670" y="2603500"/>
                              </a:lnTo>
                              <a:lnTo>
                                <a:pt x="756920" y="2540000"/>
                              </a:lnTo>
                              <a:lnTo>
                                <a:pt x="831215" y="2698750"/>
                              </a:lnTo>
                              <a:lnTo>
                                <a:pt x="1206500" y="2682875"/>
                              </a:lnTo>
                              <a:lnTo>
                                <a:pt x="1455420" y="2413000"/>
                              </a:lnTo>
                              <a:lnTo>
                                <a:pt x="1963420" y="2228215"/>
                              </a:lnTo>
                              <a:lnTo>
                                <a:pt x="3074670" y="1497965"/>
                              </a:lnTo>
                              <a:lnTo>
                                <a:pt x="3175000" y="841375"/>
                              </a:lnTo>
                              <a:lnTo>
                                <a:pt x="3392170" y="407670"/>
                              </a:lnTo>
                              <a:lnTo>
                                <a:pt x="3101340" y="0"/>
                              </a:lnTo>
                              <a:lnTo>
                                <a:pt x="2513965" y="31750"/>
                              </a:lnTo>
                              <a:lnTo>
                                <a:pt x="2540000" y="222250"/>
                              </a:lnTo>
                              <a:lnTo>
                                <a:pt x="2450465" y="243840"/>
                              </a:lnTo>
                              <a:lnTo>
                                <a:pt x="2254250" y="227965"/>
                              </a:lnTo>
                              <a:lnTo>
                                <a:pt x="1407795" y="344170"/>
                              </a:lnTo>
                              <a:close/>
                            </a:path>
                          </a:pathLst>
                        </a:cu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204.35pt;margin-top:76.65pt;height:212.5pt;width:267.1pt;z-index:251703296;mso-width-relative:page;mso-height-relative:page;" filled="f" stroked="t" coordsize="3392170,2698750" o:gfxdata="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" path="m1407795,344170l212090,1164590,0,2000250,534670,2603500,756920,2540000,831215,2698750,1206500,2682875,1455420,2413000,1963420,2228215,3074670,1497965,3175000,841375,3392170,407670,3101340,0,2513965,31750,2540000,222250,2450465,243840,2254250,227965,1407795,344170xe">
                <v:path o:connectlocs="1407795,344170;212090,1164590;0,2000250;534670,2603500;756920,2540000;831215,2698750;1206500,2682875;1455420,2413000;1963420,2228215;3074670,1497965;3175000,841375;3392170,407670;3101340,0;2513965,31750;2540000,222250;2450465,243840;2254250,227965;1407795,344170" o:connectangles="0,0,0,0,0,0,0,0,0,0,0,0,0,0,0,0,0,0"/>
                <v:fill on="f" focussize="0,0"/>
                <v:stroke weight="1pt" color="#FFFF00 [3204]" miterlimit="8" joinstyle="miter"/>
                <v:imagedata o:title=""/>
                <o:lock v:ext="edit" aspectratio="f"/>
              </v:shape>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702272" behindDoc="0" locked="0" layoutInCell="1" allowOverlap="1">
                <wp:simplePos x="0" y="0"/>
                <wp:positionH relativeFrom="column">
                  <wp:posOffset>2854960</wp:posOffset>
                </wp:positionH>
                <wp:positionV relativeFrom="paragraph">
                  <wp:posOffset>1259840</wp:posOffset>
                </wp:positionV>
                <wp:extent cx="2814955" cy="2201545"/>
                <wp:effectExtent l="6985" t="6350" r="16510" b="20955"/>
                <wp:wrapNone/>
                <wp:docPr id="64" name="任意多边形 64"/>
                <wp:cNvGraphicFramePr/>
                <a:graphic xmlns:a="http://schemas.openxmlformats.org/drawingml/2006/main">
                  <a:graphicData uri="http://schemas.microsoft.com/office/word/2010/wordprocessingShape">
                    <wps:wsp>
                      <wps:cNvSpPr/>
                      <wps:spPr>
                        <a:xfrm>
                          <a:off x="0" y="0"/>
                          <a:ext cx="2814955" cy="2201545"/>
                        </a:xfrm>
                        <a:custGeom>
                          <a:avLst/>
                          <a:gdLst>
                            <a:gd name="connisteX0" fmla="*/ 1195705 w 2814955"/>
                            <a:gd name="connsiteY0" fmla="*/ 312420 h 2201545"/>
                            <a:gd name="connisteX1" fmla="*/ 132080 w 2814955"/>
                            <a:gd name="connsiteY1" fmla="*/ 1084580 h 2201545"/>
                            <a:gd name="connisteX2" fmla="*/ 0 w 2814955"/>
                            <a:gd name="connsiteY2" fmla="*/ 1656080 h 2201545"/>
                            <a:gd name="connisteX3" fmla="*/ 365125 w 2814955"/>
                            <a:gd name="connsiteY3" fmla="*/ 2084705 h 2201545"/>
                            <a:gd name="connisteX4" fmla="*/ 555625 w 2814955"/>
                            <a:gd name="connsiteY4" fmla="*/ 2047875 h 2201545"/>
                            <a:gd name="connisteX5" fmla="*/ 603250 w 2814955"/>
                            <a:gd name="connsiteY5" fmla="*/ 2190750 h 2201545"/>
                            <a:gd name="connisteX6" fmla="*/ 819785 w 2814955"/>
                            <a:gd name="connsiteY6" fmla="*/ 2201545 h 2201545"/>
                            <a:gd name="connisteX7" fmla="*/ 1063625 w 2814955"/>
                            <a:gd name="connsiteY7" fmla="*/ 1910080 h 2201545"/>
                            <a:gd name="connisteX8" fmla="*/ 1560830 w 2814955"/>
                            <a:gd name="connsiteY8" fmla="*/ 1757045 h 2201545"/>
                            <a:gd name="connisteX9" fmla="*/ 2587625 w 2814955"/>
                            <a:gd name="connsiteY9" fmla="*/ 1074420 h 2201545"/>
                            <a:gd name="connisteX10" fmla="*/ 2656205 w 2814955"/>
                            <a:gd name="connsiteY10" fmla="*/ 508000 h 2201545"/>
                            <a:gd name="connisteX11" fmla="*/ 2814955 w 2814955"/>
                            <a:gd name="connsiteY11" fmla="*/ 132080 h 2201545"/>
                            <a:gd name="connisteX12" fmla="*/ 2724785 w 2814955"/>
                            <a:gd name="connsiteY12" fmla="*/ 0 h 2201545"/>
                            <a:gd name="connisteX13" fmla="*/ 2444750 w 2814955"/>
                            <a:gd name="connsiteY13" fmla="*/ 0 h 2201545"/>
                            <a:gd name="connisteX14" fmla="*/ 2486660 w 2814955"/>
                            <a:gd name="connsiteY14" fmla="*/ 132080 h 2201545"/>
                            <a:gd name="connisteX15" fmla="*/ 2386330 w 2814955"/>
                            <a:gd name="connsiteY15" fmla="*/ 195580 h 2201545"/>
                            <a:gd name="connisteX16" fmla="*/ 2010410 w 2814955"/>
                            <a:gd name="connsiteY16" fmla="*/ 137795 h 2201545"/>
                            <a:gd name="connisteX17" fmla="*/ 1195705 w 2814955"/>
                            <a:gd name="connsiteY17" fmla="*/ 312420 h 220154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Lst>
                          <a:rect l="l" t="t" r="r" b="b"/>
                          <a:pathLst>
                            <a:path w="2814955" h="2201545">
                              <a:moveTo>
                                <a:pt x="1195705" y="312420"/>
                              </a:moveTo>
                              <a:lnTo>
                                <a:pt x="132080" y="1084580"/>
                              </a:lnTo>
                              <a:lnTo>
                                <a:pt x="0" y="1656080"/>
                              </a:lnTo>
                              <a:lnTo>
                                <a:pt x="365125" y="2084705"/>
                              </a:lnTo>
                              <a:lnTo>
                                <a:pt x="555625" y="2047875"/>
                              </a:lnTo>
                              <a:lnTo>
                                <a:pt x="603250" y="2190750"/>
                              </a:lnTo>
                              <a:lnTo>
                                <a:pt x="819785" y="2201545"/>
                              </a:lnTo>
                              <a:lnTo>
                                <a:pt x="1063625" y="1910080"/>
                              </a:lnTo>
                              <a:lnTo>
                                <a:pt x="1560830" y="1757045"/>
                              </a:lnTo>
                              <a:lnTo>
                                <a:pt x="2587625" y="1074420"/>
                              </a:lnTo>
                              <a:lnTo>
                                <a:pt x="2656205" y="508000"/>
                              </a:lnTo>
                              <a:lnTo>
                                <a:pt x="2814955" y="132080"/>
                              </a:lnTo>
                              <a:lnTo>
                                <a:pt x="2724785" y="0"/>
                              </a:lnTo>
                              <a:lnTo>
                                <a:pt x="2444750" y="0"/>
                              </a:lnTo>
                              <a:lnTo>
                                <a:pt x="2486660" y="132080"/>
                              </a:lnTo>
                              <a:lnTo>
                                <a:pt x="2386330" y="195580"/>
                              </a:lnTo>
                              <a:lnTo>
                                <a:pt x="2010410" y="137795"/>
                              </a:lnTo>
                              <a:lnTo>
                                <a:pt x="1195705" y="312420"/>
                              </a:lnTo>
                              <a:close/>
                            </a:path>
                          </a:pathLst>
                        </a:cu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224.8pt;margin-top:99.2pt;height:173.35pt;width:221.65pt;z-index:251702272;mso-width-relative:page;mso-height-relative:page;" filled="f" stroked="t" coordsize="2814955,2201545" o:gfxdata="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" path="m1195705,312420l132080,1084580,0,1656080,365125,2084705,555625,2047875,603250,2190750,819785,2201545,1063625,1910080,1560830,1757045,2587625,1074420,2656205,508000,2814955,132080,2724785,0,2444750,0,2486660,132080,2386330,195580,2010410,137795,1195705,312420xe">
                <v:path o:connectlocs="1195705,312420;132080,1084580;0,1656080;365125,2084705;555625,2047875;603250,2190750;819785,2201545;1063625,1910080;1560830,1757045;2587625,1074420;2656205,508000;2814955,132080;2724785,0;2444750,0;2486660,132080;2386330,195580;2010410,137795;1195705,312420" o:connectangles="0,0,0,0,0,0,0,0,0,0,0,0,0,0,0,0,0,0"/>
                <v:fill on="f" focussize="0,0"/>
                <v:stroke weight="1pt" color="#00B050 [3204]" miterlimit="8" joinstyle="miter"/>
                <v:imagedata o:title=""/>
                <o:lock v:ext="edit" aspectratio="f"/>
              </v:shape>
            </w:pict>
          </mc:Fallback>
        </mc:AlternateContent>
      </w:r>
    </w:p>
    <w:p>
      <w:pPr>
        <w:pageBreakBefore w:val="0"/>
        <w:wordWrap/>
        <w:bidi w:val="0"/>
        <w:adjustRightInd w:val="0"/>
        <w:snapToGrid w:val="0"/>
        <w:spacing w:line="360" w:lineRule="auto"/>
        <w:ind w:left="0" w:leftChars="0" w:right="0" w:rightChars="0"/>
        <w:jc w:val="center"/>
        <w:rPr>
          <w:rFonts w:hint="default" w:ascii="Times New Roman" w:hAnsi="Times New Roman" w:eastAsia="宋体" w:cs="Times New Roman"/>
          <w:b/>
          <w:bCs/>
          <w:color w:val="auto"/>
          <w:sz w:val="24"/>
          <w:szCs w:val="24"/>
          <w:highlight w:val="none"/>
        </w:rPr>
        <w:sectPr>
          <w:pgSz w:w="16838" w:h="11906" w:orient="landscape"/>
          <w:pgMar w:top="1440" w:right="1800" w:bottom="1440" w:left="1800" w:header="851" w:footer="992" w:gutter="0"/>
          <w:pgNumType w:fmt="decimal"/>
          <w:cols w:space="720" w:num="1"/>
          <w:docGrid w:type="lines" w:linePitch="312" w:charSpace="0"/>
        </w:sectPr>
      </w:pPr>
      <w:r>
        <w:rPr>
          <w:rFonts w:hint="default" w:ascii="Times New Roman" w:hAnsi="Times New Roman" w:eastAsia="宋体" w:cs="Times New Roman"/>
          <w:b/>
          <w:bCs/>
          <w:color w:val="auto"/>
          <w:sz w:val="24"/>
          <w:szCs w:val="24"/>
          <w:highlight w:val="none"/>
        </w:rPr>
        <w:t>图</w:t>
      </w:r>
      <w:r>
        <w:rPr>
          <w:rFonts w:hint="default" w:ascii="Times New Roman" w:hAnsi="Times New Roman" w:eastAsia="宋体" w:cs="Times New Roman"/>
          <w:b/>
          <w:bCs/>
          <w:color w:val="auto"/>
          <w:sz w:val="24"/>
          <w:szCs w:val="24"/>
          <w:highlight w:val="none"/>
          <w:lang w:val="en-US" w:eastAsia="zh-CN"/>
        </w:rPr>
        <w:t>5-3土壤</w:t>
      </w:r>
      <w:r>
        <w:rPr>
          <w:rFonts w:hint="default" w:ascii="Times New Roman" w:hAnsi="Times New Roman" w:eastAsia="宋体" w:cs="Times New Roman"/>
          <w:b/>
          <w:bCs/>
          <w:color w:val="auto"/>
          <w:sz w:val="24"/>
          <w:szCs w:val="24"/>
          <w:highlight w:val="none"/>
        </w:rPr>
        <w:t>环境</w:t>
      </w:r>
      <w:r>
        <w:rPr>
          <w:rFonts w:hint="default" w:ascii="Times New Roman" w:hAnsi="Times New Roman" w:eastAsia="宋体" w:cs="Times New Roman"/>
          <w:b/>
          <w:bCs/>
          <w:color w:val="auto"/>
          <w:sz w:val="24"/>
          <w:szCs w:val="24"/>
          <w:highlight w:val="none"/>
          <w:lang w:eastAsia="zh-CN"/>
        </w:rPr>
        <w:t>和声环境</w:t>
      </w:r>
      <w:r>
        <w:rPr>
          <w:rFonts w:hint="default" w:ascii="Times New Roman" w:hAnsi="Times New Roman" w:eastAsia="宋体" w:cs="Times New Roman"/>
          <w:b/>
          <w:bCs/>
          <w:color w:val="auto"/>
          <w:sz w:val="24"/>
          <w:szCs w:val="24"/>
          <w:highlight w:val="none"/>
        </w:rPr>
        <w:t>现状监测布点图</w:t>
      </w:r>
    </w:p>
    <w:p>
      <w:pPr>
        <w:pStyle w:val="4"/>
        <w:pageBreakBefore w:val="0"/>
        <w:widowControl w:val="0"/>
        <w:numPr>
          <w:ilvl w:val="1"/>
          <w:numId w:val="0"/>
        </w:numPr>
        <w:kinsoku/>
        <w:wordWrap/>
        <w:overflowPunct/>
        <w:autoSpaceDN/>
        <w:bidi w:val="0"/>
        <w:adjustRightInd/>
        <w:spacing w:line="360" w:lineRule="auto"/>
        <w:ind w:left="0" w:leftChars="0" w:right="0" w:rightChars="0" w:firstLine="0" w:firstLineChars="0"/>
        <w:textAlignment w:val="auto"/>
        <w:rPr>
          <w:rFonts w:hint="default" w:ascii="Times New Roman" w:hAnsi="Times New Roman" w:eastAsia="宋体" w:cs="Times New Roman"/>
          <w:b/>
          <w:bCs w:val="0"/>
          <w:color w:val="auto"/>
          <w:highlight w:val="none"/>
        </w:rPr>
      </w:pPr>
      <w:bookmarkStart w:id="852" w:name="_Toc22101"/>
      <w:bookmarkStart w:id="853" w:name="_Toc46421122"/>
      <w:bookmarkStart w:id="854" w:name="_Toc10792"/>
      <w:bookmarkStart w:id="855" w:name="_Toc21335"/>
      <w:r>
        <w:rPr>
          <w:rFonts w:hint="default" w:ascii="Times New Roman" w:hAnsi="Times New Roman" w:eastAsia="宋体" w:cs="Times New Roman"/>
          <w:b/>
          <w:bCs w:val="0"/>
          <w:color w:val="auto"/>
          <w:highlight w:val="none"/>
          <w:lang w:val="en-US" w:eastAsia="zh-CN"/>
        </w:rPr>
        <w:t>5.5</w:t>
      </w:r>
      <w:r>
        <w:rPr>
          <w:rFonts w:hint="default" w:ascii="Times New Roman" w:hAnsi="Times New Roman" w:eastAsia="宋体" w:cs="Times New Roman"/>
          <w:b/>
          <w:bCs w:val="0"/>
          <w:color w:val="auto"/>
          <w:highlight w:val="none"/>
        </w:rPr>
        <w:t>生态环境现状调查与评价</w:t>
      </w:r>
      <w:bookmarkEnd w:id="852"/>
      <w:bookmarkEnd w:id="853"/>
      <w:bookmarkEnd w:id="854"/>
      <w:bookmarkEnd w:id="855"/>
    </w:p>
    <w:p>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firstLine="480" w:firstLineChars="200"/>
        <w:jc w:val="left"/>
        <w:textAlignment w:val="auto"/>
        <w:outlineLvl w:val="2"/>
        <w:rPr>
          <w:rFonts w:hint="default" w:ascii="Times New Roman" w:hAnsi="Times New Roman" w:eastAsia="宋体" w:cs="Times New Roman"/>
          <w:color w:val="auto"/>
          <w:sz w:val="24"/>
          <w:szCs w:val="24"/>
          <w:highlight w:val="none"/>
        </w:rPr>
      </w:pPr>
      <w:bookmarkStart w:id="856" w:name="_Toc4532"/>
      <w:bookmarkStart w:id="857" w:name="_Toc2637"/>
      <w:r>
        <w:rPr>
          <w:rFonts w:hint="default" w:ascii="Times New Roman" w:hAnsi="Times New Roman" w:eastAsia="宋体" w:cs="Times New Roman"/>
          <w:color w:val="auto"/>
          <w:sz w:val="24"/>
          <w:szCs w:val="24"/>
          <w:highlight w:val="none"/>
        </w:rPr>
        <w:t>1、遥感数据源的选择与解译</w:t>
      </w:r>
      <w:bookmarkEnd w:id="856"/>
      <w:bookmarkEnd w:id="857"/>
    </w:p>
    <w:p>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firstLine="480" w:firstLineChars="200"/>
        <w:jc w:val="left"/>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本次遥感信息解译使用的信息源为landsat8OLI影像543波段合成</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空间分辨率为</w:t>
      </w:r>
      <w:r>
        <w:rPr>
          <w:rFonts w:hint="default" w:ascii="Times New Roman" w:hAnsi="Times New Roman" w:eastAsia="宋体" w:cs="Times New Roman"/>
          <w:color w:val="auto"/>
          <w:sz w:val="24"/>
          <w:szCs w:val="24"/>
          <w:highlight w:val="none"/>
          <w:lang w:val="en-US" w:eastAsia="zh-CN"/>
        </w:rPr>
        <w:t>30</w:t>
      </w:r>
      <w:r>
        <w:rPr>
          <w:rFonts w:hint="default" w:ascii="Times New Roman" w:hAnsi="Times New Roman" w:eastAsia="宋体" w:cs="Times New Roman"/>
          <w:color w:val="auto"/>
          <w:sz w:val="24"/>
          <w:szCs w:val="24"/>
          <w:highlight w:val="none"/>
        </w:rPr>
        <w:t>m</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成像时间为20</w:t>
      </w:r>
      <w:r>
        <w:rPr>
          <w:rFonts w:hint="default" w:ascii="Times New Roman" w:hAnsi="Times New Roman" w:eastAsia="宋体" w:cs="Times New Roman"/>
          <w:color w:val="auto"/>
          <w:sz w:val="24"/>
          <w:szCs w:val="24"/>
          <w:highlight w:val="none"/>
          <w:lang w:val="en-US" w:eastAsia="zh-CN"/>
        </w:rPr>
        <w:t>21</w:t>
      </w:r>
      <w:r>
        <w:rPr>
          <w:rFonts w:hint="default" w:ascii="Times New Roman" w:hAnsi="Times New Roman" w:eastAsia="宋体" w:cs="Times New Roman"/>
          <w:color w:val="auto"/>
          <w:sz w:val="24"/>
          <w:szCs w:val="24"/>
          <w:highlight w:val="none"/>
        </w:rPr>
        <w:t>年</w:t>
      </w:r>
      <w:r>
        <w:rPr>
          <w:rFonts w:hint="default" w:ascii="Times New Roman" w:hAnsi="Times New Roman" w:eastAsia="宋体" w:cs="Times New Roman"/>
          <w:color w:val="auto"/>
          <w:sz w:val="24"/>
          <w:szCs w:val="24"/>
          <w:highlight w:val="none"/>
          <w:lang w:val="en-US" w:eastAsia="zh-CN"/>
        </w:rPr>
        <w:t>8</w:t>
      </w:r>
      <w:r>
        <w:rPr>
          <w:rFonts w:hint="default" w:ascii="Times New Roman" w:hAnsi="Times New Roman" w:eastAsia="宋体" w:cs="Times New Roman"/>
          <w:color w:val="auto"/>
          <w:sz w:val="24"/>
          <w:szCs w:val="24"/>
          <w:highlight w:val="none"/>
        </w:rPr>
        <w:t>月。</w:t>
      </w:r>
    </w:p>
    <w:p>
      <w:pPr>
        <w:keepNext w:val="0"/>
        <w:keepLines w:val="0"/>
        <w:pageBreakBefore w:val="0"/>
        <w:widowControl w:val="0"/>
        <w:kinsoku/>
        <w:wordWrap/>
        <w:overflowPunct/>
        <w:topLinePunct/>
        <w:autoSpaceDE w:val="0"/>
        <w:autoSpaceDN/>
        <w:bidi w:val="0"/>
        <w:adjustRightInd/>
        <w:spacing w:line="360" w:lineRule="auto"/>
        <w:ind w:left="0" w:leftChars="0" w:right="0" w:rightChars="0" w:firstLine="480" w:firstLineChars="200"/>
        <w:jc w:val="left"/>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通过遥感解译与地面调查相结合的方式获取评价范围土地利用、植被类型、土壤侵蚀、景观类型等数据</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最终</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利用GIS软件完成评价范围内各种生态图件的制作。</w:t>
      </w:r>
    </w:p>
    <w:p>
      <w:pPr>
        <w:keepNext w:val="0"/>
        <w:keepLines w:val="0"/>
        <w:pageBreakBefore w:val="0"/>
        <w:widowControl w:val="0"/>
        <w:kinsoku/>
        <w:wordWrap/>
        <w:overflowPunct/>
        <w:topLinePunct/>
        <w:autoSpaceDE w:val="0"/>
        <w:autoSpaceDN/>
        <w:bidi w:val="0"/>
        <w:adjustRightInd/>
        <w:spacing w:line="360" w:lineRule="auto"/>
        <w:ind w:left="0" w:leftChars="0" w:right="0" w:rightChars="0" w:firstLine="480" w:firstLineChars="200"/>
        <w:textAlignment w:val="auto"/>
        <w:outlineLvl w:val="2"/>
        <w:rPr>
          <w:rFonts w:hint="default" w:ascii="Times New Roman" w:hAnsi="Times New Roman" w:eastAsia="宋体" w:cs="Times New Roman"/>
          <w:color w:val="auto"/>
          <w:sz w:val="24"/>
          <w:szCs w:val="24"/>
          <w:highlight w:val="none"/>
        </w:rPr>
      </w:pPr>
      <w:bookmarkStart w:id="858" w:name="_Toc21567"/>
      <w:bookmarkStart w:id="859" w:name="_Toc6299"/>
      <w:bookmarkStart w:id="860" w:name="_Toc28276"/>
      <w:bookmarkStart w:id="861" w:name="_Toc31451"/>
      <w:bookmarkStart w:id="862" w:name="_Toc5335"/>
      <w:bookmarkStart w:id="863" w:name="_Toc15260"/>
      <w:bookmarkStart w:id="864" w:name="_Toc15827"/>
      <w:r>
        <w:rPr>
          <w:rFonts w:hint="default" w:ascii="Times New Roman" w:hAnsi="Times New Roman" w:eastAsia="宋体" w:cs="Times New Roman"/>
          <w:color w:val="auto"/>
          <w:sz w:val="24"/>
          <w:szCs w:val="24"/>
          <w:highlight w:val="none"/>
        </w:rPr>
        <w:t>2、现场调查</w:t>
      </w:r>
      <w:bookmarkEnd w:id="858"/>
      <w:bookmarkEnd w:id="859"/>
      <w:bookmarkEnd w:id="860"/>
      <w:bookmarkEnd w:id="861"/>
      <w:bookmarkEnd w:id="862"/>
      <w:bookmarkEnd w:id="863"/>
      <w:bookmarkEnd w:id="864"/>
    </w:p>
    <w:p>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地面调查主要采取以实地调查为主</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收集资料为辅相结合的方法。实地调查掌握项目区范围内自然生态的基本情况以及各种水土保持项目的情况。</w:t>
      </w:r>
    </w:p>
    <w:p>
      <w:pPr>
        <w:keepNext w:val="0"/>
        <w:keepLines w:val="0"/>
        <w:pageBreakBefore w:val="0"/>
        <w:widowControl w:val="0"/>
        <w:kinsoku/>
        <w:wordWrap/>
        <w:overflowPunct/>
        <w:topLinePunct/>
        <w:autoSpaceDE w:val="0"/>
        <w:autoSpaceDN/>
        <w:bidi w:val="0"/>
        <w:adjustRightInd/>
        <w:snapToGrid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现场调查使用1/</w:t>
      </w:r>
      <w:r>
        <w:rPr>
          <w:rFonts w:hint="default" w:ascii="Times New Roman" w:hAnsi="Times New Roman" w:eastAsia="宋体" w:cs="Times New Roman"/>
          <w:color w:val="auto"/>
          <w:sz w:val="24"/>
          <w:szCs w:val="24"/>
          <w:highlight w:val="none"/>
          <w:lang w:eastAsia="zh-CN"/>
        </w:rPr>
        <w:t>12100</w:t>
      </w:r>
      <w:r>
        <w:rPr>
          <w:rFonts w:hint="default" w:ascii="Times New Roman" w:hAnsi="Times New Roman" w:eastAsia="宋体" w:cs="Times New Roman"/>
          <w:color w:val="auto"/>
          <w:sz w:val="24"/>
          <w:szCs w:val="24"/>
          <w:highlight w:val="none"/>
        </w:rPr>
        <w:t>地形图和全球定位系统。在实地调查的基础上</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结合卫星影像图</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取得植被组成、土地利用现状等第一手资料</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最后利用REGIONMANAGER处理软件绘制评价区1/50000相关生态图件和数据统计表。</w:t>
      </w:r>
    </w:p>
    <w:p>
      <w:pPr>
        <w:keepNext w:val="0"/>
        <w:keepLines w:val="0"/>
        <w:pageBreakBefore w:val="0"/>
        <w:widowControl w:val="0"/>
        <w:kinsoku/>
        <w:wordWrap/>
        <w:overflowPunct/>
        <w:topLinePunct/>
        <w:autoSpaceDE w:val="0"/>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以项目区边界外扩1.0km</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作为本次生态现状的评价范围</w:t>
      </w:r>
      <w:r>
        <w:rPr>
          <w:rFonts w:hint="default" w:ascii="Times New Roman" w:hAnsi="Times New Roman" w:eastAsia="宋体" w:cs="Times New Roman"/>
          <w:color w:val="auto"/>
          <w:sz w:val="24"/>
          <w:szCs w:val="24"/>
          <w:highlight w:val="none"/>
          <w:lang w:eastAsia="zh-CN"/>
        </w:rPr>
        <w:t>。</w:t>
      </w:r>
    </w:p>
    <w:p>
      <w:pPr>
        <w:pStyle w:val="5"/>
        <w:pageBreakBefore w:val="0"/>
        <w:widowControl w:val="0"/>
        <w:numPr>
          <w:ilvl w:val="2"/>
          <w:numId w:val="0"/>
        </w:numPr>
        <w:kinsoku/>
        <w:wordWrap/>
        <w:overflowPunct/>
        <w:autoSpaceDN/>
        <w:bidi w:val="0"/>
        <w:adjustRightInd/>
        <w:spacing w:line="360" w:lineRule="auto"/>
        <w:ind w:left="0" w:leftChars="0" w:right="0" w:rightChars="0"/>
        <w:textAlignment w:val="auto"/>
        <w:rPr>
          <w:rFonts w:hint="default" w:ascii="Times New Roman" w:hAnsi="Times New Roman" w:eastAsia="宋体" w:cs="Times New Roman"/>
          <w:b/>
          <w:bCs w:val="0"/>
          <w:color w:val="auto"/>
          <w:sz w:val="24"/>
          <w:szCs w:val="24"/>
          <w:highlight w:val="none"/>
        </w:rPr>
      </w:pPr>
      <w:bookmarkStart w:id="865" w:name="_Toc19466"/>
      <w:bookmarkStart w:id="866" w:name="_Toc10573"/>
      <w:bookmarkStart w:id="867" w:name="_Toc14105"/>
      <w:r>
        <w:rPr>
          <w:rFonts w:hint="default" w:ascii="Times New Roman" w:hAnsi="Times New Roman" w:eastAsia="宋体" w:cs="Times New Roman"/>
          <w:b/>
          <w:bCs w:val="0"/>
          <w:color w:val="auto"/>
          <w:sz w:val="24"/>
          <w:szCs w:val="24"/>
          <w:highlight w:val="none"/>
          <w:lang w:val="en-US" w:eastAsia="zh-CN"/>
        </w:rPr>
        <w:t>5.5.1</w:t>
      </w:r>
      <w:r>
        <w:rPr>
          <w:rFonts w:hint="default" w:ascii="Times New Roman" w:hAnsi="Times New Roman" w:eastAsia="宋体" w:cs="Times New Roman"/>
          <w:b/>
          <w:bCs w:val="0"/>
          <w:color w:val="auto"/>
          <w:sz w:val="24"/>
          <w:szCs w:val="24"/>
          <w:highlight w:val="none"/>
        </w:rPr>
        <w:t>土地利用现状</w:t>
      </w:r>
      <w:bookmarkEnd w:id="865"/>
      <w:bookmarkEnd w:id="866"/>
      <w:bookmarkEnd w:id="867"/>
    </w:p>
    <w:p>
      <w:pPr>
        <w:pageBreakBefore w:val="0"/>
        <w:widowControl w:val="0"/>
        <w:kinsoku/>
        <w:wordWrap/>
        <w:overflowPunct/>
        <w:topLinePunct/>
        <w:autoSpaceDE w:val="0"/>
        <w:autoSpaceDN/>
        <w:bidi w:val="0"/>
        <w:adjustRightInd/>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项目土地利用现状图如图</w:t>
      </w:r>
      <w:r>
        <w:rPr>
          <w:rFonts w:hint="default" w:ascii="Times New Roman" w:hAnsi="Times New Roman" w:eastAsia="宋体" w:cs="Times New Roman"/>
          <w:color w:val="auto"/>
          <w:sz w:val="24"/>
          <w:szCs w:val="24"/>
          <w:highlight w:val="none"/>
          <w:lang w:val="en-US" w:eastAsia="zh-CN"/>
        </w:rPr>
        <w:t>5-4</w:t>
      </w:r>
      <w:r>
        <w:rPr>
          <w:rFonts w:hint="default" w:ascii="Times New Roman" w:hAnsi="Times New Roman" w:eastAsia="宋体" w:cs="Times New Roman"/>
          <w:color w:val="auto"/>
          <w:sz w:val="24"/>
          <w:szCs w:val="24"/>
          <w:highlight w:val="none"/>
        </w:rPr>
        <w:t>所示。</w:t>
      </w:r>
    </w:p>
    <w:p>
      <w:pPr>
        <w:pStyle w:val="7"/>
        <w:pageBreakBefore w:val="0"/>
        <w:widowControl w:val="0"/>
        <w:kinsoku/>
        <w:wordWrap/>
        <w:overflowPunct/>
        <w:topLinePunct/>
        <w:autoSpaceDE w:val="0"/>
        <w:autoSpaceDN/>
        <w:bidi w:val="0"/>
        <w:adjustRightInd/>
        <w:spacing w:line="360" w:lineRule="auto"/>
        <w:ind w:left="0" w:leftChars="0" w:right="0" w:rightChars="0"/>
        <w:jc w:val="center"/>
        <w:textAlignment w:val="auto"/>
        <w:rPr>
          <w:rFonts w:hint="default" w:ascii="Times New Roman" w:hAnsi="Times New Roman" w:eastAsia="宋体" w:cs="Times New Roman"/>
          <w:b/>
          <w:bCs w:val="0"/>
          <w:color w:val="auto"/>
          <w:sz w:val="24"/>
          <w:szCs w:val="24"/>
          <w:highlight w:val="none"/>
        </w:rPr>
      </w:pPr>
      <w:r>
        <w:rPr>
          <w:rFonts w:hint="default" w:ascii="Times New Roman" w:hAnsi="Times New Roman" w:eastAsia="宋体" w:cs="Times New Roman"/>
          <w:b/>
          <w:bCs w:val="0"/>
          <w:color w:val="auto"/>
          <w:sz w:val="24"/>
          <w:szCs w:val="24"/>
          <w:highlight w:val="none"/>
        </w:rPr>
        <w:t>表</w:t>
      </w:r>
      <w:r>
        <w:rPr>
          <w:rFonts w:hint="default" w:ascii="Times New Roman" w:hAnsi="Times New Roman" w:eastAsia="宋体" w:cs="Times New Roman"/>
          <w:b/>
          <w:bCs w:val="0"/>
          <w:color w:val="auto"/>
          <w:sz w:val="24"/>
          <w:szCs w:val="24"/>
          <w:highlight w:val="none"/>
          <w:lang w:val="en-US" w:eastAsia="zh-CN"/>
        </w:rPr>
        <w:t>5-20</w:t>
      </w:r>
      <w:r>
        <w:rPr>
          <w:rFonts w:hint="default" w:ascii="Times New Roman" w:hAnsi="Times New Roman" w:eastAsia="宋体" w:cs="Times New Roman"/>
          <w:b/>
          <w:bCs w:val="0"/>
          <w:color w:val="auto"/>
          <w:sz w:val="24"/>
          <w:szCs w:val="24"/>
          <w:highlight w:val="none"/>
          <w:lang w:eastAsia="zh-CN"/>
        </w:rPr>
        <w:t>评价区</w:t>
      </w:r>
      <w:r>
        <w:rPr>
          <w:rFonts w:hint="default" w:ascii="Times New Roman" w:hAnsi="Times New Roman" w:eastAsia="宋体" w:cs="Times New Roman"/>
          <w:b/>
          <w:bCs w:val="0"/>
          <w:color w:val="auto"/>
          <w:sz w:val="24"/>
          <w:szCs w:val="24"/>
          <w:highlight w:val="none"/>
        </w:rPr>
        <w:t>土地利用类型统计表</w:t>
      </w:r>
    </w:p>
    <w:tbl>
      <w:tblPr>
        <w:tblStyle w:val="54"/>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705"/>
        <w:gridCol w:w="1705"/>
        <w:gridCol w:w="1706"/>
        <w:gridCol w:w="1706"/>
        <w:gridCol w:w="170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705"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autoSpaceDE w:val="0"/>
              <w:autoSpaceDN/>
              <w:bidi w:val="0"/>
              <w:adjustRightInd/>
              <w:snapToGrid/>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一级类型</w:t>
            </w:r>
          </w:p>
        </w:tc>
        <w:tc>
          <w:tcPr>
            <w:tcW w:w="1705"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autoSpaceDE w:val="0"/>
              <w:autoSpaceDN/>
              <w:bidi w:val="0"/>
              <w:adjustRightInd/>
              <w:snapToGrid/>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二级类型</w:t>
            </w:r>
          </w:p>
        </w:tc>
        <w:tc>
          <w:tcPr>
            <w:tcW w:w="170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517"/>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斑块数（个）</w:t>
            </w:r>
          </w:p>
        </w:tc>
        <w:tc>
          <w:tcPr>
            <w:tcW w:w="170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517"/>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面积（m</w:t>
            </w:r>
            <w:r>
              <w:rPr>
                <w:rFonts w:hint="default" w:ascii="Times New Roman" w:hAnsi="Times New Roman" w:eastAsia="宋体" w:cs="Times New Roman"/>
                <w:color w:val="auto"/>
                <w:sz w:val="21"/>
                <w:szCs w:val="21"/>
                <w:highlight w:val="none"/>
                <w:vertAlign w:val="superscript"/>
                <w:lang w:eastAsia="zh-CN"/>
              </w:rPr>
              <w:t>2</w:t>
            </w:r>
            <w:r>
              <w:rPr>
                <w:rFonts w:hint="default" w:ascii="Times New Roman" w:hAnsi="Times New Roman" w:eastAsia="宋体" w:cs="Times New Roman"/>
                <w:color w:val="auto"/>
                <w:sz w:val="21"/>
                <w:szCs w:val="21"/>
                <w:highlight w:val="none"/>
                <w:lang w:eastAsia="zh-CN"/>
              </w:rPr>
              <w:t>）</w:t>
            </w:r>
          </w:p>
        </w:tc>
        <w:tc>
          <w:tcPr>
            <w:tcW w:w="1706" w:type="dxa"/>
            <w:tcBorders>
              <w:top w:val="single" w:color="auto" w:sz="4" w:space="0"/>
              <w:left w:val="single" w:color="auto" w:sz="4" w:space="0"/>
              <w:bottom w:val="single" w:color="auto" w:sz="4" w:space="0"/>
              <w:right w:val="single" w:color="auto" w:sz="4" w:space="0"/>
            </w:tcBorders>
            <w:shd w:val="clear" w:color="auto" w:fill="auto"/>
            <w:noWrap/>
            <w:vAlign w:val="center"/>
          </w:tcPr>
          <w:p>
            <w:pPr>
              <w:pStyle w:val="517"/>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占总面积比例（%）</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705"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suppressLineNumbers w:val="0"/>
              <w:wordWrap/>
              <w:bidi w:val="0"/>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耕地</w:t>
            </w:r>
          </w:p>
        </w:tc>
        <w:tc>
          <w:tcPr>
            <w:tcW w:w="1705"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suppressLineNumbers w:val="0"/>
              <w:wordWrap/>
              <w:bidi w:val="0"/>
              <w:ind w:left="0" w:leftChars="0" w:right="0" w:rightChars="0"/>
              <w:jc w:val="left"/>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水浇地</w:t>
            </w:r>
          </w:p>
        </w:tc>
        <w:tc>
          <w:tcPr>
            <w:tcW w:w="1706"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suppressLineNumbers w:val="0"/>
              <w:wordWrap/>
              <w:bidi w:val="0"/>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4</w:t>
            </w:r>
          </w:p>
        </w:tc>
        <w:tc>
          <w:tcPr>
            <w:tcW w:w="1706"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suppressLineNumbers w:val="0"/>
              <w:wordWrap/>
              <w:bidi w:val="0"/>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53793.97</w:t>
            </w:r>
          </w:p>
        </w:tc>
        <w:tc>
          <w:tcPr>
            <w:tcW w:w="1706"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705"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suppressLineNumbers w:val="0"/>
              <w:wordWrap/>
              <w:bidi w:val="0"/>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林地</w:t>
            </w:r>
          </w:p>
        </w:tc>
        <w:tc>
          <w:tcPr>
            <w:tcW w:w="1705"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suppressLineNumbers w:val="0"/>
              <w:wordWrap/>
              <w:bidi w:val="0"/>
              <w:ind w:left="0" w:leftChars="0" w:right="0" w:rightChars="0"/>
              <w:jc w:val="left"/>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其他林地</w:t>
            </w:r>
          </w:p>
        </w:tc>
        <w:tc>
          <w:tcPr>
            <w:tcW w:w="1706"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suppressLineNumbers w:val="0"/>
              <w:wordWrap/>
              <w:bidi w:val="0"/>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21</w:t>
            </w:r>
          </w:p>
        </w:tc>
        <w:tc>
          <w:tcPr>
            <w:tcW w:w="1706"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suppressLineNumbers w:val="0"/>
              <w:wordWrap/>
              <w:bidi w:val="0"/>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967715.84</w:t>
            </w:r>
          </w:p>
        </w:tc>
        <w:tc>
          <w:tcPr>
            <w:tcW w:w="1706"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13.1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705"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suppressLineNumbers w:val="0"/>
              <w:wordWrap/>
              <w:bidi w:val="0"/>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草地</w:t>
            </w:r>
          </w:p>
        </w:tc>
        <w:tc>
          <w:tcPr>
            <w:tcW w:w="1705"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suppressLineNumbers w:val="0"/>
              <w:wordWrap/>
              <w:bidi w:val="0"/>
              <w:ind w:left="0" w:leftChars="0" w:right="0" w:rightChars="0"/>
              <w:jc w:val="left"/>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天然牧草地</w:t>
            </w:r>
          </w:p>
        </w:tc>
        <w:tc>
          <w:tcPr>
            <w:tcW w:w="1706"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suppressLineNumbers w:val="0"/>
              <w:wordWrap/>
              <w:bidi w:val="0"/>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20</w:t>
            </w:r>
          </w:p>
        </w:tc>
        <w:tc>
          <w:tcPr>
            <w:tcW w:w="1706"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suppressLineNumbers w:val="0"/>
              <w:wordWrap/>
              <w:bidi w:val="0"/>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4771246.97</w:t>
            </w:r>
          </w:p>
        </w:tc>
        <w:tc>
          <w:tcPr>
            <w:tcW w:w="1706"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64.8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705"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suppressLineNumbers w:val="0"/>
              <w:wordWrap/>
              <w:bidi w:val="0"/>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住宅用地</w:t>
            </w:r>
          </w:p>
        </w:tc>
        <w:tc>
          <w:tcPr>
            <w:tcW w:w="1705"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suppressLineNumbers w:val="0"/>
              <w:wordWrap/>
              <w:bidi w:val="0"/>
              <w:ind w:left="0" w:leftChars="0" w:right="0" w:rightChars="0"/>
              <w:jc w:val="left"/>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农村宅基地</w:t>
            </w:r>
          </w:p>
        </w:tc>
        <w:tc>
          <w:tcPr>
            <w:tcW w:w="1706"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suppressLineNumbers w:val="0"/>
              <w:wordWrap/>
              <w:bidi w:val="0"/>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w:t>
            </w:r>
          </w:p>
        </w:tc>
        <w:tc>
          <w:tcPr>
            <w:tcW w:w="1706"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suppressLineNumbers w:val="0"/>
              <w:wordWrap/>
              <w:bidi w:val="0"/>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3901.84</w:t>
            </w:r>
          </w:p>
        </w:tc>
        <w:tc>
          <w:tcPr>
            <w:tcW w:w="1706"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705"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suppressLineNumbers w:val="0"/>
              <w:wordWrap/>
              <w:bidi w:val="0"/>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工矿仓储用地</w:t>
            </w:r>
          </w:p>
        </w:tc>
        <w:tc>
          <w:tcPr>
            <w:tcW w:w="1705"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suppressLineNumbers w:val="0"/>
              <w:wordWrap/>
              <w:bidi w:val="0"/>
              <w:ind w:left="0" w:leftChars="0" w:right="0" w:rightChars="0"/>
              <w:jc w:val="left"/>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采矿用地</w:t>
            </w:r>
          </w:p>
        </w:tc>
        <w:tc>
          <w:tcPr>
            <w:tcW w:w="1706"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suppressLineNumbers w:val="0"/>
              <w:wordWrap/>
              <w:bidi w:val="0"/>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7</w:t>
            </w:r>
          </w:p>
        </w:tc>
        <w:tc>
          <w:tcPr>
            <w:tcW w:w="1706"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suppressLineNumbers w:val="0"/>
              <w:wordWrap/>
              <w:bidi w:val="0"/>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1204548.42</w:t>
            </w:r>
          </w:p>
        </w:tc>
        <w:tc>
          <w:tcPr>
            <w:tcW w:w="1706"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16.4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705"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suppressLineNumbers w:val="0"/>
              <w:wordWrap/>
              <w:bidi w:val="0"/>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水利及水利设施用地</w:t>
            </w:r>
          </w:p>
        </w:tc>
        <w:tc>
          <w:tcPr>
            <w:tcW w:w="1705"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suppressLineNumbers w:val="0"/>
              <w:wordWrap/>
              <w:bidi w:val="0"/>
              <w:ind w:left="0" w:leftChars="0" w:right="0" w:rightChars="0"/>
              <w:jc w:val="left"/>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内陆滩涂</w:t>
            </w:r>
          </w:p>
        </w:tc>
        <w:tc>
          <w:tcPr>
            <w:tcW w:w="1706"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suppressLineNumbers w:val="0"/>
              <w:wordWrap/>
              <w:bidi w:val="0"/>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3</w:t>
            </w:r>
          </w:p>
        </w:tc>
        <w:tc>
          <w:tcPr>
            <w:tcW w:w="1706"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suppressLineNumbers w:val="0"/>
              <w:wordWrap/>
              <w:bidi w:val="0"/>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279364.37</w:t>
            </w:r>
          </w:p>
        </w:tc>
        <w:tc>
          <w:tcPr>
            <w:tcW w:w="1706"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3.8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705"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pageBreakBefore w:val="0"/>
              <w:wordWrap/>
              <w:bidi w:val="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p>
        </w:tc>
        <w:tc>
          <w:tcPr>
            <w:tcW w:w="1705"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suppressLineNumbers w:val="0"/>
              <w:wordWrap/>
              <w:bidi w:val="0"/>
              <w:ind w:left="0" w:leftChars="0" w:right="0" w:rightChars="0"/>
              <w:jc w:val="left"/>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坑塘水面</w:t>
            </w:r>
          </w:p>
        </w:tc>
        <w:tc>
          <w:tcPr>
            <w:tcW w:w="1706"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suppressLineNumbers w:val="0"/>
              <w:wordWrap/>
              <w:bidi w:val="0"/>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w:t>
            </w:r>
          </w:p>
        </w:tc>
        <w:tc>
          <w:tcPr>
            <w:tcW w:w="1706"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suppressLineNumbers w:val="0"/>
              <w:wordWrap/>
              <w:bidi w:val="0"/>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86530.22</w:t>
            </w:r>
          </w:p>
        </w:tc>
        <w:tc>
          <w:tcPr>
            <w:tcW w:w="1706"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705"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总计</w:t>
            </w:r>
          </w:p>
        </w:tc>
        <w:tc>
          <w:tcPr>
            <w:tcW w:w="1705"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1706"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suppressLineNumbers w:val="0"/>
              <w:wordWrap/>
              <w:bidi w:val="0"/>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58</w:t>
            </w:r>
          </w:p>
        </w:tc>
        <w:tc>
          <w:tcPr>
            <w:tcW w:w="1706"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suppressLineNumbers w:val="0"/>
              <w:wordWrap/>
              <w:bidi w:val="0"/>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7367101.63</w:t>
            </w:r>
          </w:p>
        </w:tc>
        <w:tc>
          <w:tcPr>
            <w:tcW w:w="1706"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100.00</w:t>
            </w:r>
          </w:p>
        </w:tc>
      </w:tr>
    </w:tbl>
    <w:p>
      <w:pPr>
        <w:pStyle w:val="7"/>
        <w:pageBreakBefore w:val="0"/>
        <w:wordWrap/>
        <w:bidi w:val="0"/>
        <w:ind w:left="0" w:leftChars="0" w:right="0" w:rightChars="0"/>
        <w:jc w:val="center"/>
        <w:rPr>
          <w:rFonts w:hint="default" w:ascii="Times New Roman" w:hAnsi="Times New Roman" w:eastAsia="宋体" w:cs="Times New Roman"/>
          <w:b/>
          <w:bCs w:val="0"/>
          <w:color w:val="auto"/>
          <w:highlight w:val="none"/>
        </w:rPr>
      </w:pPr>
      <w:r>
        <w:rPr>
          <w:rFonts w:hint="default" w:ascii="Times New Roman" w:hAnsi="Times New Roman" w:eastAsia="宋体" w:cs="Times New Roman"/>
          <w:b/>
          <w:bCs w:val="0"/>
          <w:color w:val="auto"/>
          <w:highlight w:val="none"/>
        </w:rPr>
        <w:t>表</w:t>
      </w:r>
      <w:r>
        <w:rPr>
          <w:rFonts w:hint="default" w:ascii="Times New Roman" w:hAnsi="Times New Roman" w:eastAsia="宋体" w:cs="Times New Roman"/>
          <w:b/>
          <w:bCs w:val="0"/>
          <w:color w:val="auto"/>
          <w:highlight w:val="none"/>
          <w:lang w:val="en-US" w:eastAsia="zh-CN"/>
        </w:rPr>
        <w:t>5</w:t>
      </w:r>
      <w:r>
        <w:rPr>
          <w:rFonts w:hint="default" w:ascii="Times New Roman" w:hAnsi="Times New Roman" w:eastAsia="宋体" w:cs="Times New Roman"/>
          <w:b/>
          <w:bCs w:val="0"/>
          <w:color w:val="auto"/>
          <w:highlight w:val="none"/>
        </w:rPr>
        <w:t>-</w:t>
      </w:r>
      <w:r>
        <w:rPr>
          <w:rFonts w:hint="default" w:ascii="Times New Roman" w:hAnsi="Times New Roman" w:eastAsia="宋体" w:cs="Times New Roman"/>
          <w:b/>
          <w:bCs w:val="0"/>
          <w:color w:val="auto"/>
          <w:highlight w:val="none"/>
          <w:lang w:val="en-US" w:eastAsia="zh-CN"/>
        </w:rPr>
        <w:t>21</w:t>
      </w:r>
      <w:r>
        <w:rPr>
          <w:rFonts w:hint="default" w:ascii="Times New Roman" w:hAnsi="Times New Roman" w:eastAsia="宋体" w:cs="Times New Roman"/>
          <w:b/>
          <w:bCs w:val="0"/>
          <w:color w:val="auto"/>
          <w:highlight w:val="none"/>
        </w:rPr>
        <w:t>项目</w:t>
      </w:r>
      <w:r>
        <w:rPr>
          <w:rFonts w:hint="default" w:ascii="Times New Roman" w:hAnsi="Times New Roman" w:eastAsia="宋体" w:cs="Times New Roman"/>
          <w:b/>
          <w:bCs w:val="0"/>
          <w:color w:val="auto"/>
          <w:highlight w:val="none"/>
          <w:lang w:eastAsia="zh-CN"/>
        </w:rPr>
        <w:t>区</w:t>
      </w:r>
      <w:r>
        <w:rPr>
          <w:rFonts w:hint="default" w:ascii="Times New Roman" w:hAnsi="Times New Roman" w:eastAsia="宋体" w:cs="Times New Roman"/>
          <w:b/>
          <w:bCs w:val="0"/>
          <w:color w:val="auto"/>
          <w:highlight w:val="none"/>
        </w:rPr>
        <w:t>土地利用类型统计表</w:t>
      </w:r>
    </w:p>
    <w:tbl>
      <w:tblPr>
        <w:tblStyle w:val="54"/>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704"/>
        <w:gridCol w:w="1704"/>
        <w:gridCol w:w="1705"/>
        <w:gridCol w:w="1705"/>
        <w:gridCol w:w="170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一级类型</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二级类型</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斑块数（个）</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面积（m2）</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占总面积比例（%）</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林地</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其他林地</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4</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73822.40</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12.5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草地</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天然牧草地</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4</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235623.52</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39.8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工矿仓储用地</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采矿用地</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4</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195823.86</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33.1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水利及水利设施用地</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内陆滩涂</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86530.22</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14.6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总计</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13</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591800.00</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100.00</w:t>
            </w:r>
          </w:p>
        </w:tc>
      </w:tr>
    </w:tbl>
    <w:p>
      <w:pPr>
        <w:pStyle w:val="5"/>
        <w:pageBreakBefore w:val="0"/>
        <w:widowControl w:val="0"/>
        <w:numPr>
          <w:ilvl w:val="2"/>
          <w:numId w:val="0"/>
        </w:numPr>
        <w:kinsoku/>
        <w:wordWrap/>
        <w:overflowPunct/>
        <w:autoSpaceDN/>
        <w:bidi w:val="0"/>
        <w:adjustRightInd/>
        <w:spacing w:line="360" w:lineRule="auto"/>
        <w:ind w:left="0" w:leftChars="0" w:right="0" w:rightChars="0"/>
        <w:textAlignment w:val="auto"/>
        <w:rPr>
          <w:rFonts w:hint="default" w:ascii="Times New Roman" w:hAnsi="Times New Roman" w:eastAsia="宋体" w:cs="Times New Roman"/>
          <w:b/>
          <w:bCs w:val="0"/>
          <w:color w:val="auto"/>
          <w:sz w:val="24"/>
          <w:szCs w:val="24"/>
          <w:highlight w:val="none"/>
          <w:lang w:val="en-US" w:eastAsia="zh-CN"/>
        </w:rPr>
      </w:pPr>
      <w:bookmarkStart w:id="868" w:name="_Toc17426"/>
      <w:bookmarkStart w:id="869" w:name="_Toc13773"/>
      <w:bookmarkStart w:id="870" w:name="_Toc6313"/>
      <w:r>
        <w:rPr>
          <w:rFonts w:hint="default" w:ascii="Times New Roman" w:hAnsi="Times New Roman" w:eastAsia="宋体" w:cs="Times New Roman"/>
          <w:b/>
          <w:bCs w:val="0"/>
          <w:color w:val="auto"/>
          <w:sz w:val="24"/>
          <w:szCs w:val="24"/>
          <w:highlight w:val="none"/>
          <w:lang w:val="en-US" w:eastAsia="zh-CN"/>
        </w:rPr>
        <w:t>5.5.2植被类型现状</w:t>
      </w:r>
      <w:bookmarkEnd w:id="868"/>
      <w:bookmarkEnd w:id="869"/>
      <w:bookmarkEnd w:id="870"/>
    </w:p>
    <w:p>
      <w:pPr>
        <w:pageBreakBefore w:val="0"/>
        <w:widowControl w:val="0"/>
        <w:kinsoku/>
        <w:wordWrap/>
        <w:overflowPunct/>
        <w:topLinePunct/>
        <w:autoSpaceDE w:val="0"/>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项目植被类型现状图如图</w:t>
      </w:r>
      <w:r>
        <w:rPr>
          <w:rFonts w:hint="default" w:ascii="Times New Roman" w:hAnsi="Times New Roman" w:eastAsia="宋体" w:cs="Times New Roman"/>
          <w:color w:val="auto"/>
          <w:sz w:val="24"/>
          <w:szCs w:val="24"/>
          <w:highlight w:val="none"/>
          <w:lang w:val="en-US" w:eastAsia="zh-CN"/>
        </w:rPr>
        <w:t>5-5</w:t>
      </w:r>
      <w:r>
        <w:rPr>
          <w:rFonts w:hint="default" w:ascii="Times New Roman" w:hAnsi="Times New Roman" w:eastAsia="宋体" w:cs="Times New Roman"/>
          <w:color w:val="auto"/>
          <w:sz w:val="24"/>
          <w:szCs w:val="24"/>
          <w:highlight w:val="none"/>
        </w:rPr>
        <w:t>所示。</w:t>
      </w:r>
    </w:p>
    <w:p>
      <w:pPr>
        <w:pStyle w:val="7"/>
        <w:pageBreakBefore w:val="0"/>
        <w:widowControl w:val="0"/>
        <w:kinsoku/>
        <w:wordWrap/>
        <w:overflowPunct/>
        <w:topLinePunct/>
        <w:autoSpaceDE w:val="0"/>
        <w:autoSpaceDN/>
        <w:bidi w:val="0"/>
        <w:adjustRightInd/>
        <w:snapToGrid/>
        <w:spacing w:line="360" w:lineRule="auto"/>
        <w:ind w:left="0" w:leftChars="0" w:right="0" w:rightChars="0"/>
        <w:jc w:val="center"/>
        <w:textAlignment w:val="auto"/>
        <w:rPr>
          <w:rFonts w:hint="default" w:ascii="Times New Roman" w:hAnsi="Times New Roman" w:eastAsia="宋体" w:cs="Times New Roman"/>
          <w:b/>
          <w:bCs w:val="0"/>
          <w:color w:val="auto"/>
          <w:sz w:val="24"/>
          <w:szCs w:val="24"/>
          <w:highlight w:val="none"/>
        </w:rPr>
      </w:pPr>
      <w:r>
        <w:rPr>
          <w:rFonts w:hint="default" w:ascii="Times New Roman" w:hAnsi="Times New Roman" w:eastAsia="宋体" w:cs="Times New Roman"/>
          <w:b/>
          <w:bCs w:val="0"/>
          <w:color w:val="auto"/>
          <w:sz w:val="24"/>
          <w:szCs w:val="24"/>
          <w:highlight w:val="none"/>
        </w:rPr>
        <w:t>表</w:t>
      </w:r>
      <w:r>
        <w:rPr>
          <w:rFonts w:hint="default" w:ascii="Times New Roman" w:hAnsi="Times New Roman" w:eastAsia="宋体" w:cs="Times New Roman"/>
          <w:b/>
          <w:bCs w:val="0"/>
          <w:color w:val="auto"/>
          <w:sz w:val="24"/>
          <w:szCs w:val="24"/>
          <w:highlight w:val="none"/>
          <w:lang w:val="en-US" w:eastAsia="zh-CN"/>
        </w:rPr>
        <w:t>5-22</w:t>
      </w:r>
      <w:r>
        <w:rPr>
          <w:rFonts w:hint="default" w:ascii="Times New Roman" w:hAnsi="Times New Roman" w:eastAsia="宋体" w:cs="Times New Roman"/>
          <w:b/>
          <w:bCs w:val="0"/>
          <w:color w:val="auto"/>
          <w:sz w:val="24"/>
          <w:szCs w:val="24"/>
          <w:highlight w:val="none"/>
          <w:lang w:eastAsia="zh-CN"/>
        </w:rPr>
        <w:t>评价区植被类型</w:t>
      </w:r>
      <w:r>
        <w:rPr>
          <w:rFonts w:hint="default" w:ascii="Times New Roman" w:hAnsi="Times New Roman" w:eastAsia="宋体" w:cs="Times New Roman"/>
          <w:b/>
          <w:bCs w:val="0"/>
          <w:color w:val="auto"/>
          <w:sz w:val="24"/>
          <w:szCs w:val="24"/>
          <w:highlight w:val="none"/>
        </w:rPr>
        <w:t>统计表</w:t>
      </w:r>
    </w:p>
    <w:tbl>
      <w:tblPr>
        <w:tblStyle w:val="54"/>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704"/>
        <w:gridCol w:w="1704"/>
        <w:gridCol w:w="1705"/>
        <w:gridCol w:w="1705"/>
        <w:gridCol w:w="170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一级类型</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二级类型</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斑块数（个）</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面积（m2）</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占总面积比例（%）</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温带针叶林</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樟子松群落</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21</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967715.84</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13.1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67"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温带典型干草原植被</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克氏针茅+羊草+冷蒿群落</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9</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4056823.25</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55.1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67"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suppressLineNumbers w:val="0"/>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克氏针茅+百里香+猪毛菜群落</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suppressLineNumbers w:val="0"/>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11</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suppressLineNumbers w:val="0"/>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714423.72</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suppressLineNumbers w:val="0"/>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9.7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suppressLineNumbers w:val="0"/>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水浇地</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suppressLineNumbers w:val="0"/>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4</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suppressLineNumbers w:val="0"/>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53793.97</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suppressLineNumbers w:val="0"/>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suppressLineNumbers w:val="0"/>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农村宅基地</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suppressLineNumbers w:val="0"/>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suppressLineNumbers w:val="0"/>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3901.84</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suppressLineNumbers w:val="0"/>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suppressLineNumbers w:val="0"/>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采矿用地</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suppressLineNumbers w:val="0"/>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7</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suppressLineNumbers w:val="0"/>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1204548.42</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suppressLineNumbers w:val="0"/>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16.4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suppressLineNumbers w:val="0"/>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内陆滩涂</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suppressLineNumbers w:val="0"/>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3</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suppressLineNumbers w:val="0"/>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279364.37</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suppressLineNumbers w:val="0"/>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3.8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suppressLineNumbers w:val="0"/>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坑塘水面</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suppressLineNumbers w:val="0"/>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suppressLineNumbers w:val="0"/>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86530.22</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suppressLineNumbers w:val="0"/>
              <w:wordWrap/>
              <w:bidi w:val="0"/>
              <w:spacing w:line="240" w:lineRule="auto"/>
              <w:ind w:left="0" w:leftChars="0" w:right="0" w:rightChars="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总计</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58</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7367101.63</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100.00</w:t>
            </w:r>
          </w:p>
        </w:tc>
      </w:tr>
    </w:tbl>
    <w:p>
      <w:pPr>
        <w:pStyle w:val="7"/>
        <w:pageBreakBefore w:val="0"/>
        <w:wordWrap/>
        <w:bidi w:val="0"/>
        <w:ind w:left="0" w:leftChars="0" w:right="0" w:rightChars="0"/>
        <w:jc w:val="center"/>
        <w:rPr>
          <w:rFonts w:hint="default" w:ascii="Times New Roman" w:hAnsi="Times New Roman" w:eastAsia="宋体" w:cs="Times New Roman"/>
          <w:b/>
          <w:bCs w:val="0"/>
          <w:color w:val="auto"/>
          <w:highlight w:val="none"/>
        </w:rPr>
      </w:pPr>
      <w:r>
        <w:rPr>
          <w:rFonts w:hint="default" w:ascii="Times New Roman" w:hAnsi="Times New Roman" w:eastAsia="宋体" w:cs="Times New Roman"/>
          <w:b/>
          <w:bCs w:val="0"/>
          <w:color w:val="auto"/>
          <w:highlight w:val="none"/>
        </w:rPr>
        <w:t>表</w:t>
      </w:r>
      <w:r>
        <w:rPr>
          <w:rFonts w:hint="default" w:ascii="Times New Roman" w:hAnsi="Times New Roman" w:eastAsia="宋体" w:cs="Times New Roman"/>
          <w:b/>
          <w:bCs w:val="0"/>
          <w:color w:val="auto"/>
          <w:highlight w:val="none"/>
          <w:lang w:val="en-US" w:eastAsia="zh-CN"/>
        </w:rPr>
        <w:t>5-23</w:t>
      </w:r>
      <w:r>
        <w:rPr>
          <w:rFonts w:hint="default" w:ascii="Times New Roman" w:hAnsi="Times New Roman" w:eastAsia="宋体" w:cs="Times New Roman"/>
          <w:b/>
          <w:bCs w:val="0"/>
          <w:color w:val="auto"/>
          <w:highlight w:val="none"/>
        </w:rPr>
        <w:t>项目</w:t>
      </w:r>
      <w:r>
        <w:rPr>
          <w:rFonts w:hint="default" w:ascii="Times New Roman" w:hAnsi="Times New Roman" w:eastAsia="宋体" w:cs="Times New Roman"/>
          <w:b/>
          <w:bCs w:val="0"/>
          <w:color w:val="auto"/>
          <w:highlight w:val="none"/>
          <w:lang w:eastAsia="zh-CN"/>
        </w:rPr>
        <w:t>区植被类型</w:t>
      </w:r>
      <w:r>
        <w:rPr>
          <w:rFonts w:hint="default" w:ascii="Times New Roman" w:hAnsi="Times New Roman" w:eastAsia="宋体" w:cs="Times New Roman"/>
          <w:b/>
          <w:bCs w:val="0"/>
          <w:color w:val="auto"/>
          <w:highlight w:val="none"/>
        </w:rPr>
        <w:t>统计表</w:t>
      </w:r>
    </w:p>
    <w:tbl>
      <w:tblPr>
        <w:tblStyle w:val="54"/>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704"/>
        <w:gridCol w:w="1704"/>
        <w:gridCol w:w="1705"/>
        <w:gridCol w:w="1705"/>
        <w:gridCol w:w="170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一级类型</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二级类型</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斑块数（个）</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面积（m2）</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占总面积比例（%）</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温带针叶林</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樟子松群落</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4</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73822.40</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12.5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67"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温带典型干草原植被</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克氏针茅+羊草+冷蒿群落</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199245.38</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33.7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67"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克氏针茅+百里香+猪毛菜群落</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36378.14</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6.1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采矿用地</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4</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195823.86</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33.1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内陆滩涂</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86530.22</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14.6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总计</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13</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591800.00</w:t>
            </w:r>
          </w:p>
        </w:tc>
        <w:tc>
          <w:tcPr>
            <w:tcW w:w="567" w:type="dxa"/>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pageBreakBefore w:val="0"/>
              <w:widowControl w:val="0"/>
              <w:kinsoku/>
              <w:wordWrap/>
              <w:overflowPunct/>
              <w:topLinePunct/>
              <w:autoSpaceDE w:val="0"/>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100.00</w:t>
            </w:r>
          </w:p>
        </w:tc>
      </w:tr>
    </w:tbl>
    <w:p>
      <w:pPr>
        <w:pStyle w:val="5"/>
        <w:pageBreakBefore w:val="0"/>
        <w:widowControl w:val="0"/>
        <w:numPr>
          <w:ilvl w:val="2"/>
          <w:numId w:val="0"/>
        </w:numPr>
        <w:kinsoku/>
        <w:wordWrap/>
        <w:overflowPunct/>
        <w:topLinePunct w:val="0"/>
        <w:autoSpaceDE/>
        <w:autoSpaceDN/>
        <w:bidi w:val="0"/>
        <w:adjustRightInd/>
        <w:snapToGrid/>
        <w:spacing w:line="360" w:lineRule="auto"/>
        <w:ind w:left="0" w:leftChars="0" w:right="0" w:rightChars="0"/>
        <w:textAlignment w:val="auto"/>
        <w:rPr>
          <w:rFonts w:hint="default" w:ascii="Times New Roman" w:hAnsi="Times New Roman" w:eastAsia="宋体" w:cs="Times New Roman"/>
          <w:b/>
          <w:bCs w:val="0"/>
          <w:color w:val="auto"/>
          <w:sz w:val="24"/>
          <w:szCs w:val="24"/>
          <w:highlight w:val="none"/>
        </w:rPr>
      </w:pPr>
      <w:bookmarkStart w:id="871" w:name="_Toc30998"/>
      <w:bookmarkStart w:id="872" w:name="_Toc20001"/>
      <w:bookmarkStart w:id="873" w:name="_Toc4058"/>
      <w:r>
        <w:rPr>
          <w:rFonts w:hint="default" w:ascii="Times New Roman" w:hAnsi="Times New Roman" w:eastAsia="宋体" w:cs="Times New Roman"/>
          <w:b/>
          <w:bCs w:val="0"/>
          <w:color w:val="auto"/>
          <w:sz w:val="24"/>
          <w:szCs w:val="24"/>
          <w:highlight w:val="none"/>
          <w:lang w:val="en-US" w:eastAsia="zh-CN"/>
        </w:rPr>
        <w:t>5.5.3</w:t>
      </w:r>
      <w:r>
        <w:rPr>
          <w:rFonts w:hint="default" w:ascii="Times New Roman" w:hAnsi="Times New Roman" w:eastAsia="宋体" w:cs="Times New Roman"/>
          <w:b/>
          <w:bCs w:val="0"/>
          <w:color w:val="auto"/>
          <w:sz w:val="24"/>
          <w:szCs w:val="24"/>
          <w:highlight w:val="none"/>
        </w:rPr>
        <w:t>生态系统功能区划</w:t>
      </w:r>
      <w:bookmarkEnd w:id="871"/>
      <w:bookmarkEnd w:id="872"/>
      <w:bookmarkEnd w:id="873"/>
    </w:p>
    <w:p>
      <w:pPr>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经过现场踏勘</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评价范围内无国家级和地方重点保护野生动植物集中分布区或栖息地、国家级和自治区级自然保护区、生态功能保护区</w:t>
      </w:r>
      <w:r>
        <w:rPr>
          <w:rFonts w:hint="default" w:ascii="Times New Roman" w:hAnsi="Times New Roman" w:eastAsia="宋体" w:cs="Times New Roman"/>
          <w:color w:val="auto"/>
          <w:sz w:val="24"/>
          <w:szCs w:val="24"/>
          <w:highlight w:val="none"/>
          <w:lang w:eastAsia="zh-CN"/>
        </w:rPr>
        <w:t>以及其他</w:t>
      </w:r>
      <w:r>
        <w:rPr>
          <w:rFonts w:hint="default" w:ascii="Times New Roman" w:hAnsi="Times New Roman" w:eastAsia="宋体" w:cs="Times New Roman"/>
          <w:color w:val="auto"/>
          <w:sz w:val="24"/>
          <w:szCs w:val="24"/>
          <w:highlight w:val="none"/>
        </w:rPr>
        <w:t>类型的保护区域。</w:t>
      </w:r>
    </w:p>
    <w:p>
      <w:pPr>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项目在巴彦淖尔市的生态功能区划位置如图</w:t>
      </w:r>
      <w:r>
        <w:rPr>
          <w:rFonts w:hint="default" w:ascii="Times New Roman" w:hAnsi="Times New Roman" w:eastAsia="宋体" w:cs="Times New Roman"/>
          <w:color w:val="auto"/>
          <w:sz w:val="24"/>
          <w:szCs w:val="24"/>
          <w:highlight w:val="none"/>
          <w:lang w:val="en-US" w:eastAsia="zh-CN"/>
        </w:rPr>
        <w:t>5-6</w:t>
      </w:r>
      <w:r>
        <w:rPr>
          <w:rFonts w:hint="default" w:ascii="Times New Roman" w:hAnsi="Times New Roman" w:eastAsia="宋体" w:cs="Times New Roman"/>
          <w:color w:val="auto"/>
          <w:sz w:val="24"/>
          <w:szCs w:val="24"/>
          <w:highlight w:val="none"/>
        </w:rPr>
        <w:t>所示</w:t>
      </w:r>
      <w:r>
        <w:rPr>
          <w:rFonts w:hint="default" w:ascii="Times New Roman" w:hAnsi="Times New Roman" w:eastAsia="宋体" w:cs="Times New Roman"/>
          <w:color w:val="auto"/>
          <w:sz w:val="24"/>
          <w:szCs w:val="24"/>
          <w:highlight w:val="none"/>
          <w:lang w:eastAsia="zh-CN"/>
        </w:rPr>
        <w:t>。</w:t>
      </w:r>
    </w:p>
    <w:p>
      <w:pPr>
        <w:pStyle w:val="53"/>
        <w:pageBreakBefore w:val="0"/>
        <w:wordWrap/>
        <w:bidi w:val="0"/>
        <w:ind w:left="0" w:leftChars="0" w:right="0" w:rightChars="0"/>
        <w:rPr>
          <w:rFonts w:hint="default" w:ascii="Times New Roman" w:hAnsi="Times New Roman" w:eastAsia="宋体" w:cs="Times New Roman"/>
          <w:color w:val="auto"/>
          <w:highlight w:val="none"/>
          <w:lang w:eastAsia="zh-CN"/>
        </w:rPr>
      </w:pPr>
    </w:p>
    <w:p>
      <w:pPr>
        <w:pStyle w:val="53"/>
        <w:pageBreakBefore w:val="0"/>
        <w:wordWrap/>
        <w:bidi w:val="0"/>
        <w:ind w:left="0" w:leftChars="0" w:right="0" w:rightChars="0"/>
        <w:rPr>
          <w:rFonts w:hint="default" w:ascii="Times New Roman" w:hAnsi="Times New Roman" w:eastAsia="宋体" w:cs="Times New Roman"/>
          <w:color w:val="auto"/>
          <w:highlight w:val="none"/>
          <w:lang w:eastAsia="zh-CN"/>
        </w:rPr>
        <w:sectPr>
          <w:pgSz w:w="11906" w:h="16838"/>
          <w:pgMar w:top="1440" w:right="1800" w:bottom="1440" w:left="1800" w:header="851" w:footer="992" w:gutter="0"/>
          <w:pgNumType w:fmt="decimal"/>
          <w:cols w:space="720" w:num="1"/>
          <w:docGrid w:type="lines" w:linePitch="312" w:charSpace="0"/>
        </w:sectPr>
      </w:pPr>
    </w:p>
    <w:p>
      <w:pPr>
        <w:pStyle w:val="53"/>
        <w:pageBreakBefore w:val="0"/>
        <w:wordWrap/>
        <w:bidi w:val="0"/>
        <w:ind w:left="0" w:leftChars="0" w:right="0" w:rightChars="0"/>
        <w:jc w:val="center"/>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drawing>
          <wp:inline distT="0" distB="0" distL="114300" distR="114300">
            <wp:extent cx="6924040" cy="4895850"/>
            <wp:effectExtent l="0" t="0" r="10160" b="0"/>
            <wp:docPr id="130" name="图片 130" descr="土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土地"/>
                    <pic:cNvPicPr>
                      <a:picLocks noChangeAspect="1"/>
                    </pic:cNvPicPr>
                  </pic:nvPicPr>
                  <pic:blipFill>
                    <a:blip r:embed="rId44"/>
                    <a:stretch>
                      <a:fillRect/>
                    </a:stretch>
                  </pic:blipFill>
                  <pic:spPr>
                    <a:xfrm>
                      <a:off x="0" y="0"/>
                      <a:ext cx="6924040" cy="4895850"/>
                    </a:xfrm>
                    <a:prstGeom prst="rect">
                      <a:avLst/>
                    </a:prstGeom>
                  </pic:spPr>
                </pic:pic>
              </a:graphicData>
            </a:graphic>
          </wp:inline>
        </w:drawing>
      </w:r>
    </w:p>
    <w:p>
      <w:pPr>
        <w:pStyle w:val="53"/>
        <w:pageBreakBefore w:val="0"/>
        <w:wordWrap/>
        <w:bidi w:val="0"/>
        <w:ind w:left="0" w:leftChars="0" w:right="0" w:rightChars="0"/>
        <w:jc w:val="center"/>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b/>
          <w:bCs/>
          <w:color w:val="auto"/>
          <w:highlight w:val="none"/>
        </w:rPr>
        <w:t>图</w:t>
      </w:r>
      <w:r>
        <w:rPr>
          <w:rFonts w:hint="default" w:ascii="Times New Roman" w:hAnsi="Times New Roman" w:eastAsia="宋体" w:cs="Times New Roman"/>
          <w:b/>
          <w:bCs/>
          <w:color w:val="auto"/>
          <w:highlight w:val="none"/>
          <w:lang w:val="en-US" w:eastAsia="zh-CN"/>
        </w:rPr>
        <w:t>5-4</w:t>
      </w:r>
      <w:r>
        <w:rPr>
          <w:rFonts w:hint="default" w:ascii="Times New Roman" w:hAnsi="Times New Roman" w:eastAsia="宋体" w:cs="Times New Roman"/>
          <w:b/>
          <w:bCs/>
          <w:color w:val="auto"/>
          <w:highlight w:val="none"/>
        </w:rPr>
        <w:t>项目土地利用现状图</w:t>
      </w:r>
    </w:p>
    <w:p>
      <w:pPr>
        <w:pStyle w:val="53"/>
        <w:pageBreakBefore w:val="0"/>
        <w:wordWrap/>
        <w:bidi w:val="0"/>
        <w:ind w:left="0" w:leftChars="0" w:right="0" w:rightChars="0"/>
        <w:jc w:val="center"/>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drawing>
          <wp:inline distT="0" distB="0" distL="114300" distR="114300">
            <wp:extent cx="6924040" cy="4895850"/>
            <wp:effectExtent l="0" t="0" r="10160" b="0"/>
            <wp:docPr id="131" name="图片 131" descr="植被类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植被类型"/>
                    <pic:cNvPicPr>
                      <a:picLocks noChangeAspect="1"/>
                    </pic:cNvPicPr>
                  </pic:nvPicPr>
                  <pic:blipFill>
                    <a:blip r:embed="rId45"/>
                    <a:stretch>
                      <a:fillRect/>
                    </a:stretch>
                  </pic:blipFill>
                  <pic:spPr>
                    <a:xfrm>
                      <a:off x="0" y="0"/>
                      <a:ext cx="6924040" cy="4895850"/>
                    </a:xfrm>
                    <a:prstGeom prst="rect">
                      <a:avLst/>
                    </a:prstGeom>
                  </pic:spPr>
                </pic:pic>
              </a:graphicData>
            </a:graphic>
          </wp:inline>
        </w:drawing>
      </w:r>
    </w:p>
    <w:p>
      <w:pPr>
        <w:pStyle w:val="53"/>
        <w:pageBreakBefore w:val="0"/>
        <w:wordWrap/>
        <w:bidi w:val="0"/>
        <w:ind w:left="0" w:leftChars="0" w:right="0" w:rightChars="0"/>
        <w:jc w:val="center"/>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b/>
          <w:bCs/>
          <w:color w:val="auto"/>
          <w:highlight w:val="none"/>
        </w:rPr>
        <w:t>图</w:t>
      </w:r>
      <w:r>
        <w:rPr>
          <w:rFonts w:hint="default" w:ascii="Times New Roman" w:hAnsi="Times New Roman" w:eastAsia="宋体" w:cs="Times New Roman"/>
          <w:b/>
          <w:bCs/>
          <w:color w:val="auto"/>
          <w:highlight w:val="none"/>
          <w:lang w:val="en-US" w:eastAsia="zh-CN"/>
        </w:rPr>
        <w:t>5-5</w:t>
      </w:r>
      <w:r>
        <w:rPr>
          <w:rFonts w:hint="default" w:ascii="Times New Roman" w:hAnsi="Times New Roman" w:eastAsia="宋体" w:cs="Times New Roman"/>
          <w:b/>
          <w:bCs/>
          <w:color w:val="auto"/>
          <w:highlight w:val="none"/>
        </w:rPr>
        <w:t>项目</w:t>
      </w:r>
      <w:r>
        <w:rPr>
          <w:rFonts w:hint="default" w:ascii="Times New Roman" w:hAnsi="Times New Roman" w:eastAsia="宋体" w:cs="Times New Roman"/>
          <w:b/>
          <w:bCs/>
          <w:color w:val="auto"/>
          <w:highlight w:val="none"/>
          <w:lang w:val="en-US" w:eastAsia="zh-CN"/>
        </w:rPr>
        <w:t>植被类型</w:t>
      </w:r>
      <w:r>
        <w:rPr>
          <w:rFonts w:hint="default" w:ascii="Times New Roman" w:hAnsi="Times New Roman" w:eastAsia="宋体" w:cs="Times New Roman"/>
          <w:b/>
          <w:bCs/>
          <w:color w:val="auto"/>
          <w:highlight w:val="none"/>
        </w:rPr>
        <w:t>现状图</w:t>
      </w:r>
    </w:p>
    <w:p>
      <w:pPr>
        <w:pStyle w:val="53"/>
        <w:pageBreakBefore w:val="0"/>
        <w:wordWrap/>
        <w:bidi w:val="0"/>
        <w:spacing w:line="36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729920" behindDoc="0" locked="0" layoutInCell="1" allowOverlap="1">
                <wp:simplePos x="0" y="0"/>
                <wp:positionH relativeFrom="column">
                  <wp:posOffset>7470775</wp:posOffset>
                </wp:positionH>
                <wp:positionV relativeFrom="paragraph">
                  <wp:posOffset>1572260</wp:posOffset>
                </wp:positionV>
                <wp:extent cx="772160" cy="510540"/>
                <wp:effectExtent l="9525" t="9525" r="18415" b="851535"/>
                <wp:wrapNone/>
                <wp:docPr id="99" name="矩形标注 99"/>
                <wp:cNvGraphicFramePr/>
                <a:graphic xmlns:a="http://schemas.openxmlformats.org/drawingml/2006/main">
                  <a:graphicData uri="http://schemas.microsoft.com/office/word/2010/wordprocessingShape">
                    <wps:wsp>
                      <wps:cNvSpPr/>
                      <wps:spPr>
                        <a:xfrm>
                          <a:off x="3249930" y="2531745"/>
                          <a:ext cx="772160" cy="510540"/>
                        </a:xfrm>
                        <a:prstGeom prst="wedgeRectCallout">
                          <a:avLst>
                            <a:gd name="adj1" fmla="val -28618"/>
                            <a:gd name="adj2" fmla="val 201616"/>
                          </a:avLst>
                        </a:prstGeom>
                        <a:noFill/>
                        <a:ln w="1905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rFonts w:hint="eastAsia" w:eastAsia="宋体"/>
                                <w:b/>
                                <w:bCs/>
                                <w:color w:val="000000" w:themeColor="text1"/>
                                <w:sz w:val="28"/>
                                <w:szCs w:val="36"/>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b/>
                                <w:bCs/>
                                <w:color w:val="000000" w:themeColor="text1"/>
                                <w:sz w:val="28"/>
                                <w:szCs w:val="36"/>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588.25pt;margin-top:123.8pt;height:40.2pt;width:60.8pt;z-index:251729920;v-text-anchor:middle;mso-width-relative:page;mso-height-relative:page;" filled="f" stroked="t" coordsize="21600,21600" o:gfxdata="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" adj="4619,54349">
                <v:fill on="f" focussize="0,0"/>
                <v:stroke weight="1.5pt" color="#FF0000 [2404]" miterlimit="8" joinstyle="miter"/>
                <v:imagedata o:title=""/>
                <o:lock v:ext="edit" aspectratio="f"/>
                <v:textbox>
                  <w:txbxContent>
                    <w:p>
                      <w:pPr>
                        <w:jc w:val="center"/>
                        <w:rPr>
                          <w:rFonts w:hint="eastAsia" w:eastAsia="宋体"/>
                          <w:b/>
                          <w:bCs/>
                          <w:color w:val="000000" w:themeColor="text1"/>
                          <w:sz w:val="28"/>
                          <w:szCs w:val="36"/>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b/>
                          <w:bCs/>
                          <w:color w:val="000000" w:themeColor="text1"/>
                          <w:sz w:val="28"/>
                          <w:szCs w:val="36"/>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本项目</w:t>
                      </w:r>
                    </w:p>
                  </w:txbxContent>
                </v:textbox>
              </v:shape>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728896" behindDoc="0" locked="0" layoutInCell="1" allowOverlap="1">
                <wp:simplePos x="0" y="0"/>
                <wp:positionH relativeFrom="column">
                  <wp:posOffset>7557135</wp:posOffset>
                </wp:positionH>
                <wp:positionV relativeFrom="paragraph">
                  <wp:posOffset>2836545</wp:posOffset>
                </wp:positionV>
                <wp:extent cx="107950" cy="107950"/>
                <wp:effectExtent l="6350" t="6350" r="19050" b="19050"/>
                <wp:wrapNone/>
                <wp:docPr id="83" name="矩形 83"/>
                <wp:cNvGraphicFramePr/>
                <a:graphic xmlns:a="http://schemas.openxmlformats.org/drawingml/2006/main">
                  <a:graphicData uri="http://schemas.microsoft.com/office/word/2010/wordprocessingShape">
                    <wps:wsp>
                      <wps:cNvSpPr/>
                      <wps:spPr>
                        <a:xfrm>
                          <a:off x="2461895" y="1856105"/>
                          <a:ext cx="107950" cy="107950"/>
                        </a:xfrm>
                        <a:prstGeom prst="rect">
                          <a:avLst/>
                        </a:prstGeom>
                        <a:solidFill>
                          <a:srgbClr val="FF0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95.05pt;margin-top:223.35pt;height:8.5pt;width:8.5pt;z-index:251728896;v-text-anchor:middle;mso-width-relative:page;mso-height-relative:page;" fillcolor="#FF0000" filled="t" stroked="t" coordsize="21600,21600" o:gfxdata="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LIFtVzZAAAADQEAAA8AAAAAAAAAAQAgAAAAIgAA&#10;AGRycy9kb3ducmV2LnhtbFBLAQIUABQAAAAIAIdO4kD4qIs7eQIAAAEFAAAOAAAAAAAAAAEAIAAA&#10;ACgBAABkcnMvZTJvRG9jLnhtbFBLBQYAAAAABgAGAFkBAAATBgAAAAA=&#10;">
                <v:fill on="t" focussize="0,0"/>
                <v:stroke weight="1pt" color="#000000 [3213]" miterlimit="8" joinstyle="miter"/>
                <v:imagedata o:title=""/>
                <o:lock v:ext="edit" aspectratio="f"/>
              </v:rect>
            </w:pict>
          </mc:Fallback>
        </mc:AlternateContent>
      </w:r>
      <w:r>
        <w:rPr>
          <w:rFonts w:hint="default" w:ascii="Times New Roman" w:hAnsi="Times New Roman" w:eastAsia="宋体" w:cs="Times New Roman"/>
          <w:color w:val="auto"/>
          <w:highlight w:val="none"/>
        </w:rPr>
        <w:drawing>
          <wp:inline distT="0" distB="0" distL="114300" distR="114300">
            <wp:extent cx="8134350" cy="4895850"/>
            <wp:effectExtent l="0" t="0" r="0" b="0"/>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a:xfrm>
                      <a:off x="0" y="0"/>
                      <a:ext cx="8134350" cy="4895850"/>
                    </a:xfrm>
                    <a:prstGeom prst="rect">
                      <a:avLst/>
                    </a:prstGeom>
                    <a:noFill/>
                    <a:ln>
                      <a:noFill/>
                    </a:ln>
                  </pic:spPr>
                </pic:pic>
              </a:graphicData>
            </a:graphic>
          </wp:inline>
        </w:drawing>
      </w:r>
    </w:p>
    <w:p>
      <w:pPr>
        <w:pageBreakBefore w:val="0"/>
        <w:wordWrap/>
        <w:bidi w:val="0"/>
        <w:adjustRightInd w:val="0"/>
        <w:snapToGrid w:val="0"/>
        <w:spacing w:line="360" w:lineRule="auto"/>
        <w:ind w:left="0" w:leftChars="0" w:right="0" w:rightChars="0"/>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b/>
          <w:bCs/>
          <w:color w:val="auto"/>
          <w:sz w:val="24"/>
          <w:szCs w:val="24"/>
          <w:highlight w:val="none"/>
        </w:rPr>
        <w:t>图</w:t>
      </w:r>
      <w:r>
        <w:rPr>
          <w:rFonts w:hint="default" w:ascii="Times New Roman" w:hAnsi="Times New Roman" w:eastAsia="宋体" w:cs="Times New Roman"/>
          <w:b/>
          <w:bCs/>
          <w:color w:val="auto"/>
          <w:sz w:val="24"/>
          <w:szCs w:val="24"/>
          <w:highlight w:val="none"/>
          <w:lang w:val="en-US" w:eastAsia="zh-CN"/>
        </w:rPr>
        <w:t>5-6</w:t>
      </w:r>
      <w:r>
        <w:rPr>
          <w:rFonts w:hint="default" w:ascii="Times New Roman" w:hAnsi="Times New Roman" w:eastAsia="宋体" w:cs="Times New Roman"/>
          <w:b/>
          <w:bCs/>
          <w:color w:val="auto"/>
          <w:sz w:val="24"/>
          <w:szCs w:val="24"/>
          <w:highlight w:val="none"/>
        </w:rPr>
        <w:t>巴彦淖尔生态功能图</w:t>
      </w:r>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rPr>
        <w:sectPr>
          <w:pgSz w:w="16838" w:h="11906" w:orient="landscape"/>
          <w:pgMar w:top="1440" w:right="1800" w:bottom="1440" w:left="1800" w:header="851" w:footer="992" w:gutter="0"/>
          <w:pgNumType w:fmt="decimal"/>
          <w:cols w:space="720" w:num="1"/>
          <w:docGrid w:type="lines" w:linePitch="312" w:charSpace="0"/>
        </w:sectPr>
      </w:pPr>
    </w:p>
    <w:p>
      <w:pPr>
        <w:pStyle w:val="3"/>
        <w:pageBreakBefore w:val="0"/>
        <w:numPr>
          <w:ilvl w:val="0"/>
          <w:numId w:val="0"/>
        </w:numPr>
        <w:wordWrap/>
        <w:bidi w:val="0"/>
        <w:adjustRightInd w:val="0"/>
        <w:snapToGrid w:val="0"/>
        <w:ind w:left="0" w:leftChars="0" w:right="0" w:rightChars="0" w:firstLine="0" w:firstLineChars="0"/>
        <w:outlineLvl w:val="2"/>
        <w:rPr>
          <w:rFonts w:hint="default" w:ascii="Times New Roman" w:hAnsi="Times New Roman" w:eastAsia="宋体" w:cs="Times New Roman"/>
          <w:b/>
          <w:bCs/>
          <w:color w:val="auto"/>
          <w:sz w:val="32"/>
          <w:szCs w:val="32"/>
          <w:highlight w:val="none"/>
        </w:rPr>
      </w:pPr>
      <w:bookmarkStart w:id="874" w:name="_Toc23398"/>
      <w:bookmarkStart w:id="875" w:name="_Toc1444"/>
      <w:bookmarkStart w:id="876" w:name="_Toc260567927"/>
      <w:bookmarkStart w:id="877" w:name="_Toc194733321"/>
      <w:bookmarkStart w:id="878" w:name="_Toc288306223"/>
      <w:r>
        <w:rPr>
          <w:rFonts w:hint="default" w:ascii="Times New Roman" w:hAnsi="Times New Roman" w:eastAsia="宋体" w:cs="Times New Roman"/>
          <w:b/>
          <w:bCs/>
          <w:i w:val="0"/>
          <w:color w:val="auto"/>
          <w:kern w:val="44"/>
          <w:sz w:val="30"/>
          <w:szCs w:val="30"/>
          <w:highlight w:val="none"/>
          <w:lang w:val="en-US" w:eastAsia="zh-CN" w:bidi="ar-SA"/>
        </w:rPr>
        <w:t>6</w:t>
      </w:r>
      <w:r>
        <w:rPr>
          <w:rFonts w:hint="default" w:ascii="Times New Roman" w:hAnsi="Times New Roman" w:eastAsia="宋体" w:cs="Times New Roman"/>
          <w:b/>
          <w:bCs/>
          <w:color w:val="auto"/>
          <w:sz w:val="32"/>
          <w:szCs w:val="32"/>
          <w:highlight w:val="none"/>
        </w:rPr>
        <w:t>施工期环境影响与评价</w:t>
      </w:r>
      <w:bookmarkEnd w:id="874"/>
      <w:bookmarkEnd w:id="875"/>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lang w:val="en-US" w:eastAsia="zh-CN"/>
        </w:rPr>
      </w:pPr>
      <w:bookmarkStart w:id="879" w:name="_Toc5223"/>
      <w:r>
        <w:rPr>
          <w:rFonts w:hint="default" w:ascii="Times New Roman" w:hAnsi="Times New Roman" w:eastAsia="宋体" w:cs="Times New Roman"/>
          <w:color w:val="auto"/>
          <w:sz w:val="24"/>
          <w:szCs w:val="32"/>
          <w:lang w:val="en-US" w:eastAsia="zh-CN"/>
        </w:rPr>
        <w:t>根据现场调查情况，本项目距离乌拉山自然保护区650m，不涉及饮用水水源保护区、基本农田保护区、地质公园、文物古迹、古树名木和重要保护动物栖息地等重点环境保护对象，本项目施工期施工人员不得进入乌拉山自然保护区。</w:t>
      </w:r>
    </w:p>
    <w:p>
      <w:pPr>
        <w:pStyle w:val="4"/>
        <w:pageBreakBefore w:val="0"/>
        <w:numPr>
          <w:ilvl w:val="1"/>
          <w:numId w:val="0"/>
        </w:numPr>
        <w:wordWrap/>
        <w:bidi w:val="0"/>
        <w:spacing w:line="360" w:lineRule="auto"/>
        <w:ind w:left="0" w:leftChars="0" w:right="0" w:rightChars="0" w:firstLine="0" w:firstLineChars="0"/>
        <w:rPr>
          <w:rFonts w:hint="default" w:ascii="Times New Roman" w:hAnsi="Times New Roman" w:eastAsia="宋体" w:cs="Times New Roman"/>
          <w:b/>
          <w:bCs/>
          <w:color w:val="auto"/>
          <w:highlight w:val="none"/>
        </w:rPr>
      </w:pPr>
      <w:bookmarkStart w:id="880" w:name="_Toc5909"/>
      <w:r>
        <w:rPr>
          <w:rFonts w:hint="default" w:ascii="Times New Roman" w:hAnsi="Times New Roman" w:eastAsia="宋体" w:cs="Times New Roman"/>
          <w:b/>
          <w:bCs/>
          <w:i w:val="0"/>
          <w:color w:val="auto"/>
          <w:kern w:val="2"/>
          <w:sz w:val="28"/>
          <w:szCs w:val="28"/>
          <w:highlight w:val="none"/>
          <w:lang w:val="en-US" w:eastAsia="zh-CN" w:bidi="ar-SA"/>
        </w:rPr>
        <w:t>6.1</w:t>
      </w:r>
      <w:r>
        <w:rPr>
          <w:rFonts w:hint="default" w:ascii="Times New Roman" w:hAnsi="Times New Roman" w:eastAsia="宋体" w:cs="Times New Roman"/>
          <w:b/>
          <w:bCs/>
          <w:color w:val="auto"/>
          <w:highlight w:val="none"/>
        </w:rPr>
        <w:t>环境空气影响分析</w:t>
      </w:r>
      <w:bookmarkEnd w:id="879"/>
      <w:bookmarkEnd w:id="880"/>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施工期间</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由于土层的开挖、回填、堆放及运输可能产生短时间的扬尘。施工期间</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由于建筑材料的装卸、施工</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可能造成短时间粉尘飞扬。</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有关研究表明</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施工工地</w:t>
      </w:r>
      <w:r>
        <w:rPr>
          <w:rFonts w:hint="default" w:ascii="Times New Roman" w:hAnsi="Times New Roman" w:eastAsia="宋体" w:cs="Times New Roman"/>
          <w:color w:val="auto"/>
          <w:sz w:val="24"/>
          <w:highlight w:val="none"/>
          <w:lang w:eastAsia="zh-CN"/>
        </w:rPr>
        <w:t>的</w:t>
      </w:r>
      <w:r>
        <w:rPr>
          <w:rFonts w:hint="default" w:ascii="Times New Roman" w:hAnsi="Times New Roman" w:eastAsia="宋体" w:cs="Times New Roman"/>
          <w:color w:val="auto"/>
          <w:sz w:val="24"/>
          <w:highlight w:val="none"/>
        </w:rPr>
        <w:t>扬尘60%以上是施工交通运输引起的道路扬尘。道路扬尘量的大小与车速、车型、车流量、风速、道路表面积尘量等多种因素有关。一般情况下运输弃土车辆的道路扬尘量约1.37kg/km辆</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运输车辆在挖土和弃土区现场的道路扬尘量分别为10.42kg/km辆和7.2kg/km辆。挖土区和弃土区的道路扬尘污染比弃土运输途经道路的扬尘污染严重。施工期车辆运输不经过附近居民居住区</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对居民生活影响较小。</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这些影响是短时间的</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随着施工结束而停止</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在施工期间合理安排作业时间</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避开大风天气</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加强施工管理</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可以减轻对环境的影响。由于施工现场距离周围居民区较远</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因而仅对厂区造成影响。施工单位应做好如下污染控制工作</w:t>
      </w:r>
      <w:r>
        <w:rPr>
          <w:rFonts w:hint="default" w:ascii="Times New Roman" w:hAnsi="Times New Roman" w:eastAsia="宋体" w:cs="Times New Roman"/>
          <w:color w:val="auto"/>
          <w:sz w:val="24"/>
          <w:highlight w:val="none"/>
          <w:lang w:eastAsia="zh-CN"/>
        </w:rPr>
        <w:t>：</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1、合理安排工期</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尽量使土石方开挖等对土层扰动大的作业期避开大风季节</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以减轻扬尘影响；</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2、尾矿加压泵站</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副坝、排水系统、回水系统等基础</w:t>
      </w:r>
      <w:r>
        <w:rPr>
          <w:rFonts w:hint="default" w:ascii="Times New Roman" w:hAnsi="Times New Roman" w:eastAsia="宋体" w:cs="Times New Roman"/>
          <w:color w:val="auto"/>
          <w:sz w:val="24"/>
          <w:highlight w:val="none"/>
        </w:rPr>
        <w:t>开挖后的土石方应定点堆放</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并对弃土、弃渣等易产生扬尘点采取喷水抑尘措施</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特别是在大风季节强化管理</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要求大风天停止土石方施工</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并做好必要的遮掩覆盖；</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3、汽车运输砂石、渣土</w:t>
      </w:r>
      <w:r>
        <w:rPr>
          <w:rFonts w:hint="default" w:ascii="Times New Roman" w:hAnsi="Times New Roman" w:eastAsia="宋体" w:cs="Times New Roman"/>
          <w:color w:val="auto"/>
          <w:sz w:val="24"/>
          <w:highlight w:val="none"/>
          <w:lang w:eastAsia="zh-CN"/>
        </w:rPr>
        <w:t>或其他</w:t>
      </w:r>
      <w:r>
        <w:rPr>
          <w:rFonts w:hint="default" w:ascii="Times New Roman" w:hAnsi="Times New Roman" w:eastAsia="宋体" w:cs="Times New Roman"/>
          <w:color w:val="auto"/>
          <w:sz w:val="24"/>
          <w:highlight w:val="none"/>
        </w:rPr>
        <w:t>建筑材料要进行遮盖</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必要时采用密闭专用车辆</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最大限度减少施工扬尘对环境的影响。</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此外</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要求施工单位坚持对施工队伍进行环境教育</w:t>
      </w:r>
      <w:r>
        <w:rPr>
          <w:rFonts w:hint="default" w:ascii="Times New Roman" w:hAnsi="Times New Roman" w:eastAsia="宋体" w:cs="Times New Roman"/>
          <w:color w:val="auto"/>
          <w:sz w:val="24"/>
          <w:highlight w:val="none"/>
          <w:lang w:eastAsia="zh-CN"/>
        </w:rPr>
        <w:t>，增强</w:t>
      </w:r>
      <w:r>
        <w:rPr>
          <w:rFonts w:hint="default" w:ascii="Times New Roman" w:hAnsi="Times New Roman" w:eastAsia="宋体" w:cs="Times New Roman"/>
          <w:color w:val="auto"/>
          <w:sz w:val="24"/>
          <w:highlight w:val="none"/>
        </w:rPr>
        <w:t>他们的环境保护意识。施工期采取上述措施后</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可显著减轻施工活动对环境空气质量带来的不良影响。</w:t>
      </w:r>
    </w:p>
    <w:p>
      <w:pPr>
        <w:pStyle w:val="4"/>
        <w:pageBreakBefore w:val="0"/>
        <w:numPr>
          <w:ilvl w:val="1"/>
          <w:numId w:val="0"/>
        </w:numPr>
        <w:wordWrap/>
        <w:bidi w:val="0"/>
        <w:ind w:left="0" w:leftChars="0" w:right="0" w:rightChars="0" w:firstLine="0" w:firstLineChars="0"/>
        <w:rPr>
          <w:rFonts w:hint="default" w:ascii="Times New Roman" w:hAnsi="Times New Roman" w:eastAsia="宋体" w:cs="Times New Roman"/>
          <w:b/>
          <w:bCs/>
          <w:color w:val="auto"/>
          <w:highlight w:val="none"/>
        </w:rPr>
      </w:pPr>
      <w:bookmarkStart w:id="881" w:name="_Toc20747"/>
      <w:bookmarkStart w:id="882" w:name="_Toc18110"/>
      <w:r>
        <w:rPr>
          <w:rFonts w:hint="default" w:ascii="Times New Roman" w:hAnsi="Times New Roman" w:eastAsia="宋体" w:cs="Times New Roman"/>
          <w:b/>
          <w:bCs/>
          <w:i w:val="0"/>
          <w:color w:val="auto"/>
          <w:kern w:val="2"/>
          <w:sz w:val="28"/>
          <w:szCs w:val="28"/>
          <w:highlight w:val="none"/>
          <w:lang w:val="en-US" w:eastAsia="zh-CN" w:bidi="ar-SA"/>
        </w:rPr>
        <w:t>6.2</w:t>
      </w:r>
      <w:r>
        <w:rPr>
          <w:rFonts w:hint="default" w:ascii="Times New Roman" w:hAnsi="Times New Roman" w:eastAsia="宋体" w:cs="Times New Roman"/>
          <w:b/>
          <w:bCs/>
          <w:color w:val="auto"/>
          <w:highlight w:val="none"/>
        </w:rPr>
        <w:t>水环境影响分析</w:t>
      </w:r>
      <w:bookmarkEnd w:id="881"/>
      <w:bookmarkEnd w:id="882"/>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施工期间</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车辆清洗、施工人员住宿等</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将会带来一定量的冲洗废水及生活污水。在降雨时对某些建筑材料及时遮盖以减少雨水冲刷产生污水。要求施工单位在进行设备及车辆冲洗时应固定地点</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不允许将冲洗水随时随地排放</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建议</w:t>
      </w:r>
      <w:r>
        <w:rPr>
          <w:rFonts w:hint="default" w:ascii="Times New Roman" w:hAnsi="Times New Roman" w:eastAsia="宋体" w:cs="Times New Roman"/>
          <w:color w:val="auto"/>
          <w:sz w:val="24"/>
          <w:highlight w:val="none"/>
          <w:lang w:eastAsia="zh-CN"/>
        </w:rPr>
        <w:t>建设</w:t>
      </w:r>
      <w:r>
        <w:rPr>
          <w:rFonts w:hint="default" w:ascii="Times New Roman" w:hAnsi="Times New Roman" w:eastAsia="宋体" w:cs="Times New Roman"/>
          <w:color w:val="auto"/>
          <w:sz w:val="24"/>
          <w:highlight w:val="none"/>
        </w:rPr>
        <w:t>施工污水沉淀池</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车辆清洗废水沉淀后的复用于</w:t>
      </w:r>
      <w:r>
        <w:rPr>
          <w:rFonts w:hint="default" w:ascii="Times New Roman" w:hAnsi="Times New Roman" w:eastAsia="宋体" w:cs="Times New Roman"/>
          <w:color w:val="auto"/>
          <w:sz w:val="24"/>
          <w:highlight w:val="none"/>
          <w:lang w:eastAsia="zh-CN"/>
        </w:rPr>
        <w:t>预拌砂浆</w:t>
      </w:r>
      <w:r>
        <w:rPr>
          <w:rFonts w:hint="default" w:ascii="Times New Roman" w:hAnsi="Times New Roman" w:eastAsia="宋体" w:cs="Times New Roman"/>
          <w:color w:val="auto"/>
          <w:sz w:val="24"/>
          <w:highlight w:val="none"/>
        </w:rPr>
        <w:t>等施工环节中。</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rPr>
        <w:t>本项目施工期较短</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施工期间施工人员生活污水依托厂区现有设施处理</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不外排。</w:t>
      </w:r>
      <w:r>
        <w:rPr>
          <w:rFonts w:hint="default" w:ascii="Times New Roman" w:hAnsi="Times New Roman" w:eastAsia="宋体" w:cs="Times New Roman"/>
          <w:color w:val="auto"/>
          <w:sz w:val="24"/>
          <w:highlight w:val="none"/>
          <w:lang w:val="en-US" w:eastAsia="zh-CN"/>
        </w:rPr>
        <w:t>选厂位于尾矿库东侧700m，可以依托。</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总之</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施工期产生的废水量较小</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经过处理后回用或排放</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不会对当地的水环境产生污染影响。</w:t>
      </w:r>
    </w:p>
    <w:p>
      <w:pPr>
        <w:pStyle w:val="4"/>
        <w:pageBreakBefore w:val="0"/>
        <w:numPr>
          <w:ilvl w:val="1"/>
          <w:numId w:val="0"/>
        </w:numPr>
        <w:wordWrap/>
        <w:bidi w:val="0"/>
        <w:ind w:left="0" w:leftChars="0" w:right="0" w:rightChars="0" w:firstLine="0" w:firstLineChars="0"/>
        <w:rPr>
          <w:rFonts w:hint="default" w:ascii="Times New Roman" w:hAnsi="Times New Roman" w:eastAsia="宋体" w:cs="Times New Roman"/>
          <w:b/>
          <w:bCs/>
          <w:color w:val="auto"/>
          <w:highlight w:val="none"/>
        </w:rPr>
      </w:pPr>
      <w:bookmarkStart w:id="883" w:name="_Toc3528"/>
      <w:bookmarkStart w:id="884" w:name="_Toc5781"/>
      <w:r>
        <w:rPr>
          <w:rFonts w:hint="default" w:ascii="Times New Roman" w:hAnsi="Times New Roman" w:eastAsia="宋体" w:cs="Times New Roman"/>
          <w:b/>
          <w:bCs/>
          <w:i w:val="0"/>
          <w:color w:val="auto"/>
          <w:kern w:val="2"/>
          <w:sz w:val="28"/>
          <w:szCs w:val="28"/>
          <w:highlight w:val="none"/>
          <w:lang w:val="en-US" w:eastAsia="zh-CN" w:bidi="ar-SA"/>
        </w:rPr>
        <w:t>6.3</w:t>
      </w:r>
      <w:r>
        <w:rPr>
          <w:rFonts w:hint="default" w:ascii="Times New Roman" w:hAnsi="Times New Roman" w:eastAsia="宋体" w:cs="Times New Roman"/>
          <w:b/>
          <w:bCs/>
          <w:color w:val="auto"/>
          <w:highlight w:val="none"/>
        </w:rPr>
        <w:t>声环境影响分析</w:t>
      </w:r>
      <w:bookmarkEnd w:id="883"/>
      <w:bookmarkEnd w:id="884"/>
    </w:p>
    <w:p>
      <w:pPr>
        <w:pageBreakBefore w:val="0"/>
        <w:wordWrap/>
        <w:bidi w:val="0"/>
        <w:spacing w:line="360" w:lineRule="auto"/>
        <w:ind w:left="0" w:leftChars="0" w:right="0" w:rightChars="0" w:firstLine="480" w:firstLineChars="200"/>
        <w:outlineLvl w:val="2"/>
        <w:rPr>
          <w:rFonts w:hint="default" w:ascii="Times New Roman" w:hAnsi="Times New Roman" w:eastAsia="宋体" w:cs="Times New Roman"/>
          <w:color w:val="auto"/>
          <w:sz w:val="24"/>
          <w:highlight w:val="none"/>
        </w:rPr>
      </w:pPr>
      <w:bookmarkStart w:id="885" w:name="_Toc10971"/>
      <w:bookmarkStart w:id="886" w:name="_Toc13772"/>
      <w:r>
        <w:rPr>
          <w:rFonts w:hint="default" w:ascii="Times New Roman" w:hAnsi="Times New Roman" w:eastAsia="宋体" w:cs="Times New Roman"/>
          <w:color w:val="auto"/>
          <w:sz w:val="24"/>
          <w:highlight w:val="none"/>
        </w:rPr>
        <w:t>1、建设期噪声源强</w:t>
      </w:r>
      <w:bookmarkEnd w:id="885"/>
      <w:bookmarkEnd w:id="886"/>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在施工进程中</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常使用的施工机械有装载机、混凝土搅拌机、吊车、电锯、运输车辆等设备</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在正常情况下这些设备产生的声压级在80～95dB</w:t>
      </w:r>
      <w:r>
        <w:rPr>
          <w:rFonts w:hint="default" w:ascii="Times New Roman" w:hAnsi="Times New Roman" w:eastAsia="宋体" w:cs="Times New Roman"/>
          <w:color w:val="auto"/>
          <w:sz w:val="24"/>
          <w:highlight w:val="none"/>
          <w:lang w:eastAsia="zh-CN"/>
        </w:rPr>
        <w:t>（A）之间，</w:t>
      </w:r>
      <w:r>
        <w:rPr>
          <w:rFonts w:hint="default" w:ascii="Times New Roman" w:hAnsi="Times New Roman" w:eastAsia="宋体" w:cs="Times New Roman"/>
          <w:color w:val="auto"/>
          <w:sz w:val="24"/>
          <w:highlight w:val="none"/>
        </w:rPr>
        <w:t>且建设期间这些噪声源都处于露天状态。</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pict>
          <v:shape id="对象 4801" o:spid="_x0000_s6849" o:spt="75" type="#_x0000_t75" style="position:absolute;left:0pt;margin-left:185.4pt;margin-top:12.7pt;height:36.95pt;width:109pt;z-index:251660288;mso-width-relative:page;mso-height-relative:page;" filled="f" o:preferrelative="t" stroked="f" coordsize="21600,21600">
            <v:path/>
            <v:fill on="f" focussize="0,0"/>
            <v:stroke on="f" joinstyle="miter"/>
            <v:imagedata r:id="rId47" o:title=""/>
            <o:lock v:ext="edit" aspectratio="t"/>
          </v:shape>
        </w:pict>
      </w:r>
      <w:r>
        <w:rPr>
          <w:rFonts w:hint="default" w:ascii="Times New Roman" w:hAnsi="Times New Roman" w:eastAsia="宋体" w:cs="Times New Roman"/>
          <w:color w:val="auto"/>
          <w:sz w:val="24"/>
          <w:highlight w:val="none"/>
        </w:rPr>
        <w:t>2、预测模式</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建设期噪声预测采用以下模式</w:t>
      </w:r>
      <w:r>
        <w:rPr>
          <w:rFonts w:hint="default" w:ascii="Times New Roman" w:hAnsi="Times New Roman" w:eastAsia="宋体" w:cs="Times New Roman"/>
          <w:color w:val="auto"/>
          <w:sz w:val="24"/>
          <w:highlight w:val="none"/>
          <w:lang w:eastAsia="zh-CN"/>
        </w:rPr>
        <w:t>：</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式中</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Li－第i噪声源在预测点噪声值</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dB</w:t>
      </w:r>
      <w:r>
        <w:rPr>
          <w:rFonts w:hint="default" w:ascii="Times New Roman" w:hAnsi="Times New Roman" w:eastAsia="宋体" w:cs="Times New Roman"/>
          <w:color w:val="auto"/>
          <w:sz w:val="24"/>
          <w:highlight w:val="none"/>
          <w:lang w:eastAsia="zh-CN"/>
        </w:rPr>
        <w:t>（A）</w:t>
      </w:r>
      <w:r>
        <w:rPr>
          <w:rFonts w:hint="default" w:ascii="Times New Roman" w:hAnsi="Times New Roman" w:eastAsia="宋体" w:cs="Times New Roman"/>
          <w:color w:val="auto"/>
          <w:sz w:val="24"/>
          <w:highlight w:val="none"/>
        </w:rPr>
        <w:t>；Lo－施工机械噪声源强</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dB</w:t>
      </w:r>
      <w:r>
        <w:rPr>
          <w:rFonts w:hint="default" w:ascii="Times New Roman" w:hAnsi="Times New Roman" w:eastAsia="宋体" w:cs="Times New Roman"/>
          <w:color w:val="auto"/>
          <w:sz w:val="24"/>
          <w:highlight w:val="none"/>
          <w:lang w:eastAsia="zh-CN"/>
        </w:rPr>
        <w:t>（A）</w:t>
      </w:r>
      <w:r>
        <w:rPr>
          <w:rFonts w:hint="default" w:ascii="Times New Roman" w:hAnsi="Times New Roman" w:eastAsia="宋体" w:cs="Times New Roman"/>
          <w:color w:val="auto"/>
          <w:sz w:val="24"/>
          <w:highlight w:val="none"/>
        </w:rPr>
        <w:t>；</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r0一测定Lo时距噪声源的距离</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m；r－预测点距噪声源的距离</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m。</w:t>
      </w:r>
    </w:p>
    <w:p>
      <w:pPr>
        <w:pageBreakBefore w:val="0"/>
        <w:wordWrap/>
        <w:bidi w:val="0"/>
        <w:spacing w:line="360" w:lineRule="auto"/>
        <w:ind w:left="0" w:leftChars="0" w:right="0" w:rightChars="0" w:firstLine="480" w:firstLineChars="200"/>
        <w:outlineLvl w:val="2"/>
        <w:rPr>
          <w:rFonts w:hint="default" w:ascii="Times New Roman" w:hAnsi="Times New Roman" w:eastAsia="宋体" w:cs="Times New Roman"/>
          <w:color w:val="auto"/>
          <w:sz w:val="24"/>
          <w:highlight w:val="none"/>
        </w:rPr>
      </w:pPr>
      <w:bookmarkStart w:id="887" w:name="_Toc6333"/>
      <w:bookmarkStart w:id="888" w:name="_Toc27234"/>
      <w:r>
        <w:rPr>
          <w:rFonts w:hint="default" w:ascii="Times New Roman" w:hAnsi="Times New Roman" w:eastAsia="宋体" w:cs="Times New Roman"/>
          <w:color w:val="auto"/>
          <w:sz w:val="24"/>
          <w:highlight w:val="none"/>
        </w:rPr>
        <w:t>3、预测结果及影响分析</w:t>
      </w:r>
      <w:bookmarkEnd w:id="887"/>
      <w:bookmarkEnd w:id="888"/>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以最大噪声源强95dB</w:t>
      </w:r>
      <w:r>
        <w:rPr>
          <w:rFonts w:hint="default" w:ascii="Times New Roman" w:hAnsi="Times New Roman" w:eastAsia="宋体" w:cs="Times New Roman"/>
          <w:color w:val="auto"/>
          <w:sz w:val="24"/>
          <w:highlight w:val="none"/>
          <w:lang w:eastAsia="zh-CN"/>
        </w:rPr>
        <w:t>（A）</w:t>
      </w:r>
      <w:r>
        <w:rPr>
          <w:rFonts w:hint="default" w:ascii="Times New Roman" w:hAnsi="Times New Roman" w:eastAsia="宋体" w:cs="Times New Roman"/>
          <w:color w:val="auto"/>
          <w:sz w:val="24"/>
          <w:highlight w:val="none"/>
        </w:rPr>
        <w:t>进行预测计算</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施工机械的噪声影响情况见表6-1。</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由表6-1可见</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在距噪声源20m以外噪声值小于69dB</w:t>
      </w:r>
      <w:r>
        <w:rPr>
          <w:rFonts w:hint="default" w:ascii="Times New Roman" w:hAnsi="Times New Roman" w:eastAsia="宋体" w:cs="Times New Roman"/>
          <w:color w:val="auto"/>
          <w:sz w:val="24"/>
          <w:highlight w:val="none"/>
          <w:lang w:eastAsia="zh-CN"/>
        </w:rPr>
        <w:t>（A），</w:t>
      </w:r>
      <w:r>
        <w:rPr>
          <w:rFonts w:hint="default" w:ascii="Times New Roman" w:hAnsi="Times New Roman" w:eastAsia="宋体" w:cs="Times New Roman"/>
          <w:color w:val="auto"/>
          <w:sz w:val="24"/>
          <w:highlight w:val="none"/>
        </w:rPr>
        <w:t>在距噪声源100m以外噪声值小于55dB</w:t>
      </w:r>
      <w:r>
        <w:rPr>
          <w:rFonts w:hint="default" w:ascii="Times New Roman" w:hAnsi="Times New Roman" w:eastAsia="宋体" w:cs="Times New Roman"/>
          <w:color w:val="auto"/>
          <w:sz w:val="24"/>
          <w:highlight w:val="none"/>
          <w:lang w:eastAsia="zh-CN"/>
        </w:rPr>
        <w:t>（A），</w:t>
      </w:r>
      <w:r>
        <w:rPr>
          <w:rFonts w:hint="default" w:ascii="Times New Roman" w:hAnsi="Times New Roman" w:eastAsia="宋体" w:cs="Times New Roman"/>
          <w:color w:val="auto"/>
          <w:sz w:val="24"/>
          <w:highlight w:val="none"/>
        </w:rPr>
        <w:t>达到《建筑施工场界环境噪声排放标准》（GB12523-2011</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要求。由于项目区占地面积较大</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噪声敏感点受其影响较小</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故建设期施工噪声对周围声环境影响较小</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施工机械噪声影响见表6-1。</w:t>
      </w:r>
    </w:p>
    <w:p>
      <w:pPr>
        <w:pageBreakBefore w:val="0"/>
        <w:tabs>
          <w:tab w:val="left" w:pos="3062"/>
        </w:tabs>
        <w:wordWrap/>
        <w:bidi w:val="0"/>
        <w:spacing w:line="360" w:lineRule="auto"/>
        <w:ind w:left="0" w:leftChars="0" w:right="0" w:rightChars="0"/>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表6-1施工机械噪声影响</w:t>
      </w:r>
    </w:p>
    <w:tbl>
      <w:tblPr>
        <w:tblStyle w:val="54"/>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2162"/>
        <w:gridCol w:w="658"/>
        <w:gridCol w:w="657"/>
        <w:gridCol w:w="657"/>
        <w:gridCol w:w="657"/>
        <w:gridCol w:w="705"/>
        <w:gridCol w:w="705"/>
        <w:gridCol w:w="705"/>
        <w:gridCol w:w="705"/>
        <w:gridCol w:w="70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exact"/>
          <w:jc w:val="center"/>
        </w:trPr>
        <w:tc>
          <w:tcPr>
            <w:tcW w:w="2243" w:type="dxa"/>
            <w:tcBorders>
              <w:top w:val="single" w:color="auto" w:sz="4" w:space="0"/>
              <w:lef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rPr>
              <w:t>距离（m</w:t>
            </w:r>
            <w:r>
              <w:rPr>
                <w:rFonts w:hint="default" w:ascii="Times New Roman" w:hAnsi="Times New Roman" w:eastAsia="宋体" w:cs="Times New Roman"/>
                <w:color w:val="auto"/>
                <w:szCs w:val="21"/>
                <w:highlight w:val="none"/>
                <w:lang w:eastAsia="zh-CN"/>
              </w:rPr>
              <w:t>）</w:t>
            </w:r>
          </w:p>
        </w:tc>
        <w:tc>
          <w:tcPr>
            <w:tcW w:w="682" w:type="dxa"/>
            <w:tcBorders>
              <w:top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20</w:t>
            </w:r>
          </w:p>
        </w:tc>
        <w:tc>
          <w:tcPr>
            <w:tcW w:w="682" w:type="dxa"/>
            <w:tcBorders>
              <w:top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40</w:t>
            </w:r>
          </w:p>
        </w:tc>
        <w:tc>
          <w:tcPr>
            <w:tcW w:w="682" w:type="dxa"/>
            <w:tcBorders>
              <w:top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60</w:t>
            </w:r>
          </w:p>
        </w:tc>
        <w:tc>
          <w:tcPr>
            <w:tcW w:w="682" w:type="dxa"/>
            <w:tcBorders>
              <w:top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80</w:t>
            </w:r>
          </w:p>
        </w:tc>
        <w:tc>
          <w:tcPr>
            <w:tcW w:w="732" w:type="dxa"/>
            <w:tcBorders>
              <w:top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100</w:t>
            </w:r>
          </w:p>
        </w:tc>
        <w:tc>
          <w:tcPr>
            <w:tcW w:w="732" w:type="dxa"/>
            <w:tcBorders>
              <w:top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120</w:t>
            </w:r>
          </w:p>
        </w:tc>
        <w:tc>
          <w:tcPr>
            <w:tcW w:w="732" w:type="dxa"/>
            <w:tcBorders>
              <w:top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140</w:t>
            </w:r>
          </w:p>
        </w:tc>
        <w:tc>
          <w:tcPr>
            <w:tcW w:w="732" w:type="dxa"/>
            <w:tcBorders>
              <w:top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160</w:t>
            </w:r>
          </w:p>
        </w:tc>
        <w:tc>
          <w:tcPr>
            <w:tcW w:w="732" w:type="dxa"/>
            <w:tcBorders>
              <w:top w:val="single" w:color="auto" w:sz="4" w:space="0"/>
              <w:righ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exact"/>
          <w:jc w:val="center"/>
        </w:trPr>
        <w:tc>
          <w:tcPr>
            <w:tcW w:w="2243" w:type="dxa"/>
            <w:tcBorders>
              <w:left w:val="single" w:color="auto" w:sz="4" w:space="0"/>
              <w:bottom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rPr>
              <w:t>预测值dB</w:t>
            </w:r>
            <w:r>
              <w:rPr>
                <w:rFonts w:hint="default" w:ascii="Times New Roman" w:hAnsi="Times New Roman" w:eastAsia="宋体" w:cs="Times New Roman"/>
                <w:color w:val="auto"/>
                <w:szCs w:val="21"/>
                <w:highlight w:val="none"/>
                <w:lang w:eastAsia="zh-CN"/>
              </w:rPr>
              <w:t>（A）</w:t>
            </w:r>
          </w:p>
        </w:tc>
        <w:tc>
          <w:tcPr>
            <w:tcW w:w="682" w:type="dxa"/>
            <w:tcBorders>
              <w:bottom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69</w:t>
            </w:r>
          </w:p>
        </w:tc>
        <w:tc>
          <w:tcPr>
            <w:tcW w:w="682" w:type="dxa"/>
            <w:tcBorders>
              <w:bottom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63</w:t>
            </w:r>
          </w:p>
        </w:tc>
        <w:tc>
          <w:tcPr>
            <w:tcW w:w="682" w:type="dxa"/>
            <w:tcBorders>
              <w:bottom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59</w:t>
            </w:r>
          </w:p>
        </w:tc>
        <w:tc>
          <w:tcPr>
            <w:tcW w:w="682" w:type="dxa"/>
            <w:tcBorders>
              <w:bottom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57</w:t>
            </w:r>
          </w:p>
        </w:tc>
        <w:tc>
          <w:tcPr>
            <w:tcW w:w="732" w:type="dxa"/>
            <w:tcBorders>
              <w:bottom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55</w:t>
            </w:r>
          </w:p>
        </w:tc>
        <w:tc>
          <w:tcPr>
            <w:tcW w:w="732" w:type="dxa"/>
            <w:tcBorders>
              <w:bottom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53</w:t>
            </w:r>
          </w:p>
        </w:tc>
        <w:tc>
          <w:tcPr>
            <w:tcW w:w="732" w:type="dxa"/>
            <w:tcBorders>
              <w:bottom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51</w:t>
            </w:r>
          </w:p>
        </w:tc>
        <w:tc>
          <w:tcPr>
            <w:tcW w:w="732" w:type="dxa"/>
            <w:tcBorders>
              <w:bottom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50</w:t>
            </w:r>
          </w:p>
        </w:tc>
        <w:tc>
          <w:tcPr>
            <w:tcW w:w="732" w:type="dxa"/>
            <w:tcBorders>
              <w:bottom w:val="single" w:color="auto" w:sz="4" w:space="0"/>
              <w:righ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49</w:t>
            </w:r>
          </w:p>
        </w:tc>
      </w:tr>
    </w:tbl>
    <w:p>
      <w:pPr>
        <w:pStyle w:val="4"/>
        <w:pageBreakBefore w:val="0"/>
        <w:numPr>
          <w:ilvl w:val="1"/>
          <w:numId w:val="0"/>
        </w:numPr>
        <w:wordWrap/>
        <w:bidi w:val="0"/>
        <w:ind w:left="0" w:leftChars="0" w:right="0" w:rightChars="0" w:firstLine="0" w:firstLineChars="0"/>
        <w:rPr>
          <w:rFonts w:hint="default" w:ascii="Times New Roman" w:hAnsi="Times New Roman" w:eastAsia="宋体" w:cs="Times New Roman"/>
          <w:b/>
          <w:bCs/>
          <w:color w:val="auto"/>
          <w:highlight w:val="none"/>
        </w:rPr>
      </w:pPr>
      <w:bookmarkStart w:id="889" w:name="_Toc6820"/>
      <w:bookmarkStart w:id="890" w:name="_Toc14147"/>
      <w:r>
        <w:rPr>
          <w:rFonts w:hint="default" w:ascii="Times New Roman" w:hAnsi="Times New Roman" w:eastAsia="宋体" w:cs="Times New Roman"/>
          <w:b/>
          <w:bCs/>
          <w:i w:val="0"/>
          <w:color w:val="auto"/>
          <w:kern w:val="2"/>
          <w:sz w:val="28"/>
          <w:szCs w:val="28"/>
          <w:highlight w:val="none"/>
          <w:lang w:val="en-US" w:eastAsia="zh-CN" w:bidi="ar-SA"/>
        </w:rPr>
        <w:t>6.4</w:t>
      </w:r>
      <w:r>
        <w:rPr>
          <w:rFonts w:hint="default" w:ascii="Times New Roman" w:hAnsi="Times New Roman" w:eastAsia="宋体" w:cs="Times New Roman"/>
          <w:b/>
          <w:bCs/>
          <w:color w:val="auto"/>
          <w:highlight w:val="none"/>
        </w:rPr>
        <w:t>固体废物影响分析</w:t>
      </w:r>
      <w:bookmarkEnd w:id="889"/>
      <w:bookmarkEnd w:id="890"/>
    </w:p>
    <w:p>
      <w:pPr>
        <w:pageBreakBefore w:val="0"/>
        <w:wordWrap/>
        <w:bidi w:val="0"/>
        <w:adjustRightIn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施工期固体废物主要是施工废土、建筑垃圾、生活垃圾等。</w:t>
      </w:r>
    </w:p>
    <w:p>
      <w:pPr>
        <w:pageBreakBefore w:val="0"/>
        <w:wordWrap/>
        <w:bidi w:val="0"/>
        <w:adjustRightIn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施工废土随产随运</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拉运至指定地点进行低洼处填埋等。</w:t>
      </w:r>
    </w:p>
    <w:p>
      <w:pPr>
        <w:pageBreakBefore w:val="0"/>
        <w:wordWrap/>
        <w:bidi w:val="0"/>
        <w:adjustRightIn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施工过程中产生的建筑垃圾</w:t>
      </w:r>
      <w:r>
        <w:rPr>
          <w:rFonts w:hint="default" w:ascii="Times New Roman" w:hAnsi="Times New Roman" w:eastAsia="宋体" w:cs="Times New Roman"/>
          <w:color w:val="auto"/>
          <w:sz w:val="24"/>
          <w:highlight w:val="none"/>
          <w:lang w:eastAsia="zh-CN"/>
        </w:rPr>
        <w:t>属</w:t>
      </w:r>
      <w:r>
        <w:rPr>
          <w:rFonts w:hint="default" w:ascii="Times New Roman" w:hAnsi="Times New Roman" w:eastAsia="宋体" w:cs="Times New Roman"/>
          <w:color w:val="auto"/>
          <w:sz w:val="24"/>
          <w:highlight w:val="none"/>
        </w:rPr>
        <w:t>无害固体废物</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但长期堆放会因扬尘影响大气质量</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同时影响景观。建筑垃圾应分阶段清理和处置</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合理调配。</w:t>
      </w:r>
    </w:p>
    <w:p>
      <w:pPr>
        <w:pageBreakBefore w:val="0"/>
        <w:wordWrap/>
        <w:bidi w:val="0"/>
        <w:adjustRightIn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生活垃圾如不及时处理</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在气温适宜的条件下则会滋生蚊虫、产生恶臭</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传播疾病</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对周围环境产生不利影响。生活垃圾应统一堆放在固定的地点</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并及时运至环卫部门指定地点处理</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以将所产生的不利影响减到</w:t>
      </w:r>
      <w:r>
        <w:rPr>
          <w:rFonts w:hint="default" w:ascii="Times New Roman" w:hAnsi="Times New Roman" w:eastAsia="宋体" w:cs="Times New Roman"/>
          <w:color w:val="auto"/>
          <w:sz w:val="24"/>
          <w:highlight w:val="none"/>
          <w:lang w:eastAsia="zh-CN"/>
        </w:rPr>
        <w:t>最小</w:t>
      </w:r>
      <w:r>
        <w:rPr>
          <w:rFonts w:hint="default" w:ascii="Times New Roman" w:hAnsi="Times New Roman" w:eastAsia="宋体" w:cs="Times New Roman"/>
          <w:color w:val="auto"/>
          <w:sz w:val="24"/>
          <w:highlight w:val="none"/>
        </w:rPr>
        <w:t>。</w:t>
      </w:r>
    </w:p>
    <w:p>
      <w:pPr>
        <w:pStyle w:val="4"/>
        <w:pageBreakBefore w:val="0"/>
        <w:numPr>
          <w:ilvl w:val="1"/>
          <w:numId w:val="0"/>
        </w:numPr>
        <w:wordWrap/>
        <w:bidi w:val="0"/>
        <w:ind w:left="0" w:leftChars="0" w:right="0" w:rightChars="0" w:firstLine="0" w:firstLineChars="0"/>
        <w:rPr>
          <w:rFonts w:hint="default" w:ascii="Times New Roman" w:hAnsi="Times New Roman" w:eastAsia="宋体" w:cs="Times New Roman"/>
          <w:b/>
          <w:bCs/>
          <w:color w:val="auto"/>
          <w:highlight w:val="none"/>
        </w:rPr>
      </w:pPr>
      <w:bookmarkStart w:id="891" w:name="_Toc13486"/>
      <w:bookmarkStart w:id="892" w:name="_Toc20930"/>
      <w:r>
        <w:rPr>
          <w:rFonts w:hint="default" w:ascii="Times New Roman" w:hAnsi="Times New Roman" w:eastAsia="宋体" w:cs="Times New Roman"/>
          <w:b/>
          <w:bCs/>
          <w:i w:val="0"/>
          <w:color w:val="auto"/>
          <w:kern w:val="2"/>
          <w:sz w:val="28"/>
          <w:szCs w:val="28"/>
          <w:highlight w:val="none"/>
          <w:lang w:val="en-US" w:eastAsia="zh-CN" w:bidi="ar-SA"/>
        </w:rPr>
        <w:t>6.5</w:t>
      </w:r>
      <w:r>
        <w:rPr>
          <w:rFonts w:hint="default" w:ascii="Times New Roman" w:hAnsi="Times New Roman" w:eastAsia="宋体" w:cs="Times New Roman"/>
          <w:b/>
          <w:bCs/>
          <w:color w:val="auto"/>
          <w:highlight w:val="none"/>
        </w:rPr>
        <w:t>生态影响分析</w:t>
      </w:r>
      <w:bookmarkEnd w:id="891"/>
      <w:bookmarkEnd w:id="892"/>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项目对所在地的生态环境的影响主要表现在对土地利用功能、植被、动物的影响。</w:t>
      </w:r>
    </w:p>
    <w:p>
      <w:pPr>
        <w:pageBreakBefore w:val="0"/>
        <w:wordWrap/>
        <w:bidi w:val="0"/>
        <w:spacing w:line="360" w:lineRule="auto"/>
        <w:ind w:left="0" w:leftChars="0" w:right="0" w:rightChars="0" w:firstLine="480" w:firstLineChars="200"/>
        <w:outlineLvl w:val="0"/>
        <w:rPr>
          <w:rFonts w:hint="default" w:ascii="Times New Roman" w:hAnsi="Times New Roman" w:eastAsia="宋体" w:cs="Times New Roman"/>
          <w:color w:val="auto"/>
          <w:sz w:val="24"/>
          <w:highlight w:val="none"/>
        </w:rPr>
      </w:pPr>
      <w:bookmarkStart w:id="893" w:name="_Toc30687"/>
      <w:bookmarkStart w:id="894" w:name="_Toc32489"/>
      <w:r>
        <w:rPr>
          <w:rFonts w:hint="default" w:ascii="Times New Roman" w:hAnsi="Times New Roman" w:eastAsia="宋体" w:cs="Times New Roman"/>
          <w:color w:val="auto"/>
          <w:sz w:val="24"/>
          <w:highlight w:val="none"/>
        </w:rPr>
        <w:t>（1）对土壤和植被的影响</w:t>
      </w:r>
      <w:bookmarkEnd w:id="893"/>
      <w:bookmarkEnd w:id="894"/>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项目建设后新增占地213144.71m</w:t>
      </w:r>
      <w:r>
        <w:rPr>
          <w:rFonts w:hint="default" w:ascii="Times New Roman" w:hAnsi="Times New Roman" w:eastAsia="宋体" w:cs="Times New Roman"/>
          <w:color w:val="auto"/>
          <w:sz w:val="24"/>
          <w:highlight w:val="none"/>
          <w:vertAlign w:val="superscript"/>
        </w:rPr>
        <w:t>2</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占地性质为</w:t>
      </w:r>
      <w:r>
        <w:rPr>
          <w:rFonts w:hint="default" w:ascii="Times New Roman" w:hAnsi="Times New Roman" w:eastAsia="宋体" w:cs="Times New Roman"/>
          <w:color w:val="auto"/>
          <w:sz w:val="24"/>
          <w:szCs w:val="24"/>
          <w:highlight w:val="none"/>
          <w:lang w:val="en-US" w:eastAsia="zh-CN"/>
        </w:rPr>
        <w:t>其他草原</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新增占地破坏为植被完全清除。生物量损失会随植被的清除降低项目区涵养水源、保持土壤的生态服务功能</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易引发水土流失。经</w:t>
      </w:r>
      <w:r>
        <w:rPr>
          <w:rFonts w:hint="default" w:ascii="Times New Roman" w:hAnsi="Times New Roman" w:eastAsia="宋体" w:cs="Times New Roman"/>
          <w:color w:val="auto"/>
          <w:sz w:val="24"/>
          <w:highlight w:val="none"/>
          <w:lang w:eastAsia="zh-CN"/>
        </w:rPr>
        <w:t>现场勘查，</w:t>
      </w:r>
      <w:r>
        <w:rPr>
          <w:rFonts w:hint="default" w:ascii="Times New Roman" w:hAnsi="Times New Roman" w:eastAsia="宋体" w:cs="Times New Roman"/>
          <w:color w:val="auto"/>
          <w:sz w:val="24"/>
          <w:highlight w:val="none"/>
        </w:rPr>
        <w:t>项目区范围内无珍稀濒危物种的分布</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因此对整个项目区对所在区域植被的群落组成、覆盖度、生物资源量、频率、密度以及连续性等影响很小</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对区域生态环境影响不大。</w:t>
      </w:r>
    </w:p>
    <w:p>
      <w:pPr>
        <w:pageBreakBefore w:val="0"/>
        <w:wordWrap/>
        <w:bidi w:val="0"/>
        <w:spacing w:line="360" w:lineRule="auto"/>
        <w:ind w:left="0" w:leftChars="0" w:right="0" w:rightChars="0" w:firstLine="480" w:firstLineChars="200"/>
        <w:outlineLvl w:val="0"/>
        <w:rPr>
          <w:rFonts w:hint="default" w:ascii="Times New Roman" w:hAnsi="Times New Roman" w:eastAsia="宋体" w:cs="Times New Roman"/>
          <w:color w:val="auto"/>
          <w:sz w:val="24"/>
          <w:highlight w:val="none"/>
        </w:rPr>
      </w:pPr>
      <w:bookmarkStart w:id="895" w:name="_Toc21867"/>
      <w:bookmarkStart w:id="896" w:name="_Toc16735"/>
      <w:r>
        <w:rPr>
          <w:rFonts w:hint="default" w:ascii="Times New Roman" w:hAnsi="Times New Roman" w:eastAsia="宋体" w:cs="Times New Roman"/>
          <w:color w:val="auto"/>
          <w:sz w:val="24"/>
          <w:highlight w:val="none"/>
        </w:rPr>
        <w:t>（2）对野生动物的影响</w:t>
      </w:r>
      <w:bookmarkEnd w:id="895"/>
      <w:bookmarkEnd w:id="896"/>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项目区施工机械、施工人员活动及运输车辆等对现有动物的栖息生境产生扰动</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对各类动物产生不同程度的影响。对项目区动物的栖息、繁衍将产生局部影响</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可能造成动物的脱离或搬迁。</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通过现场调查和咨询</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项目占地范围内动物资源</w:t>
      </w:r>
      <w:r>
        <w:rPr>
          <w:rFonts w:hint="default" w:ascii="Times New Roman" w:hAnsi="Times New Roman" w:eastAsia="宋体" w:cs="Times New Roman"/>
          <w:color w:val="auto"/>
          <w:sz w:val="24"/>
          <w:highlight w:val="none"/>
          <w:lang w:eastAsia="zh-CN"/>
        </w:rPr>
        <w:t>匮乏，</w:t>
      </w:r>
      <w:r>
        <w:rPr>
          <w:rFonts w:hint="default" w:ascii="Times New Roman" w:hAnsi="Times New Roman" w:eastAsia="宋体" w:cs="Times New Roman"/>
          <w:color w:val="auto"/>
          <w:sz w:val="24"/>
          <w:highlight w:val="none"/>
        </w:rPr>
        <w:t>主要是小型啮齿类、爬行类动物及常见鸟类</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没有珍稀物种。由于项目施工期较短</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因此施工期对动物的影响不大。</w:t>
      </w:r>
    </w:p>
    <w:p>
      <w:pPr>
        <w:pageBreakBefore w:val="0"/>
        <w:wordWrap/>
        <w:bidi w:val="0"/>
        <w:spacing w:line="360" w:lineRule="auto"/>
        <w:ind w:left="0" w:leftChars="0" w:right="0" w:rightChars="0" w:firstLine="480" w:firstLineChars="200"/>
        <w:outlineLvl w:val="0"/>
        <w:rPr>
          <w:rFonts w:hint="default" w:ascii="Times New Roman" w:hAnsi="Times New Roman" w:eastAsia="宋体" w:cs="Times New Roman"/>
          <w:color w:val="auto"/>
          <w:sz w:val="24"/>
          <w:highlight w:val="none"/>
        </w:rPr>
      </w:pPr>
      <w:bookmarkStart w:id="897" w:name="_Toc6125"/>
      <w:bookmarkStart w:id="898" w:name="_Toc21947"/>
      <w:r>
        <w:rPr>
          <w:rFonts w:hint="default" w:ascii="Times New Roman" w:hAnsi="Times New Roman" w:eastAsia="宋体" w:cs="Times New Roman"/>
          <w:color w:val="auto"/>
          <w:sz w:val="24"/>
          <w:highlight w:val="none"/>
        </w:rPr>
        <w:t>（3）对土地利用功能</w:t>
      </w:r>
      <w:r>
        <w:rPr>
          <w:rFonts w:hint="default" w:ascii="Times New Roman" w:hAnsi="Times New Roman" w:eastAsia="宋体" w:cs="Times New Roman"/>
          <w:color w:val="auto"/>
          <w:sz w:val="24"/>
          <w:szCs w:val="24"/>
          <w:highlight w:val="none"/>
        </w:rPr>
        <w:t>及水土流失的影响</w:t>
      </w:r>
      <w:bookmarkEnd w:id="897"/>
      <w:bookmarkEnd w:id="898"/>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项目新增占地213144.71hm</w:t>
      </w:r>
      <w:r>
        <w:rPr>
          <w:rFonts w:hint="default" w:ascii="Times New Roman" w:hAnsi="Times New Roman" w:eastAsia="宋体" w:cs="Times New Roman"/>
          <w:color w:val="auto"/>
          <w:sz w:val="24"/>
          <w:highlight w:val="none"/>
          <w:vertAlign w:val="superscript"/>
        </w:rPr>
        <w:t>2</w:t>
      </w:r>
      <w:r>
        <w:rPr>
          <w:rFonts w:hint="default" w:ascii="Times New Roman" w:hAnsi="Times New Roman" w:eastAsia="宋体" w:cs="Times New Roman"/>
          <w:color w:val="auto"/>
          <w:sz w:val="24"/>
          <w:highlight w:val="none"/>
        </w:rPr>
        <w:t>，占地性质为</w:t>
      </w:r>
      <w:r>
        <w:rPr>
          <w:rFonts w:hint="default" w:ascii="Times New Roman" w:hAnsi="Times New Roman" w:eastAsia="宋体" w:cs="Times New Roman"/>
          <w:color w:val="auto"/>
          <w:sz w:val="24"/>
          <w:szCs w:val="24"/>
          <w:highlight w:val="none"/>
          <w:lang w:val="en-US" w:eastAsia="zh-CN"/>
        </w:rPr>
        <w:t>其他草原</w:t>
      </w:r>
      <w:r>
        <w:rPr>
          <w:rFonts w:hint="default" w:ascii="Times New Roman" w:hAnsi="Times New Roman" w:eastAsia="宋体" w:cs="Times New Roman"/>
          <w:color w:val="auto"/>
          <w:sz w:val="24"/>
          <w:highlight w:val="none"/>
        </w:rPr>
        <w:t>，场地平整、地基开挖等建设期间开挖和扰动地表，致使地表裸露，原有土地利用功能改变。且在项目建设过程中，由于植被破坏和坡度增加，松散堆积物质在降雨过程中极易被冲刷而形成水土流失。</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但随着工程建设完成，生态恢复工作完成之后，水土流失源头消失，水土流失状况将得到极大缓解并将趋于消失</w:t>
      </w:r>
      <w:r>
        <w:rPr>
          <w:rFonts w:hint="default" w:ascii="Times New Roman" w:hAnsi="Times New Roman" w:eastAsia="宋体" w:cs="Times New Roman"/>
          <w:color w:val="auto"/>
          <w:sz w:val="24"/>
          <w:highlight w:val="none"/>
          <w:lang w:eastAsia="zh-CN"/>
        </w:rPr>
        <w:t>。</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本项目产生挖方为5000t，其中填方为4500t，剩余500t土石方用于上坝道路铺路、场地平整，不外排。</w:t>
      </w:r>
    </w:p>
    <w:p>
      <w:pPr>
        <w:pageBreakBefore w:val="0"/>
        <w:wordWrap/>
        <w:bidi w:val="0"/>
        <w:adjustRightInd w:val="0"/>
        <w:spacing w:line="360" w:lineRule="auto"/>
        <w:ind w:left="0" w:leftChars="0" w:right="0" w:rightChars="0" w:firstLine="480" w:firstLineChars="200"/>
        <w:rPr>
          <w:rFonts w:hint="default" w:ascii="Times New Roman" w:hAnsi="Times New Roman" w:eastAsia="宋体" w:cs="Times New Roman"/>
          <w:color w:val="auto"/>
          <w:sz w:val="24"/>
          <w:highlight w:val="none"/>
        </w:rPr>
        <w:sectPr>
          <w:type w:val="oddPage"/>
          <w:pgSz w:w="11907" w:h="16840"/>
          <w:pgMar w:top="1440" w:right="1800" w:bottom="1440" w:left="1800" w:header="907" w:footer="907" w:gutter="0"/>
          <w:pgNumType w:fmt="decimal"/>
          <w:cols w:space="720" w:num="1"/>
        </w:sectPr>
      </w:pPr>
    </w:p>
    <w:p>
      <w:pPr>
        <w:pStyle w:val="3"/>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0" w:firstLineChars="0"/>
        <w:textAlignment w:val="auto"/>
        <w:outlineLvl w:val="1"/>
        <w:rPr>
          <w:rFonts w:hint="default" w:ascii="Times New Roman" w:hAnsi="Times New Roman" w:eastAsia="宋体" w:cs="Times New Roman"/>
          <w:b/>
          <w:bCs/>
          <w:color w:val="auto"/>
          <w:sz w:val="32"/>
          <w:szCs w:val="32"/>
          <w:highlight w:val="none"/>
        </w:rPr>
      </w:pPr>
      <w:bookmarkStart w:id="899" w:name="_Toc1894"/>
      <w:bookmarkStart w:id="900" w:name="_Toc17418"/>
      <w:r>
        <w:rPr>
          <w:rFonts w:hint="default" w:ascii="Times New Roman" w:hAnsi="Times New Roman" w:eastAsia="宋体" w:cs="Times New Roman"/>
          <w:b/>
          <w:bCs/>
          <w:i w:val="0"/>
          <w:color w:val="auto"/>
          <w:kern w:val="44"/>
          <w:sz w:val="32"/>
          <w:szCs w:val="32"/>
          <w:highlight w:val="none"/>
          <w:lang w:val="en-US" w:eastAsia="zh-CN" w:bidi="ar-SA"/>
        </w:rPr>
        <w:t>7</w:t>
      </w:r>
      <w:r>
        <w:rPr>
          <w:rFonts w:hint="default" w:ascii="Times New Roman" w:hAnsi="Times New Roman" w:eastAsia="宋体" w:cs="Times New Roman"/>
          <w:b/>
          <w:bCs/>
          <w:color w:val="auto"/>
          <w:sz w:val="32"/>
          <w:szCs w:val="32"/>
          <w:highlight w:val="none"/>
        </w:rPr>
        <w:t>运</w:t>
      </w:r>
      <w:r>
        <w:rPr>
          <w:rFonts w:hint="default" w:ascii="Times New Roman" w:hAnsi="Times New Roman" w:eastAsia="宋体" w:cs="Times New Roman"/>
          <w:b/>
          <w:bCs/>
          <w:color w:val="auto"/>
          <w:sz w:val="32"/>
          <w:szCs w:val="32"/>
          <w:highlight w:val="none"/>
          <w:lang w:eastAsia="zh-CN"/>
        </w:rPr>
        <w:t>营</w:t>
      </w:r>
      <w:r>
        <w:rPr>
          <w:rFonts w:hint="default" w:ascii="Times New Roman" w:hAnsi="Times New Roman" w:eastAsia="宋体" w:cs="Times New Roman"/>
          <w:b/>
          <w:bCs/>
          <w:color w:val="auto"/>
          <w:sz w:val="32"/>
          <w:szCs w:val="32"/>
          <w:highlight w:val="none"/>
        </w:rPr>
        <w:t>期环境影响预测与</w:t>
      </w:r>
      <w:bookmarkEnd w:id="876"/>
      <w:bookmarkEnd w:id="877"/>
      <w:r>
        <w:rPr>
          <w:rFonts w:hint="default" w:ascii="Times New Roman" w:hAnsi="Times New Roman" w:eastAsia="宋体" w:cs="Times New Roman"/>
          <w:b/>
          <w:bCs/>
          <w:color w:val="auto"/>
          <w:sz w:val="32"/>
          <w:szCs w:val="32"/>
          <w:highlight w:val="none"/>
        </w:rPr>
        <w:t>评价</w:t>
      </w:r>
      <w:bookmarkEnd w:id="878"/>
      <w:bookmarkEnd w:id="899"/>
      <w:bookmarkEnd w:id="900"/>
    </w:p>
    <w:p>
      <w:pPr>
        <w:pStyle w:val="4"/>
        <w:pageBreakBefore w:val="0"/>
        <w:widowControl w:val="0"/>
        <w:numPr>
          <w:ilvl w:val="1"/>
          <w:numId w:val="0"/>
        </w:numPr>
        <w:kinsoku/>
        <w:wordWrap/>
        <w:overflowPunct/>
        <w:topLinePunct w:val="0"/>
        <w:autoSpaceDE/>
        <w:autoSpaceDN/>
        <w:bidi w:val="0"/>
        <w:adjustRightInd/>
        <w:snapToGrid/>
        <w:spacing w:line="360" w:lineRule="auto"/>
        <w:ind w:left="0" w:leftChars="0" w:right="0" w:rightChars="0" w:firstLine="0" w:firstLineChars="0"/>
        <w:textAlignment w:val="auto"/>
        <w:outlineLvl w:val="2"/>
        <w:rPr>
          <w:rFonts w:hint="default" w:ascii="Times New Roman" w:hAnsi="Times New Roman" w:eastAsia="宋体" w:cs="Times New Roman"/>
          <w:b/>
          <w:bCs/>
          <w:color w:val="auto"/>
          <w:sz w:val="28"/>
          <w:szCs w:val="28"/>
          <w:highlight w:val="none"/>
        </w:rPr>
      </w:pPr>
      <w:bookmarkStart w:id="901" w:name="_Toc14526"/>
      <w:bookmarkStart w:id="902" w:name="_Toc24462"/>
      <w:r>
        <w:rPr>
          <w:rFonts w:hint="default" w:ascii="Times New Roman" w:hAnsi="Times New Roman" w:eastAsia="宋体" w:cs="Times New Roman"/>
          <w:b/>
          <w:bCs/>
          <w:i w:val="0"/>
          <w:color w:val="auto"/>
          <w:kern w:val="2"/>
          <w:sz w:val="28"/>
          <w:szCs w:val="28"/>
          <w:highlight w:val="none"/>
          <w:lang w:val="en-US" w:eastAsia="zh-CN" w:bidi="ar-SA"/>
        </w:rPr>
        <w:t>7.1</w:t>
      </w:r>
      <w:r>
        <w:rPr>
          <w:rFonts w:hint="default" w:ascii="Times New Roman" w:hAnsi="Times New Roman" w:eastAsia="宋体" w:cs="Times New Roman"/>
          <w:b/>
          <w:bCs/>
          <w:color w:val="auto"/>
          <w:sz w:val="28"/>
          <w:szCs w:val="28"/>
          <w:highlight w:val="none"/>
        </w:rPr>
        <w:t>区域气象特征</w:t>
      </w:r>
      <w:bookmarkEnd w:id="901"/>
      <w:bookmarkEnd w:id="902"/>
    </w:p>
    <w:p>
      <w:pPr>
        <w:pStyle w:val="5"/>
        <w:keepNext/>
        <w:keepLines/>
        <w:pageBreakBefore w:val="0"/>
        <w:widowControl w:val="0"/>
        <w:numPr>
          <w:ilvl w:val="2"/>
          <w:numId w:val="0"/>
        </w:numPr>
        <w:kinsoku/>
        <w:wordWrap/>
        <w:overflowPunct/>
        <w:topLinePunct w:val="0"/>
        <w:autoSpaceDE/>
        <w:autoSpaceDN/>
        <w:bidi w:val="0"/>
        <w:adjustRightInd/>
        <w:snapToGrid/>
        <w:ind w:left="0" w:leftChars="0" w:right="0" w:rightChars="0" w:firstLine="0" w:firstLineChars="0"/>
        <w:textAlignment w:val="auto"/>
        <w:rPr>
          <w:rFonts w:hint="default" w:ascii="Times New Roman" w:hAnsi="Times New Roman" w:eastAsia="宋体" w:cs="Times New Roman"/>
          <w:b/>
          <w:bCs/>
          <w:i w:val="0"/>
          <w:iCs w:val="0"/>
          <w:caps w:val="0"/>
          <w:smallCaps w:val="0"/>
          <w:strike w:val="0"/>
          <w:dstrike w:val="0"/>
          <w:vanish w:val="0"/>
          <w:color w:val="auto"/>
          <w:spacing w:val="0"/>
          <w:kern w:val="2"/>
          <w:position w:val="0"/>
          <w:sz w:val="24"/>
          <w:szCs w:val="24"/>
          <w:highlight w:val="none"/>
          <w:u w:val="none"/>
          <w:vertAlign w:val="baseline"/>
          <w:lang w:val="en-US" w:eastAsia="zh-CN" w:bidi="ar-SA"/>
          <w14:shadow w14:blurRad="0" w14:dist="0" w14:dir="0" w14:sx="0" w14:sy="0" w14:kx="0" w14:ky="0" w14:algn="none">
            <w14:srgbClr w14:val="000000"/>
          </w14:shadow>
        </w:rPr>
      </w:pPr>
      <w:bookmarkStart w:id="903" w:name="_Toc6511"/>
      <w:bookmarkStart w:id="904" w:name="_Toc23008"/>
      <w:r>
        <w:rPr>
          <w:rFonts w:hint="default" w:ascii="Times New Roman" w:hAnsi="Times New Roman" w:eastAsia="宋体" w:cs="Times New Roman"/>
          <w:b/>
          <w:bCs/>
          <w:i w:val="0"/>
          <w:iCs w:val="0"/>
          <w:caps w:val="0"/>
          <w:smallCaps w:val="0"/>
          <w:strike w:val="0"/>
          <w:dstrike w:val="0"/>
          <w:vanish w:val="0"/>
          <w:color w:val="auto"/>
          <w:spacing w:val="0"/>
          <w:kern w:val="2"/>
          <w:position w:val="0"/>
          <w:sz w:val="24"/>
          <w:szCs w:val="24"/>
          <w:highlight w:val="none"/>
          <w:u w:val="none"/>
          <w:vertAlign w:val="baseline"/>
          <w:lang w:val="en-US" w:eastAsia="zh-CN" w:bidi="ar-SA"/>
          <w14:shadow w14:blurRad="0" w14:dist="0" w14:dir="0" w14:sx="0" w14:sy="0" w14:kx="0" w14:ky="0" w14:algn="none">
            <w14:srgbClr w14:val="000000"/>
          </w14:shadow>
        </w:rPr>
        <w:t>7.1.1站点基本信息</w:t>
      </w:r>
      <w:bookmarkEnd w:id="903"/>
      <w:bookmarkEnd w:id="904"/>
    </w:p>
    <w:p>
      <w:pPr>
        <w:pageBreakBefore w:val="0"/>
        <w:widowControl w:val="0"/>
        <w:kinsoku/>
        <w:wordWrap/>
        <w:overflowPunct/>
        <w:topLinePunct w:val="0"/>
        <w:autoSpaceDE/>
        <w:autoSpaceDN/>
        <w:bidi w:val="0"/>
        <w:adjustRightInd/>
        <w:snapToGrid/>
        <w:spacing w:line="360" w:lineRule="auto"/>
        <w:ind w:left="0" w:leftChars="0" w:right="0" w:rightChars="0" w:firstLine="48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地面数据站点基本信息如下表。</w:t>
      </w:r>
    </w:p>
    <w:p>
      <w:pPr>
        <w:pageBreakBefore w:val="0"/>
        <w:widowControl w:val="0"/>
        <w:kinsoku/>
        <w:wordWrap/>
        <w:overflowPunct/>
        <w:topLinePunct w:val="0"/>
        <w:autoSpaceDE/>
        <w:autoSpaceDN/>
        <w:bidi w:val="0"/>
        <w:adjustRightInd/>
        <w:snapToGrid/>
        <w:spacing w:line="360" w:lineRule="auto"/>
        <w:ind w:left="0" w:leftChars="0" w:right="0" w:rightChars="0"/>
        <w:jc w:val="center"/>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表</w:t>
      </w:r>
      <w:r>
        <w:rPr>
          <w:rFonts w:hint="default" w:ascii="Times New Roman" w:hAnsi="Times New Roman" w:eastAsia="宋体" w:cs="Times New Roman"/>
          <w:b/>
          <w:bCs/>
          <w:color w:val="auto"/>
          <w:sz w:val="24"/>
          <w:szCs w:val="24"/>
          <w:highlight w:val="none"/>
          <w:lang w:val="en-US" w:eastAsia="zh-CN"/>
        </w:rPr>
        <w:t>7</w:t>
      </w:r>
      <w:r>
        <w:rPr>
          <w:rFonts w:hint="default" w:ascii="Times New Roman" w:hAnsi="Times New Roman" w:eastAsia="宋体" w:cs="Times New Roman"/>
          <w:b/>
          <w:bCs/>
          <w:color w:val="auto"/>
          <w:sz w:val="24"/>
          <w:szCs w:val="24"/>
          <w:highlight w:val="none"/>
        </w:rPr>
        <w:t>-1地面和高空数据站点基本信息表</w:t>
      </w:r>
    </w:p>
    <w:tbl>
      <w:tblPr>
        <w:tblStyle w:val="5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64"/>
        <w:gridCol w:w="1065"/>
        <w:gridCol w:w="1065"/>
        <w:gridCol w:w="1065"/>
        <w:gridCol w:w="1066"/>
        <w:gridCol w:w="1066"/>
        <w:gridCol w:w="1066"/>
        <w:gridCol w:w="10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66"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rPr>
              <w:t>类别</w:t>
            </w:r>
          </w:p>
        </w:tc>
        <w:tc>
          <w:tcPr>
            <w:tcW w:w="1066"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rPr>
              <w:t>站点名称</w:t>
            </w:r>
          </w:p>
        </w:tc>
        <w:tc>
          <w:tcPr>
            <w:tcW w:w="1066"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rPr>
              <w:t>站点编号</w:t>
            </w:r>
          </w:p>
        </w:tc>
        <w:tc>
          <w:tcPr>
            <w:tcW w:w="1066"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rPr>
              <w:t>气象站等级</w:t>
            </w:r>
          </w:p>
        </w:tc>
        <w:tc>
          <w:tcPr>
            <w:tcW w:w="2132"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rPr>
              <w:t>站点坐标</w:t>
            </w:r>
          </w:p>
        </w:tc>
        <w:tc>
          <w:tcPr>
            <w:tcW w:w="1066"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rPr>
              <w:t>高程（m）</w:t>
            </w:r>
          </w:p>
        </w:tc>
        <w:tc>
          <w:tcPr>
            <w:tcW w:w="1066"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rPr>
              <w:t>气象要素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66"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rPr>
            </w:pPr>
          </w:p>
        </w:tc>
        <w:tc>
          <w:tcPr>
            <w:tcW w:w="1066"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rPr>
            </w:pPr>
          </w:p>
        </w:tc>
        <w:tc>
          <w:tcPr>
            <w:tcW w:w="1066"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rPr>
            </w:pPr>
          </w:p>
        </w:tc>
        <w:tc>
          <w:tcPr>
            <w:tcW w:w="1066"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rPr>
            </w:pPr>
          </w:p>
        </w:tc>
        <w:tc>
          <w:tcPr>
            <w:tcW w:w="1066"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rPr>
              <w:t>经度</w:t>
            </w:r>
          </w:p>
        </w:tc>
        <w:tc>
          <w:tcPr>
            <w:tcW w:w="1066"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rPr>
              <w:t>纬度</w:t>
            </w:r>
          </w:p>
        </w:tc>
        <w:tc>
          <w:tcPr>
            <w:tcW w:w="1066"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rPr>
            </w:pPr>
          </w:p>
        </w:tc>
        <w:tc>
          <w:tcPr>
            <w:tcW w:w="1066"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66"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rPr>
              <w:t>地面</w:t>
            </w:r>
          </w:p>
        </w:tc>
        <w:tc>
          <w:tcPr>
            <w:tcW w:w="1066"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rPr>
              <w:t>乌拉特前旗</w:t>
            </w:r>
          </w:p>
        </w:tc>
        <w:tc>
          <w:tcPr>
            <w:tcW w:w="1066"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rPr>
              <w:t>53433</w:t>
            </w:r>
          </w:p>
        </w:tc>
        <w:tc>
          <w:tcPr>
            <w:tcW w:w="1066"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rPr>
              <w:t>一般站</w:t>
            </w:r>
          </w:p>
        </w:tc>
        <w:tc>
          <w:tcPr>
            <w:tcW w:w="1066"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rPr>
              <w:t>108.650</w:t>
            </w:r>
          </w:p>
        </w:tc>
        <w:tc>
          <w:tcPr>
            <w:tcW w:w="1066"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rPr>
              <w:t>40.733</w:t>
            </w:r>
          </w:p>
        </w:tc>
        <w:tc>
          <w:tcPr>
            <w:tcW w:w="1066"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rPr>
              <w:t>1020.4</w:t>
            </w:r>
          </w:p>
        </w:tc>
        <w:tc>
          <w:tcPr>
            <w:tcW w:w="1066"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rPr>
              <w:t>风向、风速、干球温度、相对湿度、总云、低云</w:t>
            </w:r>
          </w:p>
        </w:tc>
      </w:tr>
    </w:tbl>
    <w:p>
      <w:pPr>
        <w:pStyle w:val="5"/>
        <w:keepNext/>
        <w:keepLines/>
        <w:pageBreakBefore w:val="0"/>
        <w:widowControl w:val="0"/>
        <w:numPr>
          <w:ilvl w:val="2"/>
          <w:numId w:val="0"/>
        </w:numPr>
        <w:kinsoku/>
        <w:wordWrap/>
        <w:overflowPunct/>
        <w:topLinePunct w:val="0"/>
        <w:autoSpaceDE/>
        <w:autoSpaceDN/>
        <w:bidi w:val="0"/>
        <w:adjustRightInd/>
        <w:snapToGrid/>
        <w:ind w:left="0" w:leftChars="0" w:right="0" w:rightChars="0" w:firstLine="0" w:firstLineChars="0"/>
        <w:textAlignment w:val="auto"/>
        <w:rPr>
          <w:rFonts w:hint="default" w:ascii="Times New Roman" w:hAnsi="Times New Roman" w:eastAsia="宋体" w:cs="Times New Roman"/>
          <w:b/>
          <w:bCs/>
          <w:i w:val="0"/>
          <w:iCs w:val="0"/>
          <w:caps w:val="0"/>
          <w:smallCaps w:val="0"/>
          <w:strike w:val="0"/>
          <w:dstrike w:val="0"/>
          <w:vanish w:val="0"/>
          <w:color w:val="auto"/>
          <w:spacing w:val="0"/>
          <w:kern w:val="2"/>
          <w:position w:val="0"/>
          <w:sz w:val="24"/>
          <w:szCs w:val="24"/>
          <w:highlight w:val="none"/>
          <w:u w:val="none"/>
          <w:vertAlign w:val="baseline"/>
          <w:lang w:val="en-US" w:eastAsia="zh-CN" w:bidi="ar-SA"/>
          <w14:shadow w14:blurRad="0" w14:dist="0" w14:dir="0" w14:sx="0" w14:sy="0" w14:kx="0" w14:ky="0" w14:algn="none">
            <w14:srgbClr w14:val="000000"/>
          </w14:shadow>
        </w:rPr>
      </w:pPr>
      <w:bookmarkStart w:id="905" w:name="_Toc7215"/>
      <w:bookmarkStart w:id="906" w:name="_Toc31150"/>
      <w:r>
        <w:rPr>
          <w:rFonts w:hint="default" w:ascii="Times New Roman" w:hAnsi="Times New Roman" w:eastAsia="宋体" w:cs="Times New Roman"/>
          <w:b/>
          <w:bCs/>
          <w:i w:val="0"/>
          <w:iCs w:val="0"/>
          <w:caps w:val="0"/>
          <w:smallCaps w:val="0"/>
          <w:strike w:val="0"/>
          <w:dstrike w:val="0"/>
          <w:vanish w:val="0"/>
          <w:color w:val="auto"/>
          <w:spacing w:val="0"/>
          <w:kern w:val="2"/>
          <w:position w:val="0"/>
          <w:sz w:val="24"/>
          <w:szCs w:val="24"/>
          <w:highlight w:val="none"/>
          <w:u w:val="none"/>
          <w:vertAlign w:val="baseline"/>
          <w:lang w:val="en-US" w:eastAsia="zh-CN" w:bidi="ar-SA"/>
          <w14:shadow w14:blurRad="0" w14:dist="0" w14:dir="0" w14:sx="0" w14:sy="0" w14:kx="0" w14:ky="0" w14:algn="none">
            <w14:srgbClr w14:val="000000"/>
          </w14:shadow>
        </w:rPr>
        <w:t>7.1.2气象站近20年地面气象历史资料</w:t>
      </w:r>
      <w:bookmarkEnd w:id="905"/>
      <w:bookmarkEnd w:id="906"/>
    </w:p>
    <w:p>
      <w:pPr>
        <w:pageBreakBefore w:val="0"/>
        <w:widowControl w:val="0"/>
        <w:kinsoku/>
        <w:wordWrap/>
        <w:overflowPunct/>
        <w:topLinePunct w:val="0"/>
        <w:autoSpaceDE/>
        <w:autoSpaceDN/>
        <w:bidi w:val="0"/>
        <w:adjustRightInd/>
        <w:snapToGrid/>
        <w:spacing w:line="360" w:lineRule="auto"/>
        <w:ind w:left="0" w:leftChars="0" w:right="0" w:rightChars="0" w:firstLine="48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次评价项目采用的是乌拉特前旗气象站（53433）资料，位于内蒙古自治区乌拉特前旗，地理坐标为东经108.650度，北纬40.733度，平均海拔高度1020.4米，该气象站距项目厂址62.4km，拥有长期的气象观测资料，以下资料根据近20年气象数据统计分析。乌拉特前旗气象站气象资料整编表如表</w:t>
      </w:r>
      <w:r>
        <w:rPr>
          <w:rFonts w:hint="default" w:ascii="Times New Roman" w:hAnsi="Times New Roman" w:eastAsia="宋体" w:cs="Times New Roman"/>
          <w:color w:val="auto"/>
          <w:sz w:val="24"/>
          <w:szCs w:val="24"/>
          <w:highlight w:val="none"/>
          <w:lang w:val="en-US" w:eastAsia="zh-CN"/>
        </w:rPr>
        <w:t>7</w:t>
      </w:r>
      <w:r>
        <w:rPr>
          <w:rFonts w:hint="default" w:ascii="Times New Roman" w:hAnsi="Times New Roman" w:eastAsia="宋体" w:cs="Times New Roman"/>
          <w:color w:val="auto"/>
          <w:sz w:val="24"/>
          <w:szCs w:val="24"/>
          <w:highlight w:val="none"/>
        </w:rPr>
        <w:t>-2。</w:t>
      </w:r>
    </w:p>
    <w:p>
      <w:pPr>
        <w:pageBreakBefore w:val="0"/>
        <w:widowControl w:val="0"/>
        <w:kinsoku/>
        <w:wordWrap/>
        <w:overflowPunct/>
        <w:topLinePunct w:val="0"/>
        <w:autoSpaceDE/>
        <w:autoSpaceDN/>
        <w:bidi w:val="0"/>
        <w:adjustRightInd/>
        <w:snapToGrid/>
        <w:spacing w:line="360" w:lineRule="auto"/>
        <w:ind w:left="0" w:leftChars="0" w:right="0" w:rightChars="0"/>
        <w:jc w:val="center"/>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表</w:t>
      </w:r>
      <w:r>
        <w:rPr>
          <w:rFonts w:hint="default" w:ascii="Times New Roman" w:hAnsi="Times New Roman" w:eastAsia="宋体" w:cs="Times New Roman"/>
          <w:b/>
          <w:bCs/>
          <w:color w:val="auto"/>
          <w:sz w:val="24"/>
          <w:szCs w:val="24"/>
          <w:highlight w:val="none"/>
          <w:lang w:val="en-US" w:eastAsia="zh-CN"/>
        </w:rPr>
        <w:t>7</w:t>
      </w:r>
      <w:r>
        <w:rPr>
          <w:rFonts w:hint="default" w:ascii="Times New Roman" w:hAnsi="Times New Roman" w:eastAsia="宋体" w:cs="Times New Roman"/>
          <w:b/>
          <w:bCs/>
          <w:color w:val="auto"/>
          <w:sz w:val="24"/>
          <w:szCs w:val="24"/>
          <w:highlight w:val="none"/>
        </w:rPr>
        <w:t>-2乌拉特前旗气象站［53433］近20年</w:t>
      </w:r>
      <w:r>
        <w:rPr>
          <w:rFonts w:hint="default" w:ascii="Times New Roman" w:hAnsi="Times New Roman" w:eastAsia="宋体" w:cs="Times New Roman"/>
          <w:b/>
          <w:bCs/>
          <w:color w:val="auto"/>
          <w:sz w:val="24"/>
          <w:szCs w:val="24"/>
          <w:highlight w:val="none"/>
          <w:lang w:eastAsia="zh-CN"/>
        </w:rPr>
        <w:t>（</w:t>
      </w:r>
      <w:r>
        <w:rPr>
          <w:rFonts w:hint="default" w:ascii="Times New Roman" w:hAnsi="Times New Roman" w:eastAsia="宋体" w:cs="Times New Roman"/>
          <w:b/>
          <w:bCs/>
          <w:color w:val="auto"/>
          <w:sz w:val="24"/>
          <w:szCs w:val="24"/>
          <w:highlight w:val="none"/>
        </w:rPr>
        <w:t>2003-2022</w:t>
      </w:r>
      <w:r>
        <w:rPr>
          <w:rFonts w:hint="default" w:ascii="Times New Roman" w:hAnsi="Times New Roman" w:eastAsia="宋体" w:cs="Times New Roman"/>
          <w:b/>
          <w:bCs/>
          <w:color w:val="auto"/>
          <w:sz w:val="24"/>
          <w:szCs w:val="24"/>
          <w:highlight w:val="none"/>
          <w:lang w:eastAsia="zh-CN"/>
        </w:rPr>
        <w:t>）</w:t>
      </w:r>
      <w:r>
        <w:rPr>
          <w:rFonts w:hint="default" w:ascii="Times New Roman" w:hAnsi="Times New Roman" w:eastAsia="宋体" w:cs="Times New Roman"/>
          <w:b/>
          <w:bCs/>
          <w:color w:val="auto"/>
          <w:sz w:val="24"/>
          <w:szCs w:val="24"/>
          <w:highlight w:val="none"/>
        </w:rPr>
        <w:t>主要气候特征统计表</w:t>
      </w:r>
    </w:p>
    <w:tbl>
      <w:tblPr>
        <w:tblStyle w:val="5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88"/>
        <w:gridCol w:w="1080"/>
        <w:gridCol w:w="1085"/>
        <w:gridCol w:w="1080"/>
        <w:gridCol w:w="888"/>
        <w:gridCol w:w="1322"/>
        <w:gridCol w:w="1093"/>
        <w:gridCol w:w="10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50"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rPr>
              <w:t>序号</w:t>
            </w:r>
          </w:p>
        </w:tc>
        <w:tc>
          <w:tcPr>
            <w:tcW w:w="1034"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rPr>
              <w:t>项目</w:t>
            </w:r>
          </w:p>
        </w:tc>
        <w:tc>
          <w:tcPr>
            <w:tcW w:w="1039"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rPr>
              <w:t>统计结果</w:t>
            </w:r>
          </w:p>
        </w:tc>
        <w:tc>
          <w:tcPr>
            <w:tcW w:w="1034"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rPr>
              <w:t>单位</w:t>
            </w:r>
          </w:p>
        </w:tc>
        <w:tc>
          <w:tcPr>
            <w:tcW w:w="850"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rPr>
              <w:t>序号</w:t>
            </w:r>
          </w:p>
        </w:tc>
        <w:tc>
          <w:tcPr>
            <w:tcW w:w="1266"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rPr>
              <w:t>项目</w:t>
            </w:r>
          </w:p>
        </w:tc>
        <w:tc>
          <w:tcPr>
            <w:tcW w:w="1047"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rPr>
              <w:t>统计结果</w:t>
            </w:r>
          </w:p>
        </w:tc>
        <w:tc>
          <w:tcPr>
            <w:tcW w:w="1040"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rPr>
              <w:t>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50"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1</w:t>
            </w:r>
          </w:p>
        </w:tc>
        <w:tc>
          <w:tcPr>
            <w:tcW w:w="1034"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rPr>
              <w:t>年平均风速</w:t>
            </w:r>
          </w:p>
        </w:tc>
        <w:tc>
          <w:tcPr>
            <w:tcW w:w="1039"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rPr>
              <w:t>2.2</w:t>
            </w:r>
          </w:p>
        </w:tc>
        <w:tc>
          <w:tcPr>
            <w:tcW w:w="1034"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rPr>
              <w:t>m/s</w:t>
            </w:r>
          </w:p>
        </w:tc>
        <w:tc>
          <w:tcPr>
            <w:tcW w:w="850"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7</w:t>
            </w:r>
          </w:p>
        </w:tc>
        <w:tc>
          <w:tcPr>
            <w:tcW w:w="1266"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rPr>
              <w:t>年平均降水量</w:t>
            </w:r>
          </w:p>
        </w:tc>
        <w:tc>
          <w:tcPr>
            <w:tcW w:w="1047"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rPr>
              <w:t>226.4</w:t>
            </w:r>
          </w:p>
        </w:tc>
        <w:tc>
          <w:tcPr>
            <w:tcW w:w="1040"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rPr>
              <w:t>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50"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2</w:t>
            </w:r>
          </w:p>
        </w:tc>
        <w:tc>
          <w:tcPr>
            <w:tcW w:w="1034"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rPr>
              <w:t>年平均气压</w:t>
            </w:r>
          </w:p>
        </w:tc>
        <w:tc>
          <w:tcPr>
            <w:tcW w:w="1039"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rPr>
              <w:t>900.2</w:t>
            </w:r>
          </w:p>
        </w:tc>
        <w:tc>
          <w:tcPr>
            <w:tcW w:w="1034"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rPr>
              <w:t>hPa</w:t>
            </w:r>
          </w:p>
        </w:tc>
        <w:tc>
          <w:tcPr>
            <w:tcW w:w="850"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8</w:t>
            </w:r>
          </w:p>
        </w:tc>
        <w:tc>
          <w:tcPr>
            <w:tcW w:w="1266"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rPr>
              <w:t>最大年降水量</w:t>
            </w:r>
          </w:p>
        </w:tc>
        <w:tc>
          <w:tcPr>
            <w:tcW w:w="1047"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rPr>
              <w:t>387.5</w:t>
            </w:r>
          </w:p>
        </w:tc>
        <w:tc>
          <w:tcPr>
            <w:tcW w:w="1040"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rPr>
              <w:t>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50"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3</w:t>
            </w:r>
          </w:p>
        </w:tc>
        <w:tc>
          <w:tcPr>
            <w:tcW w:w="1034"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rPr>
              <w:t>年平均气温</w:t>
            </w:r>
          </w:p>
        </w:tc>
        <w:tc>
          <w:tcPr>
            <w:tcW w:w="1039"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rPr>
              <w:t>9.5</w:t>
            </w:r>
          </w:p>
        </w:tc>
        <w:tc>
          <w:tcPr>
            <w:tcW w:w="1034"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rPr>
              <w:t>℃</w:t>
            </w:r>
          </w:p>
        </w:tc>
        <w:tc>
          <w:tcPr>
            <w:tcW w:w="850"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9</w:t>
            </w:r>
          </w:p>
        </w:tc>
        <w:tc>
          <w:tcPr>
            <w:tcW w:w="1266"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rPr>
              <w:t>最小年降水量</w:t>
            </w:r>
          </w:p>
        </w:tc>
        <w:tc>
          <w:tcPr>
            <w:tcW w:w="1047"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rPr>
              <w:t>73.0</w:t>
            </w:r>
          </w:p>
        </w:tc>
        <w:tc>
          <w:tcPr>
            <w:tcW w:w="1040"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rPr>
              <w:t>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50"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4</w:t>
            </w:r>
          </w:p>
        </w:tc>
        <w:tc>
          <w:tcPr>
            <w:tcW w:w="1034"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rPr>
              <w:t>极端最高气温</w:t>
            </w:r>
          </w:p>
        </w:tc>
        <w:tc>
          <w:tcPr>
            <w:tcW w:w="1039"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rPr>
              <w:t>40.0</w:t>
            </w:r>
          </w:p>
        </w:tc>
        <w:tc>
          <w:tcPr>
            <w:tcW w:w="1034"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rPr>
              <w:t>℃</w:t>
            </w:r>
          </w:p>
        </w:tc>
        <w:tc>
          <w:tcPr>
            <w:tcW w:w="850"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10</w:t>
            </w:r>
          </w:p>
        </w:tc>
        <w:tc>
          <w:tcPr>
            <w:tcW w:w="1266"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rPr>
              <w:t>年日照时数</w:t>
            </w:r>
          </w:p>
        </w:tc>
        <w:tc>
          <w:tcPr>
            <w:tcW w:w="1047"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rPr>
              <w:t>3120.6</w:t>
            </w:r>
          </w:p>
        </w:tc>
        <w:tc>
          <w:tcPr>
            <w:tcW w:w="1040"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rPr>
              <w:t>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850"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5</w:t>
            </w:r>
          </w:p>
        </w:tc>
        <w:tc>
          <w:tcPr>
            <w:tcW w:w="1034"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rPr>
              <w:t>极端最低气温</w:t>
            </w:r>
          </w:p>
        </w:tc>
        <w:tc>
          <w:tcPr>
            <w:tcW w:w="1039"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rPr>
              <w:t>-30.5</w:t>
            </w:r>
          </w:p>
        </w:tc>
        <w:tc>
          <w:tcPr>
            <w:tcW w:w="1034"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rPr>
              <w:t>℃</w:t>
            </w:r>
          </w:p>
        </w:tc>
        <w:tc>
          <w:tcPr>
            <w:tcW w:w="850"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11</w:t>
            </w:r>
          </w:p>
        </w:tc>
        <w:tc>
          <w:tcPr>
            <w:tcW w:w="1266"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rPr>
              <w:t>年最多风向</w:t>
            </w:r>
          </w:p>
        </w:tc>
        <w:tc>
          <w:tcPr>
            <w:tcW w:w="1047"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rPr>
              <w:t>SSE</w:t>
            </w:r>
          </w:p>
        </w:tc>
        <w:tc>
          <w:tcPr>
            <w:tcW w:w="1040"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850"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6</w:t>
            </w:r>
          </w:p>
        </w:tc>
        <w:tc>
          <w:tcPr>
            <w:tcW w:w="1034"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rPr>
              <w:t>年平均相对湿度</w:t>
            </w:r>
          </w:p>
        </w:tc>
        <w:tc>
          <w:tcPr>
            <w:tcW w:w="1039"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rPr>
              <w:t>45.7</w:t>
            </w:r>
          </w:p>
        </w:tc>
        <w:tc>
          <w:tcPr>
            <w:tcW w:w="1034"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rPr>
              <w:t>%</w:t>
            </w:r>
          </w:p>
        </w:tc>
        <w:tc>
          <w:tcPr>
            <w:tcW w:w="850"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12</w:t>
            </w:r>
          </w:p>
        </w:tc>
        <w:tc>
          <w:tcPr>
            <w:tcW w:w="1266"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rPr>
              <w:t>年均静风频率</w:t>
            </w:r>
          </w:p>
        </w:tc>
        <w:tc>
          <w:tcPr>
            <w:tcW w:w="1047"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rPr>
              <w:t>7.3</w:t>
            </w:r>
          </w:p>
        </w:tc>
        <w:tc>
          <w:tcPr>
            <w:tcW w:w="1040"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rPr>
              <w:t>%</w:t>
            </w:r>
          </w:p>
        </w:tc>
      </w:tr>
    </w:tbl>
    <w:p>
      <w:pPr>
        <w:pageBreakBefore w:val="0"/>
        <w:widowControl w:val="0"/>
        <w:kinsoku/>
        <w:wordWrap/>
        <w:overflowPunct/>
        <w:topLinePunct w:val="0"/>
        <w:autoSpaceDE/>
        <w:autoSpaceDN/>
        <w:bidi w:val="0"/>
        <w:adjustRightInd/>
        <w:snapToGrid/>
        <w:spacing w:line="360" w:lineRule="auto"/>
        <w:ind w:left="0" w:leftChars="0" w:right="0" w:rightChars="0"/>
        <w:jc w:val="center"/>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表</w:t>
      </w:r>
      <w:r>
        <w:rPr>
          <w:rFonts w:hint="default" w:ascii="Times New Roman" w:hAnsi="Times New Roman" w:eastAsia="宋体" w:cs="Times New Roman"/>
          <w:b/>
          <w:bCs/>
          <w:color w:val="auto"/>
          <w:sz w:val="24"/>
          <w:szCs w:val="24"/>
          <w:highlight w:val="none"/>
          <w:lang w:val="en-US" w:eastAsia="zh-CN"/>
        </w:rPr>
        <w:t>7</w:t>
      </w:r>
      <w:r>
        <w:rPr>
          <w:rFonts w:hint="default" w:ascii="Times New Roman" w:hAnsi="Times New Roman" w:eastAsia="宋体" w:cs="Times New Roman"/>
          <w:b/>
          <w:bCs/>
          <w:color w:val="auto"/>
          <w:sz w:val="24"/>
          <w:szCs w:val="24"/>
          <w:highlight w:val="none"/>
        </w:rPr>
        <w:t>-3乌拉特前旗气象站［53433］近20年</w:t>
      </w:r>
      <w:r>
        <w:rPr>
          <w:rFonts w:hint="default" w:ascii="Times New Roman" w:hAnsi="Times New Roman" w:eastAsia="宋体" w:cs="Times New Roman"/>
          <w:b/>
          <w:bCs/>
          <w:color w:val="auto"/>
          <w:sz w:val="24"/>
          <w:szCs w:val="24"/>
          <w:highlight w:val="none"/>
          <w:lang w:eastAsia="zh-CN"/>
        </w:rPr>
        <w:t>（</w:t>
      </w:r>
      <w:r>
        <w:rPr>
          <w:rFonts w:hint="default" w:ascii="Times New Roman" w:hAnsi="Times New Roman" w:eastAsia="宋体" w:cs="Times New Roman"/>
          <w:b/>
          <w:bCs/>
          <w:color w:val="auto"/>
          <w:sz w:val="24"/>
          <w:szCs w:val="24"/>
          <w:highlight w:val="none"/>
        </w:rPr>
        <w:t>2003-2022</w:t>
      </w:r>
      <w:r>
        <w:rPr>
          <w:rFonts w:hint="default" w:ascii="Times New Roman" w:hAnsi="Times New Roman" w:eastAsia="宋体" w:cs="Times New Roman"/>
          <w:b/>
          <w:bCs/>
          <w:color w:val="auto"/>
          <w:sz w:val="24"/>
          <w:szCs w:val="24"/>
          <w:highlight w:val="none"/>
          <w:lang w:eastAsia="zh-CN"/>
        </w:rPr>
        <w:t>）</w:t>
      </w:r>
      <w:r>
        <w:rPr>
          <w:rFonts w:hint="default" w:ascii="Times New Roman" w:hAnsi="Times New Roman" w:eastAsia="宋体" w:cs="Times New Roman"/>
          <w:b/>
          <w:bCs/>
          <w:color w:val="auto"/>
          <w:sz w:val="24"/>
          <w:szCs w:val="24"/>
          <w:highlight w:val="none"/>
        </w:rPr>
        <w:t>累年逐月气候要素变化表</w:t>
      </w:r>
    </w:p>
    <w:tbl>
      <w:tblPr>
        <w:tblStyle w:val="5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67"/>
        <w:gridCol w:w="600"/>
        <w:gridCol w:w="606"/>
        <w:gridCol w:w="606"/>
        <w:gridCol w:w="606"/>
        <w:gridCol w:w="606"/>
        <w:gridCol w:w="606"/>
        <w:gridCol w:w="606"/>
        <w:gridCol w:w="606"/>
        <w:gridCol w:w="606"/>
        <w:gridCol w:w="606"/>
        <w:gridCol w:w="600"/>
        <w:gridCol w:w="607"/>
        <w:gridCol w:w="6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4" w:hRule="atLeast"/>
        </w:trPr>
        <w:tc>
          <w:tcPr>
            <w:tcW w:w="642" w:type="dxa"/>
            <w:vAlign w:val="center"/>
            <mc:AlternateContent>
              <mc:Choice Requires="wpsCustomData">
                <wpsCustomData:diagonals>
                  <wpsCustomData:diagonal from="30000" to="10000">
                    <wpsCustomData:border w:val="single" w:color="auto" w:sz="4" w:space="0"/>
                  </wpsCustomData:diagonal>
                </wpsCustomData:diagonals>
              </mc:Choice>
            </mc:AlternateContent>
          </w:tcPr>
          <w:p>
            <w:pPr>
              <w:pageBreakBefore w:val="0"/>
              <w:widowControl w:val="0"/>
              <w:kinsoku/>
              <w:wordWrap/>
              <w:overflowPunct/>
              <w:topLinePunct w:val="0"/>
              <w:autoSpaceDE/>
              <w:autoSpaceDN/>
              <w:bidi w:val="0"/>
              <w:adjustRightInd/>
              <w:snapToGrid w:val="0"/>
              <w:spacing w:line="240" w:lineRule="auto"/>
              <w:ind w:left="0" w:leftChars="0" w:right="0" w:rightChars="0"/>
              <w:textAlignment w:val="auto"/>
              <mc:AlternateContent>
                <mc:Choice Requires="wpsCustomData">
                  <wpsCustomData:diagonalParaType/>
                </mc:Choice>
              </mc:AlternateContent>
              <w:rPr>
                <w:rFonts w:hint="default" w:ascii="Times New Roman" w:hAnsi="Times New Roman" w:eastAsia="宋体" w:cs="Times New Roman"/>
                <w:color w:val="auto"/>
                <w:sz w:val="18"/>
                <w:szCs w:val="18"/>
                <w:highlight w:val="none"/>
                <w:vertAlign w:val="baseline"/>
                <w:lang w:val="en-US" w:eastAsia="zh-CN"/>
              </w:rPr>
            </w:pPr>
            <w:r>
              <w:rPr>
                <w:rFonts w:hint="default" w:ascii="Times New Roman" w:hAnsi="Times New Roman" w:eastAsia="宋体" w:cs="Times New Roman"/>
                <w:color w:val="auto"/>
                <w:sz w:val="18"/>
                <w:szCs w:val="18"/>
                <w:highlight w:val="none"/>
                <w:vertAlign w:val="baseline"/>
              </w:rPr>
              <w:t>年份</w:t>
            </w:r>
          </w:p>
          <w:p>
            <w:pPr>
              <w:pageBreakBefore w:val="0"/>
              <w:widowControl w:val="0"/>
              <w:kinsoku/>
              <w:wordWrap/>
              <w:overflowPunct/>
              <w:topLinePunct w:val="0"/>
              <w:autoSpaceDE/>
              <w:autoSpaceDN/>
              <w:bidi w:val="0"/>
              <w:adjustRightInd/>
              <w:snapToGrid/>
              <w:spacing w:line="240" w:lineRule="auto"/>
              <w:ind w:left="0" w:leftChars="0" w:right="0" w:rightChars="0"/>
              <w:jc w:val="right"/>
              <w:textAlignment w:val="auto"/>
              <w:rPr>
                <w:rFonts w:hint="default" w:ascii="Times New Roman" w:hAnsi="Times New Roman" w:eastAsia="宋体" w:cs="Times New Roman"/>
                <w:color w:val="auto"/>
                <w:sz w:val="18"/>
                <w:szCs w:val="18"/>
                <w:highlight w:val="none"/>
                <w:vertAlign w:val="baseline"/>
              </w:rPr>
            </w:pPr>
            <w:r>
              <w:rPr>
                <w:rFonts w:hint="default" w:ascii="Times New Roman" w:hAnsi="Times New Roman" w:eastAsia="宋体" w:cs="Times New Roman"/>
                <w:color w:val="auto"/>
                <w:sz w:val="18"/>
                <w:szCs w:val="18"/>
                <w:highlight w:val="none"/>
                <w:vertAlign w:val="baseline"/>
              </w:rPr>
              <w:t>月份</w:t>
            </w:r>
          </w:p>
          <w:p>
            <w:pPr>
              <w:pageBreakBefore w:val="0"/>
              <w:widowControl w:val="0"/>
              <w:kinsoku/>
              <w:wordWrap/>
              <w:overflowPunct/>
              <w:topLinePunct w:val="0"/>
              <w:autoSpaceDE/>
              <w:autoSpaceDN/>
              <w:bidi w:val="0"/>
              <w:adjustRightInd/>
              <w:snapToGrid/>
              <w:spacing w:line="240" w:lineRule="auto"/>
              <w:ind w:left="0" w:leftChars="0" w:right="0" w:rightChars="0"/>
              <w:textAlignment w:val="auto"/>
              <w:rPr>
                <w:rFonts w:hint="default" w:ascii="Times New Roman" w:hAnsi="Times New Roman" w:eastAsia="宋体" w:cs="Times New Roman"/>
                <w:color w:val="auto"/>
                <w:sz w:val="18"/>
                <w:szCs w:val="18"/>
                <w:highlight w:val="none"/>
                <w:vertAlign w:val="baseline"/>
                <w:lang w:val="en-US" w:eastAsia="zh-CN"/>
              </w:rPr>
            </w:pPr>
          </w:p>
        </w:tc>
        <w:tc>
          <w:tcPr>
            <w:tcW w:w="587"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1</w:t>
            </w:r>
          </w:p>
        </w:tc>
        <w:tc>
          <w:tcPr>
            <w:tcW w:w="590"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2</w:t>
            </w:r>
          </w:p>
        </w:tc>
        <w:tc>
          <w:tcPr>
            <w:tcW w:w="587"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3</w:t>
            </w:r>
          </w:p>
        </w:tc>
        <w:tc>
          <w:tcPr>
            <w:tcW w:w="587"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2"/>
                <w:sz w:val="21"/>
                <w:szCs w:val="21"/>
                <w:highlight w:val="none"/>
                <w:vertAlign w:val="baseline"/>
                <w:lang w:val="en-US" w:eastAsia="zh-CN" w:bidi="ar-SA"/>
              </w:rPr>
              <w:t>4</w:t>
            </w:r>
          </w:p>
        </w:tc>
        <w:tc>
          <w:tcPr>
            <w:tcW w:w="794"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5</w:t>
            </w:r>
          </w:p>
        </w:tc>
        <w:tc>
          <w:tcPr>
            <w:tcW w:w="596"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6</w:t>
            </w:r>
          </w:p>
        </w:tc>
        <w:tc>
          <w:tcPr>
            <w:tcW w:w="590"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7</w:t>
            </w:r>
          </w:p>
        </w:tc>
        <w:tc>
          <w:tcPr>
            <w:tcW w:w="590"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8</w:t>
            </w:r>
          </w:p>
        </w:tc>
        <w:tc>
          <w:tcPr>
            <w:tcW w:w="590"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9</w:t>
            </w:r>
          </w:p>
        </w:tc>
        <w:tc>
          <w:tcPr>
            <w:tcW w:w="593"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10</w:t>
            </w:r>
          </w:p>
        </w:tc>
        <w:tc>
          <w:tcPr>
            <w:tcW w:w="594"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11</w:t>
            </w:r>
          </w:p>
        </w:tc>
        <w:tc>
          <w:tcPr>
            <w:tcW w:w="594"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12</w:t>
            </w:r>
          </w:p>
        </w:tc>
        <w:tc>
          <w:tcPr>
            <w:tcW w:w="594"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全年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rPr>
              <w:t>平均风速m/s</w:t>
            </w:r>
          </w:p>
        </w:tc>
        <w:tc>
          <w:tcPr>
            <w:tcW w:w="587"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1.7</w:t>
            </w:r>
          </w:p>
        </w:tc>
        <w:tc>
          <w:tcPr>
            <w:tcW w:w="590"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2.1</w:t>
            </w:r>
          </w:p>
        </w:tc>
        <w:tc>
          <w:tcPr>
            <w:tcW w:w="587"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2.4</w:t>
            </w:r>
          </w:p>
        </w:tc>
        <w:tc>
          <w:tcPr>
            <w:tcW w:w="587"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2"/>
                <w:sz w:val="21"/>
                <w:szCs w:val="21"/>
                <w:highlight w:val="none"/>
                <w:vertAlign w:val="baseline"/>
                <w:lang w:val="en-US" w:eastAsia="zh-CN" w:bidi="ar-SA"/>
              </w:rPr>
              <w:t>2.6</w:t>
            </w:r>
          </w:p>
        </w:tc>
        <w:tc>
          <w:tcPr>
            <w:tcW w:w="794"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2.8</w:t>
            </w:r>
          </w:p>
        </w:tc>
        <w:tc>
          <w:tcPr>
            <w:tcW w:w="596"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2.5</w:t>
            </w:r>
          </w:p>
        </w:tc>
        <w:tc>
          <w:tcPr>
            <w:tcW w:w="590"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2.4</w:t>
            </w:r>
          </w:p>
        </w:tc>
        <w:tc>
          <w:tcPr>
            <w:tcW w:w="590"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2.2</w:t>
            </w:r>
          </w:p>
        </w:tc>
        <w:tc>
          <w:tcPr>
            <w:tcW w:w="590"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2.2</w:t>
            </w:r>
          </w:p>
        </w:tc>
        <w:tc>
          <w:tcPr>
            <w:tcW w:w="593"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2.0</w:t>
            </w:r>
          </w:p>
        </w:tc>
        <w:tc>
          <w:tcPr>
            <w:tcW w:w="594"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2.1</w:t>
            </w:r>
          </w:p>
        </w:tc>
        <w:tc>
          <w:tcPr>
            <w:tcW w:w="594"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1.9</w:t>
            </w:r>
          </w:p>
        </w:tc>
        <w:tc>
          <w:tcPr>
            <w:tcW w:w="594"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rPr>
              <w:t>平均气温℃</w:t>
            </w:r>
          </w:p>
        </w:tc>
        <w:tc>
          <w:tcPr>
            <w:tcW w:w="587"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-9.6</w:t>
            </w:r>
          </w:p>
        </w:tc>
        <w:tc>
          <w:tcPr>
            <w:tcW w:w="590"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-4.6</w:t>
            </w:r>
          </w:p>
        </w:tc>
        <w:tc>
          <w:tcPr>
            <w:tcW w:w="587"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3.7</w:t>
            </w:r>
          </w:p>
        </w:tc>
        <w:tc>
          <w:tcPr>
            <w:tcW w:w="587"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2"/>
                <w:sz w:val="21"/>
                <w:szCs w:val="21"/>
                <w:highlight w:val="none"/>
                <w:vertAlign w:val="baseline"/>
                <w:lang w:val="en-US" w:eastAsia="zh-CN" w:bidi="ar-SA"/>
              </w:rPr>
              <w:t>12.1</w:t>
            </w:r>
          </w:p>
        </w:tc>
        <w:tc>
          <w:tcPr>
            <w:tcW w:w="794"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18.5</w:t>
            </w:r>
          </w:p>
        </w:tc>
        <w:tc>
          <w:tcPr>
            <w:tcW w:w="596"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23.5</w:t>
            </w:r>
          </w:p>
        </w:tc>
        <w:tc>
          <w:tcPr>
            <w:tcW w:w="590"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25.6</w:t>
            </w:r>
          </w:p>
        </w:tc>
        <w:tc>
          <w:tcPr>
            <w:tcW w:w="590"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23.2</w:t>
            </w:r>
          </w:p>
        </w:tc>
        <w:tc>
          <w:tcPr>
            <w:tcW w:w="590"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17.8</w:t>
            </w:r>
          </w:p>
        </w:tc>
        <w:tc>
          <w:tcPr>
            <w:tcW w:w="593"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9.7</w:t>
            </w:r>
          </w:p>
        </w:tc>
        <w:tc>
          <w:tcPr>
            <w:tcW w:w="594"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0.8</w:t>
            </w:r>
          </w:p>
        </w:tc>
        <w:tc>
          <w:tcPr>
            <w:tcW w:w="594"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-7.2</w:t>
            </w:r>
          </w:p>
        </w:tc>
        <w:tc>
          <w:tcPr>
            <w:tcW w:w="594"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rPr>
              <w:t>平均相对湿度%</w:t>
            </w:r>
          </w:p>
        </w:tc>
        <w:tc>
          <w:tcPr>
            <w:tcW w:w="587"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54.8</w:t>
            </w:r>
          </w:p>
        </w:tc>
        <w:tc>
          <w:tcPr>
            <w:tcW w:w="590"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46.0</w:t>
            </w:r>
          </w:p>
        </w:tc>
        <w:tc>
          <w:tcPr>
            <w:tcW w:w="587"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37.5</w:t>
            </w:r>
          </w:p>
        </w:tc>
        <w:tc>
          <w:tcPr>
            <w:tcW w:w="587"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2"/>
                <w:sz w:val="21"/>
                <w:szCs w:val="21"/>
                <w:highlight w:val="none"/>
                <w:vertAlign w:val="baseline"/>
                <w:lang w:val="en-US" w:eastAsia="zh-CN" w:bidi="ar-SA"/>
              </w:rPr>
              <w:t>32.5</w:t>
            </w:r>
          </w:p>
        </w:tc>
        <w:tc>
          <w:tcPr>
            <w:tcW w:w="794"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32.0</w:t>
            </w:r>
          </w:p>
        </w:tc>
        <w:tc>
          <w:tcPr>
            <w:tcW w:w="596"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39.5</w:t>
            </w:r>
          </w:p>
        </w:tc>
        <w:tc>
          <w:tcPr>
            <w:tcW w:w="590"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49.2</w:t>
            </w:r>
          </w:p>
        </w:tc>
        <w:tc>
          <w:tcPr>
            <w:tcW w:w="590"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53.5</w:t>
            </w:r>
          </w:p>
        </w:tc>
        <w:tc>
          <w:tcPr>
            <w:tcW w:w="590"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52.1</w:t>
            </w:r>
          </w:p>
        </w:tc>
        <w:tc>
          <w:tcPr>
            <w:tcW w:w="593"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lang w:val="en-US" w:eastAsia="zh-CN"/>
              </w:rPr>
              <w:t>48.0</w:t>
            </w:r>
          </w:p>
        </w:tc>
        <w:tc>
          <w:tcPr>
            <w:tcW w:w="594"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51.9</w:t>
            </w:r>
          </w:p>
        </w:tc>
        <w:tc>
          <w:tcPr>
            <w:tcW w:w="594"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52.0</w:t>
            </w:r>
          </w:p>
        </w:tc>
        <w:tc>
          <w:tcPr>
            <w:tcW w:w="594"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45.7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rPr>
              <w:t>降水量mm</w:t>
            </w:r>
          </w:p>
        </w:tc>
        <w:tc>
          <w:tcPr>
            <w:tcW w:w="587"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2"/>
                <w:sz w:val="21"/>
                <w:szCs w:val="21"/>
                <w:highlight w:val="none"/>
                <w:vertAlign w:val="baseline"/>
                <w:lang w:val="en-US" w:eastAsia="zh-CN" w:bidi="ar-SA"/>
              </w:rPr>
              <w:t>1.4</w:t>
            </w:r>
          </w:p>
        </w:tc>
        <w:tc>
          <w:tcPr>
            <w:tcW w:w="590"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2"/>
                <w:sz w:val="21"/>
                <w:szCs w:val="21"/>
                <w:highlight w:val="none"/>
                <w:vertAlign w:val="baseline"/>
                <w:lang w:val="en-US" w:eastAsia="zh-CN" w:bidi="ar-SA"/>
              </w:rPr>
              <w:t>2.8</w:t>
            </w:r>
          </w:p>
        </w:tc>
        <w:tc>
          <w:tcPr>
            <w:tcW w:w="587"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3.7</w:t>
            </w:r>
          </w:p>
        </w:tc>
        <w:tc>
          <w:tcPr>
            <w:tcW w:w="587"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2"/>
                <w:sz w:val="21"/>
                <w:szCs w:val="21"/>
                <w:highlight w:val="none"/>
                <w:vertAlign w:val="baseline"/>
                <w:lang w:val="en-US" w:eastAsia="zh-CN" w:bidi="ar-SA"/>
              </w:rPr>
              <w:t>8.1</w:t>
            </w:r>
          </w:p>
        </w:tc>
        <w:tc>
          <w:tcPr>
            <w:tcW w:w="794"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18.1</w:t>
            </w:r>
          </w:p>
        </w:tc>
        <w:tc>
          <w:tcPr>
            <w:tcW w:w="596"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28.9</w:t>
            </w:r>
          </w:p>
        </w:tc>
        <w:tc>
          <w:tcPr>
            <w:tcW w:w="590"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56.4</w:t>
            </w:r>
          </w:p>
        </w:tc>
        <w:tc>
          <w:tcPr>
            <w:tcW w:w="590"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54.0</w:t>
            </w:r>
          </w:p>
        </w:tc>
        <w:tc>
          <w:tcPr>
            <w:tcW w:w="590"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36.6</w:t>
            </w:r>
          </w:p>
        </w:tc>
        <w:tc>
          <w:tcPr>
            <w:tcW w:w="593"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9.7</w:t>
            </w:r>
          </w:p>
        </w:tc>
        <w:tc>
          <w:tcPr>
            <w:tcW w:w="594"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6.2</w:t>
            </w:r>
          </w:p>
        </w:tc>
        <w:tc>
          <w:tcPr>
            <w:tcW w:w="594"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1.3</w:t>
            </w:r>
          </w:p>
        </w:tc>
        <w:tc>
          <w:tcPr>
            <w:tcW w:w="594"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226.4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rPr>
              <w:t>日照时数h</w:t>
            </w:r>
          </w:p>
        </w:tc>
        <w:tc>
          <w:tcPr>
            <w:tcW w:w="587"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211.8</w:t>
            </w:r>
          </w:p>
        </w:tc>
        <w:tc>
          <w:tcPr>
            <w:tcW w:w="590"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224.6</w:t>
            </w:r>
          </w:p>
        </w:tc>
        <w:tc>
          <w:tcPr>
            <w:tcW w:w="587"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260.7</w:t>
            </w:r>
          </w:p>
        </w:tc>
        <w:tc>
          <w:tcPr>
            <w:tcW w:w="587"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2"/>
                <w:sz w:val="21"/>
                <w:szCs w:val="21"/>
                <w:highlight w:val="none"/>
                <w:vertAlign w:val="baseline"/>
                <w:lang w:val="en-US" w:eastAsia="zh-CN" w:bidi="ar-SA"/>
              </w:rPr>
              <w:t>287.3</w:t>
            </w:r>
          </w:p>
        </w:tc>
        <w:tc>
          <w:tcPr>
            <w:tcW w:w="794"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310.6</w:t>
            </w:r>
          </w:p>
        </w:tc>
        <w:tc>
          <w:tcPr>
            <w:tcW w:w="596"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302.9</w:t>
            </w:r>
          </w:p>
        </w:tc>
        <w:tc>
          <w:tcPr>
            <w:tcW w:w="590"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303.6</w:t>
            </w:r>
          </w:p>
        </w:tc>
        <w:tc>
          <w:tcPr>
            <w:tcW w:w="590"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287.2</w:t>
            </w:r>
          </w:p>
        </w:tc>
        <w:tc>
          <w:tcPr>
            <w:tcW w:w="590"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256.1</w:t>
            </w:r>
          </w:p>
        </w:tc>
        <w:tc>
          <w:tcPr>
            <w:tcW w:w="593"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257.5</w:t>
            </w:r>
          </w:p>
        </w:tc>
        <w:tc>
          <w:tcPr>
            <w:tcW w:w="594"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211.0</w:t>
            </w:r>
          </w:p>
        </w:tc>
        <w:tc>
          <w:tcPr>
            <w:tcW w:w="594"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207.2</w:t>
            </w:r>
          </w:p>
        </w:tc>
        <w:tc>
          <w:tcPr>
            <w:tcW w:w="594"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3120.6</w:t>
            </w:r>
          </w:p>
        </w:tc>
      </w:tr>
    </w:tbl>
    <w:p>
      <w:pPr>
        <w:pStyle w:val="5"/>
        <w:keepNext/>
        <w:keepLines/>
        <w:pageBreakBefore w:val="0"/>
        <w:widowControl w:val="0"/>
        <w:numPr>
          <w:ilvl w:val="2"/>
          <w:numId w:val="0"/>
        </w:numPr>
        <w:kinsoku/>
        <w:wordWrap/>
        <w:overflowPunct/>
        <w:topLinePunct w:val="0"/>
        <w:autoSpaceDE/>
        <w:autoSpaceDN/>
        <w:bidi w:val="0"/>
        <w:adjustRightInd/>
        <w:snapToGrid/>
        <w:ind w:left="0" w:leftChars="0" w:right="0" w:rightChars="0" w:firstLine="0" w:firstLineChars="0"/>
        <w:textAlignment w:val="auto"/>
        <w:rPr>
          <w:rFonts w:hint="default" w:ascii="Times New Roman" w:hAnsi="Times New Roman" w:eastAsia="宋体" w:cs="Times New Roman"/>
          <w:b/>
          <w:bCs/>
          <w:i w:val="0"/>
          <w:iCs w:val="0"/>
          <w:caps w:val="0"/>
          <w:smallCaps w:val="0"/>
          <w:strike w:val="0"/>
          <w:dstrike w:val="0"/>
          <w:vanish w:val="0"/>
          <w:color w:val="auto"/>
          <w:spacing w:val="0"/>
          <w:kern w:val="2"/>
          <w:position w:val="0"/>
          <w:sz w:val="24"/>
          <w:szCs w:val="24"/>
          <w:highlight w:val="none"/>
          <w:u w:val="none"/>
          <w:vertAlign w:val="baseline"/>
          <w:lang w:val="en-US" w:eastAsia="zh-CN" w:bidi="ar-SA"/>
          <w14:shadow w14:blurRad="0" w14:dist="0" w14:dir="0" w14:sx="0" w14:sy="0" w14:kx="0" w14:ky="0" w14:algn="none">
            <w14:srgbClr w14:val="000000"/>
          </w14:shadow>
        </w:rPr>
      </w:pPr>
      <w:bookmarkStart w:id="907" w:name="_Toc9539"/>
      <w:bookmarkStart w:id="908" w:name="_Toc26773"/>
      <w:r>
        <w:rPr>
          <w:rFonts w:hint="default" w:ascii="Times New Roman" w:hAnsi="Times New Roman" w:eastAsia="宋体" w:cs="Times New Roman"/>
          <w:b/>
          <w:bCs/>
          <w:i w:val="0"/>
          <w:iCs w:val="0"/>
          <w:caps w:val="0"/>
          <w:smallCaps w:val="0"/>
          <w:strike w:val="0"/>
          <w:dstrike w:val="0"/>
          <w:vanish w:val="0"/>
          <w:color w:val="auto"/>
          <w:spacing w:val="0"/>
          <w:kern w:val="2"/>
          <w:position w:val="0"/>
          <w:sz w:val="24"/>
          <w:szCs w:val="24"/>
          <w:highlight w:val="none"/>
          <w:u w:val="none"/>
          <w:vertAlign w:val="baseline"/>
          <w:lang w:val="en-US" w:eastAsia="zh-CN" w:bidi="ar-SA"/>
          <w14:shadow w14:blurRad="0" w14:dist="0" w14:dir="0" w14:sx="0" w14:sy="0" w14:kx="0" w14:ky="0" w14:algn="none">
            <w14:srgbClr w14:val="000000"/>
          </w14:shadow>
        </w:rPr>
        <w:t>7.1.3气象站近20年风向、风频观测数据统计</w:t>
      </w:r>
      <w:bookmarkEnd w:id="907"/>
      <w:bookmarkEnd w:id="908"/>
    </w:p>
    <w:p>
      <w:pPr>
        <w:pageBreakBefore w:val="0"/>
        <w:widowControl w:val="0"/>
        <w:kinsoku/>
        <w:wordWrap/>
        <w:overflowPunct/>
        <w:topLinePunct w:val="0"/>
        <w:autoSpaceDE/>
        <w:autoSpaceDN/>
        <w:bidi w:val="0"/>
        <w:adjustRightInd/>
        <w:snapToGrid/>
        <w:spacing w:line="360" w:lineRule="auto"/>
        <w:ind w:left="0" w:leftChars="0" w:right="0" w:rightChars="0" w:firstLine="48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乌拉特前旗气象站近20年主要风向为SSE，占到全年14.7%左右。近20年资料分析的风向玫瑰图如图</w:t>
      </w:r>
      <w:r>
        <w:rPr>
          <w:rFonts w:hint="default" w:ascii="Times New Roman" w:hAnsi="Times New Roman" w:eastAsia="宋体" w:cs="Times New Roman"/>
          <w:color w:val="auto"/>
          <w:sz w:val="24"/>
          <w:szCs w:val="24"/>
          <w:highlight w:val="none"/>
          <w:lang w:val="en-US" w:eastAsia="zh-CN"/>
        </w:rPr>
        <w:t>7</w:t>
      </w:r>
      <w:r>
        <w:rPr>
          <w:rFonts w:hint="default" w:ascii="Times New Roman" w:hAnsi="Times New Roman" w:eastAsia="宋体" w:cs="Times New Roman"/>
          <w:color w:val="auto"/>
          <w:sz w:val="24"/>
          <w:szCs w:val="24"/>
          <w:highlight w:val="none"/>
        </w:rPr>
        <w:t>-1，月风向玫瑰见图</w:t>
      </w:r>
      <w:r>
        <w:rPr>
          <w:rFonts w:hint="default" w:ascii="Times New Roman" w:hAnsi="Times New Roman" w:eastAsia="宋体" w:cs="Times New Roman"/>
          <w:color w:val="auto"/>
          <w:sz w:val="24"/>
          <w:szCs w:val="24"/>
          <w:highlight w:val="none"/>
          <w:lang w:val="en-US" w:eastAsia="zh-CN"/>
        </w:rPr>
        <w:t>7</w:t>
      </w:r>
      <w:r>
        <w:rPr>
          <w:rFonts w:hint="default" w:ascii="Times New Roman" w:hAnsi="Times New Roman" w:eastAsia="宋体" w:cs="Times New Roman"/>
          <w:color w:val="auto"/>
          <w:sz w:val="24"/>
          <w:szCs w:val="24"/>
          <w:highlight w:val="none"/>
        </w:rPr>
        <w:t>-2，风向统计见表</w:t>
      </w:r>
      <w:r>
        <w:rPr>
          <w:rFonts w:hint="default" w:ascii="Times New Roman" w:hAnsi="Times New Roman" w:eastAsia="宋体" w:cs="Times New Roman"/>
          <w:color w:val="auto"/>
          <w:sz w:val="24"/>
          <w:szCs w:val="24"/>
          <w:highlight w:val="none"/>
          <w:lang w:val="en-US" w:eastAsia="zh-CN"/>
        </w:rPr>
        <w:t>7</w:t>
      </w:r>
      <w:r>
        <w:rPr>
          <w:rFonts w:hint="default" w:ascii="Times New Roman" w:hAnsi="Times New Roman" w:eastAsia="宋体" w:cs="Times New Roman"/>
          <w:color w:val="auto"/>
          <w:sz w:val="24"/>
          <w:szCs w:val="24"/>
          <w:highlight w:val="none"/>
        </w:rPr>
        <w:t>-4。</w:t>
      </w:r>
    </w:p>
    <w:p>
      <w:pPr>
        <w:pageBreakBefore w:val="0"/>
        <w:widowControl w:val="0"/>
        <w:kinsoku/>
        <w:wordWrap/>
        <w:overflowPunct/>
        <w:topLinePunct w:val="0"/>
        <w:autoSpaceDE/>
        <w:autoSpaceDN/>
        <w:bidi w:val="0"/>
        <w:adjustRightInd/>
        <w:snapToGrid/>
        <w:spacing w:line="360" w:lineRule="auto"/>
        <w:ind w:left="0" w:leftChars="0" w:right="0" w:rightChars="0"/>
        <w:jc w:val="center"/>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表</w:t>
      </w:r>
      <w:r>
        <w:rPr>
          <w:rFonts w:hint="default" w:ascii="Times New Roman" w:hAnsi="Times New Roman" w:eastAsia="宋体" w:cs="Times New Roman"/>
          <w:b/>
          <w:bCs/>
          <w:color w:val="auto"/>
          <w:sz w:val="24"/>
          <w:szCs w:val="24"/>
          <w:highlight w:val="none"/>
          <w:lang w:val="en-US" w:eastAsia="zh-CN"/>
        </w:rPr>
        <w:t>7</w:t>
      </w:r>
      <w:r>
        <w:rPr>
          <w:rFonts w:hint="default" w:ascii="Times New Roman" w:hAnsi="Times New Roman" w:eastAsia="宋体" w:cs="Times New Roman"/>
          <w:b/>
          <w:bCs/>
          <w:color w:val="auto"/>
          <w:sz w:val="24"/>
          <w:szCs w:val="24"/>
          <w:highlight w:val="none"/>
        </w:rPr>
        <w:t>-4乌拉特前旗气象站［53433］近20年</w:t>
      </w:r>
      <w:r>
        <w:rPr>
          <w:rFonts w:hint="default" w:ascii="Times New Roman" w:hAnsi="Times New Roman" w:eastAsia="宋体" w:cs="Times New Roman"/>
          <w:b/>
          <w:bCs/>
          <w:color w:val="auto"/>
          <w:sz w:val="24"/>
          <w:szCs w:val="24"/>
          <w:highlight w:val="none"/>
          <w:lang w:eastAsia="zh-CN"/>
        </w:rPr>
        <w:t>（</w:t>
      </w:r>
      <w:r>
        <w:rPr>
          <w:rFonts w:hint="default" w:ascii="Times New Roman" w:hAnsi="Times New Roman" w:eastAsia="宋体" w:cs="Times New Roman"/>
          <w:b/>
          <w:bCs/>
          <w:color w:val="auto"/>
          <w:sz w:val="24"/>
          <w:szCs w:val="24"/>
          <w:highlight w:val="none"/>
        </w:rPr>
        <w:t>2003-2022</w:t>
      </w:r>
      <w:r>
        <w:rPr>
          <w:rFonts w:hint="default" w:ascii="Times New Roman" w:hAnsi="Times New Roman" w:eastAsia="宋体" w:cs="Times New Roman"/>
          <w:b/>
          <w:bCs/>
          <w:color w:val="auto"/>
          <w:sz w:val="24"/>
          <w:szCs w:val="24"/>
          <w:highlight w:val="none"/>
          <w:lang w:eastAsia="zh-CN"/>
        </w:rPr>
        <w:t>）</w:t>
      </w:r>
      <w:r>
        <w:rPr>
          <w:rFonts w:hint="default" w:ascii="Times New Roman" w:hAnsi="Times New Roman" w:eastAsia="宋体" w:cs="Times New Roman"/>
          <w:b/>
          <w:bCs/>
          <w:color w:val="auto"/>
          <w:sz w:val="24"/>
          <w:szCs w:val="24"/>
          <w:highlight w:val="none"/>
        </w:rPr>
        <w:t>风向频率统计表</w:t>
      </w:r>
    </w:p>
    <w:tbl>
      <w:tblPr>
        <w:tblStyle w:val="5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86"/>
        <w:gridCol w:w="400"/>
        <w:gridCol w:w="520"/>
        <w:gridCol w:w="413"/>
        <w:gridCol w:w="503"/>
        <w:gridCol w:w="401"/>
        <w:gridCol w:w="479"/>
        <w:gridCol w:w="475"/>
        <w:gridCol w:w="475"/>
        <w:gridCol w:w="401"/>
        <w:gridCol w:w="520"/>
        <w:gridCol w:w="437"/>
        <w:gridCol w:w="577"/>
        <w:gridCol w:w="401"/>
        <w:gridCol w:w="602"/>
        <w:gridCol w:w="462"/>
        <w:gridCol w:w="569"/>
        <w:gridCol w:w="4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7"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风向</w:t>
            </w:r>
          </w:p>
        </w:tc>
        <w:tc>
          <w:tcPr>
            <w:tcW w:w="401"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N</w:t>
            </w:r>
          </w:p>
        </w:tc>
        <w:tc>
          <w:tcPr>
            <w:tcW w:w="520"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NNE</w:t>
            </w:r>
          </w:p>
        </w:tc>
        <w:tc>
          <w:tcPr>
            <w:tcW w:w="413"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NE</w:t>
            </w:r>
          </w:p>
        </w:tc>
        <w:tc>
          <w:tcPr>
            <w:tcW w:w="504"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ENE</w:t>
            </w:r>
          </w:p>
        </w:tc>
        <w:tc>
          <w:tcPr>
            <w:tcW w:w="401"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E</w:t>
            </w:r>
          </w:p>
        </w:tc>
        <w:tc>
          <w:tcPr>
            <w:tcW w:w="479"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ESE</w:t>
            </w:r>
          </w:p>
        </w:tc>
        <w:tc>
          <w:tcPr>
            <w:tcW w:w="475"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SE</w:t>
            </w:r>
          </w:p>
        </w:tc>
        <w:tc>
          <w:tcPr>
            <w:tcW w:w="475"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SSE</w:t>
            </w:r>
          </w:p>
        </w:tc>
        <w:tc>
          <w:tcPr>
            <w:tcW w:w="401"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S</w:t>
            </w:r>
          </w:p>
        </w:tc>
        <w:tc>
          <w:tcPr>
            <w:tcW w:w="520"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SSW</w:t>
            </w:r>
          </w:p>
        </w:tc>
        <w:tc>
          <w:tcPr>
            <w:tcW w:w="438"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SW</w:t>
            </w:r>
          </w:p>
        </w:tc>
        <w:tc>
          <w:tcPr>
            <w:tcW w:w="578"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WSW</w:t>
            </w:r>
          </w:p>
        </w:tc>
        <w:tc>
          <w:tcPr>
            <w:tcW w:w="401"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W</w:t>
            </w:r>
          </w:p>
        </w:tc>
        <w:tc>
          <w:tcPr>
            <w:tcW w:w="602"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WNW</w:t>
            </w:r>
          </w:p>
        </w:tc>
        <w:tc>
          <w:tcPr>
            <w:tcW w:w="462"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NW</w:t>
            </w:r>
          </w:p>
        </w:tc>
        <w:tc>
          <w:tcPr>
            <w:tcW w:w="569"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NNW</w:t>
            </w:r>
          </w:p>
        </w:tc>
        <w:tc>
          <w:tcPr>
            <w:tcW w:w="402"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7"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频率%</w:t>
            </w:r>
          </w:p>
        </w:tc>
        <w:tc>
          <w:tcPr>
            <w:tcW w:w="401"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6.6</w:t>
            </w:r>
          </w:p>
        </w:tc>
        <w:tc>
          <w:tcPr>
            <w:tcW w:w="520"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5.7</w:t>
            </w:r>
          </w:p>
        </w:tc>
        <w:tc>
          <w:tcPr>
            <w:tcW w:w="413"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6.3</w:t>
            </w:r>
          </w:p>
        </w:tc>
        <w:tc>
          <w:tcPr>
            <w:tcW w:w="504"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2"/>
                <w:sz w:val="21"/>
                <w:szCs w:val="21"/>
                <w:highlight w:val="none"/>
                <w:vertAlign w:val="baseline"/>
                <w:lang w:val="en-US" w:eastAsia="zh-CN" w:bidi="ar-SA"/>
              </w:rPr>
              <w:t>4.2</w:t>
            </w:r>
          </w:p>
        </w:tc>
        <w:tc>
          <w:tcPr>
            <w:tcW w:w="401"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2.0</w:t>
            </w:r>
          </w:p>
        </w:tc>
        <w:tc>
          <w:tcPr>
            <w:tcW w:w="479"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3.0</w:t>
            </w:r>
          </w:p>
        </w:tc>
        <w:tc>
          <w:tcPr>
            <w:tcW w:w="475"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12.7</w:t>
            </w:r>
          </w:p>
        </w:tc>
        <w:tc>
          <w:tcPr>
            <w:tcW w:w="475"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14.7</w:t>
            </w:r>
          </w:p>
        </w:tc>
        <w:tc>
          <w:tcPr>
            <w:tcW w:w="401"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8.7</w:t>
            </w:r>
          </w:p>
        </w:tc>
        <w:tc>
          <w:tcPr>
            <w:tcW w:w="520"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3.4</w:t>
            </w:r>
          </w:p>
        </w:tc>
        <w:tc>
          <w:tcPr>
            <w:tcW w:w="438"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2.1</w:t>
            </w:r>
          </w:p>
        </w:tc>
        <w:tc>
          <w:tcPr>
            <w:tcW w:w="578"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1.8</w:t>
            </w:r>
          </w:p>
        </w:tc>
        <w:tc>
          <w:tcPr>
            <w:tcW w:w="401"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5.7</w:t>
            </w:r>
          </w:p>
        </w:tc>
        <w:tc>
          <w:tcPr>
            <w:tcW w:w="602"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6.1</w:t>
            </w:r>
          </w:p>
        </w:tc>
        <w:tc>
          <w:tcPr>
            <w:tcW w:w="462"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4.6</w:t>
            </w:r>
          </w:p>
        </w:tc>
        <w:tc>
          <w:tcPr>
            <w:tcW w:w="569"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5.4</w:t>
            </w:r>
          </w:p>
        </w:tc>
        <w:tc>
          <w:tcPr>
            <w:tcW w:w="402" w:type="dxa"/>
            <w:vAlign w:val="center"/>
          </w:tcPr>
          <w:p>
            <w:pPr>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7.3</w:t>
            </w:r>
          </w:p>
        </w:tc>
      </w:tr>
    </w:tbl>
    <w:p>
      <w:pPr>
        <w:pageBreakBefore w:val="0"/>
        <w:widowControl w:val="0"/>
        <w:kinsoku/>
        <w:wordWrap/>
        <w:overflowPunct/>
        <w:topLinePunct w:val="0"/>
        <w:autoSpaceDE/>
        <w:autoSpaceDN/>
        <w:bidi w:val="0"/>
        <w:adjustRightInd/>
        <w:snapToGrid/>
        <w:spacing w:line="360" w:lineRule="auto"/>
        <w:ind w:left="0" w:leftChars="0" w:right="0" w:rightChars="0"/>
        <w:textAlignment w:val="auto"/>
        <w:rPr>
          <w:rFonts w:hint="default" w:ascii="Times New Roman" w:hAnsi="Times New Roman" w:eastAsia="宋体" w:cs="Times New Roman"/>
          <w:color w:val="auto"/>
          <w:sz w:val="24"/>
          <w:szCs w:val="24"/>
          <w:highlight w:val="none"/>
        </w:rPr>
      </w:pPr>
    </w:p>
    <w:p>
      <w:pPr>
        <w:pageBreakBefore w:val="0"/>
        <w:widowControl w:val="0"/>
        <w:kinsoku/>
        <w:wordWrap/>
        <w:overflowPunct/>
        <w:topLinePunct w:val="0"/>
        <w:autoSpaceDE/>
        <w:autoSpaceDN/>
        <w:bidi w:val="0"/>
        <w:adjustRightInd/>
        <w:snapToGrid/>
        <w:spacing w:line="360" w:lineRule="auto"/>
        <w:ind w:left="0" w:leftChars="0" w:right="0" w:rightChars="0" w:firstLine="480"/>
        <w:textAlignment w:val="auto"/>
        <w:rPr>
          <w:rFonts w:hint="default" w:ascii="Times New Roman" w:hAnsi="Times New Roman" w:eastAsia="宋体" w:cs="Times New Roman"/>
          <w:color w:val="auto"/>
          <w:sz w:val="24"/>
          <w:szCs w:val="24"/>
          <w:highlight w:val="none"/>
        </w:rPr>
      </w:pPr>
    </w:p>
    <w:p>
      <w:pPr>
        <w:pageBreakBefore w:val="0"/>
        <w:widowControl w:val="0"/>
        <w:kinsoku/>
        <w:wordWrap/>
        <w:overflowPunct/>
        <w:topLinePunct w:val="0"/>
        <w:autoSpaceDE/>
        <w:autoSpaceDN/>
        <w:bidi w:val="0"/>
        <w:adjustRightInd/>
        <w:snapToGrid/>
        <w:spacing w:line="360" w:lineRule="auto"/>
        <w:ind w:left="0" w:leftChars="0" w:right="0" w:rightChars="0" w:firstLine="480"/>
        <w:textAlignment w:val="auto"/>
        <w:rPr>
          <w:rFonts w:hint="default" w:ascii="Times New Roman" w:hAnsi="Times New Roman" w:eastAsia="宋体" w:cs="Times New Roman"/>
          <w:color w:val="auto"/>
          <w:sz w:val="24"/>
          <w:szCs w:val="24"/>
          <w:highlight w:val="none"/>
        </w:rPr>
      </w:pPr>
    </w:p>
    <w:p>
      <w:pPr>
        <w:pageBreakBefore w:val="0"/>
        <w:widowControl w:val="0"/>
        <w:kinsoku/>
        <w:wordWrap/>
        <w:overflowPunct/>
        <w:topLinePunct w:val="0"/>
        <w:autoSpaceDE/>
        <w:autoSpaceDN/>
        <w:bidi w:val="0"/>
        <w:adjustRightInd/>
        <w:snapToGrid/>
        <w:spacing w:line="360" w:lineRule="auto"/>
        <w:ind w:left="0" w:leftChars="0" w:right="0" w:rightChars="0" w:firstLine="480"/>
        <w:textAlignment w:val="auto"/>
        <w:rPr>
          <w:rFonts w:hint="default" w:ascii="Times New Roman" w:hAnsi="Times New Roman" w:eastAsia="宋体" w:cs="Times New Roman"/>
          <w:color w:val="auto"/>
          <w:sz w:val="24"/>
          <w:szCs w:val="24"/>
          <w:highlight w:val="none"/>
          <w:lang w:eastAsia="zh-CN"/>
        </w:rPr>
      </w:pPr>
    </w:p>
    <w:p>
      <w:pPr>
        <w:pageBreakBefore w:val="0"/>
        <w:widowControl w:val="0"/>
        <w:kinsoku/>
        <w:wordWrap/>
        <w:overflowPunct/>
        <w:topLinePunct w:val="0"/>
        <w:autoSpaceDE/>
        <w:autoSpaceDN/>
        <w:bidi w:val="0"/>
        <w:adjustRightInd/>
        <w:snapToGrid/>
        <w:spacing w:line="360" w:lineRule="auto"/>
        <w:ind w:left="0" w:leftChars="0" w:right="0" w:rightChars="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highlight w:val="none"/>
        </w:rPr>
        <w:drawing>
          <wp:inline distT="0" distB="0" distL="114300" distR="114300">
            <wp:extent cx="2520315" cy="2520315"/>
            <wp:effectExtent l="0" t="0" r="13335" b="13335"/>
            <wp:docPr id="10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1"/>
                    <pic:cNvPicPr>
                      <a:picLocks noChangeAspect="1"/>
                    </pic:cNvPicPr>
                  </pic:nvPicPr>
                  <pic:blipFill>
                    <a:blip r:embed="rId48"/>
                    <a:stretch>
                      <a:fillRect/>
                    </a:stretch>
                  </pic:blipFill>
                  <pic:spPr>
                    <a:xfrm>
                      <a:off x="0" y="0"/>
                      <a:ext cx="2520315" cy="252031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b/>
          <w:bCs/>
          <w:color w:val="auto"/>
          <w:sz w:val="24"/>
          <w:szCs w:val="24"/>
          <w:highlight w:val="none"/>
        </w:rPr>
        <w:t>图</w:t>
      </w:r>
      <w:r>
        <w:rPr>
          <w:rFonts w:hint="default" w:ascii="Times New Roman" w:hAnsi="Times New Roman" w:eastAsia="宋体" w:cs="Times New Roman"/>
          <w:b/>
          <w:bCs/>
          <w:color w:val="auto"/>
          <w:sz w:val="24"/>
          <w:szCs w:val="24"/>
          <w:highlight w:val="none"/>
          <w:lang w:val="en-US" w:eastAsia="zh-CN"/>
        </w:rPr>
        <w:t>7</w:t>
      </w:r>
      <w:r>
        <w:rPr>
          <w:rFonts w:hint="default" w:ascii="Times New Roman" w:hAnsi="Times New Roman" w:eastAsia="宋体" w:cs="Times New Roman"/>
          <w:b/>
          <w:bCs/>
          <w:color w:val="auto"/>
          <w:sz w:val="24"/>
          <w:szCs w:val="24"/>
          <w:highlight w:val="none"/>
        </w:rPr>
        <w:t>-1乌拉特前旗气象站［53433］近20年</w:t>
      </w:r>
      <w:r>
        <w:rPr>
          <w:rFonts w:hint="default" w:ascii="Times New Roman" w:hAnsi="Times New Roman" w:eastAsia="宋体" w:cs="Times New Roman"/>
          <w:b/>
          <w:bCs/>
          <w:color w:val="auto"/>
          <w:sz w:val="24"/>
          <w:szCs w:val="24"/>
          <w:highlight w:val="none"/>
          <w:lang w:eastAsia="zh-CN"/>
        </w:rPr>
        <w:t>（</w:t>
      </w:r>
      <w:r>
        <w:rPr>
          <w:rFonts w:hint="default" w:ascii="Times New Roman" w:hAnsi="Times New Roman" w:eastAsia="宋体" w:cs="Times New Roman"/>
          <w:b/>
          <w:bCs/>
          <w:color w:val="auto"/>
          <w:sz w:val="24"/>
          <w:szCs w:val="24"/>
          <w:highlight w:val="none"/>
        </w:rPr>
        <w:t>2003-2022</w:t>
      </w:r>
      <w:r>
        <w:rPr>
          <w:rFonts w:hint="default" w:ascii="Times New Roman" w:hAnsi="Times New Roman" w:eastAsia="宋体" w:cs="Times New Roman"/>
          <w:b/>
          <w:bCs/>
          <w:color w:val="auto"/>
          <w:sz w:val="24"/>
          <w:szCs w:val="24"/>
          <w:highlight w:val="none"/>
          <w:lang w:eastAsia="zh-CN"/>
        </w:rPr>
        <w:t>）</w:t>
      </w:r>
      <w:r>
        <w:rPr>
          <w:rFonts w:hint="default" w:ascii="Times New Roman" w:hAnsi="Times New Roman" w:eastAsia="宋体" w:cs="Times New Roman"/>
          <w:b/>
          <w:bCs/>
          <w:color w:val="auto"/>
          <w:sz w:val="24"/>
          <w:szCs w:val="24"/>
          <w:highlight w:val="none"/>
        </w:rPr>
        <w:t>风向频率玫瑰图</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jc w:val="center"/>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b/>
          <w:bCs/>
          <w:color w:val="auto"/>
          <w:sz w:val="24"/>
          <w:szCs w:val="24"/>
          <w:highlight w:val="none"/>
        </w:rPr>
        <w:t>表</w:t>
      </w:r>
      <w:r>
        <w:rPr>
          <w:rFonts w:hint="default" w:ascii="Times New Roman" w:hAnsi="Times New Roman" w:eastAsia="宋体" w:cs="Times New Roman"/>
          <w:b/>
          <w:bCs/>
          <w:color w:val="auto"/>
          <w:sz w:val="24"/>
          <w:szCs w:val="24"/>
          <w:highlight w:val="none"/>
          <w:lang w:val="en-US" w:eastAsia="zh-CN"/>
        </w:rPr>
        <w:t>7</w:t>
      </w:r>
      <w:r>
        <w:rPr>
          <w:rFonts w:hint="default" w:ascii="Times New Roman" w:hAnsi="Times New Roman" w:eastAsia="宋体" w:cs="Times New Roman"/>
          <w:b/>
          <w:bCs/>
          <w:color w:val="auto"/>
          <w:sz w:val="24"/>
          <w:szCs w:val="24"/>
          <w:highlight w:val="none"/>
        </w:rPr>
        <w:t>-5乌拉特前旗气象站［53433］近20年</w:t>
      </w:r>
      <w:r>
        <w:rPr>
          <w:rFonts w:hint="default" w:ascii="Times New Roman" w:hAnsi="Times New Roman" w:eastAsia="宋体" w:cs="Times New Roman"/>
          <w:b/>
          <w:bCs/>
          <w:color w:val="auto"/>
          <w:sz w:val="24"/>
          <w:szCs w:val="24"/>
          <w:highlight w:val="none"/>
          <w:lang w:eastAsia="zh-CN"/>
        </w:rPr>
        <w:t>（</w:t>
      </w:r>
      <w:r>
        <w:rPr>
          <w:rFonts w:hint="default" w:ascii="Times New Roman" w:hAnsi="Times New Roman" w:eastAsia="宋体" w:cs="Times New Roman"/>
          <w:b/>
          <w:bCs/>
          <w:color w:val="auto"/>
          <w:sz w:val="24"/>
          <w:szCs w:val="24"/>
          <w:highlight w:val="none"/>
        </w:rPr>
        <w:t>2003-2022</w:t>
      </w:r>
      <w:r>
        <w:rPr>
          <w:rFonts w:hint="default" w:ascii="Times New Roman" w:hAnsi="Times New Roman" w:eastAsia="宋体" w:cs="Times New Roman"/>
          <w:b/>
          <w:bCs/>
          <w:color w:val="auto"/>
          <w:sz w:val="24"/>
          <w:szCs w:val="24"/>
          <w:highlight w:val="none"/>
          <w:lang w:eastAsia="zh-CN"/>
        </w:rPr>
        <w:t>）</w:t>
      </w:r>
      <w:r>
        <w:rPr>
          <w:rFonts w:hint="default" w:ascii="Times New Roman" w:hAnsi="Times New Roman" w:eastAsia="宋体" w:cs="Times New Roman"/>
          <w:b/>
          <w:bCs/>
          <w:color w:val="auto"/>
          <w:sz w:val="24"/>
          <w:szCs w:val="24"/>
          <w:highlight w:val="none"/>
        </w:rPr>
        <w:t>月风向频率统计表</w:t>
      </w:r>
      <w:r>
        <w:rPr>
          <w:rFonts w:hint="default" w:ascii="Times New Roman" w:hAnsi="Times New Roman" w:eastAsia="宋体" w:cs="Times New Roman"/>
          <w:color w:val="auto"/>
          <w:sz w:val="24"/>
          <w:szCs w:val="24"/>
          <w:highlight w:val="none"/>
          <w:lang w:eastAsia="zh-CN"/>
        </w:rPr>
        <w:drawing>
          <wp:inline distT="0" distB="0" distL="114300" distR="114300">
            <wp:extent cx="5400040" cy="1756410"/>
            <wp:effectExtent l="0" t="0" r="10160" b="15240"/>
            <wp:docPr id="113" name="图片 113" descr="1701353813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1701353813803"/>
                    <pic:cNvPicPr>
                      <a:picLocks noChangeAspect="1"/>
                    </pic:cNvPicPr>
                  </pic:nvPicPr>
                  <pic:blipFill>
                    <a:blip r:embed="rId49"/>
                    <a:stretch>
                      <a:fillRect/>
                    </a:stretch>
                  </pic:blipFill>
                  <pic:spPr>
                    <a:xfrm>
                      <a:off x="0" y="0"/>
                      <a:ext cx="5400040" cy="1756410"/>
                    </a:xfrm>
                    <a:prstGeom prst="rect">
                      <a:avLst/>
                    </a:prstGeom>
                  </pic:spPr>
                </pic:pic>
              </a:graphicData>
            </a:graphic>
          </wp:inline>
        </w:drawing>
      </w:r>
    </w:p>
    <w:p>
      <w:pPr>
        <w:pageBreakBefore w:val="0"/>
        <w:widowControl w:val="0"/>
        <w:kinsoku/>
        <w:wordWrap/>
        <w:overflowPunct/>
        <w:topLinePunct w:val="0"/>
        <w:autoSpaceDE/>
        <w:autoSpaceDN/>
        <w:bidi w:val="0"/>
        <w:adjustRightInd/>
        <w:snapToGrid/>
        <w:spacing w:line="360" w:lineRule="auto"/>
        <w:ind w:left="0" w:leftChars="0" w:right="0" w:rightChars="0"/>
        <w:textAlignment w:val="auto"/>
        <w:rPr>
          <w:rFonts w:hint="default" w:ascii="Times New Roman" w:hAnsi="Times New Roman" w:eastAsia="宋体" w:cs="Times New Roman"/>
          <w:color w:val="auto"/>
          <w:sz w:val="24"/>
          <w:szCs w:val="24"/>
          <w:highlight w:val="none"/>
        </w:rPr>
      </w:pPr>
    </w:p>
    <w:tbl>
      <w:tblPr>
        <w:tblStyle w:val="5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16"/>
        <w:gridCol w:w="42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91" w:type="dxa"/>
            <w:vAlign w:val="center"/>
          </w:tcPr>
          <w:p>
            <w:pPr>
              <w:pageBreakBefore w:val="0"/>
              <w:widowControl w:val="0"/>
              <w:kinsoku/>
              <w:wordWrap/>
              <w:overflowPunct/>
              <w:topLinePunct w:val="0"/>
              <w:autoSpaceDE/>
              <w:autoSpaceDN/>
              <w:bidi w:val="0"/>
              <w:adjustRightInd/>
              <w:snapToGrid/>
              <w:spacing w:line="360" w:lineRule="auto"/>
              <w:ind w:left="0" w:leftChars="0" w:right="0" w:rightChars="0"/>
              <w:textAlignment w:val="auto"/>
              <w:rPr>
                <w:rFonts w:hint="default" w:ascii="Times New Roman" w:hAnsi="Times New Roman" w:eastAsia="宋体" w:cs="Times New Roman"/>
                <w:color w:val="auto"/>
                <w:sz w:val="24"/>
                <w:szCs w:val="24"/>
                <w:highlight w:val="none"/>
                <w:vertAlign w:val="baseline"/>
              </w:rPr>
            </w:pPr>
            <w:r>
              <w:rPr>
                <w:rFonts w:hint="default" w:ascii="Times New Roman" w:hAnsi="Times New Roman" w:eastAsia="宋体" w:cs="Times New Roman"/>
                <w:color w:val="auto"/>
                <w:highlight w:val="none"/>
              </w:rPr>
              <w:drawing>
                <wp:inline distT="0" distB="0" distL="114300" distR="114300">
                  <wp:extent cx="2520315" cy="2520315"/>
                  <wp:effectExtent l="0" t="0" r="13335" b="13335"/>
                  <wp:docPr id="10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2"/>
                          <pic:cNvPicPr>
                            <a:picLocks noChangeAspect="1"/>
                          </pic:cNvPicPr>
                        </pic:nvPicPr>
                        <pic:blipFill>
                          <a:blip r:embed="rId50"/>
                          <a:stretch>
                            <a:fillRect/>
                          </a:stretch>
                        </pic:blipFill>
                        <pic:spPr>
                          <a:xfrm>
                            <a:off x="0" y="0"/>
                            <a:ext cx="2520315" cy="2520315"/>
                          </a:xfrm>
                          <a:prstGeom prst="rect">
                            <a:avLst/>
                          </a:prstGeom>
                          <a:noFill/>
                          <a:ln>
                            <a:noFill/>
                          </a:ln>
                        </pic:spPr>
                      </pic:pic>
                    </a:graphicData>
                  </a:graphic>
                </wp:inline>
              </w:drawing>
            </w:r>
          </w:p>
        </w:tc>
        <w:tc>
          <w:tcPr>
            <w:tcW w:w="4037" w:type="dxa"/>
            <w:vAlign w:val="center"/>
          </w:tcPr>
          <w:p>
            <w:pPr>
              <w:pageBreakBefore w:val="0"/>
              <w:widowControl w:val="0"/>
              <w:kinsoku/>
              <w:wordWrap/>
              <w:overflowPunct/>
              <w:topLinePunct w:val="0"/>
              <w:autoSpaceDE/>
              <w:autoSpaceDN/>
              <w:bidi w:val="0"/>
              <w:adjustRightInd/>
              <w:snapToGrid/>
              <w:spacing w:line="360" w:lineRule="auto"/>
              <w:ind w:left="0" w:leftChars="0" w:right="0" w:rightChars="0"/>
              <w:textAlignment w:val="auto"/>
              <w:rPr>
                <w:rFonts w:hint="default" w:ascii="Times New Roman" w:hAnsi="Times New Roman" w:eastAsia="宋体" w:cs="Times New Roman"/>
                <w:color w:val="auto"/>
                <w:sz w:val="24"/>
                <w:szCs w:val="24"/>
                <w:highlight w:val="none"/>
                <w:vertAlign w:val="baseline"/>
              </w:rPr>
            </w:pPr>
            <w:r>
              <w:rPr>
                <w:rFonts w:hint="default" w:ascii="Times New Roman" w:hAnsi="Times New Roman" w:eastAsia="宋体" w:cs="Times New Roman"/>
                <w:color w:val="auto"/>
                <w:highlight w:val="none"/>
              </w:rPr>
              <w:drawing>
                <wp:inline distT="0" distB="0" distL="114300" distR="114300">
                  <wp:extent cx="2520315" cy="2520315"/>
                  <wp:effectExtent l="0" t="0" r="13335" b="13335"/>
                  <wp:docPr id="10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3"/>
                          <pic:cNvPicPr>
                            <a:picLocks noChangeAspect="1"/>
                          </pic:cNvPicPr>
                        </pic:nvPicPr>
                        <pic:blipFill>
                          <a:blip r:embed="rId51"/>
                          <a:stretch>
                            <a:fillRect/>
                          </a:stretch>
                        </pic:blipFill>
                        <pic:spPr>
                          <a:xfrm>
                            <a:off x="0" y="0"/>
                            <a:ext cx="2520315" cy="252031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91" w:type="dxa"/>
            <w:vAlign w:val="center"/>
          </w:tcPr>
          <w:p>
            <w:pPr>
              <w:pageBreakBefore w:val="0"/>
              <w:widowControl w:val="0"/>
              <w:kinsoku/>
              <w:wordWrap/>
              <w:overflowPunct/>
              <w:topLinePunct w:val="0"/>
              <w:autoSpaceDE/>
              <w:autoSpaceDN/>
              <w:bidi w:val="0"/>
              <w:adjustRightInd/>
              <w:snapToGrid/>
              <w:spacing w:line="360" w:lineRule="auto"/>
              <w:ind w:left="0" w:leftChars="0" w:right="0" w:rightChars="0"/>
              <w:textAlignment w:val="auto"/>
              <w:rPr>
                <w:rFonts w:hint="default" w:ascii="Times New Roman" w:hAnsi="Times New Roman" w:eastAsia="宋体" w:cs="Times New Roman"/>
                <w:color w:val="auto"/>
                <w:sz w:val="24"/>
                <w:szCs w:val="24"/>
                <w:highlight w:val="none"/>
                <w:vertAlign w:val="baseline"/>
              </w:rPr>
            </w:pPr>
            <w:r>
              <w:rPr>
                <w:rFonts w:hint="default" w:ascii="Times New Roman" w:hAnsi="Times New Roman" w:eastAsia="宋体" w:cs="Times New Roman"/>
                <w:color w:val="auto"/>
                <w:highlight w:val="none"/>
              </w:rPr>
              <w:drawing>
                <wp:inline distT="0" distB="0" distL="114300" distR="114300">
                  <wp:extent cx="2520315" cy="2520315"/>
                  <wp:effectExtent l="0" t="0" r="13335" b="13335"/>
                  <wp:docPr id="10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4"/>
                          <pic:cNvPicPr>
                            <a:picLocks noChangeAspect="1"/>
                          </pic:cNvPicPr>
                        </pic:nvPicPr>
                        <pic:blipFill>
                          <a:blip r:embed="rId52"/>
                          <a:stretch>
                            <a:fillRect/>
                          </a:stretch>
                        </pic:blipFill>
                        <pic:spPr>
                          <a:xfrm>
                            <a:off x="0" y="0"/>
                            <a:ext cx="2520315" cy="2520315"/>
                          </a:xfrm>
                          <a:prstGeom prst="rect">
                            <a:avLst/>
                          </a:prstGeom>
                          <a:noFill/>
                          <a:ln>
                            <a:noFill/>
                          </a:ln>
                        </pic:spPr>
                      </pic:pic>
                    </a:graphicData>
                  </a:graphic>
                </wp:inline>
              </w:drawing>
            </w:r>
          </w:p>
        </w:tc>
        <w:tc>
          <w:tcPr>
            <w:tcW w:w="4037" w:type="dxa"/>
            <w:vAlign w:val="center"/>
          </w:tcPr>
          <w:p>
            <w:pPr>
              <w:pageBreakBefore w:val="0"/>
              <w:widowControl w:val="0"/>
              <w:kinsoku/>
              <w:wordWrap/>
              <w:overflowPunct/>
              <w:topLinePunct w:val="0"/>
              <w:autoSpaceDE/>
              <w:autoSpaceDN/>
              <w:bidi w:val="0"/>
              <w:adjustRightInd/>
              <w:snapToGrid/>
              <w:spacing w:line="360" w:lineRule="auto"/>
              <w:ind w:left="0" w:leftChars="0" w:right="0" w:rightChars="0"/>
              <w:textAlignment w:val="auto"/>
              <w:rPr>
                <w:rFonts w:hint="default" w:ascii="Times New Roman" w:hAnsi="Times New Roman" w:eastAsia="宋体" w:cs="Times New Roman"/>
                <w:color w:val="auto"/>
                <w:sz w:val="24"/>
                <w:szCs w:val="24"/>
                <w:highlight w:val="none"/>
                <w:vertAlign w:val="baseline"/>
              </w:rPr>
            </w:pPr>
            <w:r>
              <w:rPr>
                <w:rFonts w:hint="default" w:ascii="Times New Roman" w:hAnsi="Times New Roman" w:eastAsia="宋体" w:cs="Times New Roman"/>
                <w:color w:val="auto"/>
                <w:highlight w:val="none"/>
              </w:rPr>
              <w:drawing>
                <wp:inline distT="0" distB="0" distL="114300" distR="114300">
                  <wp:extent cx="2520315" cy="2520315"/>
                  <wp:effectExtent l="0" t="0" r="13335" b="13335"/>
                  <wp:docPr id="10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5"/>
                          <pic:cNvPicPr>
                            <a:picLocks noChangeAspect="1"/>
                          </pic:cNvPicPr>
                        </pic:nvPicPr>
                        <pic:blipFill>
                          <a:blip r:embed="rId53"/>
                          <a:stretch>
                            <a:fillRect/>
                          </a:stretch>
                        </pic:blipFill>
                        <pic:spPr>
                          <a:xfrm>
                            <a:off x="0" y="0"/>
                            <a:ext cx="2520315" cy="252031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91" w:type="dxa"/>
            <w:vAlign w:val="center"/>
          </w:tcPr>
          <w:p>
            <w:pPr>
              <w:pageBreakBefore w:val="0"/>
              <w:widowControl w:val="0"/>
              <w:kinsoku/>
              <w:wordWrap/>
              <w:overflowPunct/>
              <w:topLinePunct w:val="0"/>
              <w:autoSpaceDE/>
              <w:autoSpaceDN/>
              <w:bidi w:val="0"/>
              <w:adjustRightInd/>
              <w:snapToGrid/>
              <w:spacing w:line="360" w:lineRule="auto"/>
              <w:ind w:left="0" w:leftChars="0" w:right="0" w:rightChars="0"/>
              <w:textAlignment w:val="auto"/>
              <w:rPr>
                <w:rFonts w:hint="default" w:ascii="Times New Roman" w:hAnsi="Times New Roman" w:eastAsia="宋体" w:cs="Times New Roman"/>
                <w:color w:val="auto"/>
                <w:sz w:val="24"/>
                <w:szCs w:val="24"/>
                <w:highlight w:val="none"/>
                <w:vertAlign w:val="baseline"/>
              </w:rPr>
            </w:pPr>
            <w:r>
              <w:rPr>
                <w:rFonts w:hint="default" w:ascii="Times New Roman" w:hAnsi="Times New Roman" w:eastAsia="宋体" w:cs="Times New Roman"/>
                <w:color w:val="auto"/>
                <w:highlight w:val="none"/>
              </w:rPr>
              <w:drawing>
                <wp:inline distT="0" distB="0" distL="114300" distR="114300">
                  <wp:extent cx="2520315" cy="2520315"/>
                  <wp:effectExtent l="0" t="0" r="13335" b="13335"/>
                  <wp:docPr id="10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6"/>
                          <pic:cNvPicPr>
                            <a:picLocks noChangeAspect="1"/>
                          </pic:cNvPicPr>
                        </pic:nvPicPr>
                        <pic:blipFill>
                          <a:blip r:embed="rId54"/>
                          <a:stretch>
                            <a:fillRect/>
                          </a:stretch>
                        </pic:blipFill>
                        <pic:spPr>
                          <a:xfrm>
                            <a:off x="0" y="0"/>
                            <a:ext cx="2520315" cy="2520315"/>
                          </a:xfrm>
                          <a:prstGeom prst="rect">
                            <a:avLst/>
                          </a:prstGeom>
                          <a:noFill/>
                          <a:ln>
                            <a:noFill/>
                          </a:ln>
                        </pic:spPr>
                      </pic:pic>
                    </a:graphicData>
                  </a:graphic>
                </wp:inline>
              </w:drawing>
            </w:r>
          </w:p>
        </w:tc>
        <w:tc>
          <w:tcPr>
            <w:tcW w:w="4037" w:type="dxa"/>
            <w:vAlign w:val="center"/>
          </w:tcPr>
          <w:p>
            <w:pPr>
              <w:pageBreakBefore w:val="0"/>
              <w:widowControl w:val="0"/>
              <w:kinsoku/>
              <w:wordWrap/>
              <w:overflowPunct/>
              <w:topLinePunct w:val="0"/>
              <w:autoSpaceDE/>
              <w:autoSpaceDN/>
              <w:bidi w:val="0"/>
              <w:adjustRightInd/>
              <w:snapToGrid/>
              <w:spacing w:line="360" w:lineRule="auto"/>
              <w:ind w:left="0" w:leftChars="0" w:right="0" w:rightChars="0"/>
              <w:textAlignment w:val="auto"/>
              <w:rPr>
                <w:rFonts w:hint="default" w:ascii="Times New Roman" w:hAnsi="Times New Roman" w:eastAsia="宋体" w:cs="Times New Roman"/>
                <w:color w:val="auto"/>
                <w:sz w:val="24"/>
                <w:szCs w:val="24"/>
                <w:highlight w:val="none"/>
                <w:vertAlign w:val="baseline"/>
              </w:rPr>
            </w:pPr>
            <w:r>
              <w:rPr>
                <w:rFonts w:hint="default" w:ascii="Times New Roman" w:hAnsi="Times New Roman" w:eastAsia="宋体" w:cs="Times New Roman"/>
                <w:color w:val="auto"/>
                <w:highlight w:val="none"/>
              </w:rPr>
              <w:drawing>
                <wp:inline distT="0" distB="0" distL="114300" distR="114300">
                  <wp:extent cx="2520315" cy="2520315"/>
                  <wp:effectExtent l="0" t="0" r="13335" b="13335"/>
                  <wp:docPr id="10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7"/>
                          <pic:cNvPicPr>
                            <a:picLocks noChangeAspect="1"/>
                          </pic:cNvPicPr>
                        </pic:nvPicPr>
                        <pic:blipFill>
                          <a:blip r:embed="rId55"/>
                          <a:stretch>
                            <a:fillRect/>
                          </a:stretch>
                        </pic:blipFill>
                        <pic:spPr>
                          <a:xfrm>
                            <a:off x="0" y="0"/>
                            <a:ext cx="2520315" cy="252031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91" w:type="dxa"/>
            <w:vAlign w:val="center"/>
          </w:tcPr>
          <w:p>
            <w:pPr>
              <w:pageBreakBefore w:val="0"/>
              <w:widowControl w:val="0"/>
              <w:kinsoku/>
              <w:wordWrap/>
              <w:overflowPunct/>
              <w:topLinePunct w:val="0"/>
              <w:autoSpaceDE/>
              <w:autoSpaceDN/>
              <w:bidi w:val="0"/>
              <w:adjustRightInd/>
              <w:snapToGrid/>
              <w:spacing w:line="360" w:lineRule="auto"/>
              <w:ind w:left="0" w:leftChars="0" w:right="0" w:rightChars="0"/>
              <w:textAlignment w:val="auto"/>
              <w:rPr>
                <w:rFonts w:hint="default" w:ascii="Times New Roman" w:hAnsi="Times New Roman" w:eastAsia="宋体" w:cs="Times New Roman"/>
                <w:color w:val="auto"/>
                <w:sz w:val="24"/>
                <w:szCs w:val="24"/>
                <w:highlight w:val="none"/>
                <w:vertAlign w:val="baseline"/>
              </w:rPr>
            </w:pPr>
            <w:r>
              <w:rPr>
                <w:rFonts w:hint="default" w:ascii="Times New Roman" w:hAnsi="Times New Roman" w:eastAsia="宋体" w:cs="Times New Roman"/>
                <w:color w:val="auto"/>
                <w:highlight w:val="none"/>
              </w:rPr>
              <w:drawing>
                <wp:inline distT="0" distB="0" distL="114300" distR="114300">
                  <wp:extent cx="2520315" cy="2520315"/>
                  <wp:effectExtent l="0" t="0" r="13335" b="13335"/>
                  <wp:docPr id="10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8"/>
                          <pic:cNvPicPr>
                            <a:picLocks noChangeAspect="1"/>
                          </pic:cNvPicPr>
                        </pic:nvPicPr>
                        <pic:blipFill>
                          <a:blip r:embed="rId56"/>
                          <a:stretch>
                            <a:fillRect/>
                          </a:stretch>
                        </pic:blipFill>
                        <pic:spPr>
                          <a:xfrm>
                            <a:off x="0" y="0"/>
                            <a:ext cx="2520315" cy="2520315"/>
                          </a:xfrm>
                          <a:prstGeom prst="rect">
                            <a:avLst/>
                          </a:prstGeom>
                          <a:noFill/>
                          <a:ln>
                            <a:noFill/>
                          </a:ln>
                        </pic:spPr>
                      </pic:pic>
                    </a:graphicData>
                  </a:graphic>
                </wp:inline>
              </w:drawing>
            </w:r>
          </w:p>
        </w:tc>
        <w:tc>
          <w:tcPr>
            <w:tcW w:w="4037" w:type="dxa"/>
            <w:vAlign w:val="center"/>
          </w:tcPr>
          <w:p>
            <w:pPr>
              <w:pageBreakBefore w:val="0"/>
              <w:widowControl w:val="0"/>
              <w:kinsoku/>
              <w:wordWrap/>
              <w:overflowPunct/>
              <w:topLinePunct w:val="0"/>
              <w:autoSpaceDE/>
              <w:autoSpaceDN/>
              <w:bidi w:val="0"/>
              <w:adjustRightInd/>
              <w:snapToGrid/>
              <w:spacing w:line="360" w:lineRule="auto"/>
              <w:ind w:left="0" w:leftChars="0" w:right="0" w:rightChars="0"/>
              <w:textAlignment w:val="auto"/>
              <w:rPr>
                <w:rFonts w:hint="default" w:ascii="Times New Roman" w:hAnsi="Times New Roman" w:eastAsia="宋体" w:cs="Times New Roman"/>
                <w:color w:val="auto"/>
                <w:sz w:val="24"/>
                <w:szCs w:val="24"/>
                <w:highlight w:val="none"/>
                <w:vertAlign w:val="baseline"/>
              </w:rPr>
            </w:pPr>
            <w:r>
              <w:rPr>
                <w:rFonts w:hint="default" w:ascii="Times New Roman" w:hAnsi="Times New Roman" w:eastAsia="宋体" w:cs="Times New Roman"/>
                <w:color w:val="auto"/>
                <w:highlight w:val="none"/>
              </w:rPr>
              <w:drawing>
                <wp:inline distT="0" distB="0" distL="114300" distR="114300">
                  <wp:extent cx="2520315" cy="2520315"/>
                  <wp:effectExtent l="0" t="0" r="13335" b="13335"/>
                  <wp:docPr id="10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9"/>
                          <pic:cNvPicPr>
                            <a:picLocks noChangeAspect="1"/>
                          </pic:cNvPicPr>
                        </pic:nvPicPr>
                        <pic:blipFill>
                          <a:blip r:embed="rId57"/>
                          <a:stretch>
                            <a:fillRect/>
                          </a:stretch>
                        </pic:blipFill>
                        <pic:spPr>
                          <a:xfrm>
                            <a:off x="0" y="0"/>
                            <a:ext cx="2520315" cy="252031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91" w:type="dxa"/>
            <w:vAlign w:val="center"/>
          </w:tcPr>
          <w:p>
            <w:pPr>
              <w:pageBreakBefore w:val="0"/>
              <w:widowControl w:val="0"/>
              <w:kinsoku/>
              <w:wordWrap/>
              <w:overflowPunct/>
              <w:topLinePunct w:val="0"/>
              <w:autoSpaceDE/>
              <w:autoSpaceDN/>
              <w:bidi w:val="0"/>
              <w:adjustRightInd/>
              <w:snapToGrid/>
              <w:spacing w:line="360" w:lineRule="auto"/>
              <w:ind w:left="0" w:leftChars="0" w:right="0" w:rightChars="0"/>
              <w:textAlignment w:val="auto"/>
              <w:rPr>
                <w:rFonts w:hint="default" w:ascii="Times New Roman" w:hAnsi="Times New Roman" w:eastAsia="宋体" w:cs="Times New Roman"/>
                <w:color w:val="auto"/>
                <w:sz w:val="24"/>
                <w:szCs w:val="24"/>
                <w:highlight w:val="none"/>
                <w:vertAlign w:val="baseline"/>
              </w:rPr>
            </w:pPr>
            <w:r>
              <w:rPr>
                <w:rFonts w:hint="default" w:ascii="Times New Roman" w:hAnsi="Times New Roman" w:eastAsia="宋体" w:cs="Times New Roman"/>
                <w:color w:val="auto"/>
                <w:highlight w:val="none"/>
              </w:rPr>
              <w:drawing>
                <wp:inline distT="0" distB="0" distL="114300" distR="114300">
                  <wp:extent cx="2520315" cy="2520315"/>
                  <wp:effectExtent l="0" t="0" r="13335" b="13335"/>
                  <wp:docPr id="10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20"/>
                          <pic:cNvPicPr>
                            <a:picLocks noChangeAspect="1"/>
                          </pic:cNvPicPr>
                        </pic:nvPicPr>
                        <pic:blipFill>
                          <a:blip r:embed="rId58"/>
                          <a:stretch>
                            <a:fillRect/>
                          </a:stretch>
                        </pic:blipFill>
                        <pic:spPr>
                          <a:xfrm>
                            <a:off x="0" y="0"/>
                            <a:ext cx="2520315" cy="2520315"/>
                          </a:xfrm>
                          <a:prstGeom prst="rect">
                            <a:avLst/>
                          </a:prstGeom>
                          <a:noFill/>
                          <a:ln>
                            <a:noFill/>
                          </a:ln>
                        </pic:spPr>
                      </pic:pic>
                    </a:graphicData>
                  </a:graphic>
                </wp:inline>
              </w:drawing>
            </w:r>
          </w:p>
        </w:tc>
        <w:tc>
          <w:tcPr>
            <w:tcW w:w="4037" w:type="dxa"/>
            <w:vAlign w:val="center"/>
          </w:tcPr>
          <w:p>
            <w:pPr>
              <w:pageBreakBefore w:val="0"/>
              <w:widowControl w:val="0"/>
              <w:kinsoku/>
              <w:wordWrap/>
              <w:overflowPunct/>
              <w:topLinePunct w:val="0"/>
              <w:autoSpaceDE/>
              <w:autoSpaceDN/>
              <w:bidi w:val="0"/>
              <w:adjustRightInd/>
              <w:snapToGrid/>
              <w:spacing w:line="360" w:lineRule="auto"/>
              <w:ind w:left="0" w:leftChars="0" w:right="0" w:rightChars="0"/>
              <w:textAlignment w:val="auto"/>
              <w:rPr>
                <w:rFonts w:hint="default" w:ascii="Times New Roman" w:hAnsi="Times New Roman" w:eastAsia="宋体" w:cs="Times New Roman"/>
                <w:color w:val="auto"/>
                <w:sz w:val="24"/>
                <w:szCs w:val="24"/>
                <w:highlight w:val="none"/>
                <w:vertAlign w:val="baseline"/>
              </w:rPr>
            </w:pPr>
            <w:r>
              <w:rPr>
                <w:rFonts w:hint="default" w:ascii="Times New Roman" w:hAnsi="Times New Roman" w:eastAsia="宋体" w:cs="Times New Roman"/>
                <w:color w:val="auto"/>
                <w:highlight w:val="none"/>
              </w:rPr>
              <w:drawing>
                <wp:inline distT="0" distB="0" distL="114300" distR="114300">
                  <wp:extent cx="2520315" cy="2520315"/>
                  <wp:effectExtent l="0" t="0" r="13335" b="13335"/>
                  <wp:docPr id="11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21"/>
                          <pic:cNvPicPr>
                            <a:picLocks noChangeAspect="1"/>
                          </pic:cNvPicPr>
                        </pic:nvPicPr>
                        <pic:blipFill>
                          <a:blip r:embed="rId59"/>
                          <a:stretch>
                            <a:fillRect/>
                          </a:stretch>
                        </pic:blipFill>
                        <pic:spPr>
                          <a:xfrm>
                            <a:off x="0" y="0"/>
                            <a:ext cx="2520315" cy="252031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91" w:type="dxa"/>
            <w:vAlign w:val="center"/>
          </w:tcPr>
          <w:p>
            <w:pPr>
              <w:pageBreakBefore w:val="0"/>
              <w:widowControl w:val="0"/>
              <w:kinsoku/>
              <w:wordWrap/>
              <w:overflowPunct/>
              <w:topLinePunct w:val="0"/>
              <w:autoSpaceDE/>
              <w:autoSpaceDN/>
              <w:bidi w:val="0"/>
              <w:adjustRightInd/>
              <w:snapToGrid/>
              <w:spacing w:line="360" w:lineRule="auto"/>
              <w:ind w:left="0" w:leftChars="0" w:right="0" w:rightChars="0"/>
              <w:textAlignment w:val="auto"/>
              <w:rPr>
                <w:rFonts w:hint="default" w:ascii="Times New Roman" w:hAnsi="Times New Roman" w:eastAsia="宋体" w:cs="Times New Roman"/>
                <w:color w:val="auto"/>
                <w:sz w:val="24"/>
                <w:szCs w:val="24"/>
                <w:highlight w:val="none"/>
                <w:vertAlign w:val="baseline"/>
              </w:rPr>
            </w:pPr>
            <w:r>
              <w:rPr>
                <w:rFonts w:hint="default" w:ascii="Times New Roman" w:hAnsi="Times New Roman" w:eastAsia="宋体" w:cs="Times New Roman"/>
                <w:color w:val="auto"/>
                <w:highlight w:val="none"/>
              </w:rPr>
              <w:drawing>
                <wp:inline distT="0" distB="0" distL="114300" distR="114300">
                  <wp:extent cx="2520315" cy="2520315"/>
                  <wp:effectExtent l="0" t="0" r="13335" b="13335"/>
                  <wp:docPr id="11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22"/>
                          <pic:cNvPicPr>
                            <a:picLocks noChangeAspect="1"/>
                          </pic:cNvPicPr>
                        </pic:nvPicPr>
                        <pic:blipFill>
                          <a:blip r:embed="rId60"/>
                          <a:stretch>
                            <a:fillRect/>
                          </a:stretch>
                        </pic:blipFill>
                        <pic:spPr>
                          <a:xfrm>
                            <a:off x="0" y="0"/>
                            <a:ext cx="2520315" cy="2520315"/>
                          </a:xfrm>
                          <a:prstGeom prst="rect">
                            <a:avLst/>
                          </a:prstGeom>
                          <a:noFill/>
                          <a:ln>
                            <a:noFill/>
                          </a:ln>
                        </pic:spPr>
                      </pic:pic>
                    </a:graphicData>
                  </a:graphic>
                </wp:inline>
              </w:drawing>
            </w:r>
          </w:p>
        </w:tc>
        <w:tc>
          <w:tcPr>
            <w:tcW w:w="4037" w:type="dxa"/>
            <w:vAlign w:val="center"/>
          </w:tcPr>
          <w:p>
            <w:pPr>
              <w:pageBreakBefore w:val="0"/>
              <w:widowControl w:val="0"/>
              <w:kinsoku/>
              <w:wordWrap/>
              <w:overflowPunct/>
              <w:topLinePunct w:val="0"/>
              <w:autoSpaceDE/>
              <w:autoSpaceDN/>
              <w:bidi w:val="0"/>
              <w:adjustRightInd/>
              <w:snapToGrid/>
              <w:spacing w:line="360" w:lineRule="auto"/>
              <w:ind w:left="0" w:leftChars="0" w:right="0" w:rightChars="0"/>
              <w:textAlignment w:val="auto"/>
              <w:rPr>
                <w:rFonts w:hint="default" w:ascii="Times New Roman" w:hAnsi="Times New Roman" w:eastAsia="宋体" w:cs="Times New Roman"/>
                <w:color w:val="auto"/>
                <w:sz w:val="24"/>
                <w:szCs w:val="24"/>
                <w:highlight w:val="none"/>
                <w:vertAlign w:val="baseline"/>
              </w:rPr>
            </w:pPr>
            <w:r>
              <w:rPr>
                <w:rFonts w:hint="default" w:ascii="Times New Roman" w:hAnsi="Times New Roman" w:eastAsia="宋体" w:cs="Times New Roman"/>
                <w:color w:val="auto"/>
                <w:highlight w:val="none"/>
              </w:rPr>
              <w:drawing>
                <wp:inline distT="0" distB="0" distL="114300" distR="114300">
                  <wp:extent cx="2520315" cy="2520315"/>
                  <wp:effectExtent l="0" t="0" r="13335" b="13335"/>
                  <wp:docPr id="11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23"/>
                          <pic:cNvPicPr>
                            <a:picLocks noChangeAspect="1"/>
                          </pic:cNvPicPr>
                        </pic:nvPicPr>
                        <pic:blipFill>
                          <a:blip r:embed="rId61"/>
                          <a:stretch>
                            <a:fillRect/>
                          </a:stretch>
                        </pic:blipFill>
                        <pic:spPr>
                          <a:xfrm>
                            <a:off x="0" y="0"/>
                            <a:ext cx="2520315" cy="2520315"/>
                          </a:xfrm>
                          <a:prstGeom prst="rect">
                            <a:avLst/>
                          </a:prstGeom>
                          <a:noFill/>
                          <a:ln>
                            <a:noFill/>
                          </a:ln>
                        </pic:spPr>
                      </pic:pic>
                    </a:graphicData>
                  </a:graphic>
                </wp:inline>
              </w:drawing>
            </w:r>
          </w:p>
        </w:tc>
      </w:tr>
    </w:tbl>
    <w:p>
      <w:pPr>
        <w:pageBreakBefore w:val="0"/>
        <w:widowControl w:val="0"/>
        <w:kinsoku/>
        <w:wordWrap/>
        <w:overflowPunct/>
        <w:topLinePunct w:val="0"/>
        <w:autoSpaceDE/>
        <w:autoSpaceDN/>
        <w:bidi w:val="0"/>
        <w:adjustRightInd/>
        <w:snapToGrid/>
        <w:spacing w:line="360" w:lineRule="auto"/>
        <w:ind w:left="0" w:leftChars="0" w:right="0" w:rightChars="0"/>
        <w:jc w:val="center"/>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图</w:t>
      </w:r>
      <w:r>
        <w:rPr>
          <w:rFonts w:hint="default" w:ascii="Times New Roman" w:hAnsi="Times New Roman" w:eastAsia="宋体" w:cs="Times New Roman"/>
          <w:b/>
          <w:bCs/>
          <w:color w:val="auto"/>
          <w:sz w:val="24"/>
          <w:szCs w:val="24"/>
          <w:highlight w:val="none"/>
          <w:lang w:val="en-US" w:eastAsia="zh-CN"/>
        </w:rPr>
        <w:t>7</w:t>
      </w:r>
      <w:r>
        <w:rPr>
          <w:rFonts w:hint="default" w:ascii="Times New Roman" w:hAnsi="Times New Roman" w:eastAsia="宋体" w:cs="Times New Roman"/>
          <w:b/>
          <w:bCs/>
          <w:color w:val="auto"/>
          <w:sz w:val="24"/>
          <w:szCs w:val="24"/>
          <w:highlight w:val="none"/>
        </w:rPr>
        <w:t>-2乌拉特前旗气象站［53433］近20年</w:t>
      </w:r>
      <w:r>
        <w:rPr>
          <w:rFonts w:hint="default" w:ascii="Times New Roman" w:hAnsi="Times New Roman" w:eastAsia="宋体" w:cs="Times New Roman"/>
          <w:b/>
          <w:bCs/>
          <w:color w:val="auto"/>
          <w:sz w:val="24"/>
          <w:szCs w:val="24"/>
          <w:highlight w:val="none"/>
          <w:lang w:eastAsia="zh-CN"/>
        </w:rPr>
        <w:t>（</w:t>
      </w:r>
      <w:r>
        <w:rPr>
          <w:rFonts w:hint="default" w:ascii="Times New Roman" w:hAnsi="Times New Roman" w:eastAsia="宋体" w:cs="Times New Roman"/>
          <w:b/>
          <w:bCs/>
          <w:color w:val="auto"/>
          <w:sz w:val="24"/>
          <w:szCs w:val="24"/>
          <w:highlight w:val="none"/>
        </w:rPr>
        <w:t>2003-2022</w:t>
      </w:r>
      <w:r>
        <w:rPr>
          <w:rFonts w:hint="default" w:ascii="Times New Roman" w:hAnsi="Times New Roman" w:eastAsia="宋体" w:cs="Times New Roman"/>
          <w:b/>
          <w:bCs/>
          <w:color w:val="auto"/>
          <w:sz w:val="24"/>
          <w:szCs w:val="24"/>
          <w:highlight w:val="none"/>
          <w:lang w:eastAsia="zh-CN"/>
        </w:rPr>
        <w:t>）</w:t>
      </w:r>
      <w:r>
        <w:rPr>
          <w:rFonts w:hint="default" w:ascii="Times New Roman" w:hAnsi="Times New Roman" w:eastAsia="宋体" w:cs="Times New Roman"/>
          <w:b/>
          <w:bCs/>
          <w:color w:val="auto"/>
          <w:sz w:val="24"/>
          <w:szCs w:val="24"/>
          <w:highlight w:val="none"/>
        </w:rPr>
        <w:t>月风向频率玫瑰图</w:t>
      </w:r>
    </w:p>
    <w:p>
      <w:pPr>
        <w:pStyle w:val="4"/>
        <w:pageBreakBefore w:val="0"/>
        <w:widowControl w:val="0"/>
        <w:numPr>
          <w:ilvl w:val="1"/>
          <w:numId w:val="0"/>
        </w:numPr>
        <w:kinsoku/>
        <w:wordWrap/>
        <w:overflowPunct/>
        <w:topLinePunct w:val="0"/>
        <w:autoSpaceDE/>
        <w:autoSpaceDN/>
        <w:bidi w:val="0"/>
        <w:ind w:left="0" w:leftChars="0" w:right="0" w:rightChars="0"/>
        <w:textAlignment w:val="auto"/>
        <w:outlineLvl w:val="2"/>
        <w:rPr>
          <w:rFonts w:hint="default" w:ascii="Times New Roman" w:hAnsi="Times New Roman" w:eastAsia="宋体" w:cs="Times New Roman"/>
          <w:b/>
          <w:bCs w:val="0"/>
          <w:color w:val="auto"/>
          <w:sz w:val="28"/>
          <w:szCs w:val="28"/>
          <w:highlight w:val="none"/>
        </w:rPr>
      </w:pPr>
      <w:bookmarkStart w:id="909" w:name="_Toc20201"/>
      <w:bookmarkStart w:id="910" w:name="_Toc26912"/>
      <w:r>
        <w:rPr>
          <w:rFonts w:hint="default" w:ascii="Times New Roman" w:hAnsi="Times New Roman" w:eastAsia="宋体" w:cs="Times New Roman"/>
          <w:b/>
          <w:bCs w:val="0"/>
          <w:i w:val="0"/>
          <w:color w:val="auto"/>
          <w:kern w:val="2"/>
          <w:sz w:val="28"/>
          <w:szCs w:val="28"/>
          <w:highlight w:val="none"/>
          <w:lang w:val="en-US" w:eastAsia="zh-CN" w:bidi="ar-SA"/>
        </w:rPr>
        <w:t>7.2</w:t>
      </w:r>
      <w:r>
        <w:rPr>
          <w:rFonts w:hint="default" w:ascii="Times New Roman" w:hAnsi="Times New Roman" w:eastAsia="宋体" w:cs="Times New Roman"/>
          <w:b/>
          <w:bCs w:val="0"/>
          <w:color w:val="auto"/>
          <w:sz w:val="28"/>
          <w:szCs w:val="28"/>
          <w:highlight w:val="none"/>
        </w:rPr>
        <w:t>大气环境影响预测及评价</w:t>
      </w:r>
      <w:bookmarkEnd w:id="909"/>
      <w:bookmarkEnd w:id="910"/>
    </w:p>
    <w:p>
      <w:pPr>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本项目大气评价等级为二级</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根据《</w:t>
      </w:r>
      <w:r>
        <w:rPr>
          <w:rFonts w:hint="default" w:ascii="Times New Roman" w:hAnsi="Times New Roman" w:eastAsia="宋体" w:cs="Times New Roman"/>
          <w:color w:val="auto"/>
          <w:sz w:val="24"/>
          <w:szCs w:val="24"/>
          <w:highlight w:val="none"/>
          <w:lang w:eastAsia="zh-CN"/>
        </w:rPr>
        <w:t>环境影响评价技术导则</w:t>
      </w:r>
      <w:r>
        <w:rPr>
          <w:rFonts w:hint="default" w:ascii="Times New Roman" w:hAnsi="Times New Roman" w:eastAsia="宋体" w:cs="Times New Roman"/>
          <w:color w:val="auto"/>
          <w:sz w:val="24"/>
          <w:szCs w:val="24"/>
          <w:highlight w:val="none"/>
        </w:rPr>
        <w:t>大气环境》（HJ2.2-2018</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不开展进一步预测与评价。评价将根据废气污染源及估算模式的计算结果进行污染物达标排放分析并对污染物排放量进行核算。</w:t>
      </w:r>
    </w:p>
    <w:p>
      <w:pPr>
        <w:pStyle w:val="5"/>
        <w:keepNext/>
        <w:keepLines/>
        <w:pageBreakBefore w:val="0"/>
        <w:widowControl w:val="0"/>
        <w:numPr>
          <w:ilvl w:val="2"/>
          <w:numId w:val="0"/>
        </w:numPr>
        <w:kinsoku/>
        <w:wordWrap/>
        <w:overflowPunct/>
        <w:topLinePunct w:val="0"/>
        <w:autoSpaceDE/>
        <w:autoSpaceDN/>
        <w:bidi w:val="0"/>
        <w:adjustRightInd/>
        <w:snapToGrid/>
        <w:ind w:left="0" w:leftChars="0" w:right="0" w:rightChars="0" w:firstLine="0" w:firstLineChars="0"/>
        <w:textAlignment w:val="auto"/>
        <w:rPr>
          <w:rFonts w:hint="default" w:ascii="Times New Roman" w:hAnsi="Times New Roman" w:eastAsia="宋体" w:cs="Times New Roman"/>
          <w:b/>
          <w:bCs/>
          <w:color w:val="auto"/>
          <w:sz w:val="24"/>
          <w:szCs w:val="24"/>
          <w:highlight w:val="none"/>
        </w:rPr>
      </w:pPr>
      <w:bookmarkStart w:id="911" w:name="_Toc5937"/>
      <w:bookmarkStart w:id="912" w:name="_Toc22061"/>
      <w:bookmarkStart w:id="913" w:name="_Toc7952"/>
      <w:r>
        <w:rPr>
          <w:rFonts w:hint="default" w:ascii="Times New Roman" w:hAnsi="Times New Roman" w:eastAsia="宋体" w:cs="Times New Roman"/>
          <w:b/>
          <w:bCs/>
          <w:i w:val="0"/>
          <w:iCs w:val="0"/>
          <w:caps w:val="0"/>
          <w:smallCaps w:val="0"/>
          <w:strike w:val="0"/>
          <w:dstrike w:val="0"/>
          <w:vanish w:val="0"/>
          <w:color w:val="auto"/>
          <w:spacing w:val="0"/>
          <w:kern w:val="2"/>
          <w:position w:val="0"/>
          <w:sz w:val="24"/>
          <w:szCs w:val="24"/>
          <w:highlight w:val="none"/>
          <w:u w:val="none"/>
          <w:vertAlign w:val="baseline"/>
          <w:lang w:val="en-US" w:eastAsia="zh-CN" w:bidi="ar-SA"/>
          <w14:shadow w14:blurRad="0" w14:dist="0" w14:dir="0" w14:sx="0" w14:sy="0" w14:kx="0" w14:ky="0" w14:algn="none">
            <w14:srgbClr w14:val="000000"/>
          </w14:shadow>
        </w:rPr>
        <w:t>7.2.1</w:t>
      </w:r>
      <w:r>
        <w:rPr>
          <w:rFonts w:hint="default" w:ascii="Times New Roman" w:hAnsi="Times New Roman" w:eastAsia="宋体" w:cs="Times New Roman"/>
          <w:b/>
          <w:bCs/>
          <w:color w:val="auto"/>
          <w:sz w:val="24"/>
          <w:szCs w:val="24"/>
          <w:highlight w:val="none"/>
        </w:rPr>
        <w:t>预测因子</w:t>
      </w:r>
      <w:bookmarkEnd w:id="911"/>
      <w:bookmarkEnd w:id="912"/>
      <w:bookmarkEnd w:id="913"/>
    </w:p>
    <w:p>
      <w:pPr>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预测因子的确定</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根据本项目污染分析</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本次评价大气环境影响预测因子确定为TSP</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排放形式为矩形面源排放。</w:t>
      </w:r>
    </w:p>
    <w:p>
      <w:pPr>
        <w:pStyle w:val="5"/>
        <w:keepNext/>
        <w:keepLines/>
        <w:pageBreakBefore w:val="0"/>
        <w:widowControl w:val="0"/>
        <w:numPr>
          <w:ilvl w:val="2"/>
          <w:numId w:val="0"/>
        </w:numPr>
        <w:kinsoku/>
        <w:wordWrap/>
        <w:overflowPunct/>
        <w:topLinePunct w:val="0"/>
        <w:autoSpaceDE/>
        <w:autoSpaceDN/>
        <w:bidi w:val="0"/>
        <w:adjustRightInd/>
        <w:snapToGrid/>
        <w:ind w:left="0" w:leftChars="0" w:right="0" w:rightChars="0" w:firstLine="0" w:firstLineChars="0"/>
        <w:textAlignment w:val="auto"/>
        <w:rPr>
          <w:rFonts w:hint="default" w:ascii="Times New Roman" w:hAnsi="Times New Roman" w:eastAsia="宋体" w:cs="Times New Roman"/>
          <w:b/>
          <w:bCs/>
          <w:i w:val="0"/>
          <w:iCs w:val="0"/>
          <w:caps w:val="0"/>
          <w:smallCaps w:val="0"/>
          <w:strike w:val="0"/>
          <w:dstrike w:val="0"/>
          <w:vanish w:val="0"/>
          <w:color w:val="auto"/>
          <w:spacing w:val="0"/>
          <w:kern w:val="2"/>
          <w:position w:val="0"/>
          <w:sz w:val="24"/>
          <w:szCs w:val="24"/>
          <w:highlight w:val="none"/>
          <w:u w:val="none"/>
          <w:vertAlign w:val="baseline"/>
          <w:lang w:val="en-US" w:eastAsia="zh-CN" w:bidi="ar-SA"/>
          <w14:shadow w14:blurRad="0" w14:dist="0" w14:dir="0" w14:sx="0" w14:sy="0" w14:kx="0" w14:ky="0" w14:algn="none">
            <w14:srgbClr w14:val="000000"/>
          </w14:shadow>
        </w:rPr>
      </w:pPr>
      <w:bookmarkStart w:id="914" w:name="_Toc26661"/>
      <w:bookmarkStart w:id="915" w:name="_Toc30613"/>
      <w:bookmarkStart w:id="916" w:name="_Toc13692"/>
      <w:r>
        <w:rPr>
          <w:rFonts w:hint="default" w:ascii="Times New Roman" w:hAnsi="Times New Roman" w:eastAsia="宋体" w:cs="Times New Roman"/>
          <w:b/>
          <w:bCs/>
          <w:i w:val="0"/>
          <w:iCs w:val="0"/>
          <w:caps w:val="0"/>
          <w:smallCaps w:val="0"/>
          <w:strike w:val="0"/>
          <w:dstrike w:val="0"/>
          <w:vanish w:val="0"/>
          <w:color w:val="auto"/>
          <w:spacing w:val="0"/>
          <w:kern w:val="2"/>
          <w:position w:val="0"/>
          <w:sz w:val="24"/>
          <w:szCs w:val="24"/>
          <w:highlight w:val="none"/>
          <w:u w:val="none"/>
          <w:vertAlign w:val="baseline"/>
          <w:lang w:val="en-US" w:eastAsia="zh-CN" w:bidi="ar-SA"/>
          <w14:shadow w14:blurRad="0" w14:dist="0" w14:dir="0" w14:sx="0" w14:sy="0" w14:kx="0" w14:ky="0" w14:algn="none">
            <w14:srgbClr w14:val="000000"/>
          </w14:shadow>
        </w:rPr>
        <w:t>7.2.2预测模式及参数</w:t>
      </w:r>
      <w:bookmarkEnd w:id="914"/>
      <w:bookmarkEnd w:id="915"/>
      <w:bookmarkEnd w:id="916"/>
    </w:p>
    <w:p>
      <w:pPr>
        <w:pageBreakBefore w:val="0"/>
        <w:widowControl w:val="0"/>
        <w:kinsoku/>
        <w:wordWrap/>
        <w:overflowPunct/>
        <w:topLinePunct w:val="0"/>
        <w:autoSpaceDE/>
        <w:autoSpaceDN/>
        <w:bidi w:val="0"/>
        <w:spacing w:line="360" w:lineRule="auto"/>
        <w:ind w:left="0" w:leftChars="0" w:right="0" w:rightChars="0" w:firstLine="480" w:firstLineChars="200"/>
        <w:jc w:val="left"/>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szCs w:val="24"/>
          <w:highlight w:val="none"/>
        </w:rPr>
        <w:t>本项目预测模式选用《</w:t>
      </w:r>
      <w:r>
        <w:rPr>
          <w:rFonts w:hint="default" w:ascii="Times New Roman" w:hAnsi="Times New Roman" w:eastAsia="宋体" w:cs="Times New Roman"/>
          <w:color w:val="auto"/>
          <w:sz w:val="24"/>
          <w:szCs w:val="24"/>
          <w:highlight w:val="none"/>
          <w:lang w:eastAsia="zh-CN"/>
        </w:rPr>
        <w:t>环境影响评价技术导则</w:t>
      </w:r>
      <w:r>
        <w:rPr>
          <w:rFonts w:hint="default" w:ascii="Times New Roman" w:hAnsi="Times New Roman" w:eastAsia="宋体" w:cs="Times New Roman"/>
          <w:color w:val="auto"/>
          <w:sz w:val="24"/>
          <w:szCs w:val="24"/>
          <w:highlight w:val="none"/>
        </w:rPr>
        <w:t>大气环境》（HJ2.2-2018</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中推荐的AERSCREEN估算模式</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根据评价范围内当前DEM所需的SRTM文件</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从下载地址获取并生成DFM文件（90m分辨率</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项目区DEM文件等高线示意图见下图</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计算本项目估算模型参数表见表7-</w:t>
      </w:r>
      <w:r>
        <w:rPr>
          <w:rFonts w:hint="default" w:ascii="Times New Roman" w:hAnsi="Times New Roman" w:eastAsia="宋体" w:cs="Times New Roman"/>
          <w:color w:val="auto"/>
          <w:sz w:val="24"/>
          <w:szCs w:val="24"/>
          <w:highlight w:val="none"/>
          <w:lang w:val="en-US" w:eastAsia="zh-CN"/>
        </w:rPr>
        <w:t>6</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highlight w:val="none"/>
        </w:rPr>
        <w:drawing>
          <wp:inline distT="0" distB="0" distL="0" distR="0">
            <wp:extent cx="5067300" cy="3078480"/>
            <wp:effectExtent l="0" t="0" r="0" b="0"/>
            <wp:docPr id="1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a:xfrm>
                      <a:off x="0" y="0"/>
                      <a:ext cx="5067300" cy="3078480"/>
                    </a:xfrm>
                    <a:prstGeom prst="rect">
                      <a:avLst/>
                    </a:prstGeom>
                    <a:noFill/>
                    <a:ln>
                      <a:noFill/>
                    </a:ln>
                  </pic:spPr>
                </pic:pic>
              </a:graphicData>
            </a:graphic>
          </wp:inline>
        </w:drawing>
      </w:r>
    </w:p>
    <w:p>
      <w:pPr>
        <w:pageBreakBefore w:val="0"/>
        <w:wordWrap/>
        <w:bidi w:val="0"/>
        <w:adjustRightInd w:val="0"/>
        <w:snapToGrid w:val="0"/>
        <w:spacing w:line="360" w:lineRule="auto"/>
        <w:ind w:left="0" w:leftChars="0" w:right="0" w:rightChars="0" w:firstLine="482" w:firstLineChars="200"/>
        <w:jc w:val="center"/>
        <w:rPr>
          <w:rFonts w:hint="default" w:ascii="Times New Roman" w:hAnsi="Times New Roman" w:eastAsia="宋体" w:cs="Times New Roman"/>
          <w:b/>
          <w:bCs w:val="0"/>
          <w:color w:val="auto"/>
          <w:sz w:val="24"/>
          <w:highlight w:val="none"/>
        </w:rPr>
      </w:pPr>
      <w:r>
        <w:rPr>
          <w:rFonts w:hint="default" w:ascii="Times New Roman" w:hAnsi="Times New Roman" w:eastAsia="宋体" w:cs="Times New Roman"/>
          <w:b/>
          <w:bCs/>
          <w:color w:val="auto"/>
          <w:kern w:val="0"/>
          <w:sz w:val="24"/>
          <w:szCs w:val="24"/>
          <w:highlight w:val="none"/>
        </w:rPr>
        <w:t>图</w:t>
      </w:r>
      <w:r>
        <w:rPr>
          <w:rFonts w:hint="default" w:ascii="Times New Roman" w:hAnsi="Times New Roman" w:eastAsia="宋体" w:cs="Times New Roman"/>
          <w:b/>
          <w:bCs/>
          <w:color w:val="auto"/>
          <w:kern w:val="0"/>
          <w:sz w:val="24"/>
          <w:szCs w:val="24"/>
          <w:highlight w:val="none"/>
          <w:lang w:val="en-US" w:eastAsia="zh-CN"/>
        </w:rPr>
        <w:t>7</w:t>
      </w:r>
      <w:r>
        <w:rPr>
          <w:rFonts w:hint="default" w:ascii="Times New Roman" w:hAnsi="Times New Roman" w:eastAsia="宋体" w:cs="Times New Roman"/>
          <w:b/>
          <w:bCs/>
          <w:color w:val="auto"/>
          <w:kern w:val="0"/>
          <w:sz w:val="24"/>
          <w:szCs w:val="24"/>
          <w:highlight w:val="none"/>
        </w:rPr>
        <w:t>-</w:t>
      </w:r>
      <w:r>
        <w:rPr>
          <w:rFonts w:hint="default" w:ascii="Times New Roman" w:hAnsi="Times New Roman" w:eastAsia="宋体" w:cs="Times New Roman"/>
          <w:b/>
          <w:bCs/>
          <w:color w:val="auto"/>
          <w:kern w:val="0"/>
          <w:sz w:val="24"/>
          <w:szCs w:val="24"/>
          <w:highlight w:val="none"/>
          <w:lang w:val="en-US" w:eastAsia="zh-CN"/>
        </w:rPr>
        <w:t>3</w:t>
      </w:r>
      <w:r>
        <w:rPr>
          <w:rFonts w:hint="default" w:ascii="Times New Roman" w:hAnsi="Times New Roman" w:eastAsia="宋体" w:cs="Times New Roman"/>
          <w:b/>
          <w:bCs w:val="0"/>
          <w:color w:val="auto"/>
          <w:sz w:val="24"/>
          <w:highlight w:val="none"/>
        </w:rPr>
        <w:t>本项目DEM地形图</w:t>
      </w:r>
    </w:p>
    <w:p>
      <w:pPr>
        <w:pageBreakBefore w:val="0"/>
        <w:tabs>
          <w:tab w:val="left" w:pos="3062"/>
        </w:tabs>
        <w:wordWrap/>
        <w:bidi w:val="0"/>
        <w:spacing w:line="360" w:lineRule="auto"/>
        <w:ind w:left="0" w:leftChars="0" w:right="0" w:rightChars="0"/>
        <w:jc w:val="center"/>
        <w:rPr>
          <w:rFonts w:hint="default" w:ascii="Times New Roman" w:hAnsi="Times New Roman" w:eastAsia="宋体" w:cs="Times New Roman"/>
          <w:b/>
          <w:bCs w:val="0"/>
          <w:color w:val="auto"/>
          <w:sz w:val="24"/>
          <w:highlight w:val="none"/>
        </w:rPr>
      </w:pPr>
      <w:r>
        <w:rPr>
          <w:rFonts w:hint="default" w:ascii="Times New Roman" w:hAnsi="Times New Roman" w:eastAsia="宋体" w:cs="Times New Roman"/>
          <w:b/>
          <w:bCs w:val="0"/>
          <w:color w:val="auto"/>
          <w:sz w:val="24"/>
          <w:highlight w:val="none"/>
        </w:rPr>
        <w:t>表7-</w:t>
      </w:r>
      <w:r>
        <w:rPr>
          <w:rFonts w:hint="default" w:ascii="Times New Roman" w:hAnsi="Times New Roman" w:eastAsia="宋体" w:cs="Times New Roman"/>
          <w:b/>
          <w:bCs w:val="0"/>
          <w:color w:val="auto"/>
          <w:sz w:val="24"/>
          <w:highlight w:val="none"/>
          <w:lang w:val="en-US" w:eastAsia="zh-CN"/>
        </w:rPr>
        <w:t>6</w:t>
      </w:r>
      <w:r>
        <w:rPr>
          <w:rFonts w:hint="default" w:ascii="Times New Roman" w:hAnsi="Times New Roman" w:eastAsia="宋体" w:cs="Times New Roman"/>
          <w:b/>
          <w:bCs w:val="0"/>
          <w:color w:val="auto"/>
          <w:sz w:val="24"/>
          <w:highlight w:val="none"/>
        </w:rPr>
        <w:t>本项目估算模型参数表</w:t>
      </w:r>
    </w:p>
    <w:tbl>
      <w:tblPr>
        <w:tblStyle w:val="54"/>
        <w:tblW w:w="8504"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369"/>
        <w:gridCol w:w="724"/>
        <w:gridCol w:w="886"/>
        <w:gridCol w:w="852"/>
        <w:gridCol w:w="709"/>
        <w:gridCol w:w="709"/>
        <w:gridCol w:w="709"/>
        <w:gridCol w:w="709"/>
        <w:gridCol w:w="709"/>
        <w:gridCol w:w="709"/>
        <w:gridCol w:w="709"/>
        <w:gridCol w:w="710"/>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69" w:type="dxa"/>
            <w:vMerge w:val="restart"/>
            <w:tcBorders>
              <w:top w:val="single" w:color="auto" w:sz="4" w:space="0"/>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编号</w:t>
            </w:r>
          </w:p>
        </w:tc>
        <w:tc>
          <w:tcPr>
            <w:tcW w:w="724" w:type="dxa"/>
            <w:vMerge w:val="restart"/>
            <w:tcBorders>
              <w:top w:val="single" w:color="auto" w:sz="4" w:space="0"/>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名称</w:t>
            </w:r>
          </w:p>
        </w:tc>
        <w:tc>
          <w:tcPr>
            <w:tcW w:w="1738" w:type="dxa"/>
            <w:gridSpan w:val="2"/>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面源起点坐标</w:t>
            </w:r>
          </w:p>
        </w:tc>
        <w:tc>
          <w:tcPr>
            <w:tcW w:w="709" w:type="dxa"/>
            <w:vMerge w:val="restart"/>
            <w:tcBorders>
              <w:top w:val="single" w:color="auto" w:sz="4" w:space="0"/>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面源海拔高度/m</w:t>
            </w:r>
          </w:p>
        </w:tc>
        <w:tc>
          <w:tcPr>
            <w:tcW w:w="709" w:type="dxa"/>
            <w:vMerge w:val="restart"/>
            <w:tcBorders>
              <w:top w:val="single" w:color="auto" w:sz="4" w:space="0"/>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面源长度</w:t>
            </w:r>
          </w:p>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w:t>
            </w:r>
          </w:p>
        </w:tc>
        <w:tc>
          <w:tcPr>
            <w:tcW w:w="709" w:type="dxa"/>
            <w:vMerge w:val="restart"/>
            <w:tcBorders>
              <w:top w:val="single" w:color="auto" w:sz="4" w:space="0"/>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面源宽度</w:t>
            </w:r>
          </w:p>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w:t>
            </w:r>
          </w:p>
        </w:tc>
        <w:tc>
          <w:tcPr>
            <w:tcW w:w="709" w:type="dxa"/>
            <w:vMerge w:val="restart"/>
            <w:tcBorders>
              <w:top w:val="single" w:color="auto" w:sz="4" w:space="0"/>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与正北向夹角/°</w:t>
            </w:r>
          </w:p>
        </w:tc>
        <w:tc>
          <w:tcPr>
            <w:tcW w:w="709" w:type="dxa"/>
            <w:vMerge w:val="restart"/>
            <w:tcBorders>
              <w:top w:val="single" w:color="auto" w:sz="4" w:space="0"/>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面源有效排放高度/m</w:t>
            </w:r>
          </w:p>
        </w:tc>
        <w:tc>
          <w:tcPr>
            <w:tcW w:w="709" w:type="dxa"/>
            <w:vMerge w:val="restart"/>
            <w:tcBorders>
              <w:top w:val="single" w:color="auto" w:sz="4" w:space="0"/>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年排放小时数/h</w:t>
            </w:r>
          </w:p>
        </w:tc>
        <w:tc>
          <w:tcPr>
            <w:tcW w:w="709" w:type="dxa"/>
            <w:vMerge w:val="restart"/>
            <w:tcBorders>
              <w:top w:val="single" w:color="auto" w:sz="4" w:space="0"/>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排放工况</w:t>
            </w:r>
          </w:p>
        </w:tc>
        <w:tc>
          <w:tcPr>
            <w:tcW w:w="710" w:type="dxa"/>
            <w:tcBorders>
              <w:top w:val="single" w:color="auto" w:sz="4" w:space="0"/>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污染物排放速率/（kg/h</w:t>
            </w:r>
            <w:r>
              <w:rPr>
                <w:rFonts w:hint="default" w:ascii="Times New Roman" w:hAnsi="Times New Roman" w:eastAsia="宋体" w:cs="Times New Roman"/>
                <w:color w:val="auto"/>
                <w:sz w:val="21"/>
                <w:szCs w:val="21"/>
                <w:highlight w:val="none"/>
                <w:lang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69" w:type="dxa"/>
            <w:vMerge w:val="continue"/>
            <w:tcBorders>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724" w:type="dxa"/>
            <w:vMerge w:val="continue"/>
            <w:tcBorders>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886" w:type="dxa"/>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X</w:t>
            </w:r>
          </w:p>
        </w:tc>
        <w:tc>
          <w:tcPr>
            <w:tcW w:w="852" w:type="dxa"/>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Y</w:t>
            </w:r>
          </w:p>
        </w:tc>
        <w:tc>
          <w:tcPr>
            <w:tcW w:w="709" w:type="dxa"/>
            <w:vMerge w:val="continue"/>
            <w:tcBorders>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709" w:type="dxa"/>
            <w:vMerge w:val="continue"/>
            <w:tcBorders>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709" w:type="dxa"/>
            <w:vMerge w:val="continue"/>
            <w:tcBorders>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709" w:type="dxa"/>
            <w:vMerge w:val="continue"/>
            <w:tcBorders>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709" w:type="dxa"/>
            <w:vMerge w:val="continue"/>
            <w:tcBorders>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709" w:type="dxa"/>
            <w:vMerge w:val="continue"/>
            <w:tcBorders>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709" w:type="dxa"/>
            <w:vMerge w:val="continue"/>
            <w:tcBorders>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710" w:type="dxa"/>
            <w:tcBorders>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TSP</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69" w:type="dxa"/>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11"/>
                <w:sz w:val="21"/>
                <w:szCs w:val="21"/>
                <w:highlight w:val="none"/>
              </w:rPr>
              <w:t>1</w:t>
            </w:r>
          </w:p>
        </w:tc>
        <w:tc>
          <w:tcPr>
            <w:tcW w:w="724" w:type="dxa"/>
            <w:tcBorders>
              <w:top w:val="single" w:color="auto" w:sz="4" w:space="0"/>
              <w:left w:val="single" w:color="auto" w:sz="4" w:space="0"/>
              <w:bottom w:val="single" w:color="auto" w:sz="4" w:space="0"/>
              <w:right w:val="single" w:color="auto" w:sz="4" w:space="0"/>
            </w:tcBorders>
            <w:vAlign w:val="center"/>
          </w:tcPr>
          <w:p>
            <w:pPr>
              <w:pageBreakBefore w:val="0"/>
              <w:wordWrap/>
              <w:bidi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尾矿库干滩</w:t>
            </w:r>
          </w:p>
        </w:tc>
        <w:tc>
          <w:tcPr>
            <w:tcW w:w="886" w:type="dxa"/>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40.7993118°</w:t>
            </w:r>
          </w:p>
        </w:tc>
        <w:tc>
          <w:tcPr>
            <w:tcW w:w="852" w:type="dxa"/>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109.4244533°</w:t>
            </w:r>
          </w:p>
        </w:tc>
        <w:tc>
          <w:tcPr>
            <w:tcW w:w="709" w:type="dxa"/>
            <w:tcBorders>
              <w:top w:val="single" w:color="auto" w:sz="4" w:space="0"/>
              <w:left w:val="single" w:color="auto" w:sz="4" w:space="0"/>
              <w:bottom w:val="single" w:color="auto" w:sz="4" w:space="0"/>
              <w:right w:val="single" w:color="auto"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1432</w:t>
            </w:r>
          </w:p>
        </w:tc>
        <w:tc>
          <w:tcPr>
            <w:tcW w:w="709" w:type="dxa"/>
            <w:tcBorders>
              <w:top w:val="single" w:color="auto" w:sz="4" w:space="0"/>
              <w:left w:val="single" w:color="auto" w:sz="4" w:space="0"/>
              <w:bottom w:val="single" w:color="auto" w:sz="4" w:space="0"/>
              <w:right w:val="single" w:color="auto"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rPr>
              <w:t>00</w:t>
            </w:r>
          </w:p>
        </w:tc>
        <w:tc>
          <w:tcPr>
            <w:tcW w:w="709" w:type="dxa"/>
            <w:tcBorders>
              <w:top w:val="single" w:color="auto" w:sz="4" w:space="0"/>
              <w:left w:val="single" w:color="auto" w:sz="4" w:space="0"/>
              <w:bottom w:val="single" w:color="auto" w:sz="4" w:space="0"/>
              <w:right w:val="single" w:color="auto" w:sz="4" w:space="0"/>
            </w:tcBorders>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rPr>
              <w:t>0</w:t>
            </w:r>
          </w:p>
        </w:tc>
        <w:tc>
          <w:tcPr>
            <w:tcW w:w="709" w:type="dxa"/>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w:t>
            </w:r>
          </w:p>
        </w:tc>
        <w:tc>
          <w:tcPr>
            <w:tcW w:w="709" w:type="dxa"/>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5</w:t>
            </w:r>
          </w:p>
        </w:tc>
        <w:tc>
          <w:tcPr>
            <w:tcW w:w="709" w:type="dxa"/>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8760</w:t>
            </w:r>
          </w:p>
        </w:tc>
        <w:tc>
          <w:tcPr>
            <w:tcW w:w="709" w:type="dxa"/>
            <w:tcBorders>
              <w:top w:val="single" w:color="auto" w:sz="4" w:space="0"/>
              <w:left w:val="single" w:color="auto" w:sz="4" w:space="0"/>
              <w:bottom w:val="single" w:color="auto" w:sz="4" w:space="0"/>
              <w:right w:val="single" w:color="auto" w:sz="4" w:space="0"/>
            </w:tcBorders>
            <w:vAlign w:val="center"/>
          </w:tcPr>
          <w:p>
            <w:pPr>
              <w:pageBreakBefore w:val="0"/>
              <w:wordWrap/>
              <w:bidi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正常</w:t>
            </w:r>
          </w:p>
        </w:tc>
        <w:tc>
          <w:tcPr>
            <w:tcW w:w="710" w:type="dxa"/>
            <w:tcBorders>
              <w:top w:val="single" w:color="auto" w:sz="4" w:space="0"/>
              <w:left w:val="single" w:color="auto" w:sz="4" w:space="0"/>
              <w:bottom w:val="single" w:color="auto" w:sz="4" w:space="0"/>
              <w:right w:val="single" w:color="auto" w:sz="4" w:space="0"/>
            </w:tcBorders>
            <w:vAlign w:val="center"/>
          </w:tcPr>
          <w:p>
            <w:pPr>
              <w:pageBreakBefore w:val="0"/>
              <w:wordWrap/>
              <w:bidi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0.099</w:t>
            </w:r>
          </w:p>
        </w:tc>
      </w:tr>
    </w:tbl>
    <w:p>
      <w:pPr>
        <w:pStyle w:val="5"/>
        <w:keepNext/>
        <w:keepLines/>
        <w:pageBreakBefore w:val="0"/>
        <w:widowControl w:val="0"/>
        <w:numPr>
          <w:ilvl w:val="2"/>
          <w:numId w:val="0"/>
        </w:numPr>
        <w:kinsoku/>
        <w:wordWrap/>
        <w:overflowPunct/>
        <w:topLinePunct w:val="0"/>
        <w:autoSpaceDE/>
        <w:autoSpaceDN/>
        <w:bidi w:val="0"/>
        <w:adjustRightInd/>
        <w:snapToGrid/>
        <w:ind w:left="0" w:leftChars="0" w:right="0" w:rightChars="0" w:firstLine="0" w:firstLineChars="0"/>
        <w:textAlignment w:val="auto"/>
        <w:rPr>
          <w:rFonts w:hint="default" w:ascii="Times New Roman" w:hAnsi="Times New Roman" w:eastAsia="宋体" w:cs="Times New Roman"/>
          <w:b/>
          <w:bCs/>
          <w:i w:val="0"/>
          <w:iCs w:val="0"/>
          <w:caps w:val="0"/>
          <w:smallCaps w:val="0"/>
          <w:strike w:val="0"/>
          <w:dstrike w:val="0"/>
          <w:vanish w:val="0"/>
          <w:color w:val="auto"/>
          <w:spacing w:val="0"/>
          <w:kern w:val="2"/>
          <w:position w:val="0"/>
          <w:sz w:val="24"/>
          <w:szCs w:val="24"/>
          <w:highlight w:val="none"/>
          <w:u w:val="none"/>
          <w:vertAlign w:val="baseline"/>
          <w:lang w:val="en-US" w:eastAsia="zh-CN" w:bidi="ar-SA"/>
          <w14:shadow w14:blurRad="0" w14:dist="0" w14:dir="0" w14:sx="0" w14:sy="0" w14:kx="0" w14:ky="0" w14:algn="none">
            <w14:srgbClr w14:val="000000"/>
          </w14:shadow>
        </w:rPr>
      </w:pPr>
      <w:bookmarkStart w:id="917" w:name="_Toc29454"/>
      <w:bookmarkStart w:id="918" w:name="_Toc27026"/>
      <w:bookmarkStart w:id="919" w:name="_Toc25529"/>
      <w:r>
        <w:rPr>
          <w:rFonts w:hint="default" w:ascii="Times New Roman" w:hAnsi="Times New Roman" w:eastAsia="宋体" w:cs="Times New Roman"/>
          <w:b/>
          <w:bCs/>
          <w:i w:val="0"/>
          <w:iCs w:val="0"/>
          <w:caps w:val="0"/>
          <w:smallCaps w:val="0"/>
          <w:strike w:val="0"/>
          <w:dstrike w:val="0"/>
          <w:vanish w:val="0"/>
          <w:color w:val="auto"/>
          <w:spacing w:val="0"/>
          <w:kern w:val="2"/>
          <w:position w:val="0"/>
          <w:sz w:val="24"/>
          <w:szCs w:val="24"/>
          <w:highlight w:val="none"/>
          <w:u w:val="none"/>
          <w:vertAlign w:val="baseline"/>
          <w:lang w:val="en-US" w:eastAsia="zh-CN" w:bidi="ar-SA"/>
          <w14:shadow w14:blurRad="0" w14:dist="0" w14:dir="0" w14:sx="0" w14:sy="0" w14:kx="0" w14:ky="0" w14:algn="none">
            <w14:srgbClr w14:val="000000"/>
          </w14:shadow>
        </w:rPr>
        <w:t>7.2.3预测结果</w:t>
      </w:r>
      <w:bookmarkEnd w:id="917"/>
      <w:bookmarkEnd w:id="918"/>
      <w:bookmarkEnd w:id="919"/>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w:t>
      </w:r>
      <w:r>
        <w:rPr>
          <w:rFonts w:hint="default" w:ascii="Times New Roman" w:hAnsi="Times New Roman" w:eastAsia="宋体" w:cs="Times New Roman"/>
          <w:color w:val="auto"/>
          <w:sz w:val="24"/>
          <w:highlight w:val="none"/>
          <w:lang w:eastAsia="zh-CN"/>
        </w:rPr>
        <w:t>环境影响评价技术导则</w:t>
      </w:r>
      <w:r>
        <w:rPr>
          <w:rFonts w:hint="default" w:ascii="Times New Roman" w:hAnsi="Times New Roman" w:eastAsia="宋体" w:cs="Times New Roman"/>
          <w:color w:val="auto"/>
          <w:sz w:val="24"/>
          <w:highlight w:val="none"/>
        </w:rPr>
        <w:t>大气环境》（HJ2.2-2018</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的规定</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预测计算结果见表7-</w:t>
      </w:r>
      <w:r>
        <w:rPr>
          <w:rFonts w:hint="default" w:ascii="Times New Roman" w:hAnsi="Times New Roman" w:eastAsia="宋体" w:cs="Times New Roman"/>
          <w:color w:val="auto"/>
          <w:sz w:val="24"/>
          <w:highlight w:val="none"/>
          <w:lang w:val="en-US" w:eastAsia="zh-CN"/>
        </w:rPr>
        <w:t>7</w:t>
      </w:r>
      <w:r>
        <w:rPr>
          <w:rFonts w:hint="default" w:ascii="Times New Roman" w:hAnsi="Times New Roman" w:eastAsia="宋体" w:cs="Times New Roman"/>
          <w:color w:val="auto"/>
          <w:sz w:val="24"/>
          <w:highlight w:val="none"/>
        </w:rPr>
        <w:t>。</w:t>
      </w:r>
    </w:p>
    <w:p>
      <w:pPr>
        <w:pageBreakBefore w:val="0"/>
        <w:tabs>
          <w:tab w:val="left" w:pos="3062"/>
        </w:tabs>
        <w:wordWrap/>
        <w:bidi w:val="0"/>
        <w:spacing w:line="360" w:lineRule="auto"/>
        <w:ind w:left="0" w:leftChars="0" w:right="0" w:rightChars="0"/>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表7-</w:t>
      </w:r>
      <w:r>
        <w:rPr>
          <w:rFonts w:hint="default" w:ascii="Times New Roman" w:hAnsi="Times New Roman" w:eastAsia="宋体" w:cs="Times New Roman"/>
          <w:b/>
          <w:bCs/>
          <w:color w:val="auto"/>
          <w:sz w:val="24"/>
          <w:highlight w:val="none"/>
          <w:lang w:val="en-US" w:eastAsia="zh-CN"/>
        </w:rPr>
        <w:t>7</w:t>
      </w:r>
      <w:r>
        <w:rPr>
          <w:rFonts w:hint="default" w:ascii="Times New Roman" w:hAnsi="Times New Roman" w:eastAsia="宋体" w:cs="Times New Roman"/>
          <w:b/>
          <w:bCs/>
          <w:color w:val="auto"/>
          <w:sz w:val="24"/>
          <w:highlight w:val="none"/>
        </w:rPr>
        <w:t>尾矿库粉尘估算模型计算结果表</w:t>
      </w:r>
    </w:p>
    <w:tbl>
      <w:tblPr>
        <w:tblStyle w:val="54"/>
        <w:tblW w:w="5000" w:type="pct"/>
        <w:tblInd w:w="108"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74"/>
        <w:gridCol w:w="3478"/>
        <w:gridCol w:w="327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41" w:type="pct"/>
            <w:vMerge w:val="restart"/>
            <w:tcBorders>
              <w:top w:val="single" w:color="auto" w:sz="4" w:space="0"/>
              <w:lef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距离</w:t>
            </w:r>
          </w:p>
          <w:p>
            <w:pPr>
              <w:pageBreakBefore w:val="0"/>
              <w:wordWrap/>
              <w:bidi w:val="0"/>
              <w:spacing w:line="240" w:lineRule="auto"/>
              <w:ind w:left="0" w:leftChars="0" w:right="0" w:right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m</w:t>
            </w:r>
          </w:p>
        </w:tc>
        <w:tc>
          <w:tcPr>
            <w:tcW w:w="3958" w:type="pct"/>
            <w:gridSpan w:val="2"/>
            <w:tcBorders>
              <w:top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TSP</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41" w:type="pct"/>
            <w:vMerge w:val="continue"/>
            <w:tcBorders>
              <w:lef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bCs/>
                <w:color w:val="auto"/>
                <w:sz w:val="21"/>
                <w:szCs w:val="21"/>
                <w:highlight w:val="none"/>
              </w:rPr>
            </w:pPr>
          </w:p>
        </w:tc>
        <w:tc>
          <w:tcPr>
            <w:tcW w:w="204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rPr>
              <w:t>浓度（μg/m</w:t>
            </w:r>
            <w:r>
              <w:rPr>
                <w:rFonts w:hint="default" w:ascii="Times New Roman" w:hAnsi="Times New Roman" w:eastAsia="宋体" w:cs="Times New Roman"/>
                <w:b/>
                <w:bCs/>
                <w:color w:val="auto"/>
                <w:sz w:val="21"/>
                <w:szCs w:val="21"/>
                <w:highlight w:val="none"/>
                <w:vertAlign w:val="superscript"/>
              </w:rPr>
              <w:t>3</w:t>
            </w:r>
            <w:r>
              <w:rPr>
                <w:rFonts w:hint="default" w:ascii="Times New Roman" w:hAnsi="Times New Roman" w:eastAsia="宋体" w:cs="Times New Roman"/>
                <w:b/>
                <w:bCs/>
                <w:color w:val="auto"/>
                <w:sz w:val="21"/>
                <w:szCs w:val="21"/>
                <w:highlight w:val="none"/>
                <w:lang w:eastAsia="zh-CN"/>
              </w:rPr>
              <w:t>）</w:t>
            </w:r>
          </w:p>
        </w:tc>
        <w:tc>
          <w:tcPr>
            <w:tcW w:w="1918" w:type="pct"/>
            <w:tcBorders>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rPr>
              <w:t>占标率（%</w:t>
            </w:r>
            <w:r>
              <w:rPr>
                <w:rFonts w:hint="default" w:ascii="Times New Roman" w:hAnsi="Times New Roman" w:eastAsia="宋体" w:cs="Times New Roman"/>
                <w:b/>
                <w:bCs/>
                <w:color w:val="auto"/>
                <w:sz w:val="21"/>
                <w:szCs w:val="21"/>
                <w:highlight w:val="no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41" w:type="pct"/>
            <w:tcBorders>
              <w:lef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w:t>
            </w:r>
          </w:p>
        </w:tc>
        <w:tc>
          <w:tcPr>
            <w:tcW w:w="204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25.678</w:t>
            </w:r>
          </w:p>
        </w:tc>
        <w:tc>
          <w:tcPr>
            <w:tcW w:w="1918" w:type="pct"/>
            <w:tcBorders>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2.853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41" w:type="pct"/>
            <w:tcBorders>
              <w:lef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100</w:t>
            </w:r>
          </w:p>
        </w:tc>
        <w:tc>
          <w:tcPr>
            <w:tcW w:w="204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29.573</w:t>
            </w:r>
          </w:p>
        </w:tc>
        <w:tc>
          <w:tcPr>
            <w:tcW w:w="1918" w:type="pct"/>
            <w:tcBorders>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3.286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41" w:type="pct"/>
            <w:tcBorders>
              <w:lef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200</w:t>
            </w:r>
          </w:p>
        </w:tc>
        <w:tc>
          <w:tcPr>
            <w:tcW w:w="204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33.91</w:t>
            </w:r>
          </w:p>
        </w:tc>
        <w:tc>
          <w:tcPr>
            <w:tcW w:w="1918" w:type="pct"/>
            <w:tcBorders>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3.768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41" w:type="pct"/>
            <w:tcBorders>
              <w:lef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300</w:t>
            </w:r>
          </w:p>
        </w:tc>
        <w:tc>
          <w:tcPr>
            <w:tcW w:w="204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37.949</w:t>
            </w:r>
          </w:p>
        </w:tc>
        <w:tc>
          <w:tcPr>
            <w:tcW w:w="1918" w:type="pct"/>
            <w:tcBorders>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4.217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41" w:type="pct"/>
            <w:tcBorders>
              <w:lef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400</w:t>
            </w:r>
          </w:p>
        </w:tc>
        <w:tc>
          <w:tcPr>
            <w:tcW w:w="204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41.851</w:t>
            </w:r>
          </w:p>
        </w:tc>
        <w:tc>
          <w:tcPr>
            <w:tcW w:w="1918" w:type="pct"/>
            <w:tcBorders>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4.650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41" w:type="pct"/>
            <w:tcBorders>
              <w:lef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500</w:t>
            </w:r>
          </w:p>
        </w:tc>
        <w:tc>
          <w:tcPr>
            <w:tcW w:w="204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45.848</w:t>
            </w:r>
          </w:p>
        </w:tc>
        <w:tc>
          <w:tcPr>
            <w:tcW w:w="1918" w:type="pct"/>
            <w:tcBorders>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5.094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41" w:type="pct"/>
            <w:tcBorders>
              <w:lef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600</w:t>
            </w:r>
          </w:p>
        </w:tc>
        <w:tc>
          <w:tcPr>
            <w:tcW w:w="204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50.185</w:t>
            </w:r>
          </w:p>
        </w:tc>
        <w:tc>
          <w:tcPr>
            <w:tcW w:w="1918" w:type="pct"/>
            <w:tcBorders>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5.576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41" w:type="pct"/>
            <w:tcBorders>
              <w:lef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700</w:t>
            </w:r>
          </w:p>
        </w:tc>
        <w:tc>
          <w:tcPr>
            <w:tcW w:w="204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54.451</w:t>
            </w:r>
          </w:p>
        </w:tc>
        <w:tc>
          <w:tcPr>
            <w:tcW w:w="1918" w:type="pct"/>
            <w:tcBorders>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6.050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41" w:type="pct"/>
            <w:tcBorders>
              <w:lef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800</w:t>
            </w:r>
          </w:p>
        </w:tc>
        <w:tc>
          <w:tcPr>
            <w:tcW w:w="204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58.794</w:t>
            </w:r>
          </w:p>
        </w:tc>
        <w:tc>
          <w:tcPr>
            <w:tcW w:w="1918" w:type="pct"/>
            <w:tcBorders>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6.533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41" w:type="pct"/>
            <w:tcBorders>
              <w:lef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900</w:t>
            </w:r>
          </w:p>
        </w:tc>
        <w:tc>
          <w:tcPr>
            <w:tcW w:w="204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60.666</w:t>
            </w:r>
          </w:p>
        </w:tc>
        <w:tc>
          <w:tcPr>
            <w:tcW w:w="1918" w:type="pct"/>
            <w:tcBorders>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6.741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41" w:type="pct"/>
            <w:tcBorders>
              <w:lef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1000</w:t>
            </w:r>
          </w:p>
        </w:tc>
        <w:tc>
          <w:tcPr>
            <w:tcW w:w="204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61.374</w:t>
            </w:r>
          </w:p>
        </w:tc>
        <w:tc>
          <w:tcPr>
            <w:tcW w:w="1918" w:type="pct"/>
            <w:tcBorders>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6.819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41" w:type="pct"/>
            <w:tcBorders>
              <w:lef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1095</w:t>
            </w:r>
          </w:p>
        </w:tc>
        <w:tc>
          <w:tcPr>
            <w:tcW w:w="204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61.626</w:t>
            </w:r>
          </w:p>
        </w:tc>
        <w:tc>
          <w:tcPr>
            <w:tcW w:w="1918" w:type="pct"/>
            <w:tcBorders>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6.847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41" w:type="pct"/>
            <w:tcBorders>
              <w:lef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2000</w:t>
            </w:r>
          </w:p>
        </w:tc>
        <w:tc>
          <w:tcPr>
            <w:tcW w:w="2040"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54.154</w:t>
            </w:r>
          </w:p>
        </w:tc>
        <w:tc>
          <w:tcPr>
            <w:tcW w:w="1918" w:type="pct"/>
            <w:tcBorders>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6.017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41" w:type="pct"/>
            <w:tcBorders>
              <w:left w:val="single" w:color="auto" w:sz="4" w:space="0"/>
              <w:bottom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2500</w:t>
            </w:r>
          </w:p>
        </w:tc>
        <w:tc>
          <w:tcPr>
            <w:tcW w:w="2040" w:type="pct"/>
            <w:tcBorders>
              <w:bottom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50.393</w:t>
            </w:r>
          </w:p>
        </w:tc>
        <w:tc>
          <w:tcPr>
            <w:tcW w:w="1918" w:type="pct"/>
            <w:tcBorders>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5.599</w:t>
            </w:r>
          </w:p>
        </w:tc>
      </w:tr>
    </w:tbl>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由上表可知</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TSP无组织最大落地浓度为61.626μg/m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最大占标率为6.847%</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因此</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项目无组织废气厂界浓度可以满足《大气污染物综合排放标准》（GB16297-1996</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表2新污染源大气污染物排放限值中“无组织排放监控浓度限值”。</w:t>
      </w:r>
    </w:p>
    <w:p>
      <w:pPr>
        <w:pStyle w:val="5"/>
        <w:pageBreakBefore w:val="0"/>
        <w:numPr>
          <w:ilvl w:val="2"/>
          <w:numId w:val="0"/>
        </w:numPr>
        <w:wordWrap/>
        <w:bidi w:val="0"/>
        <w:ind w:left="0" w:leftChars="0" w:right="0" w:rightChars="0"/>
        <w:rPr>
          <w:rFonts w:hint="default" w:ascii="Times New Roman" w:hAnsi="Times New Roman" w:eastAsia="宋体" w:cs="Times New Roman"/>
          <w:b/>
          <w:bCs/>
          <w:color w:val="auto"/>
          <w:highlight w:val="none"/>
        </w:rPr>
      </w:pPr>
      <w:bookmarkStart w:id="920" w:name="_Toc8199"/>
      <w:bookmarkStart w:id="921" w:name="_Toc8531"/>
      <w:bookmarkStart w:id="922" w:name="_Toc8758"/>
      <w:r>
        <w:rPr>
          <w:rFonts w:hint="default" w:ascii="Times New Roman" w:hAnsi="Times New Roman" w:eastAsia="宋体" w:cs="Times New Roman"/>
          <w:b/>
          <w:bCs/>
          <w:i w:val="0"/>
          <w:iCs w:val="0"/>
          <w:caps w:val="0"/>
          <w:smallCaps w:val="0"/>
          <w:strike w:val="0"/>
          <w:dstrike w:val="0"/>
          <w:vanish w:val="0"/>
          <w:color w:val="auto"/>
          <w:spacing w:val="0"/>
          <w:kern w:val="2"/>
          <w:position w:val="0"/>
          <w:sz w:val="24"/>
          <w:szCs w:val="24"/>
          <w:highlight w:val="none"/>
          <w:u w:val="none"/>
          <w:vertAlign w:val="baseline"/>
          <w:lang w:val="en-US" w:eastAsia="zh-CN" w:bidi="ar-SA"/>
          <w14:shadow w14:blurRad="0" w14:dist="0" w14:dir="0" w14:sx="0" w14:sy="0" w14:kx="0" w14:ky="0" w14:algn="none">
            <w14:srgbClr w14:val="000000"/>
          </w14:shadow>
        </w:rPr>
        <w:t>7.2.4</w:t>
      </w:r>
      <w:r>
        <w:rPr>
          <w:rFonts w:hint="default" w:ascii="Times New Roman" w:hAnsi="Times New Roman" w:eastAsia="宋体" w:cs="Times New Roman"/>
          <w:b/>
          <w:bCs/>
          <w:color w:val="auto"/>
          <w:highlight w:val="none"/>
        </w:rPr>
        <w:t>污染物排放量核算</w:t>
      </w:r>
      <w:bookmarkEnd w:id="920"/>
      <w:bookmarkEnd w:id="921"/>
      <w:bookmarkEnd w:id="922"/>
    </w:p>
    <w:p>
      <w:pPr>
        <w:pageBreakBefore w:val="0"/>
        <w:wordWrap/>
        <w:bidi w:val="0"/>
        <w:spacing w:line="360" w:lineRule="auto"/>
        <w:ind w:left="0" w:leftChars="0" w:right="0" w:rightChars="0" w:firstLine="480" w:firstLineChars="200"/>
        <w:outlineLvl w:val="0"/>
        <w:rPr>
          <w:rFonts w:hint="default" w:ascii="Times New Roman" w:hAnsi="Times New Roman" w:eastAsia="宋体" w:cs="Times New Roman"/>
          <w:color w:val="auto"/>
          <w:sz w:val="24"/>
          <w:highlight w:val="none"/>
        </w:rPr>
      </w:pPr>
      <w:bookmarkStart w:id="923" w:name="_Toc16255"/>
      <w:bookmarkStart w:id="924" w:name="_Toc15192"/>
      <w:r>
        <w:rPr>
          <w:rFonts w:hint="default" w:ascii="Times New Roman" w:hAnsi="Times New Roman" w:eastAsia="宋体" w:cs="Times New Roman"/>
          <w:color w:val="auto"/>
          <w:sz w:val="24"/>
          <w:highlight w:val="none"/>
        </w:rPr>
        <w:t>（1</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无组织排放量核算</w:t>
      </w:r>
      <w:bookmarkEnd w:id="923"/>
      <w:bookmarkEnd w:id="924"/>
    </w:p>
    <w:p>
      <w:pPr>
        <w:pageBreakBefore w:val="0"/>
        <w:tabs>
          <w:tab w:val="left" w:pos="3062"/>
        </w:tabs>
        <w:wordWrap/>
        <w:bidi w:val="0"/>
        <w:spacing w:line="360" w:lineRule="auto"/>
        <w:ind w:left="0" w:leftChars="0" w:right="0" w:rightChars="0"/>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表7-</w:t>
      </w:r>
      <w:r>
        <w:rPr>
          <w:rFonts w:hint="default" w:ascii="Times New Roman" w:hAnsi="Times New Roman" w:eastAsia="宋体" w:cs="Times New Roman"/>
          <w:b/>
          <w:bCs/>
          <w:color w:val="auto"/>
          <w:sz w:val="24"/>
          <w:highlight w:val="none"/>
          <w:lang w:val="en-US" w:eastAsia="zh-CN"/>
        </w:rPr>
        <w:t>8</w:t>
      </w:r>
      <w:r>
        <w:rPr>
          <w:rFonts w:hint="default" w:ascii="Times New Roman" w:hAnsi="Times New Roman" w:eastAsia="宋体" w:cs="Times New Roman"/>
          <w:b/>
          <w:bCs/>
          <w:color w:val="auto"/>
          <w:sz w:val="24"/>
          <w:highlight w:val="none"/>
        </w:rPr>
        <w:t>大气污染物无组织排放量核算表</w:t>
      </w:r>
    </w:p>
    <w:tbl>
      <w:tblPr>
        <w:tblStyle w:val="54"/>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72"/>
        <w:gridCol w:w="649"/>
        <w:gridCol w:w="530"/>
        <w:gridCol w:w="810"/>
        <w:gridCol w:w="941"/>
        <w:gridCol w:w="2650"/>
        <w:gridCol w:w="1362"/>
        <w:gridCol w:w="110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7" w:type="pct"/>
            <w:vMerge w:val="restart"/>
            <w:tcBorders>
              <w:top w:val="single" w:color="auto" w:sz="4" w:space="0"/>
              <w:lef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序号</w:t>
            </w:r>
          </w:p>
        </w:tc>
        <w:tc>
          <w:tcPr>
            <w:tcW w:w="381" w:type="pct"/>
            <w:vMerge w:val="restart"/>
            <w:tcBorders>
              <w:top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排放口编号</w:t>
            </w:r>
          </w:p>
        </w:tc>
        <w:tc>
          <w:tcPr>
            <w:tcW w:w="311" w:type="pct"/>
            <w:vMerge w:val="restart"/>
            <w:tcBorders>
              <w:top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产污</w:t>
            </w:r>
          </w:p>
          <w:p>
            <w:pPr>
              <w:pageBreakBefore w:val="0"/>
              <w:wordWrap/>
              <w:bidi w:val="0"/>
              <w:spacing w:line="240" w:lineRule="auto"/>
              <w:ind w:left="0" w:leftChars="0" w:right="0" w:rightChars="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环节</w:t>
            </w:r>
          </w:p>
        </w:tc>
        <w:tc>
          <w:tcPr>
            <w:tcW w:w="475" w:type="pct"/>
            <w:vMerge w:val="restart"/>
            <w:tcBorders>
              <w:top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污染物</w:t>
            </w:r>
          </w:p>
        </w:tc>
        <w:tc>
          <w:tcPr>
            <w:tcW w:w="552" w:type="pct"/>
            <w:vMerge w:val="restart"/>
            <w:tcBorders>
              <w:top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主要污染防治措施</w:t>
            </w:r>
          </w:p>
        </w:tc>
        <w:tc>
          <w:tcPr>
            <w:tcW w:w="2354" w:type="pct"/>
            <w:gridSpan w:val="2"/>
            <w:tcBorders>
              <w:top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国家或地方污染物排放标准</w:t>
            </w:r>
          </w:p>
        </w:tc>
        <w:tc>
          <w:tcPr>
            <w:tcW w:w="650" w:type="pct"/>
            <w:vMerge w:val="restart"/>
            <w:tcBorders>
              <w:top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color w:val="auto"/>
                <w:sz w:val="21"/>
                <w:szCs w:val="21"/>
                <w:highlight w:val="none"/>
                <w:lang w:eastAsia="zh-CN"/>
              </w:rPr>
            </w:pPr>
            <w:r>
              <w:rPr>
                <w:rFonts w:hint="default" w:ascii="Times New Roman" w:hAnsi="Times New Roman" w:eastAsia="宋体" w:cs="Times New Roman"/>
                <w:b/>
                <w:color w:val="auto"/>
                <w:sz w:val="21"/>
                <w:szCs w:val="21"/>
                <w:highlight w:val="none"/>
              </w:rPr>
              <w:t>年排放量/（t/a</w:t>
            </w:r>
            <w:r>
              <w:rPr>
                <w:rFonts w:hint="default" w:ascii="Times New Roman" w:hAnsi="Times New Roman" w:eastAsia="宋体" w:cs="Times New Roman"/>
                <w:b/>
                <w:color w:val="auto"/>
                <w:sz w:val="21"/>
                <w:szCs w:val="21"/>
                <w:highlight w:val="no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7" w:type="pct"/>
            <w:vMerge w:val="continue"/>
            <w:tcBorders>
              <w:lef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color w:val="auto"/>
                <w:sz w:val="21"/>
                <w:szCs w:val="21"/>
                <w:highlight w:val="none"/>
              </w:rPr>
            </w:pPr>
          </w:p>
        </w:tc>
        <w:tc>
          <w:tcPr>
            <w:tcW w:w="381" w:type="pct"/>
            <w:vMerge w:val="continue"/>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color w:val="auto"/>
                <w:sz w:val="21"/>
                <w:szCs w:val="21"/>
                <w:highlight w:val="none"/>
              </w:rPr>
            </w:pPr>
          </w:p>
        </w:tc>
        <w:tc>
          <w:tcPr>
            <w:tcW w:w="311" w:type="pct"/>
            <w:vMerge w:val="continue"/>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color w:val="auto"/>
                <w:sz w:val="21"/>
                <w:szCs w:val="21"/>
                <w:highlight w:val="none"/>
              </w:rPr>
            </w:pPr>
          </w:p>
        </w:tc>
        <w:tc>
          <w:tcPr>
            <w:tcW w:w="475" w:type="pct"/>
            <w:vMerge w:val="continue"/>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color w:val="auto"/>
                <w:sz w:val="21"/>
                <w:szCs w:val="21"/>
                <w:highlight w:val="none"/>
              </w:rPr>
            </w:pPr>
          </w:p>
        </w:tc>
        <w:tc>
          <w:tcPr>
            <w:tcW w:w="552" w:type="pct"/>
            <w:vMerge w:val="continue"/>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color w:val="auto"/>
                <w:sz w:val="21"/>
                <w:szCs w:val="21"/>
                <w:highlight w:val="none"/>
              </w:rPr>
            </w:pPr>
          </w:p>
        </w:tc>
        <w:tc>
          <w:tcPr>
            <w:tcW w:w="1555"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标准名称</w:t>
            </w:r>
          </w:p>
        </w:tc>
        <w:tc>
          <w:tcPr>
            <w:tcW w:w="799"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color w:val="auto"/>
                <w:sz w:val="21"/>
                <w:szCs w:val="21"/>
                <w:highlight w:val="none"/>
                <w:lang w:eastAsia="zh-CN"/>
              </w:rPr>
            </w:pPr>
            <w:r>
              <w:rPr>
                <w:rFonts w:hint="default" w:ascii="Times New Roman" w:hAnsi="Times New Roman" w:eastAsia="宋体" w:cs="Times New Roman"/>
                <w:b/>
                <w:color w:val="auto"/>
                <w:sz w:val="21"/>
                <w:szCs w:val="21"/>
                <w:highlight w:val="none"/>
              </w:rPr>
              <w:t>浓度限值/（μg/m</w:t>
            </w:r>
            <w:r>
              <w:rPr>
                <w:rFonts w:hint="default" w:ascii="Times New Roman" w:hAnsi="Times New Roman" w:eastAsia="宋体" w:cs="Times New Roman"/>
                <w:b/>
                <w:color w:val="auto"/>
                <w:sz w:val="21"/>
                <w:szCs w:val="21"/>
                <w:highlight w:val="none"/>
                <w:vertAlign w:val="superscript"/>
              </w:rPr>
              <w:t>3</w:t>
            </w:r>
            <w:r>
              <w:rPr>
                <w:rFonts w:hint="default" w:ascii="Times New Roman" w:hAnsi="Times New Roman" w:eastAsia="宋体" w:cs="Times New Roman"/>
                <w:b/>
                <w:color w:val="auto"/>
                <w:sz w:val="21"/>
                <w:szCs w:val="21"/>
                <w:highlight w:val="none"/>
                <w:lang w:eastAsia="zh-CN"/>
              </w:rPr>
              <w:t>）</w:t>
            </w:r>
          </w:p>
        </w:tc>
        <w:tc>
          <w:tcPr>
            <w:tcW w:w="650" w:type="pct"/>
            <w:vMerge w:val="continue"/>
            <w:tcBorders>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7" w:type="pct"/>
            <w:tcBorders>
              <w:lef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381" w:type="pct"/>
            <w:vAlign w:val="center"/>
          </w:tcPr>
          <w:p>
            <w:pPr>
              <w:pStyle w:val="23"/>
              <w:pageBreakBefore w:val="0"/>
              <w:wordWrap/>
              <w:autoSpaceDE/>
              <w:autoSpaceDN/>
              <w:bidi w:val="0"/>
              <w:spacing w:line="240" w:lineRule="auto"/>
              <w:ind w:left="0" w:leftChars="0" w:right="0" w:rightChars="0" w:firstLine="0" w:firstLineChars="0"/>
              <w:jc w:val="center"/>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lang w:val="en-US"/>
              </w:rPr>
              <w:t>1#</w:t>
            </w:r>
          </w:p>
        </w:tc>
        <w:tc>
          <w:tcPr>
            <w:tcW w:w="311"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尾矿库干滩</w:t>
            </w:r>
          </w:p>
        </w:tc>
        <w:tc>
          <w:tcPr>
            <w:tcW w:w="475" w:type="pct"/>
            <w:vAlign w:val="center"/>
          </w:tcPr>
          <w:p>
            <w:pPr>
              <w:keepNext w:val="0"/>
              <w:keepLines w:val="0"/>
              <w:pageBreakBefore w:val="0"/>
              <w:wordWrap/>
              <w:bidi w:val="0"/>
              <w:adjustRightInd/>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TSP</w:t>
            </w:r>
          </w:p>
        </w:tc>
        <w:tc>
          <w:tcPr>
            <w:tcW w:w="552"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分散放矿</w:t>
            </w:r>
            <w:r>
              <w:rPr>
                <w:rFonts w:hint="default" w:ascii="Times New Roman" w:hAnsi="Times New Roman" w:eastAsia="宋体" w:cs="Times New Roman"/>
                <w:color w:val="auto"/>
                <w:sz w:val="21"/>
                <w:szCs w:val="21"/>
                <w:highlight w:val="none"/>
              </w:rPr>
              <w:t>+洒水</w:t>
            </w:r>
          </w:p>
        </w:tc>
        <w:tc>
          <w:tcPr>
            <w:tcW w:w="1555"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《大气污染物综合排放标准》（GB16297-1996</w:t>
            </w:r>
            <w:r>
              <w:rPr>
                <w:rFonts w:hint="default" w:ascii="Times New Roman" w:hAnsi="Times New Roman" w:eastAsia="宋体" w:cs="Times New Roman"/>
                <w:color w:val="auto"/>
                <w:sz w:val="21"/>
                <w:szCs w:val="21"/>
                <w:highlight w:val="none"/>
                <w:lang w:eastAsia="zh-CN"/>
              </w:rPr>
              <w:t>）</w:t>
            </w:r>
          </w:p>
        </w:tc>
        <w:tc>
          <w:tcPr>
            <w:tcW w:w="799"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w:t>
            </w:r>
          </w:p>
        </w:tc>
        <w:tc>
          <w:tcPr>
            <w:tcW w:w="650" w:type="pct"/>
            <w:tcBorders>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0.867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8"/>
            <w:tcBorders>
              <w:left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无组织排放总计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44" w:type="pct"/>
            <w:gridSpan w:val="4"/>
            <w:tcBorders>
              <w:left w:val="single" w:color="auto" w:sz="4" w:space="0"/>
              <w:bottom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无组织排放总计</w:t>
            </w:r>
          </w:p>
        </w:tc>
        <w:tc>
          <w:tcPr>
            <w:tcW w:w="2906" w:type="pct"/>
            <w:gridSpan w:val="3"/>
            <w:tcBorders>
              <w:bottom w:val="single" w:color="auto" w:sz="4" w:space="0"/>
            </w:tcBorders>
            <w:vAlign w:val="center"/>
          </w:tcPr>
          <w:p>
            <w:pPr>
              <w:keepNext w:val="0"/>
              <w:keepLines w:val="0"/>
              <w:pageBreakBefore w:val="0"/>
              <w:wordWrap/>
              <w:bidi w:val="0"/>
              <w:adjustRightInd/>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TSP</w:t>
            </w:r>
          </w:p>
        </w:tc>
        <w:tc>
          <w:tcPr>
            <w:tcW w:w="650" w:type="pct"/>
            <w:tcBorders>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0.867</w:t>
            </w:r>
          </w:p>
        </w:tc>
      </w:tr>
    </w:tbl>
    <w:p>
      <w:pPr>
        <w:pageBreakBefore w:val="0"/>
        <w:wordWrap/>
        <w:bidi w:val="0"/>
        <w:spacing w:line="360" w:lineRule="auto"/>
        <w:ind w:left="0" w:leftChars="0" w:right="0" w:rightChars="0" w:firstLine="480" w:firstLineChars="200"/>
        <w:outlineLvl w:val="0"/>
        <w:rPr>
          <w:rFonts w:hint="default" w:ascii="Times New Roman" w:hAnsi="Times New Roman" w:eastAsia="宋体" w:cs="Times New Roman"/>
          <w:color w:val="auto"/>
          <w:sz w:val="24"/>
          <w:highlight w:val="none"/>
        </w:rPr>
      </w:pPr>
      <w:bookmarkStart w:id="925" w:name="_Toc10783"/>
      <w:bookmarkStart w:id="926" w:name="_Toc10144"/>
      <w:r>
        <w:rPr>
          <w:rFonts w:hint="default" w:ascii="Times New Roman" w:hAnsi="Times New Roman" w:eastAsia="宋体" w:cs="Times New Roman"/>
          <w:color w:val="auto"/>
          <w:sz w:val="24"/>
          <w:highlight w:val="none"/>
        </w:rPr>
        <w:t>（2</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项目大气污染物年排放量核算</w:t>
      </w:r>
      <w:bookmarkEnd w:id="925"/>
      <w:bookmarkEnd w:id="926"/>
    </w:p>
    <w:p>
      <w:pPr>
        <w:keepNext w:val="0"/>
        <w:keepLines w:val="0"/>
        <w:pageBreakBefore w:val="0"/>
        <w:widowControl w:val="0"/>
        <w:tabs>
          <w:tab w:val="left" w:pos="3062"/>
        </w:tabs>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表7-</w:t>
      </w:r>
      <w:r>
        <w:rPr>
          <w:rFonts w:hint="default" w:ascii="Times New Roman" w:hAnsi="Times New Roman" w:eastAsia="宋体" w:cs="Times New Roman"/>
          <w:b/>
          <w:bCs/>
          <w:color w:val="auto"/>
          <w:sz w:val="24"/>
          <w:highlight w:val="none"/>
          <w:lang w:val="en-US" w:eastAsia="zh-CN"/>
        </w:rPr>
        <w:t>9</w:t>
      </w:r>
      <w:r>
        <w:rPr>
          <w:rFonts w:hint="default" w:ascii="Times New Roman" w:hAnsi="Times New Roman" w:eastAsia="宋体" w:cs="Times New Roman"/>
          <w:b/>
          <w:bCs/>
          <w:color w:val="auto"/>
          <w:sz w:val="24"/>
          <w:highlight w:val="none"/>
        </w:rPr>
        <w:t>大气污染物年排放量核算表</w:t>
      </w:r>
    </w:p>
    <w:tbl>
      <w:tblPr>
        <w:tblStyle w:val="54"/>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79"/>
        <w:gridCol w:w="2234"/>
        <w:gridCol w:w="460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85" w:type="pct"/>
            <w:tcBorders>
              <w:top w:val="single" w:color="auto" w:sz="4" w:space="0"/>
              <w:lef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序号</w:t>
            </w:r>
          </w:p>
        </w:tc>
        <w:tc>
          <w:tcPr>
            <w:tcW w:w="1311" w:type="pct"/>
            <w:tcBorders>
              <w:top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污染物</w:t>
            </w:r>
          </w:p>
        </w:tc>
        <w:tc>
          <w:tcPr>
            <w:tcW w:w="2704" w:type="pct"/>
            <w:tcBorders>
              <w:top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b/>
                <w:color w:val="auto"/>
                <w:sz w:val="21"/>
                <w:szCs w:val="21"/>
                <w:highlight w:val="none"/>
                <w:lang w:eastAsia="zh-CN"/>
              </w:rPr>
            </w:pPr>
            <w:r>
              <w:rPr>
                <w:rFonts w:hint="default" w:ascii="Times New Roman" w:hAnsi="Times New Roman" w:eastAsia="宋体" w:cs="Times New Roman"/>
                <w:b/>
                <w:color w:val="auto"/>
                <w:sz w:val="21"/>
                <w:szCs w:val="21"/>
                <w:highlight w:val="none"/>
              </w:rPr>
              <w:t>年排放量/（t/a</w:t>
            </w:r>
            <w:r>
              <w:rPr>
                <w:rFonts w:hint="default" w:ascii="Times New Roman" w:hAnsi="Times New Roman" w:eastAsia="宋体" w:cs="Times New Roman"/>
                <w:b/>
                <w:color w:val="auto"/>
                <w:sz w:val="21"/>
                <w:szCs w:val="21"/>
                <w:highlight w:val="no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85" w:type="pct"/>
            <w:tcBorders>
              <w:left w:val="single" w:color="auto" w:sz="4" w:space="0"/>
              <w:bottom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1311" w:type="pct"/>
            <w:tcBorders>
              <w:bottom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TSP</w:t>
            </w:r>
          </w:p>
        </w:tc>
        <w:tc>
          <w:tcPr>
            <w:tcW w:w="2704" w:type="pct"/>
            <w:tcBorders>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0.867</w:t>
            </w:r>
          </w:p>
        </w:tc>
      </w:tr>
    </w:tbl>
    <w:p>
      <w:pPr>
        <w:pStyle w:val="5"/>
        <w:pageBreakBefore w:val="0"/>
        <w:numPr>
          <w:ilvl w:val="2"/>
          <w:numId w:val="0"/>
        </w:numPr>
        <w:wordWrap/>
        <w:bidi w:val="0"/>
        <w:ind w:left="0" w:leftChars="0" w:right="0" w:rightChars="0"/>
        <w:outlineLvl w:val="1"/>
        <w:rPr>
          <w:rFonts w:hint="default" w:ascii="Times New Roman" w:hAnsi="Times New Roman" w:eastAsia="宋体" w:cs="Times New Roman"/>
          <w:b/>
          <w:bCs/>
          <w:i w:val="0"/>
          <w:iCs w:val="0"/>
          <w:caps w:val="0"/>
          <w:smallCaps w:val="0"/>
          <w:strike w:val="0"/>
          <w:dstrike w:val="0"/>
          <w:vanish w:val="0"/>
          <w:color w:val="auto"/>
          <w:spacing w:val="0"/>
          <w:kern w:val="2"/>
          <w:position w:val="0"/>
          <w:sz w:val="24"/>
          <w:szCs w:val="24"/>
          <w:highlight w:val="none"/>
          <w:u w:val="none"/>
          <w:vertAlign w:val="baseline"/>
          <w:lang w:val="en-US" w:eastAsia="zh-CN" w:bidi="ar-SA"/>
          <w14:shadow w14:blurRad="0" w14:dist="0" w14:dir="0" w14:sx="0" w14:sy="0" w14:kx="0" w14:ky="0" w14:algn="none">
            <w14:srgbClr w14:val="000000"/>
          </w14:shadow>
        </w:rPr>
      </w:pPr>
      <w:bookmarkStart w:id="927" w:name="_Toc29183"/>
      <w:bookmarkStart w:id="928" w:name="_Toc11925"/>
      <w:bookmarkStart w:id="929" w:name="_Toc25911"/>
      <w:r>
        <w:rPr>
          <w:rFonts w:hint="default" w:ascii="Times New Roman" w:hAnsi="Times New Roman" w:eastAsia="宋体" w:cs="Times New Roman"/>
          <w:b/>
          <w:bCs/>
          <w:i w:val="0"/>
          <w:iCs w:val="0"/>
          <w:caps w:val="0"/>
          <w:smallCaps w:val="0"/>
          <w:strike w:val="0"/>
          <w:dstrike w:val="0"/>
          <w:vanish w:val="0"/>
          <w:color w:val="auto"/>
          <w:spacing w:val="0"/>
          <w:kern w:val="2"/>
          <w:position w:val="0"/>
          <w:sz w:val="24"/>
          <w:szCs w:val="24"/>
          <w:highlight w:val="none"/>
          <w:u w:val="none"/>
          <w:vertAlign w:val="baseline"/>
          <w:lang w:val="en-US" w:eastAsia="zh-CN" w:bidi="ar-SA"/>
          <w14:shadow w14:blurRad="0" w14:dist="0" w14:dir="0" w14:sx="0" w14:sy="0" w14:kx="0" w14:ky="0" w14:algn="none">
            <w14:srgbClr w14:val="000000"/>
          </w14:shadow>
        </w:rPr>
        <w:t>7.2.5大气环境影响评价自查表</w:t>
      </w:r>
      <w:bookmarkEnd w:id="927"/>
      <w:bookmarkEnd w:id="928"/>
      <w:bookmarkEnd w:id="929"/>
    </w:p>
    <w:p>
      <w:pPr>
        <w:pageBreakBefore w:val="0"/>
        <w:tabs>
          <w:tab w:val="left" w:pos="3062"/>
        </w:tabs>
        <w:wordWrap/>
        <w:bidi w:val="0"/>
        <w:spacing w:line="360" w:lineRule="auto"/>
        <w:ind w:left="0" w:leftChars="0" w:right="0" w:rightChars="0"/>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表7-</w:t>
      </w:r>
      <w:r>
        <w:rPr>
          <w:rFonts w:hint="default" w:ascii="Times New Roman" w:hAnsi="Times New Roman" w:eastAsia="宋体" w:cs="Times New Roman"/>
          <w:b/>
          <w:bCs/>
          <w:color w:val="auto"/>
          <w:sz w:val="24"/>
          <w:highlight w:val="none"/>
          <w:lang w:val="en-US" w:eastAsia="zh-CN"/>
        </w:rPr>
        <w:t>10</w:t>
      </w:r>
      <w:r>
        <w:rPr>
          <w:rFonts w:hint="default" w:ascii="Times New Roman" w:hAnsi="Times New Roman" w:eastAsia="宋体" w:cs="Times New Roman"/>
          <w:b/>
          <w:bCs/>
          <w:color w:val="auto"/>
          <w:sz w:val="24"/>
          <w:highlight w:val="none"/>
        </w:rPr>
        <w:t>大气环境影响评价自查表</w:t>
      </w:r>
    </w:p>
    <w:tbl>
      <w:tblPr>
        <w:tblStyle w:val="5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5" w:type="dxa"/>
          <w:left w:w="15" w:type="dxa"/>
          <w:bottom w:w="15" w:type="dxa"/>
          <w:right w:w="15" w:type="dxa"/>
        </w:tblCellMar>
      </w:tblPr>
      <w:tblGrid>
        <w:gridCol w:w="541"/>
        <w:gridCol w:w="894"/>
        <w:gridCol w:w="1067"/>
        <w:gridCol w:w="764"/>
        <w:gridCol w:w="848"/>
        <w:gridCol w:w="541"/>
        <w:gridCol w:w="1359"/>
        <w:gridCol w:w="1193"/>
        <w:gridCol w:w="554"/>
        <w:gridCol w:w="5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trPr>
        <w:tc>
          <w:tcPr>
            <w:tcW w:w="868" w:type="pct"/>
            <w:gridSpan w:val="2"/>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kern w:val="0"/>
                <w:sz w:val="21"/>
                <w:szCs w:val="21"/>
                <w:highlight w:val="none"/>
              </w:rPr>
              <w:t>工作内容</w:t>
            </w:r>
          </w:p>
        </w:tc>
        <w:tc>
          <w:tcPr>
            <w:tcW w:w="4132" w:type="pct"/>
            <w:gridSpan w:val="8"/>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kern w:val="0"/>
                <w:sz w:val="21"/>
                <w:szCs w:val="21"/>
                <w:highlight w:val="none"/>
              </w:rPr>
              <w:t>自查项目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trPr>
        <w:tc>
          <w:tcPr>
            <w:tcW w:w="400" w:type="pct"/>
            <w:vMerge w:val="restar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评价等级与范围</w:t>
            </w:r>
          </w:p>
        </w:tc>
        <w:tc>
          <w:tcPr>
            <w:tcW w:w="468"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评价等级</w:t>
            </w:r>
          </w:p>
        </w:tc>
        <w:tc>
          <w:tcPr>
            <w:tcW w:w="1739" w:type="pct"/>
            <w:gridSpan w:val="4"/>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一级□</w:t>
            </w:r>
          </w:p>
        </w:tc>
        <w:tc>
          <w:tcPr>
            <w:tcW w:w="1565" w:type="pct"/>
            <w:gridSpan w:val="2"/>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二级☑</w:t>
            </w:r>
          </w:p>
        </w:tc>
        <w:tc>
          <w:tcPr>
            <w:tcW w:w="827" w:type="pct"/>
            <w:gridSpan w:val="2"/>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三级</w:t>
            </w:r>
            <w:r>
              <w:rPr>
                <w:rFonts w:hint="default" w:ascii="Times New Roman" w:hAnsi="Times New Roman" w:eastAsia="宋体" w:cs="Times New Roman"/>
                <w:color w:val="auto"/>
                <w:kern w:val="0"/>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trPr>
        <w:tc>
          <w:tcPr>
            <w:tcW w:w="400" w:type="pct"/>
            <w:vMerge w:val="continue"/>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468"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评价范围</w:t>
            </w:r>
          </w:p>
        </w:tc>
        <w:tc>
          <w:tcPr>
            <w:tcW w:w="1739" w:type="pct"/>
            <w:gridSpan w:val="4"/>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边长=50km□</w:t>
            </w:r>
          </w:p>
        </w:tc>
        <w:tc>
          <w:tcPr>
            <w:tcW w:w="1565" w:type="pct"/>
            <w:gridSpan w:val="2"/>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边长=5</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50km□</w:t>
            </w:r>
          </w:p>
        </w:tc>
        <w:tc>
          <w:tcPr>
            <w:tcW w:w="827" w:type="pct"/>
            <w:gridSpan w:val="2"/>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边长=5km</w:t>
            </w:r>
            <w:r>
              <w:rPr>
                <w:rFonts w:hint="default" w:ascii="Times New Roman" w:hAnsi="Times New Roman" w:eastAsia="宋体" w:cs="Times New Roman"/>
                <w:color w:val="auto"/>
                <w:kern w:val="0"/>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trPr>
        <w:tc>
          <w:tcPr>
            <w:tcW w:w="400" w:type="pct"/>
            <w:vMerge w:val="restar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评价因子</w:t>
            </w:r>
          </w:p>
        </w:tc>
        <w:tc>
          <w:tcPr>
            <w:tcW w:w="468"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SO</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+NOx排放量</w:t>
            </w:r>
          </w:p>
        </w:tc>
        <w:tc>
          <w:tcPr>
            <w:tcW w:w="1013" w:type="pct"/>
            <w:gridSpan w:val="2"/>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≥2000t/a□</w:t>
            </w:r>
          </w:p>
        </w:tc>
        <w:tc>
          <w:tcPr>
            <w:tcW w:w="1427" w:type="pct"/>
            <w:gridSpan w:val="3"/>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500</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2000t/a□</w:t>
            </w:r>
          </w:p>
        </w:tc>
        <w:tc>
          <w:tcPr>
            <w:tcW w:w="1691" w:type="pct"/>
            <w:gridSpan w:val="3"/>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&lt;500t/a</w:t>
            </w:r>
            <w:r>
              <w:rPr>
                <w:rFonts w:hint="default" w:ascii="Times New Roman" w:hAnsi="Times New Roman" w:eastAsia="宋体" w:cs="Times New Roman"/>
                <w:color w:val="auto"/>
                <w:kern w:val="0"/>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trPr>
        <w:tc>
          <w:tcPr>
            <w:tcW w:w="400" w:type="pct"/>
            <w:vMerge w:val="continue"/>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468" w:type="pct"/>
            <w:vMerge w:val="restar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评价因子</w:t>
            </w:r>
          </w:p>
        </w:tc>
        <w:tc>
          <w:tcPr>
            <w:tcW w:w="2440" w:type="pct"/>
            <w:gridSpan w:val="5"/>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基本污染物（SO</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、NO</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、PM</w:t>
            </w:r>
            <w:r>
              <w:rPr>
                <w:rFonts w:hint="default" w:ascii="Times New Roman" w:hAnsi="Times New Roman" w:eastAsia="宋体" w:cs="Times New Roman"/>
                <w:color w:val="auto"/>
                <w:sz w:val="21"/>
                <w:szCs w:val="21"/>
                <w:highlight w:val="none"/>
                <w:vertAlign w:val="subscript"/>
              </w:rPr>
              <w:t>10</w:t>
            </w:r>
            <w:r>
              <w:rPr>
                <w:rFonts w:hint="default" w:ascii="Times New Roman" w:hAnsi="Times New Roman" w:eastAsia="宋体" w:cs="Times New Roman"/>
                <w:color w:val="auto"/>
                <w:sz w:val="21"/>
                <w:szCs w:val="21"/>
                <w:highlight w:val="none"/>
              </w:rPr>
              <w:t>、PM</w:t>
            </w:r>
            <w:r>
              <w:rPr>
                <w:rFonts w:hint="default" w:ascii="Times New Roman" w:hAnsi="Times New Roman" w:eastAsia="宋体" w:cs="Times New Roman"/>
                <w:color w:val="auto"/>
                <w:sz w:val="21"/>
                <w:szCs w:val="21"/>
                <w:highlight w:val="none"/>
                <w:vertAlign w:val="subscript"/>
              </w:rPr>
              <w:t>2.5</w:t>
            </w:r>
            <w:r>
              <w:rPr>
                <w:rFonts w:hint="default" w:ascii="Times New Roman" w:hAnsi="Times New Roman" w:eastAsia="宋体" w:cs="Times New Roman"/>
                <w:color w:val="auto"/>
                <w:sz w:val="21"/>
                <w:szCs w:val="21"/>
                <w:highlight w:val="none"/>
              </w:rPr>
              <w:t>、CO、O</w:t>
            </w:r>
            <w:r>
              <w:rPr>
                <w:rFonts w:hint="default" w:ascii="Times New Roman" w:hAnsi="Times New Roman" w:eastAsia="宋体" w:cs="Times New Roman"/>
                <w:color w:val="auto"/>
                <w:sz w:val="21"/>
                <w:szCs w:val="21"/>
                <w:highlight w:val="none"/>
                <w:vertAlign w:val="subscript"/>
              </w:rPr>
              <w:t>3</w:t>
            </w:r>
            <w:r>
              <w:rPr>
                <w:rFonts w:hint="default" w:ascii="Times New Roman" w:hAnsi="Times New Roman" w:eastAsia="宋体" w:cs="Times New Roman"/>
                <w:color w:val="auto"/>
                <w:sz w:val="21"/>
                <w:szCs w:val="21"/>
                <w:highlight w:val="none"/>
                <w:lang w:eastAsia="zh-CN"/>
              </w:rPr>
              <w:t>）</w:t>
            </w:r>
          </w:p>
        </w:tc>
        <w:tc>
          <w:tcPr>
            <w:tcW w:w="1691" w:type="pct"/>
            <w:gridSpan w:val="3"/>
            <w:vAlign w:val="bottom"/>
          </w:tcPr>
          <w:p>
            <w:pPr>
              <w:pageBreakBefore w:val="0"/>
              <w:widowControl/>
              <w:wordWrap/>
              <w:bidi w:val="0"/>
              <w:spacing w:line="240" w:lineRule="auto"/>
              <w:ind w:left="0" w:leftChars="0" w:right="0" w:rightChars="0"/>
              <w:jc w:val="center"/>
              <w:textAlignment w:val="bottom"/>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包括二次PM</w:t>
            </w:r>
            <w:r>
              <w:rPr>
                <w:rFonts w:hint="default" w:ascii="Times New Roman" w:hAnsi="Times New Roman" w:eastAsia="宋体" w:cs="Times New Roman"/>
                <w:color w:val="auto"/>
                <w:sz w:val="21"/>
                <w:szCs w:val="21"/>
                <w:highlight w:val="none"/>
                <w:vertAlign w:val="subscript"/>
              </w:rPr>
              <w:t>2.5</w:t>
            </w:r>
            <w:r>
              <w:rPr>
                <w:rFonts w:hint="default" w:ascii="Times New Roman" w:hAnsi="Times New Roman" w:eastAsia="宋体" w:cs="Times New Roman"/>
                <w:color w:val="auto"/>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trPr>
        <w:tc>
          <w:tcPr>
            <w:tcW w:w="400" w:type="pct"/>
            <w:vMerge w:val="continue"/>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468" w:type="pct"/>
            <w:vMerge w:val="continue"/>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2440" w:type="pct"/>
            <w:gridSpan w:val="5"/>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其他污染物（TSP</w:t>
            </w:r>
            <w:r>
              <w:rPr>
                <w:rFonts w:hint="default" w:ascii="Times New Roman" w:hAnsi="Times New Roman" w:eastAsia="宋体" w:cs="Times New Roman"/>
                <w:color w:val="auto"/>
                <w:sz w:val="21"/>
                <w:szCs w:val="21"/>
                <w:highlight w:val="none"/>
                <w:lang w:eastAsia="zh-CN"/>
              </w:rPr>
              <w:t>）</w:t>
            </w:r>
          </w:p>
        </w:tc>
        <w:tc>
          <w:tcPr>
            <w:tcW w:w="1691" w:type="pct"/>
            <w:gridSpan w:val="3"/>
            <w:vAlign w:val="bottom"/>
          </w:tcPr>
          <w:p>
            <w:pPr>
              <w:pageBreakBefore w:val="0"/>
              <w:widowControl/>
              <w:wordWrap/>
              <w:bidi w:val="0"/>
              <w:spacing w:line="240" w:lineRule="auto"/>
              <w:ind w:left="0" w:leftChars="0" w:right="0" w:rightChars="0"/>
              <w:jc w:val="center"/>
              <w:textAlignment w:val="bottom"/>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不包括二次PM</w:t>
            </w:r>
            <w:r>
              <w:rPr>
                <w:rFonts w:hint="default" w:ascii="Times New Roman" w:hAnsi="Times New Roman" w:eastAsia="宋体" w:cs="Times New Roman"/>
                <w:color w:val="auto"/>
                <w:sz w:val="21"/>
                <w:szCs w:val="21"/>
                <w:highlight w:val="none"/>
                <w:vertAlign w:val="subscript"/>
              </w:rPr>
              <w:t>2.5</w:t>
            </w:r>
            <w:r>
              <w:rPr>
                <w:rFonts w:hint="default" w:ascii="Times New Roman" w:hAnsi="Times New Roman" w:eastAsia="宋体" w:cs="Times New Roman"/>
                <w:color w:val="auto"/>
                <w:kern w:val="0"/>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trPr>
        <w:tc>
          <w:tcPr>
            <w:tcW w:w="400"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评价标准</w:t>
            </w:r>
          </w:p>
        </w:tc>
        <w:tc>
          <w:tcPr>
            <w:tcW w:w="468"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评价标准</w:t>
            </w:r>
          </w:p>
        </w:tc>
        <w:tc>
          <w:tcPr>
            <w:tcW w:w="1456" w:type="pct"/>
            <w:gridSpan w:val="3"/>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国家标准</w:t>
            </w:r>
            <w:r>
              <w:rPr>
                <w:rFonts w:hint="default" w:ascii="Times New Roman" w:hAnsi="Times New Roman" w:eastAsia="宋体" w:cs="Times New Roman"/>
                <w:color w:val="auto"/>
                <w:kern w:val="0"/>
                <w:sz w:val="21"/>
                <w:szCs w:val="21"/>
                <w:highlight w:val="none"/>
              </w:rPr>
              <w:t>☑</w:t>
            </w:r>
          </w:p>
        </w:tc>
        <w:tc>
          <w:tcPr>
            <w:tcW w:w="984" w:type="pct"/>
            <w:gridSpan w:val="2"/>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地方标准□</w:t>
            </w:r>
          </w:p>
        </w:tc>
        <w:tc>
          <w:tcPr>
            <w:tcW w:w="864"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附录D</w:t>
            </w:r>
            <w:r>
              <w:rPr>
                <w:rFonts w:hint="default" w:ascii="Times New Roman" w:hAnsi="Times New Roman" w:eastAsia="宋体" w:cs="Times New Roman"/>
                <w:color w:val="auto"/>
                <w:kern w:val="0"/>
                <w:sz w:val="21"/>
                <w:szCs w:val="21"/>
                <w:highlight w:val="none"/>
              </w:rPr>
              <w:t>□</w:t>
            </w:r>
          </w:p>
        </w:tc>
        <w:tc>
          <w:tcPr>
            <w:tcW w:w="827" w:type="pct"/>
            <w:gridSpan w:val="2"/>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其他标准□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trPr>
        <w:tc>
          <w:tcPr>
            <w:tcW w:w="400" w:type="pct"/>
            <w:vMerge w:val="restar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现状评价</w:t>
            </w:r>
          </w:p>
        </w:tc>
        <w:tc>
          <w:tcPr>
            <w:tcW w:w="468"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评价功能区</w:t>
            </w:r>
          </w:p>
        </w:tc>
        <w:tc>
          <w:tcPr>
            <w:tcW w:w="1739" w:type="pct"/>
            <w:gridSpan w:val="4"/>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一类区□</w:t>
            </w:r>
          </w:p>
        </w:tc>
        <w:tc>
          <w:tcPr>
            <w:tcW w:w="1565" w:type="pct"/>
            <w:gridSpan w:val="2"/>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二类区</w:t>
            </w:r>
            <w:r>
              <w:rPr>
                <w:rFonts w:hint="default" w:ascii="Times New Roman" w:hAnsi="Times New Roman" w:eastAsia="宋体" w:cs="Times New Roman"/>
                <w:color w:val="auto"/>
                <w:kern w:val="0"/>
                <w:sz w:val="21"/>
                <w:szCs w:val="21"/>
                <w:highlight w:val="none"/>
              </w:rPr>
              <w:t>☑</w:t>
            </w:r>
          </w:p>
        </w:tc>
        <w:tc>
          <w:tcPr>
            <w:tcW w:w="827" w:type="pct"/>
            <w:gridSpan w:val="2"/>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一类区和二类区□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trPr>
        <w:tc>
          <w:tcPr>
            <w:tcW w:w="400" w:type="pct"/>
            <w:vMerge w:val="continue"/>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468"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评价基准年</w:t>
            </w:r>
          </w:p>
        </w:tc>
        <w:tc>
          <w:tcPr>
            <w:tcW w:w="4132" w:type="pct"/>
            <w:gridSpan w:val="8"/>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（202</w:t>
            </w:r>
            <w:r>
              <w:rPr>
                <w:rFonts w:hint="default"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trPr>
        <w:tc>
          <w:tcPr>
            <w:tcW w:w="400" w:type="pct"/>
            <w:vMerge w:val="continue"/>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468"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环境空气质量现状调查数据来源</w:t>
            </w:r>
          </w:p>
        </w:tc>
        <w:tc>
          <w:tcPr>
            <w:tcW w:w="1739" w:type="pct"/>
            <w:gridSpan w:val="4"/>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长期例行监测数据☑</w:t>
            </w:r>
          </w:p>
        </w:tc>
        <w:tc>
          <w:tcPr>
            <w:tcW w:w="1565" w:type="pct"/>
            <w:gridSpan w:val="2"/>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主管部门发布的数据</w:t>
            </w:r>
            <w:r>
              <w:rPr>
                <w:rFonts w:hint="default" w:ascii="Times New Roman" w:hAnsi="Times New Roman" w:eastAsia="宋体" w:cs="Times New Roman"/>
                <w:color w:val="auto"/>
                <w:kern w:val="0"/>
                <w:sz w:val="21"/>
                <w:szCs w:val="21"/>
                <w:highlight w:val="none"/>
              </w:rPr>
              <w:t>□</w:t>
            </w:r>
          </w:p>
        </w:tc>
        <w:tc>
          <w:tcPr>
            <w:tcW w:w="827" w:type="pct"/>
            <w:gridSpan w:val="2"/>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现状补充检测</w:t>
            </w:r>
            <w:r>
              <w:rPr>
                <w:rFonts w:hint="default" w:ascii="Times New Roman" w:hAnsi="Times New Roman" w:eastAsia="宋体" w:cs="Times New Roman"/>
                <w:color w:val="auto"/>
                <w:kern w:val="0"/>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trPr>
        <w:tc>
          <w:tcPr>
            <w:tcW w:w="400" w:type="pct"/>
            <w:vMerge w:val="continue"/>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468"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现状评价</w:t>
            </w:r>
          </w:p>
        </w:tc>
        <w:tc>
          <w:tcPr>
            <w:tcW w:w="2440" w:type="pct"/>
            <w:gridSpan w:val="5"/>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达标区☑</w:t>
            </w:r>
          </w:p>
        </w:tc>
        <w:tc>
          <w:tcPr>
            <w:tcW w:w="1691" w:type="pct"/>
            <w:gridSpan w:val="3"/>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不达标区</w:t>
            </w:r>
            <w:r>
              <w:rPr>
                <w:rFonts w:hint="default" w:ascii="Times New Roman" w:hAnsi="Times New Roman" w:eastAsia="宋体" w:cs="Times New Roman"/>
                <w:color w:val="auto"/>
                <w:kern w:val="0"/>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trPr>
        <w:tc>
          <w:tcPr>
            <w:tcW w:w="400" w:type="pct"/>
            <w:vMerge w:val="restar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污染源调查</w:t>
            </w:r>
          </w:p>
        </w:tc>
        <w:tc>
          <w:tcPr>
            <w:tcW w:w="468" w:type="pct"/>
            <w:vMerge w:val="restar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调查内容</w:t>
            </w:r>
          </w:p>
        </w:tc>
        <w:tc>
          <w:tcPr>
            <w:tcW w:w="1456" w:type="pct"/>
            <w:gridSpan w:val="3"/>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本项目正常排放源</w:t>
            </w:r>
            <w:r>
              <w:rPr>
                <w:rFonts w:hint="default" w:ascii="Times New Roman" w:hAnsi="Times New Roman" w:eastAsia="宋体" w:cs="Times New Roman"/>
                <w:color w:val="auto"/>
                <w:kern w:val="0"/>
                <w:sz w:val="21"/>
                <w:szCs w:val="21"/>
                <w:highlight w:val="none"/>
              </w:rPr>
              <w:t>☑</w:t>
            </w:r>
          </w:p>
        </w:tc>
        <w:tc>
          <w:tcPr>
            <w:tcW w:w="984" w:type="pct"/>
            <w:gridSpan w:val="2"/>
            <w:vMerge w:val="restar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拟替代的污染源□</w:t>
            </w:r>
          </w:p>
        </w:tc>
        <w:tc>
          <w:tcPr>
            <w:tcW w:w="864" w:type="pct"/>
            <w:vMerge w:val="restar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其他在建、拟建项目污染源□</w:t>
            </w:r>
          </w:p>
        </w:tc>
        <w:tc>
          <w:tcPr>
            <w:tcW w:w="827" w:type="pct"/>
            <w:gridSpan w:val="2"/>
            <w:vMerge w:val="restar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区域污染源□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trPr>
        <w:tc>
          <w:tcPr>
            <w:tcW w:w="400" w:type="pct"/>
            <w:vMerge w:val="continue"/>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468" w:type="pct"/>
            <w:vMerge w:val="continue"/>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1456" w:type="pct"/>
            <w:gridSpan w:val="3"/>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本项目非正常排放源□</w:t>
            </w:r>
          </w:p>
        </w:tc>
        <w:tc>
          <w:tcPr>
            <w:tcW w:w="984" w:type="pct"/>
            <w:gridSpan w:val="2"/>
            <w:vMerge w:val="continue"/>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864" w:type="pct"/>
            <w:vMerge w:val="continue"/>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827" w:type="pct"/>
            <w:gridSpan w:val="2"/>
            <w:vMerge w:val="continue"/>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trPr>
        <w:tc>
          <w:tcPr>
            <w:tcW w:w="400" w:type="pct"/>
            <w:vMerge w:val="continue"/>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468" w:type="pct"/>
            <w:vMerge w:val="continue"/>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1456" w:type="pct"/>
            <w:gridSpan w:val="3"/>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现有污染源☑</w:t>
            </w:r>
          </w:p>
        </w:tc>
        <w:tc>
          <w:tcPr>
            <w:tcW w:w="984" w:type="pct"/>
            <w:gridSpan w:val="2"/>
            <w:vMerge w:val="continue"/>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864" w:type="pct"/>
            <w:vMerge w:val="continue"/>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827" w:type="pct"/>
            <w:gridSpan w:val="2"/>
            <w:vMerge w:val="continue"/>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trPr>
        <w:tc>
          <w:tcPr>
            <w:tcW w:w="400" w:type="pct"/>
            <w:vMerge w:val="restar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大气环境影响预测与评价</w:t>
            </w:r>
          </w:p>
          <w:p>
            <w:pPr>
              <w:pageBreakBefore w:val="0"/>
              <w:widowControl/>
              <w:wordWrap/>
              <w:bidi w:val="0"/>
              <w:spacing w:line="240" w:lineRule="auto"/>
              <w:ind w:left="0" w:leftChars="0" w:right="0" w:rightChars="0"/>
              <w:textAlignment w:val="bottom"/>
              <w:rPr>
                <w:rFonts w:hint="default" w:ascii="Times New Roman" w:hAnsi="Times New Roman" w:eastAsia="宋体" w:cs="Times New Roman"/>
                <w:color w:val="auto"/>
                <w:sz w:val="21"/>
                <w:szCs w:val="21"/>
                <w:highlight w:val="none"/>
              </w:rPr>
            </w:pPr>
          </w:p>
        </w:tc>
        <w:tc>
          <w:tcPr>
            <w:tcW w:w="468"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预测模型</w:t>
            </w:r>
          </w:p>
        </w:tc>
        <w:tc>
          <w:tcPr>
            <w:tcW w:w="552"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AERMOD□</w:t>
            </w:r>
          </w:p>
        </w:tc>
        <w:tc>
          <w:tcPr>
            <w:tcW w:w="461"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ADMS□</w:t>
            </w:r>
          </w:p>
        </w:tc>
        <w:tc>
          <w:tcPr>
            <w:tcW w:w="726" w:type="pct"/>
            <w:gridSpan w:val="2"/>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AUSTAL2000□</w:t>
            </w:r>
          </w:p>
        </w:tc>
        <w:tc>
          <w:tcPr>
            <w:tcW w:w="701"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EDMS/AEDT□</w:t>
            </w:r>
          </w:p>
        </w:tc>
        <w:tc>
          <w:tcPr>
            <w:tcW w:w="864"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CALPUFF□</w:t>
            </w:r>
          </w:p>
        </w:tc>
        <w:tc>
          <w:tcPr>
            <w:tcW w:w="408"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网格模型□</w:t>
            </w:r>
          </w:p>
        </w:tc>
        <w:tc>
          <w:tcPr>
            <w:tcW w:w="419"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400" w:type="pct"/>
            <w:vMerge w:val="continue"/>
            <w:vAlign w:val="bottom"/>
          </w:tcPr>
          <w:p>
            <w:pPr>
              <w:pageBreakBefore w:val="0"/>
              <w:widowControl/>
              <w:wordWrap/>
              <w:bidi w:val="0"/>
              <w:spacing w:line="240" w:lineRule="auto"/>
              <w:ind w:left="0" w:leftChars="0" w:right="0" w:rightChars="0"/>
              <w:textAlignment w:val="bottom"/>
              <w:rPr>
                <w:rFonts w:hint="default" w:ascii="Times New Roman" w:hAnsi="Times New Roman" w:eastAsia="宋体" w:cs="Times New Roman"/>
                <w:color w:val="auto"/>
                <w:sz w:val="21"/>
                <w:szCs w:val="21"/>
                <w:highlight w:val="none"/>
              </w:rPr>
            </w:pPr>
          </w:p>
        </w:tc>
        <w:tc>
          <w:tcPr>
            <w:tcW w:w="468"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预测范围</w:t>
            </w:r>
          </w:p>
        </w:tc>
        <w:tc>
          <w:tcPr>
            <w:tcW w:w="1739" w:type="pct"/>
            <w:gridSpan w:val="4"/>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边长≥50km□</w:t>
            </w:r>
          </w:p>
        </w:tc>
        <w:tc>
          <w:tcPr>
            <w:tcW w:w="1565" w:type="pct"/>
            <w:gridSpan w:val="2"/>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边长5</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50km□</w:t>
            </w:r>
          </w:p>
        </w:tc>
        <w:tc>
          <w:tcPr>
            <w:tcW w:w="827" w:type="pct"/>
            <w:gridSpan w:val="2"/>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边长=5km☑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trPr>
        <w:tc>
          <w:tcPr>
            <w:tcW w:w="400" w:type="pct"/>
            <w:vMerge w:val="continue"/>
            <w:vAlign w:val="bottom"/>
          </w:tcPr>
          <w:p>
            <w:pPr>
              <w:pageBreakBefore w:val="0"/>
              <w:widowControl/>
              <w:wordWrap/>
              <w:bidi w:val="0"/>
              <w:spacing w:line="240" w:lineRule="auto"/>
              <w:ind w:left="0" w:leftChars="0" w:right="0" w:rightChars="0"/>
              <w:rPr>
                <w:rFonts w:hint="default" w:ascii="Times New Roman" w:hAnsi="Times New Roman" w:eastAsia="宋体" w:cs="Times New Roman"/>
                <w:color w:val="auto"/>
                <w:sz w:val="21"/>
                <w:szCs w:val="21"/>
                <w:highlight w:val="none"/>
              </w:rPr>
            </w:pPr>
          </w:p>
        </w:tc>
        <w:tc>
          <w:tcPr>
            <w:tcW w:w="468" w:type="pct"/>
            <w:vMerge w:val="restar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预测因子</w:t>
            </w:r>
          </w:p>
        </w:tc>
        <w:tc>
          <w:tcPr>
            <w:tcW w:w="2440" w:type="pct"/>
            <w:gridSpan w:val="5"/>
            <w:vMerge w:val="restar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预测因子（TSP</w:t>
            </w:r>
            <w:r>
              <w:rPr>
                <w:rFonts w:hint="default" w:ascii="Times New Roman" w:hAnsi="Times New Roman" w:eastAsia="宋体" w:cs="Times New Roman"/>
                <w:color w:val="auto"/>
                <w:sz w:val="21"/>
                <w:szCs w:val="21"/>
                <w:highlight w:val="none"/>
                <w:lang w:eastAsia="zh-CN"/>
              </w:rPr>
              <w:t>）</w:t>
            </w:r>
          </w:p>
        </w:tc>
        <w:tc>
          <w:tcPr>
            <w:tcW w:w="1691" w:type="pct"/>
            <w:gridSpan w:val="3"/>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包括二次PM2.5□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trPr>
        <w:tc>
          <w:tcPr>
            <w:tcW w:w="400" w:type="pct"/>
            <w:vMerge w:val="continue"/>
            <w:vAlign w:val="bottom"/>
          </w:tcPr>
          <w:p>
            <w:pPr>
              <w:pageBreakBefore w:val="0"/>
              <w:widowControl/>
              <w:wordWrap/>
              <w:bidi w:val="0"/>
              <w:spacing w:line="240" w:lineRule="auto"/>
              <w:ind w:left="0" w:leftChars="0" w:right="0" w:rightChars="0"/>
              <w:rPr>
                <w:rFonts w:hint="default" w:ascii="Times New Roman" w:hAnsi="Times New Roman" w:eastAsia="宋体" w:cs="Times New Roman"/>
                <w:color w:val="auto"/>
                <w:sz w:val="21"/>
                <w:szCs w:val="21"/>
                <w:highlight w:val="none"/>
              </w:rPr>
            </w:pPr>
          </w:p>
        </w:tc>
        <w:tc>
          <w:tcPr>
            <w:tcW w:w="468" w:type="pct"/>
            <w:vMerge w:val="continue"/>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2440" w:type="pct"/>
            <w:gridSpan w:val="5"/>
            <w:vMerge w:val="continue"/>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1691" w:type="pct"/>
            <w:gridSpan w:val="3"/>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不包括二次PM2.5☑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trPr>
        <w:tc>
          <w:tcPr>
            <w:tcW w:w="400" w:type="pct"/>
            <w:vMerge w:val="continue"/>
            <w:vAlign w:val="bottom"/>
          </w:tcPr>
          <w:p>
            <w:pPr>
              <w:pageBreakBefore w:val="0"/>
              <w:widowControl/>
              <w:wordWrap/>
              <w:bidi w:val="0"/>
              <w:spacing w:line="240" w:lineRule="auto"/>
              <w:ind w:left="0" w:leftChars="0" w:right="0" w:rightChars="0"/>
              <w:rPr>
                <w:rFonts w:hint="default" w:ascii="Times New Roman" w:hAnsi="Times New Roman" w:eastAsia="宋体" w:cs="Times New Roman"/>
                <w:color w:val="auto"/>
                <w:sz w:val="21"/>
                <w:szCs w:val="21"/>
                <w:highlight w:val="none"/>
              </w:rPr>
            </w:pPr>
          </w:p>
        </w:tc>
        <w:tc>
          <w:tcPr>
            <w:tcW w:w="468"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正常排放短期浓度贡献值</w:t>
            </w:r>
          </w:p>
        </w:tc>
        <w:tc>
          <w:tcPr>
            <w:tcW w:w="2440" w:type="pct"/>
            <w:gridSpan w:val="5"/>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C本项目最大占标率≤100%☑</w:t>
            </w:r>
          </w:p>
        </w:tc>
        <w:tc>
          <w:tcPr>
            <w:tcW w:w="1691" w:type="pct"/>
            <w:gridSpan w:val="3"/>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C本项目最大占标率&gt;100%□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trPr>
        <w:tc>
          <w:tcPr>
            <w:tcW w:w="400" w:type="pct"/>
            <w:vMerge w:val="continue"/>
            <w:vAlign w:val="bottom"/>
          </w:tcPr>
          <w:p>
            <w:pPr>
              <w:pageBreakBefore w:val="0"/>
              <w:widowControl/>
              <w:wordWrap/>
              <w:bidi w:val="0"/>
              <w:spacing w:line="240" w:lineRule="auto"/>
              <w:ind w:left="0" w:leftChars="0" w:right="0" w:rightChars="0"/>
              <w:rPr>
                <w:rFonts w:hint="default" w:ascii="Times New Roman" w:hAnsi="Times New Roman" w:eastAsia="宋体" w:cs="Times New Roman"/>
                <w:color w:val="auto"/>
                <w:sz w:val="21"/>
                <w:szCs w:val="21"/>
                <w:highlight w:val="none"/>
              </w:rPr>
            </w:pPr>
          </w:p>
        </w:tc>
        <w:tc>
          <w:tcPr>
            <w:tcW w:w="468" w:type="pct"/>
            <w:vMerge w:val="restar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正常排放年均浓度贡献值</w:t>
            </w:r>
          </w:p>
        </w:tc>
        <w:tc>
          <w:tcPr>
            <w:tcW w:w="1013" w:type="pct"/>
            <w:gridSpan w:val="2"/>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一类区</w:t>
            </w:r>
          </w:p>
        </w:tc>
        <w:tc>
          <w:tcPr>
            <w:tcW w:w="1427" w:type="pct"/>
            <w:gridSpan w:val="3"/>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C</w:t>
            </w:r>
            <w:r>
              <w:rPr>
                <w:rStyle w:val="193"/>
                <w:rFonts w:hint="default" w:ascii="Times New Roman" w:hAnsi="Times New Roman" w:eastAsia="宋体" w:cs="Times New Roman"/>
                <w:color w:val="auto"/>
                <w:sz w:val="21"/>
                <w:szCs w:val="21"/>
                <w:highlight w:val="none"/>
              </w:rPr>
              <w:t>本项目</w:t>
            </w:r>
            <w:r>
              <w:rPr>
                <w:rFonts w:hint="default" w:ascii="Times New Roman" w:hAnsi="Times New Roman" w:eastAsia="宋体" w:cs="Times New Roman"/>
                <w:color w:val="auto"/>
                <w:sz w:val="21"/>
                <w:szCs w:val="21"/>
                <w:highlight w:val="none"/>
              </w:rPr>
              <w:t>最大占标率≤10%□</w:t>
            </w:r>
          </w:p>
        </w:tc>
        <w:tc>
          <w:tcPr>
            <w:tcW w:w="1691" w:type="pct"/>
            <w:gridSpan w:val="3"/>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C</w:t>
            </w:r>
            <w:r>
              <w:rPr>
                <w:rStyle w:val="193"/>
                <w:rFonts w:hint="default" w:ascii="Times New Roman" w:hAnsi="Times New Roman" w:eastAsia="宋体" w:cs="Times New Roman"/>
                <w:color w:val="auto"/>
                <w:sz w:val="21"/>
                <w:szCs w:val="21"/>
                <w:highlight w:val="none"/>
              </w:rPr>
              <w:t>本项目</w:t>
            </w:r>
            <w:r>
              <w:rPr>
                <w:rFonts w:hint="default" w:ascii="Times New Roman" w:hAnsi="Times New Roman" w:eastAsia="宋体" w:cs="Times New Roman"/>
                <w:color w:val="auto"/>
                <w:sz w:val="21"/>
                <w:szCs w:val="21"/>
                <w:highlight w:val="none"/>
              </w:rPr>
              <w:t>最大占标率&gt;10%□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trPr>
        <w:tc>
          <w:tcPr>
            <w:tcW w:w="400" w:type="pct"/>
            <w:vMerge w:val="continue"/>
            <w:vAlign w:val="bottom"/>
          </w:tcPr>
          <w:p>
            <w:pPr>
              <w:pageBreakBefore w:val="0"/>
              <w:widowControl/>
              <w:wordWrap/>
              <w:bidi w:val="0"/>
              <w:spacing w:line="240" w:lineRule="auto"/>
              <w:ind w:left="0" w:leftChars="0" w:right="0" w:rightChars="0"/>
              <w:rPr>
                <w:rFonts w:hint="default" w:ascii="Times New Roman" w:hAnsi="Times New Roman" w:eastAsia="宋体" w:cs="Times New Roman"/>
                <w:color w:val="auto"/>
                <w:sz w:val="21"/>
                <w:szCs w:val="21"/>
                <w:highlight w:val="none"/>
              </w:rPr>
            </w:pPr>
          </w:p>
        </w:tc>
        <w:tc>
          <w:tcPr>
            <w:tcW w:w="468" w:type="pct"/>
            <w:vMerge w:val="continue"/>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1013" w:type="pct"/>
            <w:gridSpan w:val="2"/>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二类区</w:t>
            </w:r>
          </w:p>
        </w:tc>
        <w:tc>
          <w:tcPr>
            <w:tcW w:w="1427" w:type="pct"/>
            <w:gridSpan w:val="3"/>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C</w:t>
            </w:r>
            <w:r>
              <w:rPr>
                <w:rStyle w:val="193"/>
                <w:rFonts w:hint="default" w:ascii="Times New Roman" w:hAnsi="Times New Roman" w:eastAsia="宋体" w:cs="Times New Roman"/>
                <w:color w:val="auto"/>
                <w:sz w:val="21"/>
                <w:szCs w:val="21"/>
                <w:highlight w:val="none"/>
              </w:rPr>
              <w:t>本项目</w:t>
            </w:r>
            <w:r>
              <w:rPr>
                <w:rFonts w:hint="default" w:ascii="Times New Roman" w:hAnsi="Times New Roman" w:eastAsia="宋体" w:cs="Times New Roman"/>
                <w:color w:val="auto"/>
                <w:sz w:val="21"/>
                <w:szCs w:val="21"/>
                <w:highlight w:val="none"/>
              </w:rPr>
              <w:t>最大占标率≤30%□</w:t>
            </w:r>
          </w:p>
        </w:tc>
        <w:tc>
          <w:tcPr>
            <w:tcW w:w="1691" w:type="pct"/>
            <w:gridSpan w:val="3"/>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C</w:t>
            </w:r>
            <w:r>
              <w:rPr>
                <w:rStyle w:val="193"/>
                <w:rFonts w:hint="default" w:ascii="Times New Roman" w:hAnsi="Times New Roman" w:eastAsia="宋体" w:cs="Times New Roman"/>
                <w:color w:val="auto"/>
                <w:sz w:val="21"/>
                <w:szCs w:val="21"/>
                <w:highlight w:val="none"/>
              </w:rPr>
              <w:t>本项目</w:t>
            </w:r>
            <w:r>
              <w:rPr>
                <w:rFonts w:hint="default" w:ascii="Times New Roman" w:hAnsi="Times New Roman" w:eastAsia="宋体" w:cs="Times New Roman"/>
                <w:color w:val="auto"/>
                <w:sz w:val="21"/>
                <w:szCs w:val="21"/>
                <w:highlight w:val="none"/>
              </w:rPr>
              <w:t>最大占标率&gt;30%□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trPr>
        <w:tc>
          <w:tcPr>
            <w:tcW w:w="400" w:type="pct"/>
            <w:vMerge w:val="continue"/>
            <w:vAlign w:val="bottom"/>
          </w:tcPr>
          <w:p>
            <w:pPr>
              <w:pageBreakBefore w:val="0"/>
              <w:widowControl/>
              <w:wordWrap/>
              <w:bidi w:val="0"/>
              <w:spacing w:line="240" w:lineRule="auto"/>
              <w:ind w:left="0" w:leftChars="0" w:right="0" w:rightChars="0"/>
              <w:rPr>
                <w:rFonts w:hint="default" w:ascii="Times New Roman" w:hAnsi="Times New Roman" w:eastAsia="宋体" w:cs="Times New Roman"/>
                <w:color w:val="auto"/>
                <w:sz w:val="21"/>
                <w:szCs w:val="21"/>
                <w:highlight w:val="none"/>
              </w:rPr>
            </w:pPr>
          </w:p>
        </w:tc>
        <w:tc>
          <w:tcPr>
            <w:tcW w:w="468" w:type="pct"/>
            <w:vMerge w:val="restar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非正常1h浓度贡献值</w:t>
            </w:r>
          </w:p>
        </w:tc>
        <w:tc>
          <w:tcPr>
            <w:tcW w:w="1456" w:type="pct"/>
            <w:gridSpan w:val="3"/>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非正常持续时长</w:t>
            </w:r>
          </w:p>
        </w:tc>
        <w:tc>
          <w:tcPr>
            <w:tcW w:w="1848" w:type="pct"/>
            <w:gridSpan w:val="3"/>
            <w:vMerge w:val="restar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C</w:t>
            </w:r>
            <w:r>
              <w:rPr>
                <w:rStyle w:val="193"/>
                <w:rFonts w:hint="default" w:ascii="Times New Roman" w:hAnsi="Times New Roman" w:eastAsia="宋体" w:cs="Times New Roman"/>
                <w:color w:val="auto"/>
                <w:sz w:val="21"/>
                <w:szCs w:val="21"/>
                <w:highlight w:val="none"/>
              </w:rPr>
              <w:t>非正常</w:t>
            </w:r>
            <w:r>
              <w:rPr>
                <w:rFonts w:hint="default" w:ascii="Times New Roman" w:hAnsi="Times New Roman" w:eastAsia="宋体" w:cs="Times New Roman"/>
                <w:color w:val="auto"/>
                <w:sz w:val="21"/>
                <w:szCs w:val="21"/>
                <w:highlight w:val="none"/>
              </w:rPr>
              <w:t>占标率≤100%□</w:t>
            </w:r>
          </w:p>
        </w:tc>
        <w:tc>
          <w:tcPr>
            <w:tcW w:w="827" w:type="pct"/>
            <w:gridSpan w:val="2"/>
            <w:vMerge w:val="restar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C</w:t>
            </w:r>
            <w:r>
              <w:rPr>
                <w:rStyle w:val="193"/>
                <w:rFonts w:hint="default" w:ascii="Times New Roman" w:hAnsi="Times New Roman" w:eastAsia="宋体" w:cs="Times New Roman"/>
                <w:color w:val="auto"/>
                <w:sz w:val="21"/>
                <w:szCs w:val="21"/>
                <w:highlight w:val="none"/>
              </w:rPr>
              <w:t>非正常</w:t>
            </w:r>
            <w:r>
              <w:rPr>
                <w:rFonts w:hint="default" w:ascii="Times New Roman" w:hAnsi="Times New Roman" w:eastAsia="宋体" w:cs="Times New Roman"/>
                <w:color w:val="auto"/>
                <w:sz w:val="21"/>
                <w:szCs w:val="21"/>
                <w:highlight w:val="none"/>
              </w:rPr>
              <w:t>占标率&gt;100%□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trPr>
        <w:tc>
          <w:tcPr>
            <w:tcW w:w="400" w:type="pct"/>
            <w:vMerge w:val="continue"/>
            <w:vAlign w:val="bottom"/>
          </w:tcPr>
          <w:p>
            <w:pPr>
              <w:pageBreakBefore w:val="0"/>
              <w:widowControl/>
              <w:wordWrap/>
              <w:bidi w:val="0"/>
              <w:spacing w:line="240" w:lineRule="auto"/>
              <w:ind w:left="0" w:leftChars="0" w:right="0" w:rightChars="0"/>
              <w:rPr>
                <w:rFonts w:hint="default" w:ascii="Times New Roman" w:hAnsi="Times New Roman" w:eastAsia="宋体" w:cs="Times New Roman"/>
                <w:color w:val="auto"/>
                <w:sz w:val="21"/>
                <w:szCs w:val="21"/>
                <w:highlight w:val="none"/>
              </w:rPr>
            </w:pPr>
          </w:p>
        </w:tc>
        <w:tc>
          <w:tcPr>
            <w:tcW w:w="468" w:type="pct"/>
            <w:vMerge w:val="continue"/>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1456" w:type="pct"/>
            <w:gridSpan w:val="3"/>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h</w:t>
            </w:r>
          </w:p>
        </w:tc>
        <w:tc>
          <w:tcPr>
            <w:tcW w:w="1848" w:type="pct"/>
            <w:gridSpan w:val="3"/>
            <w:vMerge w:val="continue"/>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827" w:type="pct"/>
            <w:gridSpan w:val="2"/>
            <w:vMerge w:val="continue"/>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trPr>
        <w:tc>
          <w:tcPr>
            <w:tcW w:w="400" w:type="pct"/>
            <w:vMerge w:val="continue"/>
            <w:vAlign w:val="bottom"/>
          </w:tcPr>
          <w:p>
            <w:pPr>
              <w:pageBreakBefore w:val="0"/>
              <w:widowControl/>
              <w:wordWrap/>
              <w:bidi w:val="0"/>
              <w:spacing w:line="240" w:lineRule="auto"/>
              <w:ind w:left="0" w:leftChars="0" w:right="0" w:rightChars="0"/>
              <w:rPr>
                <w:rFonts w:hint="default" w:ascii="Times New Roman" w:hAnsi="Times New Roman" w:eastAsia="宋体" w:cs="Times New Roman"/>
                <w:color w:val="auto"/>
                <w:sz w:val="21"/>
                <w:szCs w:val="21"/>
                <w:highlight w:val="none"/>
              </w:rPr>
            </w:pPr>
          </w:p>
        </w:tc>
        <w:tc>
          <w:tcPr>
            <w:tcW w:w="468"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保证率日平均浓度和年平均浓度叠加值</w:t>
            </w:r>
          </w:p>
        </w:tc>
        <w:tc>
          <w:tcPr>
            <w:tcW w:w="2440" w:type="pct"/>
            <w:gridSpan w:val="5"/>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C叠加达标□</w:t>
            </w:r>
          </w:p>
        </w:tc>
        <w:tc>
          <w:tcPr>
            <w:tcW w:w="1691" w:type="pct"/>
            <w:gridSpan w:val="3"/>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C叠加不达标□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trPr>
        <w:tc>
          <w:tcPr>
            <w:tcW w:w="400" w:type="pct"/>
            <w:vMerge w:val="continue"/>
            <w:vAlign w:val="bottom"/>
          </w:tcPr>
          <w:p>
            <w:pPr>
              <w:pageBreakBefore w:val="0"/>
              <w:widowControl/>
              <w:wordWrap/>
              <w:bidi w:val="0"/>
              <w:spacing w:line="240" w:lineRule="auto"/>
              <w:ind w:left="0" w:leftChars="0" w:right="0" w:rightChars="0"/>
              <w:rPr>
                <w:rFonts w:hint="default" w:ascii="Times New Roman" w:hAnsi="Times New Roman" w:eastAsia="宋体" w:cs="Times New Roman"/>
                <w:color w:val="auto"/>
                <w:sz w:val="21"/>
                <w:szCs w:val="21"/>
                <w:highlight w:val="none"/>
              </w:rPr>
            </w:pPr>
          </w:p>
        </w:tc>
        <w:tc>
          <w:tcPr>
            <w:tcW w:w="468"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区域环境质量的整体变化情况</w:t>
            </w:r>
          </w:p>
        </w:tc>
        <w:tc>
          <w:tcPr>
            <w:tcW w:w="2440" w:type="pct"/>
            <w:gridSpan w:val="5"/>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k≤-20%□</w:t>
            </w:r>
          </w:p>
        </w:tc>
        <w:tc>
          <w:tcPr>
            <w:tcW w:w="1691" w:type="pct"/>
            <w:gridSpan w:val="3"/>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k&gt;-20%□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trPr>
        <w:tc>
          <w:tcPr>
            <w:tcW w:w="400" w:type="pct"/>
            <w:vMerge w:val="restar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环境监测计划</w:t>
            </w:r>
          </w:p>
        </w:tc>
        <w:tc>
          <w:tcPr>
            <w:tcW w:w="468" w:type="pct"/>
            <w:vMerge w:val="restar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污染源</w:t>
            </w:r>
          </w:p>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监测</w:t>
            </w:r>
          </w:p>
        </w:tc>
        <w:tc>
          <w:tcPr>
            <w:tcW w:w="1739" w:type="pct"/>
            <w:gridSpan w:val="4"/>
            <w:vMerge w:val="restar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监测因子</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（TSP</w:t>
            </w:r>
            <w:r>
              <w:rPr>
                <w:rFonts w:hint="default" w:ascii="Times New Roman" w:hAnsi="Times New Roman" w:eastAsia="宋体" w:cs="Times New Roman"/>
                <w:color w:val="auto"/>
                <w:sz w:val="21"/>
                <w:szCs w:val="21"/>
                <w:highlight w:val="none"/>
                <w:lang w:eastAsia="zh-CN"/>
              </w:rPr>
              <w:t>）</w:t>
            </w:r>
          </w:p>
        </w:tc>
        <w:tc>
          <w:tcPr>
            <w:tcW w:w="1565" w:type="pct"/>
            <w:gridSpan w:val="2"/>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有组织废气监测</w:t>
            </w:r>
            <w:r>
              <w:rPr>
                <w:rFonts w:hint="default" w:ascii="Times New Roman" w:hAnsi="Times New Roman" w:eastAsia="宋体" w:cs="Times New Roman"/>
                <w:color w:val="auto"/>
                <w:kern w:val="0"/>
                <w:sz w:val="21"/>
                <w:szCs w:val="21"/>
                <w:highlight w:val="none"/>
              </w:rPr>
              <w:t>□</w:t>
            </w:r>
          </w:p>
        </w:tc>
        <w:tc>
          <w:tcPr>
            <w:tcW w:w="827" w:type="pct"/>
            <w:gridSpan w:val="2"/>
            <w:vMerge w:val="restar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无监测□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trPr>
        <w:tc>
          <w:tcPr>
            <w:tcW w:w="400" w:type="pct"/>
            <w:vMerge w:val="continue"/>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468" w:type="pct"/>
            <w:vMerge w:val="continue"/>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1739" w:type="pct"/>
            <w:gridSpan w:val="4"/>
            <w:vMerge w:val="continue"/>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1565" w:type="pct"/>
            <w:gridSpan w:val="2"/>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无组织废气监测</w:t>
            </w:r>
            <w:r>
              <w:rPr>
                <w:rFonts w:hint="default" w:ascii="Times New Roman" w:hAnsi="Times New Roman" w:eastAsia="宋体" w:cs="Times New Roman"/>
                <w:color w:val="auto"/>
                <w:kern w:val="0"/>
                <w:sz w:val="21"/>
                <w:szCs w:val="21"/>
                <w:highlight w:val="none"/>
              </w:rPr>
              <w:t>☑</w:t>
            </w:r>
          </w:p>
        </w:tc>
        <w:tc>
          <w:tcPr>
            <w:tcW w:w="827" w:type="pct"/>
            <w:gridSpan w:val="2"/>
            <w:vMerge w:val="continue"/>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trPr>
        <w:tc>
          <w:tcPr>
            <w:tcW w:w="400" w:type="pct"/>
            <w:vMerge w:val="continue"/>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468"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环境质量监测</w:t>
            </w:r>
          </w:p>
        </w:tc>
        <w:tc>
          <w:tcPr>
            <w:tcW w:w="1739" w:type="pct"/>
            <w:gridSpan w:val="4"/>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监测因子</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eastAsia="zh-CN"/>
              </w:rPr>
              <w:t>）</w:t>
            </w:r>
          </w:p>
        </w:tc>
        <w:tc>
          <w:tcPr>
            <w:tcW w:w="1565" w:type="pct"/>
            <w:gridSpan w:val="2"/>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监测点位数（</w:t>
            </w:r>
            <w:r>
              <w:rPr>
                <w:rFonts w:hint="default" w:ascii="Times New Roman" w:hAnsi="Times New Roman" w:eastAsia="宋体" w:cs="Times New Roman"/>
                <w:color w:val="auto"/>
                <w:sz w:val="21"/>
                <w:szCs w:val="21"/>
                <w:highlight w:val="none"/>
                <w:lang w:eastAsia="zh-CN"/>
              </w:rPr>
              <w:t>）</w:t>
            </w:r>
          </w:p>
        </w:tc>
        <w:tc>
          <w:tcPr>
            <w:tcW w:w="827" w:type="pct"/>
            <w:gridSpan w:val="2"/>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无监测□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trPr>
        <w:tc>
          <w:tcPr>
            <w:tcW w:w="400" w:type="pct"/>
            <w:vMerge w:val="restar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评价结论</w:t>
            </w:r>
          </w:p>
        </w:tc>
        <w:tc>
          <w:tcPr>
            <w:tcW w:w="468"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环境影响</w:t>
            </w:r>
          </w:p>
        </w:tc>
        <w:tc>
          <w:tcPr>
            <w:tcW w:w="4132" w:type="pct"/>
            <w:gridSpan w:val="8"/>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可以接受</w:t>
            </w:r>
            <w:r>
              <w:rPr>
                <w:rFonts w:hint="default" w:ascii="Times New Roman" w:hAnsi="Times New Roman" w:eastAsia="宋体" w:cs="Times New Roman"/>
                <w:color w:val="auto"/>
                <w:kern w:val="0"/>
                <w:sz w:val="21"/>
                <w:szCs w:val="21"/>
                <w:highlight w:val="none"/>
              </w:rPr>
              <w:t>☑</w:t>
            </w:r>
            <w:r>
              <w:rPr>
                <w:rFonts w:hint="default" w:ascii="Times New Roman" w:hAnsi="Times New Roman" w:eastAsia="宋体" w:cs="Times New Roman"/>
                <w:color w:val="auto"/>
                <w:sz w:val="21"/>
                <w:szCs w:val="21"/>
                <w:highlight w:val="none"/>
              </w:rPr>
              <w:t>不可以接受□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trPr>
        <w:tc>
          <w:tcPr>
            <w:tcW w:w="400" w:type="pct"/>
            <w:vMerge w:val="continue"/>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468"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大气环境防护距离</w:t>
            </w:r>
          </w:p>
        </w:tc>
        <w:tc>
          <w:tcPr>
            <w:tcW w:w="4132" w:type="pct"/>
            <w:gridSpan w:val="8"/>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距（</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厂界最远（</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trPr>
        <w:tc>
          <w:tcPr>
            <w:tcW w:w="400" w:type="pct"/>
            <w:vMerge w:val="continue"/>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468" w:type="pct"/>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污染源年排放量</w:t>
            </w:r>
          </w:p>
        </w:tc>
        <w:tc>
          <w:tcPr>
            <w:tcW w:w="1456" w:type="pct"/>
            <w:gridSpan w:val="3"/>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SO</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t/a</w:t>
            </w:r>
          </w:p>
        </w:tc>
        <w:tc>
          <w:tcPr>
            <w:tcW w:w="984" w:type="pct"/>
            <w:gridSpan w:val="2"/>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NOx</w:t>
            </w:r>
            <w:r>
              <w:rPr>
                <w:rFonts w:hint="default"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w:t>
            </w:r>
            <w:r>
              <w:rPr>
                <w:rFonts w:hint="default"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t/a</w:t>
            </w:r>
          </w:p>
        </w:tc>
        <w:tc>
          <w:tcPr>
            <w:tcW w:w="864" w:type="pct"/>
            <w:vAlign w:val="center"/>
          </w:tcPr>
          <w:p>
            <w:pPr>
              <w:pageBreakBefore w:val="0"/>
              <w:widowControl/>
              <w:wordWrap/>
              <w:bidi w:val="0"/>
              <w:spacing w:line="240" w:lineRule="auto"/>
              <w:ind w:left="0" w:leftChars="0" w:right="0" w:rightChars="0"/>
              <w:jc w:val="left"/>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颗粒物</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eastAsia="zh-CN"/>
              </w:rPr>
              <w:t>0.867）</w:t>
            </w:r>
            <w:r>
              <w:rPr>
                <w:rFonts w:hint="default" w:ascii="Times New Roman" w:hAnsi="Times New Roman" w:eastAsia="宋体" w:cs="Times New Roman"/>
                <w:color w:val="auto"/>
                <w:sz w:val="21"/>
                <w:szCs w:val="21"/>
                <w:highlight w:val="none"/>
              </w:rPr>
              <w:t>t/a</w:t>
            </w:r>
          </w:p>
        </w:tc>
        <w:tc>
          <w:tcPr>
            <w:tcW w:w="827" w:type="pct"/>
            <w:gridSpan w:val="2"/>
            <w:vAlign w:val="center"/>
          </w:tcPr>
          <w:p>
            <w:pPr>
              <w:pageBreakBefore w:val="0"/>
              <w:widowControl/>
              <w:wordWrap/>
              <w:bidi w:val="0"/>
              <w:spacing w:line="240" w:lineRule="auto"/>
              <w:ind w:left="0" w:leftChars="0" w:right="0" w:right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VOCs</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trPr>
        <w:tc>
          <w:tcPr>
            <w:tcW w:w="5000" w:type="pct"/>
            <w:gridSpan w:val="10"/>
            <w:vAlign w:val="center"/>
          </w:tcPr>
          <w:p>
            <w:pPr>
              <w:pageBreakBefore w:val="0"/>
              <w:widowControl/>
              <w:wordWrap/>
              <w:bidi w:val="0"/>
              <w:spacing w:line="240" w:lineRule="auto"/>
              <w:ind w:left="0" w:leftChars="0" w:right="0" w:rightChars="0"/>
              <w:jc w:val="left"/>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注</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填“√”；“（</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”为内容填写项</w:t>
            </w:r>
          </w:p>
        </w:tc>
      </w:tr>
    </w:tbl>
    <w:p>
      <w:pPr>
        <w:pStyle w:val="4"/>
        <w:pageBreakBefore w:val="0"/>
        <w:widowControl w:val="0"/>
        <w:numPr>
          <w:ilvl w:val="1"/>
          <w:numId w:val="0"/>
        </w:numPr>
        <w:kinsoku/>
        <w:wordWrap/>
        <w:overflowPunct/>
        <w:topLinePunct w:val="0"/>
        <w:autoSpaceDE/>
        <w:autoSpaceDN/>
        <w:bidi w:val="0"/>
        <w:adjustRightInd/>
        <w:snapToGrid/>
        <w:ind w:left="0" w:leftChars="0" w:right="0" w:rightChars="0"/>
        <w:textAlignment w:val="auto"/>
        <w:outlineLvl w:val="2"/>
        <w:rPr>
          <w:rFonts w:hint="default" w:ascii="Times New Roman" w:hAnsi="Times New Roman" w:eastAsia="宋体" w:cs="Times New Roman"/>
          <w:b/>
          <w:bCs w:val="0"/>
          <w:color w:val="auto"/>
          <w:sz w:val="28"/>
          <w:szCs w:val="28"/>
          <w:highlight w:val="none"/>
        </w:rPr>
      </w:pPr>
      <w:bookmarkStart w:id="930" w:name="_Toc17432"/>
      <w:bookmarkStart w:id="931" w:name="_Toc260567938"/>
      <w:bookmarkStart w:id="932" w:name="_Toc118258936"/>
      <w:bookmarkStart w:id="933" w:name="_Toc288306234"/>
      <w:bookmarkStart w:id="934" w:name="_Toc9178"/>
      <w:r>
        <w:rPr>
          <w:rFonts w:hint="default" w:ascii="Times New Roman" w:hAnsi="Times New Roman" w:eastAsia="宋体" w:cs="Times New Roman"/>
          <w:b/>
          <w:bCs w:val="0"/>
          <w:i w:val="0"/>
          <w:color w:val="auto"/>
          <w:kern w:val="2"/>
          <w:sz w:val="28"/>
          <w:szCs w:val="28"/>
          <w:highlight w:val="none"/>
          <w:lang w:val="en-US" w:eastAsia="zh-CN" w:bidi="ar-SA"/>
        </w:rPr>
        <w:t>7.3</w:t>
      </w:r>
      <w:r>
        <w:rPr>
          <w:rFonts w:hint="default" w:ascii="Times New Roman" w:hAnsi="Times New Roman" w:eastAsia="宋体" w:cs="Times New Roman"/>
          <w:b/>
          <w:bCs w:val="0"/>
          <w:color w:val="auto"/>
          <w:sz w:val="28"/>
          <w:szCs w:val="28"/>
          <w:highlight w:val="none"/>
        </w:rPr>
        <w:t>废水排放影响分析</w:t>
      </w:r>
      <w:bookmarkEnd w:id="930"/>
      <w:bookmarkEnd w:id="931"/>
      <w:bookmarkEnd w:id="932"/>
      <w:bookmarkEnd w:id="933"/>
      <w:bookmarkEnd w:id="934"/>
    </w:p>
    <w:p>
      <w:pPr>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highlight w:val="none"/>
        </w:rPr>
        <w:t>尾矿库内的回水通过溢流井、回水管、消力池进入回水池，通过输水管线输送到选矿厂现有高位水池，作为选矿厂生产用水；无新增劳动定员</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无新增生活污水</w:t>
      </w:r>
      <w:r>
        <w:rPr>
          <w:rFonts w:hint="default" w:ascii="Times New Roman" w:hAnsi="Times New Roman" w:eastAsia="宋体" w:cs="Times New Roman"/>
          <w:color w:val="auto"/>
          <w:sz w:val="24"/>
          <w:szCs w:val="24"/>
          <w:highlight w:val="none"/>
        </w:rPr>
        <w:t>。因此本项目不会对地表水环境产生影响。</w:t>
      </w:r>
    </w:p>
    <w:p>
      <w:pPr>
        <w:pStyle w:val="4"/>
        <w:pageBreakBefore w:val="0"/>
        <w:widowControl w:val="0"/>
        <w:numPr>
          <w:ilvl w:val="1"/>
          <w:numId w:val="0"/>
        </w:numPr>
        <w:kinsoku/>
        <w:wordWrap/>
        <w:overflowPunct/>
        <w:topLinePunct w:val="0"/>
        <w:autoSpaceDE/>
        <w:autoSpaceDN/>
        <w:bidi w:val="0"/>
        <w:adjustRightInd/>
        <w:snapToGrid/>
        <w:ind w:left="0" w:leftChars="0" w:right="0" w:rightChars="0"/>
        <w:textAlignment w:val="auto"/>
        <w:outlineLvl w:val="2"/>
        <w:rPr>
          <w:rFonts w:hint="default" w:ascii="Times New Roman" w:hAnsi="Times New Roman" w:eastAsia="宋体" w:cs="Times New Roman"/>
          <w:b/>
          <w:bCs w:val="0"/>
          <w:color w:val="auto"/>
          <w:sz w:val="28"/>
          <w:szCs w:val="28"/>
          <w:highlight w:val="none"/>
        </w:rPr>
      </w:pPr>
      <w:bookmarkStart w:id="935" w:name="_Toc8164"/>
      <w:bookmarkStart w:id="936" w:name="_Toc17819"/>
      <w:r>
        <w:rPr>
          <w:rFonts w:hint="default" w:ascii="Times New Roman" w:hAnsi="Times New Roman" w:eastAsia="宋体" w:cs="Times New Roman"/>
          <w:b/>
          <w:bCs w:val="0"/>
          <w:i w:val="0"/>
          <w:color w:val="auto"/>
          <w:kern w:val="2"/>
          <w:sz w:val="28"/>
          <w:szCs w:val="28"/>
          <w:highlight w:val="none"/>
          <w:lang w:val="en-US" w:eastAsia="zh-CN" w:bidi="ar-SA"/>
        </w:rPr>
        <w:t>7.4</w:t>
      </w:r>
      <w:r>
        <w:rPr>
          <w:rFonts w:hint="default" w:ascii="Times New Roman" w:hAnsi="Times New Roman" w:eastAsia="宋体" w:cs="Times New Roman"/>
          <w:b/>
          <w:bCs w:val="0"/>
          <w:color w:val="auto"/>
          <w:sz w:val="28"/>
          <w:szCs w:val="28"/>
          <w:highlight w:val="none"/>
        </w:rPr>
        <w:t>地下水环境影响分析</w:t>
      </w:r>
      <w:bookmarkEnd w:id="935"/>
      <w:bookmarkEnd w:id="936"/>
    </w:p>
    <w:p>
      <w:pPr>
        <w:pStyle w:val="5"/>
        <w:pageBreakBefore w:val="0"/>
        <w:widowControl w:val="0"/>
        <w:numPr>
          <w:ilvl w:val="2"/>
          <w:numId w:val="0"/>
        </w:numPr>
        <w:kinsoku/>
        <w:wordWrap/>
        <w:overflowPunct/>
        <w:topLinePunct w:val="0"/>
        <w:autoSpaceDE/>
        <w:autoSpaceDN/>
        <w:bidi w:val="0"/>
        <w:adjustRightInd/>
        <w:snapToGrid/>
        <w:ind w:left="0" w:leftChars="0" w:right="0" w:rightChars="0"/>
        <w:textAlignment w:val="auto"/>
        <w:outlineLvl w:val="1"/>
        <w:rPr>
          <w:rFonts w:hint="default" w:ascii="Times New Roman" w:hAnsi="Times New Roman" w:eastAsia="宋体" w:cs="Times New Roman"/>
          <w:b/>
          <w:bCs/>
          <w:color w:val="auto"/>
          <w:sz w:val="24"/>
          <w:szCs w:val="24"/>
          <w:highlight w:val="none"/>
        </w:rPr>
      </w:pPr>
      <w:bookmarkStart w:id="937" w:name="_Toc21095"/>
      <w:bookmarkStart w:id="938" w:name="_Toc4840"/>
      <w:bookmarkStart w:id="939" w:name="_Toc32522"/>
      <w:r>
        <w:rPr>
          <w:rFonts w:hint="default" w:ascii="Times New Roman" w:hAnsi="Times New Roman" w:eastAsia="宋体" w:cs="Times New Roman"/>
          <w:b/>
          <w:bCs/>
          <w:i w:val="0"/>
          <w:iCs w:val="0"/>
          <w:caps w:val="0"/>
          <w:smallCaps w:val="0"/>
          <w:strike w:val="0"/>
          <w:dstrike w:val="0"/>
          <w:vanish w:val="0"/>
          <w:color w:val="auto"/>
          <w:spacing w:val="0"/>
          <w:kern w:val="2"/>
          <w:position w:val="0"/>
          <w:sz w:val="24"/>
          <w:szCs w:val="24"/>
          <w:highlight w:val="none"/>
          <w:u w:val="none"/>
          <w:vertAlign w:val="baseline"/>
          <w:lang w:val="en-US" w:eastAsia="zh-CN" w:bidi="ar-SA"/>
          <w14:shadow w14:blurRad="0" w14:dist="0" w14:dir="0" w14:sx="0" w14:sy="0" w14:kx="0" w14:ky="0" w14:algn="none">
            <w14:srgbClr w14:val="000000"/>
          </w14:shadow>
        </w:rPr>
        <w:t>7.4.1</w:t>
      </w:r>
      <w:r>
        <w:rPr>
          <w:rFonts w:hint="default" w:ascii="Times New Roman" w:hAnsi="Times New Roman" w:eastAsia="宋体" w:cs="Times New Roman"/>
          <w:b/>
          <w:bCs/>
          <w:color w:val="auto"/>
          <w:sz w:val="24"/>
          <w:szCs w:val="24"/>
          <w:highlight w:val="none"/>
        </w:rPr>
        <w:t>地层</w:t>
      </w:r>
      <w:bookmarkEnd w:id="937"/>
      <w:bookmarkEnd w:id="938"/>
      <w:bookmarkEnd w:id="939"/>
    </w:p>
    <w:p>
      <w:pPr>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尾矿库所在区域出露地层有中太古界乌拉山群第二岩段</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新生界第四</w:t>
      </w:r>
      <w:r>
        <w:rPr>
          <w:rFonts w:hint="default" w:ascii="Times New Roman" w:hAnsi="Times New Roman" w:eastAsia="宋体" w:cs="Times New Roman"/>
          <w:color w:val="auto"/>
          <w:sz w:val="24"/>
          <w:szCs w:val="24"/>
          <w:highlight w:val="none"/>
          <w:lang w:eastAsia="zh-CN"/>
        </w:rPr>
        <w:t>系</w:t>
      </w:r>
      <w:r>
        <w:rPr>
          <w:rFonts w:hint="default" w:ascii="Times New Roman" w:hAnsi="Times New Roman" w:eastAsia="宋体" w:cs="Times New Roman"/>
          <w:color w:val="auto"/>
          <w:sz w:val="24"/>
          <w:szCs w:val="24"/>
          <w:highlight w:val="none"/>
        </w:rPr>
        <w:t>全新统。</w:t>
      </w:r>
    </w:p>
    <w:p>
      <w:pPr>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乌拉山群第二岩段</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分布在矿区西北部</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约占矿区面积的五分之一</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岩性为混合岩化角闪斜长片麻岩。混合岩角闪斜长片麻岩</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风化面颜色为灰白色</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新鲜面为深灰-灰黑色</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细粒鳞片花岗变晶结构</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片麻状构造。</w:t>
      </w:r>
    </w:p>
    <w:p>
      <w:pPr>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（2</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第四系全新统（Q</w:t>
      </w:r>
      <w:r>
        <w:rPr>
          <w:rFonts w:hint="default" w:ascii="Times New Roman" w:hAnsi="Times New Roman" w:eastAsia="宋体" w:cs="Times New Roman"/>
          <w:color w:val="auto"/>
          <w:sz w:val="24"/>
          <w:szCs w:val="24"/>
          <w:highlight w:val="none"/>
          <w:vertAlign w:val="subscript"/>
        </w:rPr>
        <w:t>h</w:t>
      </w:r>
      <w:r>
        <w:rPr>
          <w:rFonts w:hint="default" w:ascii="Times New Roman" w:hAnsi="Times New Roman" w:eastAsia="宋体" w:cs="Times New Roman"/>
          <w:color w:val="auto"/>
          <w:sz w:val="24"/>
          <w:szCs w:val="24"/>
          <w:highlight w:val="none"/>
          <w:vertAlign w:val="superscript"/>
        </w:rPr>
        <w:t>al</w:t>
      </w:r>
      <w:r>
        <w:rPr>
          <w:rFonts w:hint="default" w:ascii="Times New Roman" w:hAnsi="Times New Roman" w:eastAsia="宋体" w:cs="Times New Roman"/>
          <w:color w:val="auto"/>
          <w:sz w:val="24"/>
          <w:szCs w:val="24"/>
          <w:highlight w:val="none"/>
        </w:rPr>
        <w:t>、Q</w:t>
      </w:r>
      <w:r>
        <w:rPr>
          <w:rFonts w:hint="default" w:ascii="Times New Roman" w:hAnsi="Times New Roman" w:eastAsia="宋体" w:cs="Times New Roman"/>
          <w:color w:val="auto"/>
          <w:sz w:val="24"/>
          <w:szCs w:val="24"/>
          <w:highlight w:val="none"/>
          <w:vertAlign w:val="subscript"/>
        </w:rPr>
        <w:t>h</w:t>
      </w:r>
      <w:r>
        <w:rPr>
          <w:rFonts w:hint="default" w:ascii="Times New Roman" w:hAnsi="Times New Roman" w:eastAsia="宋体" w:cs="Times New Roman"/>
          <w:color w:val="auto"/>
          <w:sz w:val="24"/>
          <w:szCs w:val="24"/>
          <w:highlight w:val="none"/>
          <w:vertAlign w:val="superscript"/>
        </w:rPr>
        <w:t>eol</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主要分布于勘查区北部及河流沟谷之中</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由砂砾石组成</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砾石成分为角闪斜长片麻岩、闪长岩、花岗伟晶岩等。厚度一般小于10m。</w:t>
      </w:r>
    </w:p>
    <w:p>
      <w:pPr>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（3</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岩浆岩</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矿区所见侵入岩主要为二叠纪不等粒斑状钾长花岗岩、云英化岩斑状钾长花岗岩</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脉岩有花岗斑岩脉</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石英脉。钾长花岗岩为矿区的主要岩石类型</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分布在云英化岩斑状钾长花岗岩的外边</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在含矿区内亦有少量分布</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颜色为肉红色</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斑状结构</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块状构造</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斑晶粒径由2-4mm的半自形-它形钾长石、斜长石、石英及黑云母组成。云英化岩斑状钾长花岗岩位于矿区中部四周为斑状钾长花岗岩环绕</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为矿区的主要赋存部位</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肉红色</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蚀变交代结构、</w:t>
      </w:r>
      <w:r>
        <w:rPr>
          <w:rFonts w:hint="default" w:ascii="Times New Roman" w:hAnsi="Times New Roman" w:eastAsia="宋体" w:cs="Times New Roman"/>
          <w:color w:val="auto"/>
          <w:sz w:val="24"/>
          <w:szCs w:val="24"/>
          <w:highlight w:val="none"/>
          <w:lang w:eastAsia="zh-CN"/>
        </w:rPr>
        <w:t>变异</w:t>
      </w:r>
      <w:r>
        <w:rPr>
          <w:rFonts w:hint="default" w:ascii="Times New Roman" w:hAnsi="Times New Roman" w:eastAsia="宋体" w:cs="Times New Roman"/>
          <w:color w:val="auto"/>
          <w:sz w:val="24"/>
          <w:szCs w:val="24"/>
          <w:highlight w:val="none"/>
        </w:rPr>
        <w:t>的细粒花岗结构。岩石的主要由斜长石、钾长石、石英、黑云母、不透明矿物、副矿物等组成。评价区见两种脉岩</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即花岗斑岩脉、石英脉</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以石英脉分布最广</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数量最多。</w:t>
      </w:r>
    </w:p>
    <w:p>
      <w:pPr>
        <w:pStyle w:val="5"/>
        <w:pageBreakBefore w:val="0"/>
        <w:widowControl w:val="0"/>
        <w:numPr>
          <w:ilvl w:val="2"/>
          <w:numId w:val="0"/>
        </w:numPr>
        <w:kinsoku/>
        <w:wordWrap/>
        <w:overflowPunct/>
        <w:topLinePunct w:val="0"/>
        <w:autoSpaceDE/>
        <w:autoSpaceDN/>
        <w:bidi w:val="0"/>
        <w:adjustRightInd/>
        <w:snapToGrid/>
        <w:ind w:left="0" w:leftChars="0" w:right="0" w:rightChars="0"/>
        <w:textAlignment w:val="auto"/>
        <w:outlineLvl w:val="1"/>
        <w:rPr>
          <w:rFonts w:hint="default" w:ascii="Times New Roman" w:hAnsi="Times New Roman" w:eastAsia="宋体" w:cs="Times New Roman"/>
          <w:b/>
          <w:bCs/>
          <w:color w:val="auto"/>
          <w:sz w:val="24"/>
          <w:szCs w:val="24"/>
          <w:highlight w:val="none"/>
        </w:rPr>
      </w:pPr>
      <w:bookmarkStart w:id="940" w:name="_Toc7361"/>
      <w:bookmarkStart w:id="941" w:name="_Toc3991"/>
      <w:bookmarkStart w:id="942" w:name="_Toc28816"/>
      <w:r>
        <w:rPr>
          <w:rFonts w:hint="default" w:ascii="Times New Roman" w:hAnsi="Times New Roman" w:eastAsia="宋体" w:cs="Times New Roman"/>
          <w:b/>
          <w:bCs/>
          <w:i w:val="0"/>
          <w:iCs w:val="0"/>
          <w:caps w:val="0"/>
          <w:smallCaps w:val="0"/>
          <w:strike w:val="0"/>
          <w:dstrike w:val="0"/>
          <w:vanish w:val="0"/>
          <w:color w:val="auto"/>
          <w:spacing w:val="0"/>
          <w:kern w:val="2"/>
          <w:position w:val="0"/>
          <w:sz w:val="24"/>
          <w:szCs w:val="24"/>
          <w:highlight w:val="none"/>
          <w:u w:val="none"/>
          <w:vertAlign w:val="baseline"/>
          <w:lang w:val="en-US" w:eastAsia="zh-CN" w:bidi="ar-SA"/>
          <w14:shadow w14:blurRad="0" w14:dist="0" w14:dir="0" w14:sx="0" w14:sy="0" w14:kx="0" w14:ky="0" w14:algn="none">
            <w14:srgbClr w14:val="000000"/>
          </w14:shadow>
        </w:rPr>
        <w:t>7.4.2</w:t>
      </w:r>
      <w:r>
        <w:rPr>
          <w:rFonts w:hint="default" w:ascii="Times New Roman" w:hAnsi="Times New Roman" w:eastAsia="宋体" w:cs="Times New Roman"/>
          <w:b/>
          <w:bCs/>
          <w:color w:val="auto"/>
          <w:sz w:val="24"/>
          <w:szCs w:val="24"/>
          <w:highlight w:val="none"/>
        </w:rPr>
        <w:t>区域水文地质条件</w:t>
      </w:r>
      <w:bookmarkEnd w:id="940"/>
      <w:bookmarkEnd w:id="941"/>
      <w:bookmarkEnd w:id="942"/>
    </w:p>
    <w:p>
      <w:pPr>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区域水文地质分区为阴山山地区中低山基岩裂隙水亚区</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根据地下水的分类及其特征</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将本区地下水划分为松散岩类孔隙水和基岩裂隙水区。</w:t>
      </w:r>
    </w:p>
    <w:p>
      <w:pPr>
        <w:pageBreakBefore w:val="0"/>
        <w:widowControl w:val="0"/>
        <w:kinsoku/>
        <w:wordWrap/>
        <w:overflowPunct/>
        <w:topLinePunct w:val="0"/>
        <w:autoSpaceDE/>
        <w:autoSpaceDN/>
        <w:bidi w:val="0"/>
        <w:adjustRightInd/>
        <w:snapToGrid/>
        <w:spacing w:line="360" w:lineRule="auto"/>
        <w:ind w:left="0" w:leftChars="0" w:right="0" w:rightChars="0"/>
        <w:textAlignment w:val="auto"/>
        <w:outlineLvl w:val="2"/>
        <w:rPr>
          <w:rFonts w:hint="default" w:ascii="Times New Roman" w:hAnsi="Times New Roman" w:eastAsia="宋体" w:cs="Times New Roman"/>
          <w:b/>
          <w:bCs/>
          <w:color w:val="auto"/>
          <w:sz w:val="24"/>
          <w:szCs w:val="24"/>
          <w:highlight w:val="none"/>
        </w:rPr>
      </w:pPr>
      <w:bookmarkStart w:id="943" w:name="_Toc7310"/>
      <w:bookmarkStart w:id="944" w:name="_Toc31761"/>
      <w:r>
        <w:rPr>
          <w:rFonts w:hint="default" w:ascii="Times New Roman" w:hAnsi="Times New Roman" w:eastAsia="宋体" w:cs="Times New Roman"/>
          <w:b/>
          <w:bCs/>
          <w:color w:val="auto"/>
          <w:sz w:val="24"/>
          <w:szCs w:val="24"/>
          <w:highlight w:val="none"/>
        </w:rPr>
        <w:t>7.4.2.1松散岩类孔隙水区</w:t>
      </w:r>
      <w:bookmarkEnd w:id="943"/>
      <w:bookmarkEnd w:id="944"/>
    </w:p>
    <w:p>
      <w:pPr>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沟谷冲洪积孔隙潜水含水层</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呈条带状南北向分布于沙德盖沟及项目区东西各3km的更皮庙沟和后梅力更沟间歇性河谷中</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沟谷宽度50-150m</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呈“U”字型</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松散岩类沉积厚度小于10m。含水层岩性为第四系冲洪积砂、砂砾石等</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厚度为1.3-4.0m</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水位埋深1.65-3.8m。河谷含水层颗粒较粗</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分选性差</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渗透性好</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单井涌水量小于100m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/d</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单位涌水量小于1.0L/S.m</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中等富水性。水化学类型为HCO</w:t>
      </w:r>
      <w:r>
        <w:rPr>
          <w:rFonts w:hint="default" w:ascii="Times New Roman" w:hAnsi="Times New Roman" w:eastAsia="宋体" w:cs="Times New Roman"/>
          <w:color w:val="auto"/>
          <w:sz w:val="24"/>
          <w:szCs w:val="24"/>
          <w:highlight w:val="none"/>
          <w:vertAlign w:val="subscript"/>
        </w:rPr>
        <w:t>3</w:t>
      </w:r>
      <w:r>
        <w:rPr>
          <w:rFonts w:hint="default" w:ascii="Times New Roman" w:hAnsi="Times New Roman" w:eastAsia="宋体" w:cs="Times New Roman"/>
          <w:color w:val="auto"/>
          <w:sz w:val="24"/>
          <w:szCs w:val="24"/>
          <w:highlight w:val="none"/>
        </w:rPr>
        <w:t>·SO</w:t>
      </w:r>
      <w:r>
        <w:rPr>
          <w:rFonts w:hint="default" w:ascii="Times New Roman" w:hAnsi="Times New Roman" w:eastAsia="宋体" w:cs="Times New Roman"/>
          <w:color w:val="auto"/>
          <w:sz w:val="24"/>
          <w:szCs w:val="24"/>
          <w:highlight w:val="none"/>
          <w:vertAlign w:val="subscript"/>
        </w:rPr>
        <w:t>4</w:t>
      </w:r>
      <w:r>
        <w:rPr>
          <w:rFonts w:hint="default" w:ascii="Times New Roman" w:hAnsi="Times New Roman" w:eastAsia="宋体" w:cs="Times New Roman"/>
          <w:color w:val="auto"/>
          <w:sz w:val="24"/>
          <w:szCs w:val="24"/>
          <w:highlight w:val="none"/>
        </w:rPr>
        <w:t>--Ca·Mg型水</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水质较为良好</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矿化度一般小于1g/L。</w:t>
      </w:r>
    </w:p>
    <w:p>
      <w:pPr>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区域中部的乌拉山主峰为南北分水岭</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大气降水受地形控制</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呈面流汇入沟谷</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暴雨沟谷可见短暂洪流</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洪水深度小于1.0m</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沟谷断续有地表径流</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流量小于100m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/d</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转换补给沟谷砂砾石含水层。除部分渗入补给底部基岩裂隙水</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大部分沿沟谷由南向北径流排泄</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在出沟口处水位跌落补给山前倾斜平原冲洪积扇</w:t>
      </w:r>
      <w:r>
        <w:rPr>
          <w:rFonts w:hint="default" w:ascii="Times New Roman" w:hAnsi="Times New Roman" w:eastAsia="宋体" w:cs="Times New Roman"/>
          <w:color w:val="auto"/>
          <w:sz w:val="24"/>
          <w:szCs w:val="24"/>
          <w:highlight w:val="none"/>
          <w:lang w:eastAsia="zh-CN"/>
        </w:rPr>
        <w:t>沙砾石层</w:t>
      </w:r>
      <w:r>
        <w:rPr>
          <w:rFonts w:hint="default" w:ascii="Times New Roman" w:hAnsi="Times New Roman" w:eastAsia="宋体" w:cs="Times New Roman"/>
          <w:color w:val="auto"/>
          <w:sz w:val="24"/>
          <w:szCs w:val="24"/>
          <w:highlight w:val="none"/>
        </w:rPr>
        <w:t>潜水</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地下径流出区外和大气蒸发为主要排泄途径。</w:t>
      </w:r>
    </w:p>
    <w:p>
      <w:pPr>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（2</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山前冲洪积倾斜平原孔隙水含水层</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分布于矿区北部沙德盖至台梁村洼地</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即明安川</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东西向分布</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宽度14-26km</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地形东高西低</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标高1200-1115m</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地形坡降0.3%</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第四系沉积厚度约300m</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地表分布薄层风积砂土</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含水层岩性为冲洪积砂砾石</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厚度约50m。隔水层</w:t>
      </w:r>
      <w:r>
        <w:rPr>
          <w:rFonts w:hint="default" w:ascii="Times New Roman" w:hAnsi="Times New Roman" w:eastAsia="宋体" w:cs="Times New Roman"/>
          <w:color w:val="auto"/>
          <w:sz w:val="24"/>
          <w:szCs w:val="24"/>
          <w:highlight w:val="none"/>
          <w:lang w:eastAsia="zh-CN"/>
        </w:rPr>
        <w:t>为湖泊</w:t>
      </w:r>
      <w:r>
        <w:rPr>
          <w:rFonts w:hint="default" w:ascii="Times New Roman" w:hAnsi="Times New Roman" w:eastAsia="宋体" w:cs="Times New Roman"/>
          <w:color w:val="auto"/>
          <w:sz w:val="24"/>
          <w:szCs w:val="24"/>
          <w:highlight w:val="none"/>
        </w:rPr>
        <w:t>沉积的灰色粉质粘土层。单井涌水量1000m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/d左右</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单位涌水量5.0L/S.m</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强富水性。水位埋深大于50m</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水化学类型为HCO</w:t>
      </w:r>
      <w:r>
        <w:rPr>
          <w:rFonts w:hint="default" w:ascii="Times New Roman" w:hAnsi="Times New Roman" w:eastAsia="宋体" w:cs="Times New Roman"/>
          <w:color w:val="auto"/>
          <w:sz w:val="24"/>
          <w:szCs w:val="24"/>
          <w:highlight w:val="none"/>
          <w:vertAlign w:val="subscript"/>
        </w:rPr>
        <w:t>3</w:t>
      </w:r>
      <w:r>
        <w:rPr>
          <w:rFonts w:hint="default" w:ascii="Times New Roman" w:hAnsi="Times New Roman" w:eastAsia="宋体" w:cs="Times New Roman"/>
          <w:color w:val="auto"/>
          <w:sz w:val="24"/>
          <w:szCs w:val="24"/>
          <w:highlight w:val="none"/>
        </w:rPr>
        <w:t>-Na·Ca型水</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矿化度小于1g/L。</w:t>
      </w:r>
    </w:p>
    <w:p>
      <w:pPr>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本区地下水除直接接受大气降水垂直渗入补给外</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还接受南北山区沟谷潜水径流补给。地下水总体由南向北径流</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区域地下水开采主要为农田灌溉开采。</w:t>
      </w:r>
    </w:p>
    <w:p>
      <w:pPr>
        <w:pageBreakBefore w:val="0"/>
        <w:widowControl w:val="0"/>
        <w:kinsoku/>
        <w:wordWrap/>
        <w:overflowPunct/>
        <w:topLinePunct w:val="0"/>
        <w:autoSpaceDE/>
        <w:autoSpaceDN/>
        <w:bidi w:val="0"/>
        <w:adjustRightInd/>
        <w:snapToGrid/>
        <w:spacing w:line="360" w:lineRule="auto"/>
        <w:ind w:left="0" w:leftChars="0" w:right="0" w:rightChars="0"/>
        <w:textAlignment w:val="auto"/>
        <w:outlineLvl w:val="2"/>
        <w:rPr>
          <w:rFonts w:hint="default" w:ascii="Times New Roman" w:hAnsi="Times New Roman" w:eastAsia="宋体" w:cs="Times New Roman"/>
          <w:b/>
          <w:bCs/>
          <w:color w:val="auto"/>
          <w:sz w:val="24"/>
          <w:szCs w:val="24"/>
          <w:highlight w:val="none"/>
        </w:rPr>
      </w:pPr>
      <w:bookmarkStart w:id="945" w:name="_Toc4218"/>
      <w:bookmarkStart w:id="946" w:name="_Toc6722"/>
      <w:r>
        <w:rPr>
          <w:rFonts w:hint="default" w:ascii="Times New Roman" w:hAnsi="Times New Roman" w:eastAsia="宋体" w:cs="Times New Roman"/>
          <w:b/>
          <w:bCs/>
          <w:color w:val="auto"/>
          <w:sz w:val="24"/>
          <w:szCs w:val="24"/>
          <w:highlight w:val="none"/>
        </w:rPr>
        <w:t>7.4.2.2基岩裂隙水区</w:t>
      </w:r>
      <w:bookmarkEnd w:id="945"/>
      <w:bookmarkEnd w:id="946"/>
    </w:p>
    <w:p>
      <w:pPr>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区内出露地层以中太古界乌拉山</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岩</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群（ArW</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黑云角闪斜长片麻岩和二叠纪花岗岩为主</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含水层为风化裂隙水</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局部构造裂隙水。风化裂隙深度一般为37m左右</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沟谷上游可见泉水</w:t>
      </w:r>
      <w:r>
        <w:rPr>
          <w:rFonts w:hint="default" w:ascii="Times New Roman" w:hAnsi="Times New Roman" w:eastAsia="宋体" w:cs="Times New Roman"/>
          <w:color w:val="auto"/>
          <w:sz w:val="24"/>
          <w:szCs w:val="24"/>
          <w:highlight w:val="none"/>
          <w:lang w:eastAsia="zh-CN"/>
        </w:rPr>
        <w:t>出</w:t>
      </w:r>
      <w:r>
        <w:rPr>
          <w:rFonts w:hint="default" w:ascii="Times New Roman" w:hAnsi="Times New Roman" w:eastAsia="宋体" w:cs="Times New Roman"/>
          <w:color w:val="auto"/>
          <w:sz w:val="24"/>
          <w:szCs w:val="24"/>
          <w:highlight w:val="none"/>
        </w:rPr>
        <w:t>露</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片麻岩区泉流量为1.7L/s</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片麻岩区钻孔涌水量0.0237L/s；花岗岩区泉流量为1.08L/s。弱富水性</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地下水水化学类型HCO</w:t>
      </w:r>
      <w:r>
        <w:rPr>
          <w:rFonts w:hint="default" w:ascii="Times New Roman" w:hAnsi="Times New Roman" w:eastAsia="宋体" w:cs="Times New Roman"/>
          <w:color w:val="auto"/>
          <w:sz w:val="24"/>
          <w:szCs w:val="24"/>
          <w:highlight w:val="none"/>
          <w:vertAlign w:val="subscript"/>
        </w:rPr>
        <w:t>3</w:t>
      </w:r>
      <w:r>
        <w:rPr>
          <w:rFonts w:hint="default" w:ascii="Times New Roman" w:hAnsi="Times New Roman" w:eastAsia="宋体" w:cs="Times New Roman"/>
          <w:color w:val="auto"/>
          <w:sz w:val="24"/>
          <w:szCs w:val="24"/>
          <w:highlight w:val="none"/>
        </w:rPr>
        <w:t>—Ca·Mg型</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矿化度0.388g/L。</w:t>
      </w:r>
    </w:p>
    <w:p>
      <w:pPr>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基岩裂隙水主要接受大气降水的渗入补给</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受地形控制由分水岭两侧向南北和地形低洼处径流</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沟谷第四系潜水与基岩接触</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形成互补关系。</w:t>
      </w:r>
    </w:p>
    <w:p>
      <w:pPr>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地下水埋藏深度、水质、水量等都随着所处位置不同而变化</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含水层的特征和富水性详见区域水文地质图（图</w:t>
      </w:r>
      <w:r>
        <w:rPr>
          <w:rFonts w:hint="default" w:ascii="Times New Roman" w:hAnsi="Times New Roman" w:eastAsia="宋体" w:cs="Times New Roman"/>
          <w:color w:val="auto"/>
          <w:sz w:val="24"/>
          <w:szCs w:val="24"/>
          <w:highlight w:val="none"/>
          <w:lang w:val="en-US" w:eastAsia="zh-CN"/>
        </w:rPr>
        <w:t>7</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lang w:eastAsia="zh-CN"/>
        </w:rPr>
        <w:t>）。</w:t>
      </w:r>
    </w:p>
    <w:p>
      <w:pPr>
        <w:pStyle w:val="53"/>
        <w:pageBreakBefore w:val="0"/>
        <w:wordWrap/>
        <w:bidi w:val="0"/>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drawing>
          <wp:inline distT="0" distB="0" distL="0" distR="0">
            <wp:extent cx="5400040" cy="5780405"/>
            <wp:effectExtent l="0" t="0" r="10160" b="10795"/>
            <wp:docPr id="12" name="图片 52" descr="水文地质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52" descr="水文地质图"/>
                    <pic:cNvPicPr>
                      <a:picLocks noChangeAspect="1" noChangeArrowheads="1"/>
                    </pic:cNvPicPr>
                  </pic:nvPicPr>
                  <pic:blipFill>
                    <a:blip r:embed="rId63" cstate="print">
                      <a:extLst>
                        <a:ext uri="{28A0092B-C50C-407E-A947-70E740481C1C}">
                          <a14:useLocalDpi xmlns:a14="http://schemas.microsoft.com/office/drawing/2010/main" val="0"/>
                        </a:ext>
                      </a:extLst>
                    </a:blip>
                    <a:srcRect l="2493" t="4950" r="17436"/>
                    <a:stretch>
                      <a:fillRect/>
                    </a:stretch>
                  </pic:blipFill>
                  <pic:spPr>
                    <a:xfrm>
                      <a:off x="0" y="0"/>
                      <a:ext cx="5400040" cy="5780405"/>
                    </a:xfrm>
                    <a:prstGeom prst="rect">
                      <a:avLst/>
                    </a:prstGeom>
                    <a:noFill/>
                    <a:ln>
                      <a:noFill/>
                    </a:ln>
                    <a:effectLst/>
                  </pic:spPr>
                </pic:pic>
              </a:graphicData>
            </a:graphic>
          </wp:inline>
        </w:drawing>
      </w:r>
    </w:p>
    <w:p>
      <w:pPr>
        <w:pageBreakBefore w:val="0"/>
        <w:widowControl w:val="0"/>
        <w:kinsoku/>
        <w:wordWrap/>
        <w:overflowPunct/>
        <w:topLinePunct w:val="0"/>
        <w:bidi w:val="0"/>
        <w:snapToGrid/>
        <w:spacing w:line="360" w:lineRule="auto"/>
        <w:ind w:left="0" w:leftChars="0" w:right="0" w:rightChars="0" w:firstLine="482" w:firstLineChars="200"/>
        <w:jc w:val="center"/>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图7</w:t>
      </w:r>
      <w:r>
        <w:rPr>
          <w:rFonts w:hint="default" w:ascii="Times New Roman" w:hAnsi="Times New Roman" w:eastAsia="宋体" w:cs="Times New Roman"/>
          <w:b/>
          <w:bCs/>
          <w:color w:val="auto"/>
          <w:sz w:val="24"/>
          <w:szCs w:val="24"/>
          <w:highlight w:val="none"/>
          <w:lang w:val="en-US" w:eastAsia="zh-CN"/>
        </w:rPr>
        <w:t>-4</w:t>
      </w:r>
      <w:r>
        <w:rPr>
          <w:rFonts w:hint="default" w:ascii="Times New Roman" w:hAnsi="Times New Roman" w:eastAsia="宋体" w:cs="Times New Roman"/>
          <w:b/>
          <w:bCs/>
          <w:color w:val="auto"/>
          <w:sz w:val="24"/>
          <w:szCs w:val="24"/>
          <w:highlight w:val="none"/>
        </w:rPr>
        <w:t>区域水文地质图</w:t>
      </w:r>
    </w:p>
    <w:p>
      <w:pPr>
        <w:pageBreakBefore w:val="0"/>
        <w:widowControl w:val="0"/>
        <w:kinsoku/>
        <w:wordWrap/>
        <w:overflowPunct/>
        <w:topLinePunct w:val="0"/>
        <w:bidi w:val="0"/>
        <w:snapToGrid/>
        <w:spacing w:line="360" w:lineRule="auto"/>
        <w:ind w:left="0" w:leftChars="0" w:right="0" w:rightChars="0"/>
        <w:textAlignment w:val="auto"/>
        <w:outlineLvl w:val="2"/>
        <w:rPr>
          <w:rFonts w:hint="default" w:ascii="Times New Roman" w:hAnsi="Times New Roman" w:eastAsia="宋体" w:cs="Times New Roman"/>
          <w:b/>
          <w:bCs/>
          <w:color w:val="auto"/>
          <w:sz w:val="24"/>
          <w:szCs w:val="24"/>
          <w:highlight w:val="none"/>
        </w:rPr>
      </w:pPr>
      <w:bookmarkStart w:id="947" w:name="_Toc13282"/>
      <w:bookmarkStart w:id="948" w:name="_Toc21006"/>
      <w:r>
        <w:rPr>
          <w:rFonts w:hint="default" w:ascii="Times New Roman" w:hAnsi="Times New Roman" w:eastAsia="宋体" w:cs="Times New Roman"/>
          <w:b/>
          <w:bCs/>
          <w:color w:val="auto"/>
          <w:sz w:val="24"/>
          <w:szCs w:val="24"/>
          <w:highlight w:val="none"/>
        </w:rPr>
        <w:t>7.4.2.3区域地下水的补给、径流与排泄</w:t>
      </w:r>
      <w:bookmarkEnd w:id="947"/>
      <w:bookmarkEnd w:id="948"/>
    </w:p>
    <w:p>
      <w:pPr>
        <w:pStyle w:val="53"/>
        <w:pageBreakBefore w:val="0"/>
        <w:widowControl w:val="0"/>
        <w:kinsoku/>
        <w:wordWrap/>
        <w:overflowPunct/>
        <w:topLinePunct w:val="0"/>
        <w:bidi w:val="0"/>
        <w:snapToGrid/>
        <w:spacing w:line="360" w:lineRule="auto"/>
        <w:ind w:left="0" w:leftChars="0" w:right="0" w:rightChars="0" w:firstLine="480" w:firstLineChars="200"/>
        <w:textAlignment w:val="auto"/>
        <w:outlineLvl w:val="0"/>
        <w:rPr>
          <w:rFonts w:hint="default" w:ascii="Times New Roman" w:hAnsi="Times New Roman" w:eastAsia="宋体" w:cs="Times New Roman"/>
          <w:color w:val="auto"/>
          <w:sz w:val="24"/>
          <w:szCs w:val="24"/>
          <w:highlight w:val="none"/>
        </w:rPr>
      </w:pPr>
      <w:bookmarkStart w:id="949" w:name="_Toc10826"/>
      <w:bookmarkStart w:id="950" w:name="_Toc31715"/>
      <w:r>
        <w:rPr>
          <w:rFonts w:hint="default" w:ascii="Times New Roman" w:hAnsi="Times New Roman" w:eastAsia="宋体" w:cs="Times New Roman"/>
          <w:color w:val="auto"/>
          <w:sz w:val="24"/>
          <w:szCs w:val="24"/>
          <w:highlight w:val="none"/>
        </w:rPr>
        <w:t>（1</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区域地下水的补给</w:t>
      </w:r>
      <w:bookmarkEnd w:id="949"/>
      <w:bookmarkEnd w:id="950"/>
    </w:p>
    <w:p>
      <w:pPr>
        <w:pStyle w:val="53"/>
        <w:pageBreakBefore w:val="0"/>
        <w:widowControl w:val="0"/>
        <w:kinsoku/>
        <w:wordWrap/>
        <w:overflowPunct/>
        <w:topLinePunct w:val="0"/>
        <w:bidi w:val="0"/>
        <w:snapToGrid/>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本区域地下水的主要补给来源为大气降水和地下水的迳流补给</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降雨的补给强度一般</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年平均雨量为375mm</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日最大降雨量为109.6mm</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补给时间短。</w:t>
      </w:r>
    </w:p>
    <w:p>
      <w:pPr>
        <w:pStyle w:val="53"/>
        <w:pageBreakBefore w:val="0"/>
        <w:widowControl w:val="0"/>
        <w:kinsoku/>
        <w:wordWrap/>
        <w:overflowPunct/>
        <w:topLinePunct w:val="0"/>
        <w:bidi w:val="0"/>
        <w:snapToGrid/>
        <w:spacing w:line="360" w:lineRule="auto"/>
        <w:ind w:left="0" w:leftChars="0" w:right="0" w:rightChars="0" w:firstLine="480" w:firstLineChars="200"/>
        <w:textAlignment w:val="auto"/>
        <w:outlineLvl w:val="0"/>
        <w:rPr>
          <w:rFonts w:hint="default" w:ascii="Times New Roman" w:hAnsi="Times New Roman" w:eastAsia="宋体" w:cs="Times New Roman"/>
          <w:color w:val="auto"/>
          <w:sz w:val="24"/>
          <w:szCs w:val="24"/>
          <w:highlight w:val="none"/>
        </w:rPr>
      </w:pPr>
      <w:bookmarkStart w:id="951" w:name="_Toc7918"/>
      <w:bookmarkStart w:id="952" w:name="_Toc7633"/>
      <w:r>
        <w:rPr>
          <w:rFonts w:hint="default" w:ascii="Times New Roman" w:hAnsi="Times New Roman" w:eastAsia="宋体" w:cs="Times New Roman"/>
          <w:color w:val="auto"/>
          <w:sz w:val="24"/>
          <w:szCs w:val="24"/>
          <w:highlight w:val="none"/>
        </w:rPr>
        <w:t>（2</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区域地下水的迳流</w:t>
      </w:r>
      <w:bookmarkEnd w:id="951"/>
      <w:bookmarkEnd w:id="952"/>
    </w:p>
    <w:p>
      <w:pPr>
        <w:pStyle w:val="53"/>
        <w:pageBreakBefore w:val="0"/>
        <w:widowControl w:val="0"/>
        <w:kinsoku/>
        <w:wordWrap/>
        <w:overflowPunct/>
        <w:topLinePunct w:val="0"/>
        <w:bidi w:val="0"/>
        <w:snapToGrid/>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第四系冲洪积层潜水含水层主要分布在乌拉山的山间沟谷之中</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砂砾石渗透性能良好</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故地下水迳流畅通</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迳流方向与沟谷走向大体一致</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总体由南向北径流。</w:t>
      </w:r>
    </w:p>
    <w:p>
      <w:pPr>
        <w:pStyle w:val="53"/>
        <w:pageBreakBefore w:val="0"/>
        <w:widowControl w:val="0"/>
        <w:kinsoku/>
        <w:wordWrap/>
        <w:overflowPunct/>
        <w:topLinePunct w:val="0"/>
        <w:bidi w:val="0"/>
        <w:snapToGrid/>
        <w:spacing w:line="360" w:lineRule="auto"/>
        <w:ind w:left="0" w:leftChars="0" w:right="0" w:rightChars="0" w:firstLine="480" w:firstLineChars="200"/>
        <w:textAlignment w:val="auto"/>
        <w:outlineLvl w:val="0"/>
        <w:rPr>
          <w:rFonts w:hint="default" w:ascii="Times New Roman" w:hAnsi="Times New Roman" w:eastAsia="宋体" w:cs="Times New Roman"/>
          <w:color w:val="auto"/>
          <w:sz w:val="24"/>
          <w:szCs w:val="24"/>
          <w:highlight w:val="none"/>
        </w:rPr>
      </w:pPr>
      <w:bookmarkStart w:id="953" w:name="_Toc20757"/>
      <w:bookmarkStart w:id="954" w:name="_Toc22430"/>
      <w:r>
        <w:rPr>
          <w:rFonts w:hint="default" w:ascii="Times New Roman" w:hAnsi="Times New Roman" w:eastAsia="宋体" w:cs="Times New Roman"/>
          <w:color w:val="auto"/>
          <w:sz w:val="24"/>
          <w:szCs w:val="24"/>
          <w:highlight w:val="none"/>
        </w:rPr>
        <w:t>（3</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区域地下水排泄</w:t>
      </w:r>
      <w:bookmarkEnd w:id="953"/>
      <w:bookmarkEnd w:id="954"/>
    </w:p>
    <w:p>
      <w:pPr>
        <w:pStyle w:val="53"/>
        <w:pageBreakBefore w:val="0"/>
        <w:widowControl w:val="0"/>
        <w:kinsoku/>
        <w:wordWrap/>
        <w:overflowPunct/>
        <w:topLinePunct w:val="0"/>
        <w:bidi w:val="0"/>
        <w:snapToGrid/>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本区</w:t>
      </w:r>
      <w:r>
        <w:rPr>
          <w:rFonts w:hint="default" w:ascii="Times New Roman" w:hAnsi="Times New Roman" w:eastAsia="宋体" w:cs="Times New Roman"/>
          <w:color w:val="auto"/>
          <w:sz w:val="24"/>
          <w:szCs w:val="24"/>
          <w:highlight w:val="none"/>
          <w:lang w:eastAsia="zh-CN"/>
        </w:rPr>
        <w:t>属</w:t>
      </w:r>
      <w:r>
        <w:rPr>
          <w:rFonts w:hint="default" w:ascii="Times New Roman" w:hAnsi="Times New Roman" w:eastAsia="宋体" w:cs="Times New Roman"/>
          <w:color w:val="auto"/>
          <w:sz w:val="24"/>
          <w:szCs w:val="24"/>
          <w:highlight w:val="none"/>
        </w:rPr>
        <w:t>半干旱区</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蒸发强度较大</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年最大蒸发量为2636.47mm。因此</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蒸发排泄是本区地下水的主要排泄方式之一。另外</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地下水以迳流的方式排泄于区外。人畜的饮用及工农业用水也是本区地下水的排泄方式之一。</w:t>
      </w:r>
    </w:p>
    <w:p>
      <w:pPr>
        <w:pStyle w:val="5"/>
        <w:pageBreakBefore w:val="0"/>
        <w:widowControl w:val="0"/>
        <w:numPr>
          <w:ilvl w:val="2"/>
          <w:numId w:val="0"/>
        </w:numPr>
        <w:kinsoku/>
        <w:wordWrap/>
        <w:overflowPunct/>
        <w:topLinePunct w:val="0"/>
        <w:bidi w:val="0"/>
        <w:snapToGrid/>
        <w:spacing w:line="360" w:lineRule="auto"/>
        <w:ind w:left="0" w:leftChars="0" w:right="0" w:rightChars="0"/>
        <w:textAlignment w:val="auto"/>
        <w:outlineLvl w:val="1"/>
        <w:rPr>
          <w:rFonts w:hint="default" w:ascii="Times New Roman" w:hAnsi="Times New Roman" w:eastAsia="宋体" w:cs="Times New Roman"/>
          <w:b/>
          <w:bCs/>
          <w:color w:val="auto"/>
          <w:sz w:val="28"/>
          <w:szCs w:val="28"/>
          <w:highlight w:val="none"/>
        </w:rPr>
      </w:pPr>
      <w:bookmarkStart w:id="955" w:name="_Toc12720"/>
      <w:bookmarkStart w:id="956" w:name="_Toc32200"/>
      <w:bookmarkStart w:id="957" w:name="_Toc5552"/>
      <w:r>
        <w:rPr>
          <w:rFonts w:hint="default" w:ascii="Times New Roman" w:hAnsi="Times New Roman" w:eastAsia="宋体" w:cs="Times New Roman"/>
          <w:b/>
          <w:bCs/>
          <w:i w:val="0"/>
          <w:iCs w:val="0"/>
          <w:caps w:val="0"/>
          <w:smallCaps w:val="0"/>
          <w:strike w:val="0"/>
          <w:dstrike w:val="0"/>
          <w:vanish w:val="0"/>
          <w:color w:val="auto"/>
          <w:spacing w:val="0"/>
          <w:kern w:val="2"/>
          <w:position w:val="0"/>
          <w:sz w:val="28"/>
          <w:szCs w:val="28"/>
          <w:highlight w:val="none"/>
          <w:u w:val="none"/>
          <w:vertAlign w:val="baseline"/>
          <w:lang w:val="en-US" w:eastAsia="zh-CN" w:bidi="ar-SA"/>
          <w14:shadow w14:blurRad="0" w14:dist="0" w14:dir="0" w14:sx="0" w14:sy="0" w14:kx="0" w14:ky="0" w14:algn="none">
            <w14:srgbClr w14:val="000000"/>
          </w14:shadow>
        </w:rPr>
        <w:t>7.4.3</w:t>
      </w:r>
      <w:r>
        <w:rPr>
          <w:rFonts w:hint="default" w:ascii="Times New Roman" w:hAnsi="Times New Roman" w:eastAsia="宋体" w:cs="Times New Roman"/>
          <w:b/>
          <w:bCs/>
          <w:color w:val="auto"/>
          <w:sz w:val="28"/>
          <w:szCs w:val="28"/>
          <w:highlight w:val="none"/>
        </w:rPr>
        <w:t>评价区水文地质条件</w:t>
      </w:r>
      <w:bookmarkEnd w:id="955"/>
      <w:bookmarkEnd w:id="956"/>
      <w:bookmarkEnd w:id="957"/>
    </w:p>
    <w:p>
      <w:pPr>
        <w:pageBreakBefore w:val="0"/>
        <w:widowControl w:val="0"/>
        <w:kinsoku/>
        <w:wordWrap/>
        <w:overflowPunct/>
        <w:topLinePunct w:val="0"/>
        <w:autoSpaceDE w:val="0"/>
        <w:autoSpaceDN w:val="0"/>
        <w:bidi w:val="0"/>
        <w:adjustRightInd w:val="0"/>
        <w:snapToGrid/>
        <w:spacing w:line="360" w:lineRule="auto"/>
        <w:ind w:left="0" w:leftChars="0" w:right="0" w:rightChars="0"/>
        <w:textAlignment w:val="auto"/>
        <w:outlineLvl w:val="2"/>
        <w:rPr>
          <w:rFonts w:hint="default" w:ascii="Times New Roman" w:hAnsi="Times New Roman" w:eastAsia="宋体" w:cs="Times New Roman"/>
          <w:b/>
          <w:bCs/>
          <w:color w:val="auto"/>
          <w:sz w:val="24"/>
          <w:szCs w:val="24"/>
          <w:highlight w:val="none"/>
        </w:rPr>
      </w:pPr>
      <w:bookmarkStart w:id="958" w:name="_Toc14730"/>
      <w:bookmarkStart w:id="959" w:name="_Toc29912"/>
      <w:r>
        <w:rPr>
          <w:rFonts w:hint="default" w:ascii="Times New Roman" w:hAnsi="Times New Roman" w:eastAsia="宋体" w:cs="Times New Roman"/>
          <w:b/>
          <w:bCs/>
          <w:color w:val="auto"/>
          <w:sz w:val="24"/>
          <w:szCs w:val="24"/>
          <w:highlight w:val="none"/>
        </w:rPr>
        <w:t>7.4.3.1项目区地质条件</w:t>
      </w:r>
      <w:bookmarkEnd w:id="958"/>
      <w:bookmarkEnd w:id="959"/>
    </w:p>
    <w:p>
      <w:pPr>
        <w:pageBreakBefore w:val="0"/>
        <w:widowControl w:val="0"/>
        <w:kinsoku/>
        <w:wordWrap/>
        <w:overflowPunct/>
        <w:topLinePunct w:val="0"/>
        <w:autoSpaceDE w:val="0"/>
        <w:autoSpaceDN w:val="0"/>
        <w:bidi w:val="0"/>
        <w:adjustRightInd w:val="0"/>
        <w:snapToGrid/>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项目区位于阴山山地区乌拉山大桦背山分水岭北侧</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为中低山变质岩、岩浆岩裂隙水补给径流区</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地形南高北低</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尾矿库附近海拔1476.54-1358.81m</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绝对高差117.73m</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一般高差小于40m</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为小起伏低山地貌</w:t>
      </w:r>
      <w:r>
        <w:rPr>
          <w:rFonts w:hint="default" w:ascii="Times New Roman" w:hAnsi="Times New Roman" w:eastAsia="宋体" w:cs="Times New Roman"/>
          <w:color w:val="auto"/>
          <w:sz w:val="24"/>
          <w:szCs w:val="24"/>
          <w:highlight w:val="none"/>
          <w:lang w:eastAsia="zh-CN"/>
        </w:rPr>
        <w:t>，属</w:t>
      </w:r>
      <w:r>
        <w:rPr>
          <w:rFonts w:hint="default" w:ascii="Times New Roman" w:hAnsi="Times New Roman" w:eastAsia="宋体" w:cs="Times New Roman"/>
          <w:color w:val="auto"/>
          <w:sz w:val="24"/>
          <w:szCs w:val="24"/>
          <w:highlight w:val="none"/>
        </w:rPr>
        <w:t>侵蚀-剥蚀地形。尾矿库最低侵蚀基准面标高1358.81m</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位于北东部沟谷。尾矿库基底及周边岩性为二叠纪不等粒斑状钾长花岗岩</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尾矿库东及北边有沙德盖沟</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北西边还有沙芥沟</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均沉积第四系砂砾石。</w:t>
      </w:r>
    </w:p>
    <w:p>
      <w:pPr>
        <w:pageBreakBefore w:val="0"/>
        <w:widowControl w:val="0"/>
        <w:kinsoku/>
        <w:wordWrap/>
        <w:overflowPunct/>
        <w:topLinePunct w:val="0"/>
        <w:autoSpaceDE w:val="0"/>
        <w:autoSpaceDN w:val="0"/>
        <w:bidi w:val="0"/>
        <w:adjustRightInd w:val="0"/>
        <w:snapToGrid/>
        <w:spacing w:line="360" w:lineRule="auto"/>
        <w:ind w:left="0" w:leftChars="0" w:right="0" w:rightChars="0"/>
        <w:textAlignment w:val="auto"/>
        <w:outlineLvl w:val="2"/>
        <w:rPr>
          <w:rFonts w:hint="default" w:ascii="Times New Roman" w:hAnsi="Times New Roman" w:eastAsia="宋体" w:cs="Times New Roman"/>
          <w:b/>
          <w:bCs/>
          <w:color w:val="auto"/>
          <w:sz w:val="24"/>
          <w:szCs w:val="24"/>
          <w:highlight w:val="none"/>
        </w:rPr>
      </w:pPr>
      <w:bookmarkStart w:id="960" w:name="_Toc24246"/>
      <w:bookmarkStart w:id="961" w:name="_Toc16354"/>
      <w:r>
        <w:rPr>
          <w:rFonts w:hint="default" w:ascii="Times New Roman" w:hAnsi="Times New Roman" w:eastAsia="宋体" w:cs="Times New Roman"/>
          <w:b/>
          <w:bCs/>
          <w:color w:val="auto"/>
          <w:sz w:val="24"/>
          <w:szCs w:val="24"/>
          <w:highlight w:val="none"/>
        </w:rPr>
        <w:t>7.4.3.2评价区地下水类型及赋存特征</w:t>
      </w:r>
      <w:bookmarkEnd w:id="960"/>
      <w:bookmarkEnd w:id="961"/>
    </w:p>
    <w:p>
      <w:pPr>
        <w:pageBreakBefore w:val="0"/>
        <w:widowControl w:val="0"/>
        <w:kinsoku/>
        <w:wordWrap/>
        <w:overflowPunct/>
        <w:topLinePunct w:val="0"/>
        <w:bidi w:val="0"/>
        <w:snapToGrid/>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本区</w:t>
      </w:r>
      <w:r>
        <w:rPr>
          <w:rFonts w:hint="default" w:ascii="Times New Roman" w:hAnsi="Times New Roman" w:eastAsia="宋体" w:cs="Times New Roman"/>
          <w:color w:val="auto"/>
          <w:sz w:val="24"/>
          <w:szCs w:val="24"/>
          <w:highlight w:val="none"/>
          <w:lang w:eastAsia="zh-CN"/>
        </w:rPr>
        <w:t>属</w:t>
      </w:r>
      <w:r>
        <w:rPr>
          <w:rFonts w:hint="default" w:ascii="Times New Roman" w:hAnsi="Times New Roman" w:eastAsia="宋体" w:cs="Times New Roman"/>
          <w:color w:val="auto"/>
          <w:sz w:val="24"/>
          <w:szCs w:val="24"/>
          <w:highlight w:val="none"/>
        </w:rPr>
        <w:t>于干旱-半干旱区</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具有典型的大陆性气候特征</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春季多风</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夏季炎热</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冬季严寒等特点。多年平均降水量255.6mm</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降水多集中在7～9月</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占总降水量的90%左右</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多年年均蒸发量2347.9mm</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尤其是4～9月蒸发量最大</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占全年总蒸发量的</w:t>
      </w:r>
      <w:r>
        <w:rPr>
          <w:rFonts w:hint="default" w:ascii="Times New Roman" w:hAnsi="Times New Roman" w:eastAsia="宋体" w:cs="Times New Roman"/>
          <w:color w:val="auto"/>
          <w:sz w:val="24"/>
          <w:szCs w:val="24"/>
          <w:highlight w:val="none"/>
          <w:lang w:eastAsia="zh-CN"/>
        </w:rPr>
        <w:t>70%～80%</w:t>
      </w:r>
      <w:r>
        <w:rPr>
          <w:rFonts w:hint="default" w:ascii="Times New Roman" w:hAnsi="Times New Roman" w:eastAsia="宋体" w:cs="Times New Roman"/>
          <w:color w:val="auto"/>
          <w:sz w:val="24"/>
          <w:szCs w:val="24"/>
          <w:highlight w:val="none"/>
        </w:rPr>
        <w:t>。地下水补给主要为大气降水</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每次降水</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水位都会相应上升</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降雨过后</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由于径流及蒸发排泄</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水位下降。年内地下水水位有一定程度的涨落趋势</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年变幅不大</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一般0.5～1.0m。高水位期一般出现在2—4月份（冰雪消融期</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及8~9月份（雨季</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低水期一般在6~7月份。</w:t>
      </w:r>
    </w:p>
    <w:p>
      <w:pPr>
        <w:pageBreakBefore w:val="0"/>
        <w:widowControl w:val="0"/>
        <w:kinsoku/>
        <w:wordWrap/>
        <w:overflowPunct/>
        <w:topLinePunct w:val="0"/>
        <w:autoSpaceDE w:val="0"/>
        <w:autoSpaceDN w:val="0"/>
        <w:bidi w:val="0"/>
        <w:adjustRightInd w:val="0"/>
        <w:snapToGrid/>
        <w:spacing w:line="360" w:lineRule="auto"/>
        <w:ind w:left="0" w:leftChars="0" w:right="0" w:rightChars="0" w:firstLine="480" w:firstLineChars="200"/>
        <w:textAlignment w:val="auto"/>
        <w:outlineLvl w:val="0"/>
        <w:rPr>
          <w:rFonts w:hint="default" w:ascii="Times New Roman" w:hAnsi="Times New Roman" w:eastAsia="宋体" w:cs="Times New Roman"/>
          <w:color w:val="auto"/>
          <w:sz w:val="24"/>
          <w:szCs w:val="24"/>
          <w:highlight w:val="none"/>
        </w:rPr>
      </w:pPr>
      <w:bookmarkStart w:id="962" w:name="_Toc5872"/>
      <w:bookmarkStart w:id="963" w:name="_Toc31818"/>
      <w:r>
        <w:rPr>
          <w:rFonts w:hint="default" w:ascii="Times New Roman" w:hAnsi="Times New Roman" w:eastAsia="宋体" w:cs="Times New Roman"/>
          <w:color w:val="auto"/>
          <w:sz w:val="24"/>
          <w:szCs w:val="24"/>
          <w:highlight w:val="none"/>
        </w:rPr>
        <w:t>（1</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松散岩类孔隙水含水层</w:t>
      </w:r>
      <w:bookmarkEnd w:id="962"/>
      <w:bookmarkEnd w:id="963"/>
    </w:p>
    <w:p>
      <w:pPr>
        <w:pageBreakBefore w:val="0"/>
        <w:widowControl w:val="0"/>
        <w:kinsoku/>
        <w:wordWrap/>
        <w:overflowPunct/>
        <w:topLinePunct w:val="0"/>
        <w:autoSpaceDE w:val="0"/>
        <w:autoSpaceDN w:val="0"/>
        <w:bidi w:val="0"/>
        <w:adjustRightInd w:val="0"/>
        <w:snapToGrid/>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主要分布在尾矿库东、北边的沙德盖沟</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北及北西边的沙芥沟。沙德盖沟宽80-150m</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呈“U”字型</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第四系冲洪积砂砾石沉积厚度3.3-6.0m</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水位埋深1.65-3.80m</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水位标高1313-1362m</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含水层厚度1.35-1.70m。据尾矿库东500m沙德盖沟MJ1简易抽水试验资料</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井深3.3m</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井径1.0m</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水位埋深1.65m</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含水层厚度1.70m</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降深值0.78m</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单井涌水量64.58m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/d</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单位涌水量0.96L/s.m</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富水性中等。</w:t>
      </w:r>
      <w:r>
        <w:rPr>
          <w:rFonts w:hint="default" w:ascii="Times New Roman" w:hAnsi="Times New Roman" w:eastAsia="宋体" w:cs="Times New Roman"/>
          <w:color w:val="auto"/>
          <w:sz w:val="24"/>
          <w:szCs w:val="24"/>
          <w:highlight w:val="none"/>
          <w:lang w:eastAsia="zh-CN"/>
        </w:rPr>
        <w:t>渗透系数</w:t>
      </w:r>
      <w:r>
        <w:rPr>
          <w:rFonts w:hint="default" w:ascii="Times New Roman" w:hAnsi="Times New Roman" w:eastAsia="宋体" w:cs="Times New Roman"/>
          <w:color w:val="auto"/>
          <w:sz w:val="24"/>
          <w:szCs w:val="24"/>
          <w:highlight w:val="none"/>
        </w:rPr>
        <w:t>最大为25.01m/d</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地下水水化学类型为HCO</w:t>
      </w:r>
      <w:r>
        <w:rPr>
          <w:rFonts w:hint="default" w:ascii="Times New Roman" w:hAnsi="Times New Roman" w:eastAsia="宋体" w:cs="Times New Roman"/>
          <w:color w:val="auto"/>
          <w:sz w:val="24"/>
          <w:szCs w:val="24"/>
          <w:highlight w:val="none"/>
          <w:vertAlign w:val="subscript"/>
        </w:rPr>
        <w:t>3</w:t>
      </w:r>
      <w:r>
        <w:rPr>
          <w:rFonts w:hint="default" w:ascii="Times New Roman" w:hAnsi="Times New Roman" w:eastAsia="宋体" w:cs="Times New Roman"/>
          <w:color w:val="auto"/>
          <w:sz w:val="24"/>
          <w:szCs w:val="24"/>
          <w:highlight w:val="none"/>
        </w:rPr>
        <w:t>·SO</w:t>
      </w:r>
      <w:r>
        <w:rPr>
          <w:rFonts w:hint="default" w:ascii="Times New Roman" w:hAnsi="Times New Roman" w:eastAsia="宋体" w:cs="Times New Roman"/>
          <w:color w:val="auto"/>
          <w:sz w:val="24"/>
          <w:szCs w:val="24"/>
          <w:highlight w:val="none"/>
          <w:vertAlign w:val="subscript"/>
        </w:rPr>
        <w:t>4</w:t>
      </w:r>
      <w:r>
        <w:rPr>
          <w:rFonts w:hint="default" w:ascii="Times New Roman" w:hAnsi="Times New Roman" w:eastAsia="宋体" w:cs="Times New Roman"/>
          <w:color w:val="auto"/>
          <w:sz w:val="24"/>
          <w:szCs w:val="24"/>
          <w:highlight w:val="none"/>
        </w:rPr>
        <w:t>-Ca型</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矿化度小于1g/L。</w:t>
      </w:r>
    </w:p>
    <w:p>
      <w:pPr>
        <w:pageBreakBefore w:val="0"/>
        <w:widowControl w:val="0"/>
        <w:kinsoku/>
        <w:wordWrap/>
        <w:overflowPunct/>
        <w:topLinePunct w:val="0"/>
        <w:autoSpaceDE w:val="0"/>
        <w:autoSpaceDN w:val="0"/>
        <w:bidi w:val="0"/>
        <w:adjustRightInd w:val="0"/>
        <w:snapToGrid/>
        <w:spacing w:line="360" w:lineRule="auto"/>
        <w:ind w:left="0" w:leftChars="0" w:right="0" w:rightChars="0" w:firstLine="480" w:firstLineChars="200"/>
        <w:textAlignment w:val="auto"/>
        <w:outlineLvl w:val="0"/>
        <w:rPr>
          <w:rFonts w:hint="default" w:ascii="Times New Roman" w:hAnsi="Times New Roman" w:eastAsia="宋体" w:cs="Times New Roman"/>
          <w:color w:val="auto"/>
          <w:sz w:val="24"/>
          <w:szCs w:val="24"/>
          <w:highlight w:val="none"/>
        </w:rPr>
      </w:pPr>
      <w:bookmarkStart w:id="964" w:name="_Toc30967"/>
      <w:bookmarkStart w:id="965" w:name="_Toc18485"/>
      <w:r>
        <w:rPr>
          <w:rFonts w:hint="default" w:ascii="Times New Roman" w:hAnsi="Times New Roman" w:eastAsia="宋体" w:cs="Times New Roman"/>
          <w:color w:val="auto"/>
          <w:sz w:val="24"/>
          <w:szCs w:val="24"/>
          <w:highlight w:val="none"/>
        </w:rPr>
        <w:t>（2</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基岩裂隙潜水含水层</w:t>
      </w:r>
      <w:bookmarkEnd w:id="964"/>
      <w:bookmarkEnd w:id="965"/>
    </w:p>
    <w:p>
      <w:pPr>
        <w:pageBreakBefore w:val="0"/>
        <w:widowControl w:val="0"/>
        <w:kinsoku/>
        <w:wordWrap/>
        <w:overflowPunct/>
        <w:topLinePunct w:val="0"/>
        <w:autoSpaceDE w:val="0"/>
        <w:autoSpaceDN w:val="0"/>
        <w:bidi w:val="0"/>
        <w:adjustRightInd w:val="0"/>
        <w:snapToGrid/>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尾矿库基底及周边岩性为二叠纪不等粒斑状钾长花岗岩</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基岩长期裸露地表</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岩石节理裂隙较发育</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风化裂隙深度一般为37m左右</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节理裂隙内有泥质半充填或充填</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节理裂隙的透水性、连通性一般较差。由于花岗岩出露地形较高</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不易接受大气降水补给</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涌水量有限。基岩裂隙水水位埋深43-55m</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据《钼矿采矿技改项目环境影响报告书》</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基岩含水层厚度38.5m</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抽水试验降深28.3m</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单孔涌水量24.28m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/d</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单位涌水量0.01L/s.m</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弱富水性</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渗透系数0.04m/d</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水化学类型为HCO</w:t>
      </w:r>
      <w:r>
        <w:rPr>
          <w:rFonts w:hint="default" w:ascii="Times New Roman" w:hAnsi="Times New Roman" w:eastAsia="宋体" w:cs="Times New Roman"/>
          <w:color w:val="auto"/>
          <w:sz w:val="24"/>
          <w:szCs w:val="24"/>
          <w:highlight w:val="none"/>
          <w:vertAlign w:val="subscript"/>
        </w:rPr>
        <w:t>3</w:t>
      </w:r>
      <w:r>
        <w:rPr>
          <w:rFonts w:hint="default" w:ascii="Times New Roman" w:hAnsi="Times New Roman" w:eastAsia="宋体" w:cs="Times New Roman"/>
          <w:color w:val="auto"/>
          <w:sz w:val="24"/>
          <w:szCs w:val="24"/>
          <w:highlight w:val="none"/>
        </w:rPr>
        <w:t>-Ca·Mg型。</w:t>
      </w:r>
    </w:p>
    <w:p>
      <w:pPr>
        <w:pageBreakBefore w:val="0"/>
        <w:widowControl w:val="0"/>
        <w:kinsoku/>
        <w:wordWrap/>
        <w:overflowPunct/>
        <w:topLinePunct w:val="0"/>
        <w:autoSpaceDE w:val="0"/>
        <w:autoSpaceDN w:val="0"/>
        <w:bidi w:val="0"/>
        <w:adjustRightInd w:val="0"/>
        <w:snapToGrid/>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基岩裂隙水为评价区主要含水层</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但含水层和构造破碎带富水性弱</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地下水补给条件差</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地形条件有利于排水</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水文地质条件简单。详见尾矿库评价区水文地质图（图7</w:t>
      </w:r>
      <w:r>
        <w:rPr>
          <w:rFonts w:hint="default" w:ascii="Times New Roman" w:hAnsi="Times New Roman" w:eastAsia="宋体" w:cs="Times New Roman"/>
          <w:color w:val="auto"/>
          <w:sz w:val="24"/>
          <w:szCs w:val="24"/>
          <w:highlight w:val="none"/>
          <w:lang w:val="en-US" w:eastAsia="zh-CN"/>
        </w:rPr>
        <w:t>-6</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w:t>
      </w:r>
    </w:p>
    <w:p>
      <w:pPr>
        <w:pageBreakBefore w:val="0"/>
        <w:widowControl w:val="0"/>
        <w:kinsoku/>
        <w:wordWrap/>
        <w:overflowPunct/>
        <w:topLinePunct w:val="0"/>
        <w:autoSpaceDE w:val="0"/>
        <w:autoSpaceDN w:val="0"/>
        <w:bidi w:val="0"/>
        <w:adjustRightInd w:val="0"/>
        <w:snapToGrid/>
        <w:spacing w:line="360" w:lineRule="auto"/>
        <w:ind w:left="0" w:leftChars="0" w:right="0" w:rightChars="0" w:firstLine="480" w:firstLineChars="200"/>
        <w:textAlignment w:val="auto"/>
        <w:outlineLvl w:val="0"/>
        <w:rPr>
          <w:rFonts w:hint="default" w:ascii="Times New Roman" w:hAnsi="Times New Roman" w:eastAsia="宋体" w:cs="Times New Roman"/>
          <w:color w:val="auto"/>
          <w:sz w:val="24"/>
          <w:szCs w:val="24"/>
          <w:highlight w:val="none"/>
        </w:rPr>
      </w:pPr>
      <w:bookmarkStart w:id="966" w:name="_Toc13384"/>
      <w:bookmarkStart w:id="967" w:name="_Toc19620"/>
      <w:r>
        <w:rPr>
          <w:rFonts w:hint="default" w:ascii="Times New Roman" w:hAnsi="Times New Roman" w:eastAsia="宋体" w:cs="Times New Roman"/>
          <w:color w:val="auto"/>
          <w:sz w:val="24"/>
          <w:szCs w:val="24"/>
          <w:highlight w:val="none"/>
        </w:rPr>
        <w:t>（3</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透水不含水层</w:t>
      </w:r>
      <w:bookmarkEnd w:id="966"/>
      <w:bookmarkEnd w:id="967"/>
    </w:p>
    <w:p>
      <w:pPr>
        <w:pageBreakBefore w:val="0"/>
        <w:widowControl w:val="0"/>
        <w:kinsoku/>
        <w:wordWrap/>
        <w:overflowPunct/>
        <w:topLinePunct w:val="0"/>
        <w:autoSpaceDE w:val="0"/>
        <w:autoSpaceDN w:val="0"/>
        <w:bidi w:val="0"/>
        <w:adjustRightInd w:val="0"/>
        <w:snapToGrid/>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评价区尾矿库周边的第四系凤积黄土</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厚度3-6m</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残坡积碎石</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花岗岩全风化层</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结构松散</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具有良好的渗透性</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为透水不含水层。</w:t>
      </w:r>
    </w:p>
    <w:p>
      <w:pPr>
        <w:pageBreakBefore w:val="0"/>
        <w:widowControl w:val="0"/>
        <w:kinsoku/>
        <w:wordWrap/>
        <w:overflowPunct/>
        <w:topLinePunct w:val="0"/>
        <w:autoSpaceDE w:val="0"/>
        <w:autoSpaceDN w:val="0"/>
        <w:bidi w:val="0"/>
        <w:adjustRightInd w:val="0"/>
        <w:snapToGrid/>
        <w:spacing w:line="360" w:lineRule="auto"/>
        <w:ind w:left="0" w:leftChars="0" w:right="0" w:rightChars="0" w:firstLine="480" w:firstLineChars="200"/>
        <w:textAlignment w:val="auto"/>
        <w:outlineLvl w:val="0"/>
        <w:rPr>
          <w:rFonts w:hint="default" w:ascii="Times New Roman" w:hAnsi="Times New Roman" w:eastAsia="宋体" w:cs="Times New Roman"/>
          <w:color w:val="auto"/>
          <w:sz w:val="24"/>
          <w:szCs w:val="24"/>
          <w:highlight w:val="none"/>
        </w:rPr>
      </w:pPr>
      <w:bookmarkStart w:id="968" w:name="_Toc22195"/>
      <w:bookmarkStart w:id="969" w:name="_Toc18136"/>
      <w:r>
        <w:rPr>
          <w:rFonts w:hint="default" w:ascii="Times New Roman" w:hAnsi="Times New Roman" w:eastAsia="宋体" w:cs="Times New Roman"/>
          <w:color w:val="auto"/>
          <w:sz w:val="24"/>
          <w:szCs w:val="24"/>
          <w:highlight w:val="none"/>
        </w:rPr>
        <w:t>（4</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隔水层</w:t>
      </w:r>
      <w:bookmarkEnd w:id="968"/>
      <w:bookmarkEnd w:id="969"/>
    </w:p>
    <w:p>
      <w:pPr>
        <w:pageBreakBefore w:val="0"/>
        <w:widowControl w:val="0"/>
        <w:kinsoku/>
        <w:wordWrap/>
        <w:overflowPunct/>
        <w:topLinePunct w:val="0"/>
        <w:autoSpaceDE w:val="0"/>
        <w:autoSpaceDN w:val="0"/>
        <w:bidi w:val="0"/>
        <w:adjustRightInd w:val="0"/>
        <w:snapToGrid/>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尾矿库的隔水层为裂隙不发育的基岩地层</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除裂隙导水外</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渗透系数极低</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具备较好的隔水条件。主要分布在本区中部</w:t>
      </w:r>
      <w:r>
        <w:rPr>
          <w:rFonts w:hint="default" w:ascii="Times New Roman" w:hAnsi="Times New Roman" w:eastAsia="宋体" w:cs="Times New Roman"/>
          <w:color w:val="auto"/>
          <w:sz w:val="24"/>
          <w:szCs w:val="24"/>
          <w:highlight w:val="none"/>
          <w:lang w:eastAsia="zh-CN"/>
        </w:rPr>
        <w:t>的</w:t>
      </w:r>
      <w:r>
        <w:rPr>
          <w:rFonts w:hint="default" w:ascii="Times New Roman" w:hAnsi="Times New Roman" w:eastAsia="宋体" w:cs="Times New Roman"/>
          <w:color w:val="auto"/>
          <w:sz w:val="24"/>
          <w:szCs w:val="24"/>
          <w:highlight w:val="none"/>
        </w:rPr>
        <w:t>采矿权范围内</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由变质岩、花岗岩组成</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岩体本身较为完整</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裂隙不发育</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形成隔水岩体或隔水岩墙等相对隔水层。片麻岩的风化程度为中风化及微弱时</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可以视为相对隔水层</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渗透系数小于10</w:t>
      </w:r>
      <w:r>
        <w:rPr>
          <w:rFonts w:hint="default" w:ascii="Times New Roman" w:hAnsi="Times New Roman" w:eastAsia="宋体" w:cs="Times New Roman"/>
          <w:color w:val="auto"/>
          <w:sz w:val="24"/>
          <w:szCs w:val="24"/>
          <w:highlight w:val="none"/>
          <w:vertAlign w:val="superscript"/>
        </w:rPr>
        <w:t>-7</w:t>
      </w:r>
      <w:r>
        <w:rPr>
          <w:rFonts w:hint="default" w:ascii="Times New Roman" w:hAnsi="Times New Roman" w:eastAsia="宋体" w:cs="Times New Roman"/>
          <w:color w:val="auto"/>
          <w:sz w:val="24"/>
          <w:szCs w:val="24"/>
          <w:highlight w:val="none"/>
        </w:rPr>
        <w:t>cm/s。</w:t>
      </w:r>
    </w:p>
    <w:p>
      <w:pPr>
        <w:pageBreakBefore w:val="0"/>
        <w:widowControl w:val="0"/>
        <w:kinsoku/>
        <w:wordWrap/>
        <w:overflowPunct/>
        <w:topLinePunct w:val="0"/>
        <w:autoSpaceDE w:val="0"/>
        <w:autoSpaceDN w:val="0"/>
        <w:bidi w:val="0"/>
        <w:adjustRightInd w:val="0"/>
        <w:snapToGrid/>
        <w:spacing w:line="360" w:lineRule="auto"/>
        <w:ind w:left="0" w:leftChars="0" w:right="0" w:rightChars="0" w:firstLine="480" w:firstLineChars="200"/>
        <w:textAlignment w:val="auto"/>
        <w:outlineLvl w:val="0"/>
        <w:rPr>
          <w:rFonts w:hint="default" w:ascii="Times New Roman" w:hAnsi="Times New Roman" w:eastAsia="宋体" w:cs="Times New Roman"/>
          <w:color w:val="auto"/>
          <w:sz w:val="24"/>
          <w:szCs w:val="24"/>
          <w:highlight w:val="none"/>
        </w:rPr>
      </w:pPr>
      <w:bookmarkStart w:id="970" w:name="_Toc17073"/>
      <w:bookmarkStart w:id="971" w:name="_Toc18305"/>
      <w:r>
        <w:rPr>
          <w:rFonts w:hint="default" w:ascii="Times New Roman" w:hAnsi="Times New Roman" w:eastAsia="宋体" w:cs="Times New Roman"/>
          <w:color w:val="auto"/>
          <w:sz w:val="24"/>
          <w:szCs w:val="24"/>
          <w:highlight w:val="none"/>
        </w:rPr>
        <w:t>（5</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包气带</w:t>
      </w:r>
      <w:bookmarkEnd w:id="970"/>
      <w:bookmarkEnd w:id="971"/>
    </w:p>
    <w:p>
      <w:pPr>
        <w:pageBreakBefore w:val="0"/>
        <w:widowControl w:val="0"/>
        <w:kinsoku/>
        <w:wordWrap/>
        <w:overflowPunct/>
        <w:topLinePunct w:val="0"/>
        <w:autoSpaceDE w:val="0"/>
        <w:autoSpaceDN w:val="0"/>
        <w:bidi w:val="0"/>
        <w:adjustRightInd w:val="0"/>
        <w:snapToGrid/>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尾矿库基底及周边花岗岩区包气带岩性由风化花岗岩组成</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厚度43-55m</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渗透性非常小</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可以作为本区相对隔水层对待</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而含有裂隙的基岩则可以认为弱渗透层。沟谷</w:t>
      </w:r>
      <w:r>
        <w:rPr>
          <w:rFonts w:hint="default" w:ascii="Times New Roman" w:hAnsi="Times New Roman" w:eastAsia="宋体" w:cs="Times New Roman"/>
          <w:color w:val="auto"/>
          <w:sz w:val="24"/>
          <w:szCs w:val="24"/>
          <w:highlight w:val="none"/>
          <w:lang w:eastAsia="zh-CN"/>
        </w:rPr>
        <w:t>沙砾石层</w:t>
      </w:r>
      <w:r>
        <w:rPr>
          <w:rFonts w:hint="default" w:ascii="Times New Roman" w:hAnsi="Times New Roman" w:eastAsia="宋体" w:cs="Times New Roman"/>
          <w:color w:val="auto"/>
          <w:sz w:val="24"/>
          <w:szCs w:val="24"/>
          <w:highlight w:val="none"/>
        </w:rPr>
        <w:t>厚度1.65-3.80m</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包气带薄</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渗透性强</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易污染。</w:t>
      </w:r>
    </w:p>
    <w:p>
      <w:pPr>
        <w:pageBreakBefore w:val="0"/>
        <w:widowControl w:val="0"/>
        <w:kinsoku/>
        <w:wordWrap/>
        <w:overflowPunct/>
        <w:topLinePunct w:val="0"/>
        <w:autoSpaceDE w:val="0"/>
        <w:autoSpaceDN w:val="0"/>
        <w:bidi w:val="0"/>
        <w:adjustRightInd w:val="0"/>
        <w:snapToGrid/>
        <w:spacing w:line="360" w:lineRule="auto"/>
        <w:ind w:left="0" w:leftChars="0" w:right="0" w:rightChars="0" w:firstLine="480" w:firstLineChars="200"/>
        <w:textAlignment w:val="auto"/>
        <w:outlineLvl w:val="0"/>
        <w:rPr>
          <w:rFonts w:hint="default" w:ascii="Times New Roman" w:hAnsi="Times New Roman" w:eastAsia="宋体" w:cs="Times New Roman"/>
          <w:color w:val="auto"/>
          <w:sz w:val="24"/>
          <w:szCs w:val="24"/>
          <w:highlight w:val="none"/>
        </w:rPr>
      </w:pPr>
      <w:bookmarkStart w:id="972" w:name="_Toc9834"/>
      <w:bookmarkStart w:id="973" w:name="_Toc21482"/>
      <w:r>
        <w:rPr>
          <w:rFonts w:hint="default" w:ascii="Times New Roman" w:hAnsi="Times New Roman" w:eastAsia="宋体" w:cs="Times New Roman"/>
          <w:color w:val="auto"/>
          <w:sz w:val="24"/>
          <w:szCs w:val="24"/>
          <w:highlight w:val="none"/>
        </w:rPr>
        <w:t>（6</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评价区地下水的补给、径流、排泄条件</w:t>
      </w:r>
      <w:bookmarkEnd w:id="972"/>
      <w:bookmarkEnd w:id="973"/>
    </w:p>
    <w:p>
      <w:pPr>
        <w:pageBreakBefore w:val="0"/>
        <w:widowControl w:val="0"/>
        <w:kinsoku/>
        <w:wordWrap/>
        <w:overflowPunct/>
        <w:topLinePunct w:val="0"/>
        <w:autoSpaceDE w:val="0"/>
        <w:autoSpaceDN w:val="0"/>
        <w:bidi w:val="0"/>
        <w:adjustRightInd w:val="0"/>
        <w:snapToGrid/>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评价区第四系孔隙水接受上游沟谷地表和地下径流汇入补给</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沿沟谷由南向北西径流出区外</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径流和蒸发是地下水的排泄途径。</w:t>
      </w:r>
    </w:p>
    <w:p>
      <w:pPr>
        <w:pageBreakBefore w:val="0"/>
        <w:widowControl w:val="0"/>
        <w:kinsoku/>
        <w:wordWrap/>
        <w:overflowPunct/>
        <w:topLinePunct w:val="0"/>
        <w:autoSpaceDE w:val="0"/>
        <w:autoSpaceDN w:val="0"/>
        <w:bidi w:val="0"/>
        <w:adjustRightInd w:val="0"/>
        <w:snapToGrid/>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基岩风化裂隙带为一层状并连续分布的含水体</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可接受大气降水渗入补给</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水位受地形控制</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由高向低径流排泄</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地下水流向总体由南向北径流</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地下水排泄主要为径流排泄和采矿人工排泄。</w:t>
      </w:r>
    </w:p>
    <w:p>
      <w:pPr>
        <w:pageBreakBefore w:val="0"/>
        <w:widowControl w:val="0"/>
        <w:kinsoku/>
        <w:wordWrap/>
        <w:overflowPunct/>
        <w:topLinePunct w:val="0"/>
        <w:bidi w:val="0"/>
        <w:snapToGrid/>
        <w:spacing w:line="360" w:lineRule="auto"/>
        <w:ind w:left="0" w:leftChars="0" w:right="0" w:rightChars="0" w:firstLine="480" w:firstLineChars="200"/>
        <w:textAlignment w:val="auto"/>
        <w:outlineLvl w:val="0"/>
        <w:rPr>
          <w:rFonts w:hint="default" w:ascii="Times New Roman" w:hAnsi="Times New Roman" w:eastAsia="宋体" w:cs="Times New Roman"/>
          <w:color w:val="auto"/>
          <w:sz w:val="24"/>
          <w:szCs w:val="24"/>
          <w:highlight w:val="none"/>
        </w:rPr>
      </w:pPr>
      <w:bookmarkStart w:id="974" w:name="_Toc1425"/>
      <w:bookmarkStart w:id="975" w:name="_Toc2357"/>
      <w:r>
        <w:rPr>
          <w:rFonts w:hint="default" w:ascii="Times New Roman" w:hAnsi="Times New Roman" w:eastAsia="宋体" w:cs="Times New Roman"/>
          <w:color w:val="auto"/>
          <w:sz w:val="24"/>
          <w:szCs w:val="24"/>
          <w:highlight w:val="none"/>
        </w:rPr>
        <w:t>（7</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地下水动态特征</w:t>
      </w:r>
      <w:bookmarkEnd w:id="974"/>
      <w:bookmarkEnd w:id="975"/>
    </w:p>
    <w:p>
      <w:pPr>
        <w:pageBreakBefore w:val="0"/>
        <w:widowControl w:val="0"/>
        <w:kinsoku/>
        <w:wordWrap/>
        <w:overflowPunct/>
        <w:topLinePunct w:val="0"/>
        <w:bidi w:val="0"/>
        <w:snapToGrid/>
        <w:spacing w:line="360" w:lineRule="auto"/>
        <w:ind w:left="0" w:leftChars="0" w:right="0" w:rightChars="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szCs w:val="24"/>
          <w:highlight w:val="none"/>
        </w:rPr>
        <w:t>评价区地下水受到自然因素和人为因素的影响</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在本区主要为自然因素</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其次</w:t>
      </w:r>
      <w:r>
        <w:rPr>
          <w:rFonts w:hint="default" w:ascii="Times New Roman" w:hAnsi="Times New Roman" w:eastAsia="宋体" w:cs="Times New Roman"/>
          <w:color w:val="auto"/>
          <w:sz w:val="24"/>
          <w:szCs w:val="24"/>
          <w:highlight w:val="none"/>
          <w:lang w:eastAsia="zh-CN"/>
        </w:rPr>
        <w:t>为</w:t>
      </w:r>
      <w:r>
        <w:rPr>
          <w:rFonts w:hint="default" w:ascii="Times New Roman" w:hAnsi="Times New Roman" w:eastAsia="宋体" w:cs="Times New Roman"/>
          <w:color w:val="auto"/>
          <w:sz w:val="24"/>
          <w:szCs w:val="24"/>
          <w:highlight w:val="none"/>
        </w:rPr>
        <w:t>矿山开采</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自然因素包括大气降水、蒸发、包气带岩性、厚度等。根据本区影响地下水动态的主要因素结合本次调查工作</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评价区地下水的动态变化规律按成因类型为降雨—径流型</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地下水变化幅度一般小于0.5m</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高水位期一般出现在雨季7-9月份</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低水位一般在1-4月枯水期。评价区西南矿区范围为疏干排水区</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水位变化幅度大</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地下水类型为开采型</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主要受矿山开采影响</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水位变化幅度大。</w:t>
      </w:r>
    </w:p>
    <w:p>
      <w:pPr>
        <w:pStyle w:val="53"/>
        <w:pageBreakBefore w:val="0"/>
        <w:wordWrap/>
        <w:bidi w:val="0"/>
        <w:ind w:left="0" w:leftChars="0" w:right="0" w:right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drawing>
          <wp:inline distT="0" distB="0" distL="0" distR="0">
            <wp:extent cx="5400040" cy="5552440"/>
            <wp:effectExtent l="0" t="0" r="10160" b="1016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a:xfrm>
                      <a:off x="0" y="0"/>
                      <a:ext cx="5400040" cy="5552440"/>
                    </a:xfrm>
                    <a:prstGeom prst="rect">
                      <a:avLst/>
                    </a:prstGeom>
                    <a:noFill/>
                    <a:ln>
                      <a:noFill/>
                    </a:ln>
                  </pic:spPr>
                </pic:pic>
              </a:graphicData>
            </a:graphic>
          </wp:inline>
        </w:drawing>
      </w:r>
    </w:p>
    <w:p>
      <w:pPr>
        <w:pStyle w:val="53"/>
        <w:pageBreakBefore w:val="0"/>
        <w:wordWrap/>
        <w:bidi w:val="0"/>
        <w:ind w:left="0" w:leftChars="0" w:right="0" w:rightChars="0"/>
        <w:jc w:val="center"/>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图7</w:t>
      </w:r>
      <w:r>
        <w:rPr>
          <w:rFonts w:hint="default" w:ascii="Times New Roman" w:hAnsi="Times New Roman" w:eastAsia="宋体" w:cs="Times New Roman"/>
          <w:b/>
          <w:bCs/>
          <w:color w:val="auto"/>
          <w:highlight w:val="none"/>
          <w:lang w:val="en-US" w:eastAsia="zh-CN"/>
        </w:rPr>
        <w:t>-5</w:t>
      </w:r>
      <w:r>
        <w:rPr>
          <w:rFonts w:hint="default" w:ascii="Times New Roman" w:hAnsi="Times New Roman" w:eastAsia="宋体" w:cs="Times New Roman"/>
          <w:b/>
          <w:bCs/>
          <w:color w:val="auto"/>
          <w:highlight w:val="none"/>
        </w:rPr>
        <w:t>项目区水文地质图</w:t>
      </w:r>
    </w:p>
    <w:p>
      <w:pPr>
        <w:pageBreakBefore w:val="0"/>
        <w:wordWrap/>
        <w:bidi w:val="0"/>
        <w:ind w:left="0" w:leftChars="0" w:right="0" w:rightChars="0"/>
        <w:rPr>
          <w:rFonts w:hint="default" w:ascii="Times New Roman" w:hAnsi="Times New Roman" w:eastAsia="宋体" w:cs="Times New Roman"/>
          <w:color w:val="auto"/>
          <w:highlight w:val="none"/>
        </w:rPr>
      </w:pPr>
    </w:p>
    <w:p>
      <w:pPr>
        <w:pageBreakBefore w:val="0"/>
        <w:wordWrap/>
        <w:bidi w:val="0"/>
        <w:ind w:left="0" w:leftChars="0" w:right="0" w:rightChars="0"/>
        <w:rPr>
          <w:rFonts w:hint="default" w:ascii="Times New Roman" w:hAnsi="Times New Roman" w:eastAsia="宋体" w:cs="Times New Roman"/>
          <w:color w:val="auto"/>
          <w:highlight w:val="none"/>
        </w:rPr>
        <w:sectPr>
          <w:pgSz w:w="11906" w:h="16838"/>
          <w:pgMar w:top="1440" w:right="1800" w:bottom="1440" w:left="1800" w:header="851" w:footer="851" w:gutter="0"/>
          <w:pgNumType w:fmt="decimal"/>
          <w:cols w:space="720" w:num="1"/>
          <w:docGrid w:linePitch="312" w:charSpace="0"/>
        </w:sectPr>
      </w:pPr>
    </w:p>
    <w:p>
      <w:pPr>
        <w:pStyle w:val="53"/>
        <w:pageBreakBefore w:val="0"/>
        <w:wordWrap/>
        <w:bidi w:val="0"/>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drawing>
          <wp:inline distT="0" distB="0" distL="0" distR="0">
            <wp:extent cx="8039735" cy="4895850"/>
            <wp:effectExtent l="0" t="0" r="18415" b="0"/>
            <wp:docPr id="5032" name="图片 5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2" name="图片 503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a:xfrm>
                      <a:off x="0" y="0"/>
                      <a:ext cx="8039735" cy="4895850"/>
                    </a:xfrm>
                    <a:prstGeom prst="rect">
                      <a:avLst/>
                    </a:prstGeom>
                    <a:noFill/>
                    <a:ln>
                      <a:noFill/>
                    </a:ln>
                  </pic:spPr>
                </pic:pic>
              </a:graphicData>
            </a:graphic>
          </wp:inline>
        </w:drawing>
      </w:r>
    </w:p>
    <w:p>
      <w:pPr>
        <w:pStyle w:val="53"/>
        <w:pageBreakBefore w:val="0"/>
        <w:wordWrap/>
        <w:bidi w:val="0"/>
        <w:ind w:left="0" w:leftChars="0" w:right="0" w:rightChars="0"/>
        <w:jc w:val="center"/>
        <w:rPr>
          <w:rFonts w:hint="default" w:ascii="Times New Roman" w:hAnsi="Times New Roman" w:eastAsia="宋体" w:cs="Times New Roman"/>
          <w:b/>
          <w:bCs/>
          <w:color w:val="auto"/>
          <w:highlight w:val="none"/>
        </w:rPr>
        <w:sectPr>
          <w:pgSz w:w="16838" w:h="11906" w:orient="landscape"/>
          <w:pgMar w:top="1440" w:right="1800" w:bottom="1440" w:left="1800" w:header="851" w:footer="851" w:gutter="0"/>
          <w:pgNumType w:fmt="decimal"/>
          <w:cols w:space="720" w:num="1"/>
          <w:docGrid w:linePitch="312" w:charSpace="0"/>
        </w:sectPr>
      </w:pPr>
      <w:r>
        <w:rPr>
          <w:rFonts w:hint="default" w:ascii="Times New Roman" w:hAnsi="Times New Roman" w:eastAsia="宋体" w:cs="Times New Roman"/>
          <w:b/>
          <w:bCs/>
          <w:color w:val="auto"/>
          <w:highlight w:val="none"/>
        </w:rPr>
        <w:t>图7</w:t>
      </w:r>
      <w:r>
        <w:rPr>
          <w:rFonts w:hint="default" w:ascii="Times New Roman" w:hAnsi="Times New Roman" w:eastAsia="宋体" w:cs="Times New Roman"/>
          <w:b/>
          <w:bCs/>
          <w:color w:val="auto"/>
          <w:highlight w:val="none"/>
          <w:lang w:val="en-US" w:eastAsia="zh-CN"/>
        </w:rPr>
        <w:t>-6</w:t>
      </w:r>
      <w:r>
        <w:rPr>
          <w:rFonts w:hint="default" w:ascii="Times New Roman" w:hAnsi="Times New Roman" w:eastAsia="宋体" w:cs="Times New Roman"/>
          <w:b/>
          <w:bCs/>
          <w:color w:val="auto"/>
          <w:highlight w:val="none"/>
        </w:rPr>
        <w:t>项目区水文地质剖面图</w:t>
      </w:r>
    </w:p>
    <w:p>
      <w:pPr>
        <w:pStyle w:val="5"/>
        <w:pageBreakBefore w:val="0"/>
        <w:numPr>
          <w:ilvl w:val="2"/>
          <w:numId w:val="0"/>
        </w:numPr>
        <w:wordWrap/>
        <w:bidi w:val="0"/>
        <w:ind w:left="0" w:leftChars="0" w:right="0" w:rightChars="0"/>
        <w:outlineLvl w:val="1"/>
        <w:rPr>
          <w:rFonts w:hint="default" w:ascii="Times New Roman" w:hAnsi="Times New Roman" w:eastAsia="宋体" w:cs="Times New Roman"/>
          <w:b/>
          <w:bCs/>
          <w:color w:val="auto"/>
          <w:sz w:val="24"/>
          <w:szCs w:val="24"/>
          <w:highlight w:val="none"/>
        </w:rPr>
      </w:pPr>
      <w:bookmarkStart w:id="976" w:name="_Toc20949"/>
      <w:bookmarkStart w:id="977" w:name="_Toc15278"/>
      <w:bookmarkStart w:id="978" w:name="_Toc1402"/>
      <w:r>
        <w:rPr>
          <w:rFonts w:hint="default" w:ascii="Times New Roman" w:hAnsi="Times New Roman" w:eastAsia="宋体" w:cs="Times New Roman"/>
          <w:b/>
          <w:bCs/>
          <w:i w:val="0"/>
          <w:iCs w:val="0"/>
          <w:caps w:val="0"/>
          <w:smallCaps w:val="0"/>
          <w:strike w:val="0"/>
          <w:dstrike w:val="0"/>
          <w:vanish w:val="0"/>
          <w:color w:val="auto"/>
          <w:spacing w:val="0"/>
          <w:kern w:val="2"/>
          <w:position w:val="0"/>
          <w:sz w:val="24"/>
          <w:szCs w:val="24"/>
          <w:highlight w:val="none"/>
          <w:u w:val="none"/>
          <w:vertAlign w:val="baseline"/>
          <w:lang w:val="en-US" w:eastAsia="zh-CN" w:bidi="ar-SA"/>
          <w14:shadow w14:blurRad="0" w14:dist="0" w14:dir="0" w14:sx="0" w14:sy="0" w14:kx="0" w14:ky="0" w14:algn="none">
            <w14:srgbClr w14:val="000000"/>
          </w14:shadow>
        </w:rPr>
        <w:t>7.4.4</w:t>
      </w:r>
      <w:r>
        <w:rPr>
          <w:rFonts w:hint="default" w:ascii="Times New Roman" w:hAnsi="Times New Roman" w:eastAsia="宋体" w:cs="Times New Roman"/>
          <w:b/>
          <w:bCs/>
          <w:color w:val="auto"/>
          <w:sz w:val="24"/>
          <w:szCs w:val="24"/>
          <w:highlight w:val="none"/>
        </w:rPr>
        <w:t>项目区工程地质条件</w:t>
      </w:r>
      <w:bookmarkEnd w:id="976"/>
      <w:bookmarkEnd w:id="977"/>
      <w:bookmarkEnd w:id="978"/>
    </w:p>
    <w:p>
      <w:pPr>
        <w:pageBreakBefore w:val="0"/>
        <w:widowControl/>
        <w:wordWrap/>
        <w:bidi w:val="0"/>
        <w:spacing w:line="360" w:lineRule="auto"/>
        <w:ind w:left="0" w:leftChars="0" w:right="0" w:rightChars="0"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根据本次勘察钻探资料以及内蒙古工大岩土工程有限责任公司编写的《乌拉特前旗西沙德盖钼业有限责任公司年产300万吨钼矿采选扩建工程新建尾矿库建设项目岩</w:t>
      </w:r>
      <w:r>
        <w:rPr>
          <w:rFonts w:hint="default" w:ascii="Times New Roman" w:hAnsi="Times New Roman" w:eastAsia="宋体" w:cs="Times New Roman"/>
          <w:color w:val="auto"/>
          <w:sz w:val="24"/>
          <w:szCs w:val="24"/>
          <w:highlight w:val="none"/>
          <w:lang w:eastAsia="zh-CN"/>
        </w:rPr>
        <w:t>土</w:t>
      </w:r>
      <w:r>
        <w:rPr>
          <w:rFonts w:hint="default" w:ascii="Times New Roman" w:hAnsi="Times New Roman" w:eastAsia="宋体" w:cs="Times New Roman"/>
          <w:color w:val="auto"/>
          <w:sz w:val="24"/>
          <w:szCs w:val="24"/>
          <w:highlight w:val="none"/>
        </w:rPr>
        <w:t>工程勘察报告》</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将库区地内地层自上而下划分为两种类型</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尾矿堆积物-尾矿砂、库基原始天然地层。</w:t>
      </w:r>
    </w:p>
    <w:p>
      <w:pPr>
        <w:pageBreakBefore w:val="0"/>
        <w:widowControl/>
        <w:wordWrap/>
        <w:bidi w:val="0"/>
        <w:spacing w:line="360" w:lineRule="auto"/>
        <w:ind w:left="0" w:leftChars="0" w:right="0" w:rightChars="0" w:firstLine="480" w:firstLineChars="200"/>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（1</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尾矿堆积物主要由尾粉土、粉砂、细砂、砾砂组成</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岩性变化不大</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土层交错层理不发育。详细描述如下</w:t>
      </w:r>
      <w:r>
        <w:rPr>
          <w:rFonts w:hint="default" w:ascii="Times New Roman" w:hAnsi="Times New Roman" w:eastAsia="宋体" w:cs="Times New Roman"/>
          <w:color w:val="auto"/>
          <w:sz w:val="24"/>
          <w:szCs w:val="24"/>
          <w:highlight w:val="none"/>
          <w:lang w:eastAsia="zh-CN"/>
        </w:rPr>
        <w:t>：</w:t>
      </w:r>
    </w:p>
    <w:p>
      <w:pPr>
        <w:pageBreakBefore w:val="0"/>
        <w:widowControl/>
        <w:wordWrap/>
        <w:bidi w:val="0"/>
        <w:spacing w:line="360" w:lineRule="auto"/>
        <w:ind w:left="0" w:leftChars="0" w:right="0" w:rightChars="0"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第①层粉土</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该单元层以粉土为主</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混少量碎石</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呈土黄色</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干</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密实。其厚度变化在0.00～2.20m之间</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层底标高变化在1415.88.11～1432.81m之间；</w:t>
      </w:r>
    </w:p>
    <w:p>
      <w:pPr>
        <w:pageBreakBefore w:val="0"/>
        <w:widowControl/>
        <w:wordWrap/>
        <w:bidi w:val="0"/>
        <w:spacing w:line="360" w:lineRule="auto"/>
        <w:ind w:left="0" w:leftChars="0" w:right="0" w:rightChars="0"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第②层粉砂</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该单元层以粉砂为主</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混少量碎石</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灰黄色</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稍湿</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松散</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主要成分为石英、长石。厚度变化在0.00～6.20m之间</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层底标高变化在1413.22～1427.67m之间；</w:t>
      </w:r>
    </w:p>
    <w:p>
      <w:pPr>
        <w:pageBreakBefore w:val="0"/>
        <w:widowControl/>
        <w:wordWrap/>
        <w:bidi w:val="0"/>
        <w:spacing w:line="360" w:lineRule="auto"/>
        <w:ind w:left="0" w:leftChars="0" w:right="0" w:rightChars="0"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第③层细砂</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该单元层以细砂为主</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混少量碎石</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土黄色</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稍湿</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松散</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矿物成分为石英、长石。厚度变化在6.00～12.12m之间</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层底标高变化在1405.68～1424.81m之间；</w:t>
      </w:r>
    </w:p>
    <w:p>
      <w:pPr>
        <w:pageBreakBefore w:val="0"/>
        <w:widowControl/>
        <w:wordWrap/>
        <w:bidi w:val="0"/>
        <w:spacing w:line="360" w:lineRule="auto"/>
        <w:ind w:left="0" w:leftChars="0" w:right="0" w:rightChars="0"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第④层砾砂</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该单元层砾砂为主</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混有大量碎石</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褐黄色</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稍湿</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松散</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矿物成分主要为石英、长石</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其他暗色矿物次之。厚度变化在12.00～22.00m之间</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层底标高变化在1396.83～1409.70m之间；</w:t>
      </w:r>
    </w:p>
    <w:p>
      <w:pPr>
        <w:pageBreakBefore w:val="0"/>
        <w:widowControl/>
        <w:wordWrap/>
        <w:bidi w:val="0"/>
        <w:spacing w:line="360" w:lineRule="auto"/>
        <w:ind w:left="0" w:leftChars="0" w:right="0" w:rightChars="0" w:firstLine="480" w:firstLineChars="200"/>
        <w:outlineLvl w:val="0"/>
        <w:rPr>
          <w:rFonts w:hint="default" w:ascii="Times New Roman" w:hAnsi="Times New Roman" w:eastAsia="宋体" w:cs="Times New Roman"/>
          <w:color w:val="auto"/>
          <w:sz w:val="24"/>
          <w:szCs w:val="24"/>
          <w:highlight w:val="none"/>
          <w:lang w:eastAsia="zh-CN"/>
        </w:rPr>
      </w:pPr>
      <w:bookmarkStart w:id="979" w:name="_Toc18279"/>
      <w:bookmarkStart w:id="980" w:name="_Toc21968"/>
      <w:r>
        <w:rPr>
          <w:rFonts w:hint="default" w:ascii="Times New Roman" w:hAnsi="Times New Roman" w:eastAsia="宋体" w:cs="Times New Roman"/>
          <w:color w:val="auto"/>
          <w:sz w:val="24"/>
          <w:szCs w:val="24"/>
          <w:highlight w:val="none"/>
        </w:rPr>
        <w:t>（2</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库基原始天然地层</w:t>
      </w:r>
      <w:r>
        <w:rPr>
          <w:rFonts w:hint="default" w:ascii="Times New Roman" w:hAnsi="Times New Roman" w:eastAsia="宋体" w:cs="Times New Roman"/>
          <w:color w:val="auto"/>
          <w:sz w:val="24"/>
          <w:szCs w:val="24"/>
          <w:highlight w:val="none"/>
          <w:lang w:eastAsia="zh-CN"/>
        </w:rPr>
        <w:t>：</w:t>
      </w:r>
      <w:bookmarkEnd w:id="979"/>
      <w:bookmarkEnd w:id="980"/>
    </w:p>
    <w:p>
      <w:pPr>
        <w:pageBreakBefore w:val="0"/>
        <w:widowControl/>
        <w:wordWrap/>
        <w:bidi w:val="0"/>
        <w:spacing w:line="360" w:lineRule="auto"/>
        <w:ind w:left="0" w:leftChars="0" w:right="0" w:rightChars="0"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第⑤层粉细砂（Q4</w:t>
      </w:r>
      <w:r>
        <w:rPr>
          <w:rFonts w:hint="default" w:ascii="Times New Roman" w:hAnsi="Times New Roman" w:eastAsia="宋体" w:cs="Times New Roman"/>
          <w:color w:val="auto"/>
          <w:sz w:val="24"/>
          <w:szCs w:val="24"/>
          <w:highlight w:val="none"/>
          <w:vertAlign w:val="superscript"/>
        </w:rPr>
        <w:t>al+pl</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该单元层以细砂为主</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局部为粗砂夹层</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混少量碎石</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天然状态下呈褐黄色</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稍湿</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松散一稍密</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长石、石英质</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含云母</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其厚度变化在0.50～11.00m之间</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层底标高变化在1383.76～1411.06m之间。</w:t>
      </w:r>
    </w:p>
    <w:p>
      <w:pPr>
        <w:pageBreakBefore w:val="0"/>
        <w:widowControl/>
        <w:wordWrap/>
        <w:bidi w:val="0"/>
        <w:spacing w:line="360" w:lineRule="auto"/>
        <w:ind w:left="0" w:leftChars="0" w:right="0" w:rightChars="0"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第⑥层砾砂（Q4</w:t>
      </w:r>
      <w:r>
        <w:rPr>
          <w:rFonts w:hint="default" w:ascii="Times New Roman" w:hAnsi="Times New Roman" w:eastAsia="宋体" w:cs="Times New Roman"/>
          <w:color w:val="auto"/>
          <w:sz w:val="24"/>
          <w:szCs w:val="24"/>
          <w:highlight w:val="none"/>
          <w:vertAlign w:val="superscript"/>
        </w:rPr>
        <w:t>al+pl</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褐黄色</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混粒结构</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混少量块石</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天然状态下呈褐黄色一灰黄色</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稍湿一湿</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中密</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矿物成分主要为长石、石英</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分选性一般</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磨圆度中等；库区南部有粉土夹层；粉土为褐黄色</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含少量砂岩</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天然状态下呈稍湿一湿</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稍密一中密状态；本单元层在库区普遍存在</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厚度变化在2.50～7.30m之间</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一般变化在5.00m左右</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层底标高变化在1058.43～1051.29m之间。</w:t>
      </w:r>
    </w:p>
    <w:p>
      <w:pPr>
        <w:pageBreakBefore w:val="0"/>
        <w:widowControl/>
        <w:wordWrap/>
        <w:bidi w:val="0"/>
        <w:spacing w:line="360" w:lineRule="auto"/>
        <w:ind w:left="0" w:leftChars="0" w:right="0" w:rightChars="0"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第⑦层碎石（Q4</w:t>
      </w:r>
      <w:r>
        <w:rPr>
          <w:rFonts w:hint="default" w:ascii="Times New Roman" w:hAnsi="Times New Roman" w:eastAsia="宋体" w:cs="Times New Roman"/>
          <w:color w:val="auto"/>
          <w:sz w:val="24"/>
          <w:szCs w:val="24"/>
          <w:highlight w:val="none"/>
          <w:vertAlign w:val="superscript"/>
        </w:rPr>
        <w:t>al+pl</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该单元层以碎石为主</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局部为砾秒夹层；天然状态下呈褐黄色</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稍湿</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总体呈稍密一中密</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长石、石英质</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含云母、少量砾石及粘性土</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砾砂在天然状态下呈褐黄色一灰黄色</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稍湿一湿</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中密</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矿物成分主要为长石、石英</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分选性一般</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磨圆度中等</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厚度变化在0.50～-1100之间</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层底标高变化在1383.76～1411.06m之间。</w:t>
      </w:r>
    </w:p>
    <w:p>
      <w:pPr>
        <w:pageBreakBefore w:val="0"/>
        <w:widowControl/>
        <w:wordWrap/>
        <w:bidi w:val="0"/>
        <w:spacing w:line="360" w:lineRule="auto"/>
        <w:ind w:left="0" w:leftChars="0" w:right="0" w:rightChars="0"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第⑧层强风化花岗岩（P5γ</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内红色</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岩石风化强烈</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矿物成分由长石石英及少量云母、绿泥石、角闪石等组成</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钻进困难</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拔钻声大</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岩芯呈碎块状</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岩石坚硬程度为较软岩</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岩石质量指标RQD0＜25</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完整程度为极破碎</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岩体基本质量等级为V类</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工程地质性能良好</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强度大；本单元层层厚1.20～2.90m</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层底标高为1381.66m～140856m之间。</w:t>
      </w:r>
    </w:p>
    <w:p>
      <w:pPr>
        <w:pageBreakBefore w:val="0"/>
        <w:widowControl/>
        <w:wordWrap/>
        <w:bidi w:val="0"/>
        <w:spacing w:line="360" w:lineRule="auto"/>
        <w:ind w:left="0" w:leftChars="0" w:right="0" w:rightChars="0"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第⑨层中等风化花岗岩（P5γ</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灰白～肉红色</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由长石、石英及少量云母、绿泥石、角闪石等组成</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中粗粒花岗结构</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块状构造</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节理、裂隙较发育</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岩体完整性一般</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岩芯多呈短柱状</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岩石质量指标RQD变化在25～50</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为差的岩石按坚硬程度</w:t>
      </w:r>
      <w:r>
        <w:rPr>
          <w:rFonts w:hint="default" w:ascii="Times New Roman" w:hAnsi="Times New Roman" w:eastAsia="宋体" w:cs="Times New Roman"/>
          <w:color w:val="auto"/>
          <w:sz w:val="24"/>
          <w:szCs w:val="24"/>
          <w:highlight w:val="none"/>
          <w:lang w:eastAsia="zh-CN"/>
        </w:rPr>
        <w:t>属</w:t>
      </w:r>
      <w:r>
        <w:rPr>
          <w:rFonts w:hint="default" w:ascii="Times New Roman" w:hAnsi="Times New Roman" w:eastAsia="宋体" w:cs="Times New Roman"/>
          <w:color w:val="auto"/>
          <w:sz w:val="24"/>
          <w:szCs w:val="24"/>
          <w:highlight w:val="none"/>
        </w:rPr>
        <w:t>较硬岩</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岩体完整程度</w:t>
      </w:r>
      <w:r>
        <w:rPr>
          <w:rFonts w:hint="default" w:ascii="Times New Roman" w:hAnsi="Times New Roman" w:eastAsia="宋体" w:cs="Times New Roman"/>
          <w:color w:val="auto"/>
          <w:sz w:val="24"/>
          <w:szCs w:val="24"/>
          <w:highlight w:val="none"/>
          <w:lang w:eastAsia="zh-CN"/>
        </w:rPr>
        <w:t>属</w:t>
      </w:r>
      <w:r>
        <w:rPr>
          <w:rFonts w:hint="default" w:ascii="Times New Roman" w:hAnsi="Times New Roman" w:eastAsia="宋体" w:cs="Times New Roman"/>
          <w:color w:val="auto"/>
          <w:sz w:val="24"/>
          <w:szCs w:val="24"/>
          <w:highlight w:val="none"/>
        </w:rPr>
        <w:t>破碎。钻探深度未揭穿此层。</w:t>
      </w:r>
    </w:p>
    <w:p>
      <w:pPr>
        <w:pageBreakBefore w:val="0"/>
        <w:widowControl/>
        <w:wordWrap/>
        <w:bidi w:val="0"/>
        <w:spacing w:line="360" w:lineRule="auto"/>
        <w:ind w:left="0" w:leftChars="0" w:right="0" w:rightChars="0"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从工程地质剖面图可以看出</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总体上尾矿堆积物的分布有一定的规律特点</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尾矿堆积物的沉积规律具有纵向上细下粗特点</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水平上变化不大。项目区工程地质剖面见图7</w:t>
      </w:r>
      <w:r>
        <w:rPr>
          <w:rFonts w:hint="default" w:ascii="Times New Roman" w:hAnsi="Times New Roman" w:eastAsia="宋体" w:cs="Times New Roman"/>
          <w:color w:val="auto"/>
          <w:sz w:val="24"/>
          <w:szCs w:val="24"/>
          <w:highlight w:val="none"/>
          <w:lang w:val="en-US" w:eastAsia="zh-CN"/>
        </w:rPr>
        <w:t>-8</w:t>
      </w:r>
      <w:r>
        <w:rPr>
          <w:rFonts w:hint="default" w:ascii="Times New Roman" w:hAnsi="Times New Roman" w:eastAsia="宋体" w:cs="Times New Roman"/>
          <w:color w:val="auto"/>
          <w:sz w:val="24"/>
          <w:szCs w:val="24"/>
          <w:highlight w:val="none"/>
        </w:rPr>
        <w:t>、项目区典型柱状图见图7</w:t>
      </w:r>
      <w:r>
        <w:rPr>
          <w:rFonts w:hint="default" w:ascii="Times New Roman" w:hAnsi="Times New Roman" w:eastAsia="宋体" w:cs="Times New Roman"/>
          <w:color w:val="auto"/>
          <w:sz w:val="24"/>
          <w:szCs w:val="24"/>
          <w:highlight w:val="none"/>
          <w:lang w:val="en-US" w:eastAsia="zh-CN"/>
        </w:rPr>
        <w:t>-9</w:t>
      </w:r>
      <w:r>
        <w:rPr>
          <w:rFonts w:hint="default" w:ascii="Times New Roman" w:hAnsi="Times New Roman" w:eastAsia="宋体" w:cs="Times New Roman"/>
          <w:color w:val="auto"/>
          <w:sz w:val="24"/>
          <w:szCs w:val="24"/>
          <w:highlight w:val="none"/>
        </w:rPr>
        <w:t>。</w:t>
      </w:r>
    </w:p>
    <w:p>
      <w:pPr>
        <w:pStyle w:val="53"/>
        <w:pageBreakBefore w:val="0"/>
        <w:wordWrap/>
        <w:bidi w:val="0"/>
        <w:ind w:left="0" w:leftChars="0" w:right="0" w:right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drawing>
          <wp:inline distT="0" distB="0" distL="0" distR="0">
            <wp:extent cx="5400040" cy="2400300"/>
            <wp:effectExtent l="0" t="0" r="10160" b="0"/>
            <wp:docPr id="50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7" name="图片 1"/>
                    <pic:cNvPicPr>
                      <a:picLocks noChangeAspect="1" noChangeArrowheads="1"/>
                    </pic:cNvPicPr>
                  </pic:nvPicPr>
                  <pic:blipFill>
                    <a:blip r:embed="rId66">
                      <a:extLst>
                        <a:ext uri="{28A0092B-C50C-407E-A947-70E740481C1C}">
                          <a14:useLocalDpi xmlns:a14="http://schemas.microsoft.com/office/drawing/2010/main" val="0"/>
                        </a:ext>
                      </a:extLst>
                    </a:blip>
                    <a:srcRect l="3564" t="24858"/>
                    <a:stretch>
                      <a:fillRect/>
                    </a:stretch>
                  </pic:blipFill>
                  <pic:spPr>
                    <a:xfrm>
                      <a:off x="0" y="0"/>
                      <a:ext cx="5400040" cy="2400300"/>
                    </a:xfrm>
                    <a:prstGeom prst="rect">
                      <a:avLst/>
                    </a:prstGeom>
                    <a:noFill/>
                    <a:ln>
                      <a:noFill/>
                    </a:ln>
                  </pic:spPr>
                </pic:pic>
              </a:graphicData>
            </a:graphic>
          </wp:inline>
        </w:drawing>
      </w:r>
    </w:p>
    <w:p>
      <w:pPr>
        <w:pageBreakBefore w:val="0"/>
        <w:wordWrap/>
        <w:bidi w:val="0"/>
        <w:spacing w:line="360" w:lineRule="auto"/>
        <w:ind w:left="0" w:leftChars="0" w:right="0" w:rightChars="0"/>
        <w:jc w:val="center"/>
        <w:rPr>
          <w:rFonts w:hint="default" w:ascii="Times New Roman" w:hAnsi="Times New Roman" w:eastAsia="宋体" w:cs="Times New Roman"/>
          <w:b/>
          <w:bCs/>
          <w:color w:val="auto"/>
          <w:sz w:val="24"/>
          <w:szCs w:val="32"/>
          <w:highlight w:val="none"/>
        </w:rPr>
      </w:pPr>
      <w:r>
        <w:rPr>
          <w:rFonts w:hint="default" w:ascii="Times New Roman" w:hAnsi="Times New Roman" w:eastAsia="宋体" w:cs="Times New Roman"/>
          <w:b/>
          <w:bCs/>
          <w:color w:val="auto"/>
          <w:sz w:val="24"/>
          <w:szCs w:val="32"/>
          <w:highlight w:val="none"/>
        </w:rPr>
        <w:t>图</w:t>
      </w:r>
      <w:r>
        <w:rPr>
          <w:rFonts w:hint="default" w:ascii="Times New Roman" w:hAnsi="Times New Roman" w:eastAsia="宋体" w:cs="Times New Roman"/>
          <w:b/>
          <w:bCs/>
          <w:color w:val="auto"/>
          <w:sz w:val="24"/>
          <w:szCs w:val="32"/>
          <w:highlight w:val="none"/>
          <w:lang w:val="en-US" w:eastAsia="zh-CN"/>
        </w:rPr>
        <w:t>7-7</w:t>
      </w:r>
      <w:r>
        <w:rPr>
          <w:rFonts w:hint="default" w:ascii="Times New Roman" w:hAnsi="Times New Roman" w:eastAsia="宋体" w:cs="Times New Roman"/>
          <w:b/>
          <w:bCs/>
          <w:color w:val="auto"/>
          <w:sz w:val="24"/>
          <w:szCs w:val="32"/>
          <w:highlight w:val="none"/>
        </w:rPr>
        <w:t>尾矿库项目区工程地质剖面图</w:t>
      </w:r>
    </w:p>
    <w:p>
      <w:pPr>
        <w:pageBreakBefore w:val="0"/>
        <w:widowControl/>
        <w:wordWrap/>
        <w:bidi w:val="0"/>
        <w:spacing w:line="360" w:lineRule="auto"/>
        <w:ind w:left="0" w:leftChars="0" w:right="0" w:rightChars="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drawing>
          <wp:inline distT="0" distB="0" distL="0" distR="0">
            <wp:extent cx="5400040" cy="7502525"/>
            <wp:effectExtent l="0" t="0" r="10160" b="3175"/>
            <wp:docPr id="5028" name="图片 5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8" name="图片 502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a:off x="0" y="0"/>
                      <a:ext cx="5400040" cy="7502525"/>
                    </a:xfrm>
                    <a:prstGeom prst="rect">
                      <a:avLst/>
                    </a:prstGeom>
                    <a:noFill/>
                    <a:ln>
                      <a:noFill/>
                    </a:ln>
                  </pic:spPr>
                </pic:pic>
              </a:graphicData>
            </a:graphic>
          </wp:inline>
        </w:drawing>
      </w:r>
    </w:p>
    <w:p>
      <w:pPr>
        <w:pStyle w:val="53"/>
        <w:pageBreakBefore w:val="0"/>
        <w:wordWrap/>
        <w:bidi w:val="0"/>
        <w:spacing w:line="360" w:lineRule="auto"/>
        <w:ind w:left="0" w:leftChars="0" w:right="0" w:rightChars="0"/>
        <w:jc w:val="center"/>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图7</w:t>
      </w:r>
      <w:r>
        <w:rPr>
          <w:rFonts w:hint="default" w:ascii="Times New Roman" w:hAnsi="Times New Roman" w:eastAsia="宋体" w:cs="Times New Roman"/>
          <w:b/>
          <w:bCs/>
          <w:color w:val="auto"/>
          <w:sz w:val="24"/>
          <w:szCs w:val="24"/>
          <w:highlight w:val="none"/>
          <w:lang w:val="en-US" w:eastAsia="zh-CN"/>
        </w:rPr>
        <w:t>-8</w:t>
      </w:r>
      <w:r>
        <w:rPr>
          <w:rFonts w:hint="default" w:ascii="Times New Roman" w:hAnsi="Times New Roman" w:eastAsia="宋体" w:cs="Times New Roman"/>
          <w:b/>
          <w:bCs/>
          <w:color w:val="auto"/>
          <w:sz w:val="24"/>
          <w:szCs w:val="24"/>
          <w:highlight w:val="none"/>
        </w:rPr>
        <w:t>项目区钻孔柱状图</w:t>
      </w:r>
    </w:p>
    <w:p>
      <w:pPr>
        <w:pageBreakBefore w:val="0"/>
        <w:widowControl/>
        <w:wordWrap/>
        <w:bidi w:val="0"/>
        <w:spacing w:line="360" w:lineRule="auto"/>
        <w:ind w:left="0" w:leftChars="0" w:right="0" w:rightChars="0"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勘察期间场地在标高下26.00m范围未见地下水</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本次勘察对地层渗透性进行了测试</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各土层的渗透系数见表7</w:t>
      </w:r>
      <w:r>
        <w:rPr>
          <w:rFonts w:hint="default" w:ascii="Times New Roman" w:hAnsi="Times New Roman" w:eastAsia="宋体" w:cs="Times New Roman"/>
          <w:color w:val="auto"/>
          <w:sz w:val="24"/>
          <w:szCs w:val="24"/>
          <w:highlight w:val="none"/>
          <w:lang w:val="en-US" w:eastAsia="zh-CN"/>
        </w:rPr>
        <w:t>-10</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根据地层及渗透系数经验值</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坝体坝基土均</w:t>
      </w:r>
      <w:r>
        <w:rPr>
          <w:rFonts w:hint="default" w:ascii="Times New Roman" w:hAnsi="Times New Roman" w:eastAsia="宋体" w:cs="Times New Roman"/>
          <w:color w:val="auto"/>
          <w:sz w:val="24"/>
          <w:szCs w:val="24"/>
          <w:highlight w:val="none"/>
          <w:lang w:eastAsia="zh-CN"/>
        </w:rPr>
        <w:t>属</w:t>
      </w:r>
      <w:r>
        <w:rPr>
          <w:rFonts w:hint="default" w:ascii="Times New Roman" w:hAnsi="Times New Roman" w:eastAsia="宋体" w:cs="Times New Roman"/>
          <w:color w:val="auto"/>
          <w:sz w:val="24"/>
          <w:szCs w:val="24"/>
          <w:highlight w:val="none"/>
        </w:rPr>
        <w:t>于强透水层</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透水性较好。</w:t>
      </w:r>
    </w:p>
    <w:p>
      <w:pPr>
        <w:pStyle w:val="53"/>
        <w:pageBreakBefore w:val="0"/>
        <w:wordWrap/>
        <w:bidi w:val="0"/>
        <w:spacing w:line="360" w:lineRule="auto"/>
        <w:ind w:left="0" w:leftChars="0" w:right="0" w:rightChars="0"/>
        <w:jc w:val="center"/>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表7</w:t>
      </w:r>
      <w:r>
        <w:rPr>
          <w:rFonts w:hint="default" w:ascii="Times New Roman" w:hAnsi="Times New Roman" w:eastAsia="宋体" w:cs="Times New Roman"/>
          <w:b/>
          <w:bCs/>
          <w:color w:val="auto"/>
          <w:sz w:val="24"/>
          <w:szCs w:val="24"/>
          <w:highlight w:val="none"/>
          <w:lang w:val="en-US" w:eastAsia="zh-CN"/>
        </w:rPr>
        <w:t>-10</w:t>
      </w:r>
      <w:r>
        <w:rPr>
          <w:rFonts w:hint="default" w:ascii="Times New Roman" w:hAnsi="Times New Roman" w:eastAsia="宋体" w:cs="Times New Roman"/>
          <w:b/>
          <w:bCs/>
          <w:color w:val="auto"/>
          <w:sz w:val="24"/>
          <w:szCs w:val="24"/>
          <w:highlight w:val="none"/>
        </w:rPr>
        <w:t>项目区地层渗透系数</w:t>
      </w:r>
    </w:p>
    <w:tbl>
      <w:tblPr>
        <w:tblStyle w:val="55"/>
        <w:tblW w:w="850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16"/>
        <w:gridCol w:w="1214"/>
        <w:gridCol w:w="1214"/>
        <w:gridCol w:w="1214"/>
        <w:gridCol w:w="1214"/>
        <w:gridCol w:w="1216"/>
        <w:gridCol w:w="12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18" w:type="dxa"/>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土层</w:t>
            </w:r>
          </w:p>
        </w:tc>
        <w:tc>
          <w:tcPr>
            <w:tcW w:w="1218" w:type="dxa"/>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粉土</w:t>
            </w:r>
          </w:p>
        </w:tc>
        <w:tc>
          <w:tcPr>
            <w:tcW w:w="1218" w:type="dxa"/>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粉砂</w:t>
            </w:r>
          </w:p>
        </w:tc>
        <w:tc>
          <w:tcPr>
            <w:tcW w:w="1218" w:type="dxa"/>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细砂</w:t>
            </w:r>
          </w:p>
        </w:tc>
        <w:tc>
          <w:tcPr>
            <w:tcW w:w="1218" w:type="dxa"/>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砾砂</w:t>
            </w:r>
          </w:p>
        </w:tc>
        <w:tc>
          <w:tcPr>
            <w:tcW w:w="1219" w:type="dxa"/>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碎石</w:t>
            </w:r>
          </w:p>
        </w:tc>
        <w:tc>
          <w:tcPr>
            <w:tcW w:w="1219" w:type="dxa"/>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花岗岩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18" w:type="dxa"/>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渗透系数K（cm/s</w:t>
            </w:r>
            <w:r>
              <w:rPr>
                <w:rFonts w:hint="default" w:ascii="Times New Roman" w:hAnsi="Times New Roman" w:eastAsia="宋体" w:cs="Times New Roman"/>
                <w:color w:val="auto"/>
                <w:highlight w:val="none"/>
                <w:lang w:eastAsia="zh-CN"/>
              </w:rPr>
              <w:t>）</w:t>
            </w:r>
          </w:p>
        </w:tc>
        <w:tc>
          <w:tcPr>
            <w:tcW w:w="1218" w:type="dxa"/>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6.3×10</w:t>
            </w:r>
            <w:r>
              <w:rPr>
                <w:rFonts w:hint="default" w:ascii="Times New Roman" w:hAnsi="Times New Roman" w:eastAsia="宋体" w:cs="Times New Roman"/>
                <w:color w:val="auto"/>
                <w:highlight w:val="none"/>
                <w:vertAlign w:val="superscript"/>
              </w:rPr>
              <w:t>-4</w:t>
            </w:r>
          </w:p>
        </w:tc>
        <w:tc>
          <w:tcPr>
            <w:tcW w:w="1218" w:type="dxa"/>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4.3×10</w:t>
            </w:r>
            <w:r>
              <w:rPr>
                <w:rFonts w:hint="default" w:ascii="Times New Roman" w:hAnsi="Times New Roman" w:eastAsia="宋体" w:cs="Times New Roman"/>
                <w:color w:val="auto"/>
                <w:highlight w:val="none"/>
                <w:vertAlign w:val="superscript"/>
              </w:rPr>
              <w:t>-4</w:t>
            </w:r>
          </w:p>
        </w:tc>
        <w:tc>
          <w:tcPr>
            <w:tcW w:w="1218" w:type="dxa"/>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2.0×10</w:t>
            </w:r>
            <w:r>
              <w:rPr>
                <w:rFonts w:hint="default" w:ascii="Times New Roman" w:hAnsi="Times New Roman" w:eastAsia="宋体" w:cs="Times New Roman"/>
                <w:color w:val="auto"/>
                <w:highlight w:val="none"/>
                <w:vertAlign w:val="superscript"/>
              </w:rPr>
              <w:t>-3</w:t>
            </w:r>
          </w:p>
        </w:tc>
        <w:tc>
          <w:tcPr>
            <w:tcW w:w="1218" w:type="dxa"/>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5.4×10</w:t>
            </w:r>
            <w:r>
              <w:rPr>
                <w:rFonts w:hint="default" w:ascii="Times New Roman" w:hAnsi="Times New Roman" w:eastAsia="宋体" w:cs="Times New Roman"/>
                <w:color w:val="auto"/>
                <w:highlight w:val="none"/>
                <w:vertAlign w:val="superscript"/>
              </w:rPr>
              <w:t>-2</w:t>
            </w:r>
          </w:p>
        </w:tc>
        <w:tc>
          <w:tcPr>
            <w:tcW w:w="1219" w:type="dxa"/>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6.5×10</w:t>
            </w:r>
            <w:r>
              <w:rPr>
                <w:rFonts w:hint="default" w:ascii="Times New Roman" w:hAnsi="Times New Roman" w:eastAsia="宋体" w:cs="Times New Roman"/>
                <w:color w:val="auto"/>
                <w:highlight w:val="none"/>
                <w:vertAlign w:val="superscript"/>
              </w:rPr>
              <w:t>-4</w:t>
            </w:r>
          </w:p>
        </w:tc>
        <w:tc>
          <w:tcPr>
            <w:tcW w:w="1219" w:type="dxa"/>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7.3×10</w:t>
            </w:r>
            <w:r>
              <w:rPr>
                <w:rFonts w:hint="default" w:ascii="Times New Roman" w:hAnsi="Times New Roman" w:eastAsia="宋体" w:cs="Times New Roman"/>
                <w:color w:val="auto"/>
                <w:highlight w:val="none"/>
                <w:vertAlign w:val="superscript"/>
              </w:rPr>
              <w:t>-4</w:t>
            </w:r>
          </w:p>
        </w:tc>
      </w:tr>
    </w:tbl>
    <w:p>
      <w:pPr>
        <w:pageBreakBefore w:val="0"/>
        <w:widowControl/>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据本次勘察结果</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库区内地层层位分布稳定</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无滑坡、泥石流、活动断层等不良地质作用存在</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不存在渗流稳定性问题</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勘察范围内无地下水分布。坝基地层透水性较好。尾矿坝现状浸润线在尾矿库干滩中降落缓慢</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坝坡中水力坡度逐渐增大</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接近初期坝时形成陡降曲线</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浸润指出露位置低于坝脚</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未从坡面溢出</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有利于坝坡的稳定。</w:t>
      </w:r>
    </w:p>
    <w:p>
      <w:pPr>
        <w:pStyle w:val="5"/>
        <w:pageBreakBefore w:val="0"/>
        <w:numPr>
          <w:ilvl w:val="2"/>
          <w:numId w:val="0"/>
        </w:numPr>
        <w:kinsoku/>
        <w:wordWrap/>
        <w:overflowPunct/>
        <w:topLinePunct w:val="0"/>
        <w:autoSpaceDE/>
        <w:autoSpaceDN/>
        <w:bidi w:val="0"/>
        <w:adjustRightInd/>
        <w:snapToGrid/>
        <w:spacing w:line="360" w:lineRule="auto"/>
        <w:ind w:left="0" w:leftChars="0" w:right="0" w:rightChars="0"/>
        <w:textAlignment w:val="auto"/>
        <w:outlineLvl w:val="1"/>
        <w:rPr>
          <w:rFonts w:hint="default" w:ascii="Times New Roman" w:hAnsi="Times New Roman" w:eastAsia="宋体" w:cs="Times New Roman"/>
          <w:b/>
          <w:bCs/>
          <w:color w:val="auto"/>
          <w:sz w:val="24"/>
          <w:szCs w:val="24"/>
          <w:highlight w:val="none"/>
        </w:rPr>
      </w:pPr>
      <w:bookmarkStart w:id="981" w:name="_Toc10809"/>
      <w:bookmarkStart w:id="982" w:name="_Toc3151"/>
      <w:bookmarkStart w:id="983" w:name="_Toc24511"/>
      <w:r>
        <w:rPr>
          <w:rFonts w:hint="default" w:ascii="Times New Roman" w:hAnsi="Times New Roman" w:eastAsia="宋体" w:cs="Times New Roman"/>
          <w:b/>
          <w:bCs/>
          <w:i w:val="0"/>
          <w:iCs w:val="0"/>
          <w:caps w:val="0"/>
          <w:smallCaps w:val="0"/>
          <w:strike w:val="0"/>
          <w:dstrike w:val="0"/>
          <w:vanish w:val="0"/>
          <w:color w:val="auto"/>
          <w:spacing w:val="0"/>
          <w:kern w:val="2"/>
          <w:position w:val="0"/>
          <w:sz w:val="24"/>
          <w:szCs w:val="24"/>
          <w:highlight w:val="none"/>
          <w:u w:val="none"/>
          <w:vertAlign w:val="baseline"/>
          <w:lang w:val="en-US" w:eastAsia="zh-CN" w:bidi="ar-SA"/>
          <w14:shadow w14:blurRad="0" w14:dist="0" w14:dir="0" w14:sx="0" w14:sy="0" w14:kx="0" w14:ky="0" w14:algn="none">
            <w14:srgbClr w14:val="000000"/>
          </w14:shadow>
        </w:rPr>
        <w:t>7.4.5</w:t>
      </w:r>
      <w:r>
        <w:rPr>
          <w:rFonts w:hint="default" w:ascii="Times New Roman" w:hAnsi="Times New Roman" w:eastAsia="宋体" w:cs="Times New Roman"/>
          <w:b/>
          <w:bCs/>
          <w:color w:val="auto"/>
          <w:sz w:val="24"/>
          <w:szCs w:val="24"/>
          <w:highlight w:val="none"/>
        </w:rPr>
        <w:t>包气带防污性能</w:t>
      </w:r>
      <w:bookmarkEnd w:id="981"/>
      <w:bookmarkEnd w:id="982"/>
      <w:bookmarkEnd w:id="983"/>
    </w:p>
    <w:p>
      <w:pPr>
        <w:pageBreakBefore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由尾矿库地层岩性可知</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尾矿库的包气带主要由细砂和砾砂组成</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厚度一般小于26m。尾矿库包气带的渗透系数最大为5.4×10</w:t>
      </w:r>
      <w:r>
        <w:rPr>
          <w:rFonts w:hint="default" w:ascii="Times New Roman" w:hAnsi="Times New Roman" w:eastAsia="宋体" w:cs="Times New Roman"/>
          <w:color w:val="auto"/>
          <w:sz w:val="24"/>
          <w:szCs w:val="24"/>
          <w:highlight w:val="none"/>
          <w:vertAlign w:val="superscript"/>
        </w:rPr>
        <w:t>-2</w:t>
      </w:r>
      <w:r>
        <w:rPr>
          <w:rFonts w:hint="default" w:ascii="Times New Roman" w:hAnsi="Times New Roman" w:eastAsia="宋体" w:cs="Times New Roman"/>
          <w:color w:val="auto"/>
          <w:sz w:val="24"/>
          <w:szCs w:val="24"/>
          <w:highlight w:val="none"/>
        </w:rPr>
        <w:t>cm/s</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渗透系数大于1.0×10</w:t>
      </w:r>
      <w:r>
        <w:rPr>
          <w:rFonts w:hint="default" w:ascii="Times New Roman" w:hAnsi="Times New Roman" w:eastAsia="宋体" w:cs="Times New Roman"/>
          <w:color w:val="auto"/>
          <w:sz w:val="24"/>
          <w:szCs w:val="24"/>
          <w:highlight w:val="none"/>
          <w:vertAlign w:val="superscript"/>
        </w:rPr>
        <w:t>-4</w:t>
      </w:r>
      <w:r>
        <w:rPr>
          <w:rFonts w:hint="default" w:ascii="Times New Roman" w:hAnsi="Times New Roman" w:eastAsia="宋体" w:cs="Times New Roman"/>
          <w:color w:val="auto"/>
          <w:sz w:val="24"/>
          <w:szCs w:val="24"/>
          <w:highlight w:val="none"/>
        </w:rPr>
        <w:t>cm/s</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根据导则判断厂区天然包气带防污性能为“弱”。天然包气带防污性能分级参照表见表7</w:t>
      </w:r>
      <w:r>
        <w:rPr>
          <w:rFonts w:hint="default" w:ascii="Times New Roman" w:hAnsi="Times New Roman" w:eastAsia="宋体" w:cs="Times New Roman"/>
          <w:color w:val="auto"/>
          <w:sz w:val="24"/>
          <w:szCs w:val="24"/>
          <w:highlight w:val="none"/>
          <w:lang w:val="en-US" w:eastAsia="zh-CN"/>
        </w:rPr>
        <w:t>-11</w:t>
      </w:r>
      <w:r>
        <w:rPr>
          <w:rFonts w:hint="default" w:ascii="Times New Roman" w:hAnsi="Times New Roman" w:eastAsia="宋体" w:cs="Times New Roman"/>
          <w:color w:val="auto"/>
          <w:sz w:val="24"/>
          <w:szCs w:val="24"/>
          <w:highlight w:val="none"/>
        </w:rPr>
        <w:t>。</w:t>
      </w:r>
    </w:p>
    <w:p>
      <w:pPr>
        <w:pStyle w:val="53"/>
        <w:pageBreakBefore w:val="0"/>
        <w:kinsoku/>
        <w:wordWrap/>
        <w:overflowPunct/>
        <w:topLinePunct w:val="0"/>
        <w:autoSpaceDE/>
        <w:autoSpaceDN/>
        <w:bidi w:val="0"/>
        <w:adjustRightInd/>
        <w:snapToGrid/>
        <w:spacing w:line="360" w:lineRule="auto"/>
        <w:ind w:left="0" w:leftChars="0" w:right="0" w:rightChars="0" w:firstLine="482" w:firstLineChars="200"/>
        <w:jc w:val="center"/>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表7</w:t>
      </w:r>
      <w:r>
        <w:rPr>
          <w:rFonts w:hint="default" w:ascii="Times New Roman" w:hAnsi="Times New Roman" w:eastAsia="宋体" w:cs="Times New Roman"/>
          <w:b/>
          <w:bCs/>
          <w:color w:val="auto"/>
          <w:sz w:val="24"/>
          <w:szCs w:val="24"/>
          <w:highlight w:val="none"/>
          <w:lang w:val="en-US" w:eastAsia="zh-CN"/>
        </w:rPr>
        <w:t>-11</w:t>
      </w:r>
      <w:r>
        <w:rPr>
          <w:rFonts w:hint="default" w:ascii="Times New Roman" w:hAnsi="Times New Roman" w:eastAsia="宋体" w:cs="Times New Roman"/>
          <w:b/>
          <w:bCs/>
          <w:color w:val="auto"/>
          <w:sz w:val="24"/>
          <w:szCs w:val="24"/>
          <w:highlight w:val="none"/>
        </w:rPr>
        <w:t>天然包气带防污性能参照表</w:t>
      </w:r>
    </w:p>
    <w:tbl>
      <w:tblPr>
        <w:tblStyle w:val="54"/>
        <w:tblW w:w="8504" w:type="dxa"/>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693"/>
        <w:gridCol w:w="7811"/>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06" w:type="dxa"/>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分级</w:t>
            </w:r>
          </w:p>
        </w:tc>
        <w:tc>
          <w:tcPr>
            <w:tcW w:w="8014" w:type="dxa"/>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包气带岩土的渗透性能</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06" w:type="dxa"/>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强</w:t>
            </w:r>
          </w:p>
        </w:tc>
        <w:tc>
          <w:tcPr>
            <w:tcW w:w="8014" w:type="dxa"/>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岩（土</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层单层厚度Mb≥1.0m</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渗透系数K≤1×10</w:t>
            </w:r>
            <w:r>
              <w:rPr>
                <w:rFonts w:hint="default" w:ascii="Times New Roman" w:hAnsi="Times New Roman" w:eastAsia="宋体" w:cs="Times New Roman"/>
                <w:color w:val="auto"/>
                <w:kern w:val="0"/>
                <w:szCs w:val="21"/>
                <w:highlight w:val="none"/>
                <w:vertAlign w:val="superscript"/>
              </w:rPr>
              <w:t>-6</w:t>
            </w:r>
            <w:r>
              <w:rPr>
                <w:rFonts w:hint="default" w:ascii="Times New Roman" w:hAnsi="Times New Roman" w:eastAsia="宋体" w:cs="Times New Roman"/>
                <w:color w:val="auto"/>
                <w:kern w:val="0"/>
                <w:szCs w:val="21"/>
                <w:highlight w:val="none"/>
              </w:rPr>
              <w:t>cm/s</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且分布连续、稳定。</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06" w:type="dxa"/>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中</w:t>
            </w:r>
          </w:p>
        </w:tc>
        <w:tc>
          <w:tcPr>
            <w:tcW w:w="8014" w:type="dxa"/>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岩（土</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层单层厚度0.5m≤Mb&lt;1.0m</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渗透系数K≤1×10</w:t>
            </w:r>
            <w:r>
              <w:rPr>
                <w:rFonts w:hint="default" w:ascii="Times New Roman" w:hAnsi="Times New Roman" w:eastAsia="宋体" w:cs="Times New Roman"/>
                <w:color w:val="auto"/>
                <w:kern w:val="0"/>
                <w:szCs w:val="21"/>
                <w:highlight w:val="none"/>
                <w:vertAlign w:val="superscript"/>
              </w:rPr>
              <w:t>-6</w:t>
            </w:r>
            <w:r>
              <w:rPr>
                <w:rFonts w:hint="default" w:ascii="Times New Roman" w:hAnsi="Times New Roman" w:eastAsia="宋体" w:cs="Times New Roman"/>
                <w:color w:val="auto"/>
                <w:kern w:val="0"/>
                <w:szCs w:val="21"/>
                <w:highlight w:val="none"/>
              </w:rPr>
              <w:t>cm/s</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且分布连续、稳定。岩（土</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层单层厚度Mb≥1.0m</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渗透系数1×10</w:t>
            </w:r>
            <w:r>
              <w:rPr>
                <w:rFonts w:hint="default" w:ascii="Times New Roman" w:hAnsi="Times New Roman" w:eastAsia="宋体" w:cs="Times New Roman"/>
                <w:color w:val="auto"/>
                <w:kern w:val="0"/>
                <w:szCs w:val="21"/>
                <w:highlight w:val="none"/>
                <w:vertAlign w:val="superscript"/>
              </w:rPr>
              <w:t>-6</w:t>
            </w:r>
            <w:r>
              <w:rPr>
                <w:rFonts w:hint="default" w:ascii="Times New Roman" w:hAnsi="Times New Roman" w:eastAsia="宋体" w:cs="Times New Roman"/>
                <w:color w:val="auto"/>
                <w:kern w:val="0"/>
                <w:szCs w:val="21"/>
                <w:highlight w:val="none"/>
              </w:rPr>
              <w:t>cm/s&lt;K≤1×10</w:t>
            </w:r>
            <w:r>
              <w:rPr>
                <w:rFonts w:hint="default" w:ascii="Times New Roman" w:hAnsi="Times New Roman" w:eastAsia="宋体" w:cs="Times New Roman"/>
                <w:color w:val="auto"/>
                <w:kern w:val="0"/>
                <w:szCs w:val="21"/>
                <w:highlight w:val="none"/>
                <w:vertAlign w:val="superscript"/>
              </w:rPr>
              <w:t>-4</w:t>
            </w:r>
            <w:r>
              <w:rPr>
                <w:rFonts w:hint="default" w:ascii="Times New Roman" w:hAnsi="Times New Roman" w:eastAsia="宋体" w:cs="Times New Roman"/>
                <w:color w:val="auto"/>
                <w:kern w:val="0"/>
                <w:szCs w:val="21"/>
                <w:highlight w:val="none"/>
              </w:rPr>
              <w:t>cm/s</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且分布连续、稳定。</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06" w:type="dxa"/>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弱</w:t>
            </w:r>
          </w:p>
        </w:tc>
        <w:tc>
          <w:tcPr>
            <w:tcW w:w="8014" w:type="dxa"/>
            <w:vAlign w:val="center"/>
          </w:tcPr>
          <w:p>
            <w:pPr>
              <w:keepNext/>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岩（土</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层不满足上述“强”和“中”条件。</w:t>
            </w:r>
          </w:p>
        </w:tc>
      </w:tr>
    </w:tbl>
    <w:p>
      <w:pPr>
        <w:pStyle w:val="5"/>
        <w:pageBreakBefore w:val="0"/>
        <w:numPr>
          <w:ilvl w:val="2"/>
          <w:numId w:val="0"/>
        </w:numPr>
        <w:wordWrap/>
        <w:bidi w:val="0"/>
        <w:ind w:left="0" w:leftChars="0" w:right="0" w:rightChars="0"/>
        <w:outlineLvl w:val="1"/>
        <w:rPr>
          <w:rFonts w:hint="default" w:ascii="Times New Roman" w:hAnsi="Times New Roman" w:eastAsia="宋体" w:cs="Times New Roman"/>
          <w:b/>
          <w:bCs/>
          <w:color w:val="auto"/>
          <w:sz w:val="24"/>
          <w:szCs w:val="24"/>
          <w:highlight w:val="none"/>
        </w:rPr>
      </w:pPr>
      <w:bookmarkStart w:id="984" w:name="_Toc23076"/>
      <w:bookmarkStart w:id="985" w:name="_Toc31709"/>
      <w:bookmarkStart w:id="986" w:name="_Toc13665"/>
      <w:r>
        <w:rPr>
          <w:rFonts w:hint="default" w:ascii="Times New Roman" w:hAnsi="Times New Roman" w:eastAsia="宋体" w:cs="Times New Roman"/>
          <w:b/>
          <w:bCs/>
          <w:i w:val="0"/>
          <w:iCs w:val="0"/>
          <w:caps w:val="0"/>
          <w:smallCaps w:val="0"/>
          <w:strike w:val="0"/>
          <w:dstrike w:val="0"/>
          <w:vanish w:val="0"/>
          <w:color w:val="auto"/>
          <w:spacing w:val="0"/>
          <w:kern w:val="2"/>
          <w:position w:val="0"/>
          <w:sz w:val="24"/>
          <w:szCs w:val="24"/>
          <w:highlight w:val="none"/>
          <w:u w:val="none"/>
          <w:vertAlign w:val="baseline"/>
          <w:lang w:val="en-US" w:eastAsia="zh-CN" w:bidi="ar-SA"/>
          <w14:shadow w14:blurRad="0" w14:dist="0" w14:dir="0" w14:sx="0" w14:sy="0" w14:kx="0" w14:ky="0" w14:algn="none">
            <w14:srgbClr w14:val="000000"/>
          </w14:shadow>
        </w:rPr>
        <w:t>7.4.6</w:t>
      </w:r>
      <w:r>
        <w:rPr>
          <w:rFonts w:hint="default" w:ascii="Times New Roman" w:hAnsi="Times New Roman" w:eastAsia="宋体" w:cs="Times New Roman"/>
          <w:b/>
          <w:bCs/>
          <w:color w:val="auto"/>
          <w:sz w:val="24"/>
          <w:szCs w:val="24"/>
          <w:highlight w:val="none"/>
        </w:rPr>
        <w:t>水文地质试验</w:t>
      </w:r>
      <w:bookmarkEnd w:id="984"/>
      <w:bookmarkEnd w:id="985"/>
      <w:bookmarkEnd w:id="986"/>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《内蒙古自治区乌拉特前旗西沙德盖钼业有限责任公司年产300万吨钼矿采选扩建项目尾矿库水文地质勘察报告》中对项目区附近的一口民井各进行了简易抽水试验</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本次在尾矿库北侧200m沟谷</w:t>
      </w:r>
      <w:r>
        <w:rPr>
          <w:rFonts w:hint="default" w:ascii="Times New Roman" w:hAnsi="Times New Roman" w:eastAsia="宋体" w:cs="Times New Roman"/>
          <w:color w:val="auto"/>
          <w:sz w:val="24"/>
          <w:szCs w:val="24"/>
          <w:highlight w:val="none"/>
          <w:lang w:eastAsia="zh-CN"/>
        </w:rPr>
        <w:t>沙砾石层</w:t>
      </w:r>
      <w:r>
        <w:rPr>
          <w:rFonts w:hint="default" w:ascii="Times New Roman" w:hAnsi="Times New Roman" w:eastAsia="宋体" w:cs="Times New Roman"/>
          <w:color w:val="auto"/>
          <w:sz w:val="24"/>
          <w:szCs w:val="24"/>
          <w:highlight w:val="none"/>
        </w:rPr>
        <w:t>进行了一处渗水试验。</w:t>
      </w:r>
    </w:p>
    <w:p>
      <w:pPr>
        <w:pageBreakBefore w:val="0"/>
        <w:wordWrap/>
        <w:bidi w:val="0"/>
        <w:spacing w:line="360" w:lineRule="auto"/>
        <w:ind w:left="0" w:leftChars="0" w:right="0" w:rightChars="0" w:firstLine="480" w:firstLineChars="200"/>
        <w:outlineLvl w:val="0"/>
        <w:rPr>
          <w:rFonts w:hint="default" w:ascii="Times New Roman" w:hAnsi="Times New Roman" w:eastAsia="宋体" w:cs="Times New Roman"/>
          <w:color w:val="auto"/>
          <w:sz w:val="24"/>
          <w:szCs w:val="24"/>
          <w:highlight w:val="none"/>
        </w:rPr>
      </w:pPr>
      <w:bookmarkStart w:id="987" w:name="_Toc9458"/>
      <w:bookmarkStart w:id="988" w:name="_Toc2694"/>
      <w:r>
        <w:rPr>
          <w:rFonts w:hint="default" w:ascii="Times New Roman" w:hAnsi="Times New Roman" w:eastAsia="宋体" w:cs="Times New Roman"/>
          <w:color w:val="auto"/>
          <w:sz w:val="24"/>
          <w:szCs w:val="24"/>
          <w:highlight w:val="none"/>
        </w:rPr>
        <w:t>（1</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抽水试验</w:t>
      </w:r>
      <w:bookmarkEnd w:id="987"/>
      <w:bookmarkEnd w:id="988"/>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评价区尾矿库东侧500m沙德盖沟MJ1进行抽水试验</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含水层岩性为第四系冲洪积砂砾石</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利用现有抽水设备进行了一次最大降深的简易抽水试验</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井深3.3m</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井径1.0m</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静止水位1.60m</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渗透系数计算为33.6m/d。</w:t>
      </w:r>
    </w:p>
    <w:p>
      <w:pPr>
        <w:pageBreakBefore w:val="0"/>
        <w:wordWrap/>
        <w:bidi w:val="0"/>
        <w:spacing w:line="360" w:lineRule="auto"/>
        <w:ind w:left="0" w:leftChars="0" w:right="0" w:rightChars="0"/>
        <w:jc w:val="center"/>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表7</w:t>
      </w:r>
      <w:r>
        <w:rPr>
          <w:rFonts w:hint="default" w:ascii="Times New Roman" w:hAnsi="Times New Roman" w:eastAsia="宋体" w:cs="Times New Roman"/>
          <w:b/>
          <w:bCs/>
          <w:color w:val="auto"/>
          <w:sz w:val="24"/>
          <w:szCs w:val="24"/>
          <w:highlight w:val="none"/>
          <w:lang w:val="en-US" w:eastAsia="zh-CN"/>
        </w:rPr>
        <w:t>-12</w:t>
      </w:r>
      <w:r>
        <w:rPr>
          <w:rFonts w:hint="default" w:ascii="Times New Roman" w:hAnsi="Times New Roman" w:eastAsia="宋体" w:cs="Times New Roman"/>
          <w:b/>
          <w:bCs/>
          <w:color w:val="auto"/>
          <w:sz w:val="24"/>
          <w:szCs w:val="24"/>
          <w:highlight w:val="none"/>
        </w:rPr>
        <w:t>调查区抽水试验结果表</w:t>
      </w:r>
    </w:p>
    <w:tbl>
      <w:tblPr>
        <w:tblStyle w:val="54"/>
        <w:tblW w:w="8504" w:type="dxa"/>
        <w:jc w:val="center"/>
        <w:tblLayout w:type="autofit"/>
        <w:tblCellMar>
          <w:top w:w="0" w:type="dxa"/>
          <w:left w:w="108" w:type="dxa"/>
          <w:bottom w:w="0" w:type="dxa"/>
          <w:right w:w="108" w:type="dxa"/>
        </w:tblCellMar>
      </w:tblPr>
      <w:tblGrid>
        <w:gridCol w:w="1047"/>
        <w:gridCol w:w="1382"/>
        <w:gridCol w:w="1156"/>
        <w:gridCol w:w="973"/>
        <w:gridCol w:w="973"/>
        <w:gridCol w:w="973"/>
        <w:gridCol w:w="973"/>
        <w:gridCol w:w="1027"/>
      </w:tblGrid>
      <w:tr>
        <w:tblPrEx>
          <w:tblCellMar>
            <w:top w:w="0" w:type="dxa"/>
            <w:left w:w="108" w:type="dxa"/>
            <w:bottom w:w="0" w:type="dxa"/>
            <w:right w:w="108" w:type="dxa"/>
          </w:tblCellMar>
        </w:tblPrEx>
        <w:trPr>
          <w:trHeight w:val="340" w:hRule="atLeast"/>
          <w:jc w:val="center"/>
        </w:trPr>
        <w:tc>
          <w:tcPr>
            <w:tcW w:w="1280" w:type="dxa"/>
            <w:tcBorders>
              <w:top w:val="single" w:color="auto" w:sz="4" w:space="0"/>
              <w:left w:val="single" w:color="auto" w:sz="4" w:space="0"/>
              <w:bottom w:val="single" w:color="auto" w:sz="4" w:space="0"/>
              <w:right w:val="single" w:color="auto" w:sz="4" w:space="0"/>
            </w:tcBorders>
            <w:shd w:val="clear" w:color="auto" w:fill="auto"/>
            <w:vAlign w:val="center"/>
          </w:tcPr>
          <w:p>
            <w:pPr>
              <w:pageBreakBefore w:val="0"/>
              <w:wordWrap/>
              <w:bidi w:val="0"/>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井号</w:t>
            </w:r>
          </w:p>
        </w:tc>
        <w:tc>
          <w:tcPr>
            <w:tcW w:w="1540" w:type="dxa"/>
            <w:tcBorders>
              <w:top w:val="single" w:color="auto" w:sz="4" w:space="0"/>
              <w:left w:val="nil"/>
              <w:bottom w:val="single" w:color="auto" w:sz="4" w:space="0"/>
              <w:right w:val="single" w:color="auto" w:sz="4" w:space="0"/>
            </w:tcBorders>
            <w:shd w:val="clear" w:color="auto" w:fill="auto"/>
            <w:vAlign w:val="center"/>
          </w:tcPr>
          <w:p>
            <w:pPr>
              <w:pageBreakBefore w:val="0"/>
              <w:wordWrap/>
              <w:bidi w:val="0"/>
              <w:ind w:left="0" w:leftChars="0" w:right="0" w:rightChars="0"/>
              <w:jc w:val="center"/>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Q（m3/d</w:t>
            </w:r>
            <w:r>
              <w:rPr>
                <w:rFonts w:hint="default" w:ascii="Times New Roman" w:hAnsi="Times New Roman" w:eastAsia="宋体" w:cs="Times New Roman"/>
                <w:color w:val="auto"/>
                <w:highlight w:val="none"/>
                <w:lang w:eastAsia="zh-CN"/>
              </w:rPr>
              <w:t>）</w:t>
            </w:r>
          </w:p>
        </w:tc>
        <w:tc>
          <w:tcPr>
            <w:tcW w:w="1060" w:type="dxa"/>
            <w:tcBorders>
              <w:top w:val="single" w:color="auto" w:sz="4" w:space="0"/>
              <w:left w:val="nil"/>
              <w:bottom w:val="single" w:color="auto" w:sz="4" w:space="0"/>
              <w:right w:val="single" w:color="auto" w:sz="4" w:space="0"/>
            </w:tcBorders>
            <w:shd w:val="clear" w:color="auto" w:fill="auto"/>
            <w:vAlign w:val="center"/>
          </w:tcPr>
          <w:p>
            <w:pPr>
              <w:pageBreakBefore w:val="0"/>
              <w:wordWrap/>
              <w:bidi w:val="0"/>
              <w:ind w:left="0" w:leftChars="0" w:right="0" w:rightChars="0"/>
              <w:jc w:val="center"/>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q</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L/S.m</w:t>
            </w:r>
            <w:r>
              <w:rPr>
                <w:rFonts w:hint="default" w:ascii="Times New Roman" w:hAnsi="Times New Roman" w:eastAsia="宋体" w:cs="Times New Roman"/>
                <w:color w:val="auto"/>
                <w:highlight w:val="none"/>
                <w:lang w:eastAsia="zh-CN"/>
              </w:rPr>
              <w:t>）</w:t>
            </w:r>
          </w:p>
        </w:tc>
        <w:tc>
          <w:tcPr>
            <w:tcW w:w="1060" w:type="dxa"/>
            <w:tcBorders>
              <w:top w:val="single" w:color="auto" w:sz="4" w:space="0"/>
              <w:left w:val="nil"/>
              <w:bottom w:val="single" w:color="auto" w:sz="4" w:space="0"/>
              <w:right w:val="single" w:color="auto" w:sz="4" w:space="0"/>
            </w:tcBorders>
            <w:shd w:val="clear" w:color="auto" w:fill="auto"/>
            <w:vAlign w:val="center"/>
          </w:tcPr>
          <w:p>
            <w:pPr>
              <w:pageBreakBefore w:val="0"/>
              <w:wordWrap/>
              <w:bidi w:val="0"/>
              <w:ind w:left="0" w:leftChars="0" w:right="0" w:rightChars="0"/>
              <w:jc w:val="center"/>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H（m</w:t>
            </w:r>
            <w:r>
              <w:rPr>
                <w:rFonts w:hint="default" w:ascii="Times New Roman" w:hAnsi="Times New Roman" w:eastAsia="宋体" w:cs="Times New Roman"/>
                <w:color w:val="auto"/>
                <w:highlight w:val="none"/>
                <w:lang w:eastAsia="zh-CN"/>
              </w:rPr>
              <w:t>）</w:t>
            </w:r>
          </w:p>
        </w:tc>
        <w:tc>
          <w:tcPr>
            <w:tcW w:w="1060" w:type="dxa"/>
            <w:tcBorders>
              <w:top w:val="single" w:color="auto" w:sz="4" w:space="0"/>
              <w:left w:val="nil"/>
              <w:bottom w:val="single" w:color="auto" w:sz="4" w:space="0"/>
              <w:right w:val="single" w:color="auto" w:sz="4" w:space="0"/>
            </w:tcBorders>
            <w:shd w:val="clear" w:color="auto" w:fill="auto"/>
            <w:vAlign w:val="center"/>
          </w:tcPr>
          <w:p>
            <w:pPr>
              <w:pageBreakBefore w:val="0"/>
              <w:wordWrap/>
              <w:bidi w:val="0"/>
              <w:ind w:left="0" w:leftChars="0" w:right="0" w:rightChars="0"/>
              <w:jc w:val="center"/>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R（m</w:t>
            </w:r>
            <w:r>
              <w:rPr>
                <w:rFonts w:hint="default" w:ascii="Times New Roman" w:hAnsi="Times New Roman" w:eastAsia="宋体" w:cs="Times New Roman"/>
                <w:color w:val="auto"/>
                <w:highlight w:val="none"/>
                <w:lang w:eastAsia="zh-CN"/>
              </w:rPr>
              <w:t>）</w:t>
            </w:r>
          </w:p>
        </w:tc>
        <w:tc>
          <w:tcPr>
            <w:tcW w:w="1060" w:type="dxa"/>
            <w:tcBorders>
              <w:top w:val="single" w:color="auto" w:sz="4" w:space="0"/>
              <w:left w:val="nil"/>
              <w:bottom w:val="single" w:color="auto" w:sz="4" w:space="0"/>
              <w:right w:val="single" w:color="auto" w:sz="4" w:space="0"/>
            </w:tcBorders>
            <w:shd w:val="clear" w:color="auto" w:fill="auto"/>
            <w:vAlign w:val="center"/>
          </w:tcPr>
          <w:p>
            <w:pPr>
              <w:pageBreakBefore w:val="0"/>
              <w:wordWrap/>
              <w:bidi w:val="0"/>
              <w:ind w:left="0" w:leftChars="0" w:right="0" w:rightChars="0"/>
              <w:jc w:val="center"/>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r</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lang w:eastAsia="zh-CN"/>
              </w:rPr>
              <w:t>）</w:t>
            </w:r>
          </w:p>
        </w:tc>
        <w:tc>
          <w:tcPr>
            <w:tcW w:w="1060" w:type="dxa"/>
            <w:tcBorders>
              <w:top w:val="single" w:color="auto" w:sz="4" w:space="0"/>
              <w:left w:val="nil"/>
              <w:bottom w:val="single" w:color="auto" w:sz="4" w:space="0"/>
              <w:right w:val="single" w:color="auto" w:sz="4" w:space="0"/>
            </w:tcBorders>
            <w:shd w:val="clear" w:color="auto" w:fill="auto"/>
            <w:vAlign w:val="center"/>
          </w:tcPr>
          <w:p>
            <w:pPr>
              <w:pageBreakBefore w:val="0"/>
              <w:wordWrap/>
              <w:bidi w:val="0"/>
              <w:ind w:left="0" w:leftChars="0" w:right="0" w:rightChars="0"/>
              <w:jc w:val="center"/>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S（m</w:t>
            </w:r>
            <w:r>
              <w:rPr>
                <w:rFonts w:hint="default" w:ascii="Times New Roman" w:hAnsi="Times New Roman" w:eastAsia="宋体" w:cs="Times New Roman"/>
                <w:color w:val="auto"/>
                <w:highlight w:val="none"/>
                <w:lang w:eastAsia="zh-CN"/>
              </w:rPr>
              <w:t>）</w:t>
            </w:r>
          </w:p>
        </w:tc>
        <w:tc>
          <w:tcPr>
            <w:tcW w:w="1060" w:type="dxa"/>
            <w:tcBorders>
              <w:top w:val="single" w:color="auto" w:sz="4" w:space="0"/>
              <w:left w:val="nil"/>
              <w:bottom w:val="single" w:color="auto" w:sz="4" w:space="0"/>
              <w:right w:val="single" w:color="auto" w:sz="4" w:space="0"/>
            </w:tcBorders>
            <w:shd w:val="clear" w:color="auto" w:fill="auto"/>
            <w:vAlign w:val="center"/>
          </w:tcPr>
          <w:p>
            <w:pPr>
              <w:pageBreakBefore w:val="0"/>
              <w:wordWrap/>
              <w:bidi w:val="0"/>
              <w:ind w:left="0" w:leftChars="0" w:right="0" w:rightChars="0"/>
              <w:jc w:val="center"/>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K（m/d</w:t>
            </w:r>
            <w:r>
              <w:rPr>
                <w:rFonts w:hint="default" w:ascii="Times New Roman" w:hAnsi="Times New Roman" w:eastAsia="宋体" w:cs="Times New Roman"/>
                <w:color w:val="auto"/>
                <w:highlight w:val="none"/>
                <w:lang w:eastAsia="zh-CN"/>
              </w:rPr>
              <w:t>）</w:t>
            </w:r>
          </w:p>
        </w:tc>
      </w:tr>
      <w:tr>
        <w:tblPrEx>
          <w:tblCellMar>
            <w:top w:w="0" w:type="dxa"/>
            <w:left w:w="108" w:type="dxa"/>
            <w:bottom w:w="0" w:type="dxa"/>
            <w:right w:w="108" w:type="dxa"/>
          </w:tblCellMar>
        </w:tblPrEx>
        <w:trPr>
          <w:trHeight w:val="340" w:hRule="atLeast"/>
          <w:jc w:val="center"/>
        </w:trPr>
        <w:tc>
          <w:tcPr>
            <w:tcW w:w="1280" w:type="dxa"/>
            <w:tcBorders>
              <w:top w:val="nil"/>
              <w:left w:val="single" w:color="auto" w:sz="4" w:space="0"/>
              <w:bottom w:val="single" w:color="auto" w:sz="4" w:space="0"/>
              <w:right w:val="single" w:color="auto" w:sz="4" w:space="0"/>
            </w:tcBorders>
            <w:shd w:val="clear" w:color="auto" w:fill="auto"/>
            <w:vAlign w:val="center"/>
          </w:tcPr>
          <w:p>
            <w:pPr>
              <w:pageBreakBefore w:val="0"/>
              <w:wordWrap/>
              <w:bidi w:val="0"/>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MJ1</w:t>
            </w:r>
          </w:p>
        </w:tc>
        <w:tc>
          <w:tcPr>
            <w:tcW w:w="1540" w:type="dxa"/>
            <w:tcBorders>
              <w:top w:val="nil"/>
              <w:left w:val="nil"/>
              <w:bottom w:val="single" w:color="auto" w:sz="4" w:space="0"/>
              <w:right w:val="single" w:color="auto" w:sz="4" w:space="0"/>
            </w:tcBorders>
            <w:shd w:val="clear" w:color="auto" w:fill="auto"/>
            <w:vAlign w:val="center"/>
          </w:tcPr>
          <w:p>
            <w:pPr>
              <w:pageBreakBefore w:val="0"/>
              <w:wordWrap/>
              <w:bidi w:val="0"/>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64.58</w:t>
            </w:r>
          </w:p>
        </w:tc>
        <w:tc>
          <w:tcPr>
            <w:tcW w:w="1060" w:type="dxa"/>
            <w:tcBorders>
              <w:top w:val="nil"/>
              <w:left w:val="nil"/>
              <w:bottom w:val="single" w:color="auto" w:sz="4" w:space="0"/>
              <w:right w:val="single" w:color="auto" w:sz="4" w:space="0"/>
            </w:tcBorders>
            <w:shd w:val="clear" w:color="auto" w:fill="auto"/>
            <w:vAlign w:val="center"/>
          </w:tcPr>
          <w:p>
            <w:pPr>
              <w:pageBreakBefore w:val="0"/>
              <w:wordWrap/>
              <w:bidi w:val="0"/>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0.96</w:t>
            </w:r>
          </w:p>
        </w:tc>
        <w:tc>
          <w:tcPr>
            <w:tcW w:w="1060" w:type="dxa"/>
            <w:tcBorders>
              <w:top w:val="nil"/>
              <w:left w:val="nil"/>
              <w:bottom w:val="single" w:color="auto" w:sz="4" w:space="0"/>
              <w:right w:val="single" w:color="auto" w:sz="4" w:space="0"/>
            </w:tcBorders>
            <w:shd w:val="clear" w:color="auto" w:fill="auto"/>
            <w:vAlign w:val="center"/>
          </w:tcPr>
          <w:p>
            <w:pPr>
              <w:pageBreakBefore w:val="0"/>
              <w:wordWrap/>
              <w:bidi w:val="0"/>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1.7</w:t>
            </w:r>
          </w:p>
        </w:tc>
        <w:tc>
          <w:tcPr>
            <w:tcW w:w="1060" w:type="dxa"/>
            <w:tcBorders>
              <w:top w:val="nil"/>
              <w:left w:val="nil"/>
              <w:bottom w:val="single" w:color="auto" w:sz="4" w:space="0"/>
              <w:right w:val="single" w:color="auto" w:sz="4" w:space="0"/>
            </w:tcBorders>
            <w:shd w:val="clear" w:color="auto" w:fill="auto"/>
            <w:vAlign w:val="center"/>
          </w:tcPr>
          <w:p>
            <w:pPr>
              <w:pageBreakBefore w:val="0"/>
              <w:wordWrap/>
              <w:bidi w:val="0"/>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100</w:t>
            </w:r>
          </w:p>
        </w:tc>
        <w:tc>
          <w:tcPr>
            <w:tcW w:w="1060" w:type="dxa"/>
            <w:tcBorders>
              <w:top w:val="nil"/>
              <w:left w:val="nil"/>
              <w:bottom w:val="single" w:color="auto" w:sz="4" w:space="0"/>
              <w:right w:val="single" w:color="auto" w:sz="4" w:space="0"/>
            </w:tcBorders>
            <w:shd w:val="clear" w:color="auto" w:fill="auto"/>
            <w:vAlign w:val="center"/>
          </w:tcPr>
          <w:p>
            <w:pPr>
              <w:pageBreakBefore w:val="0"/>
              <w:wordWrap/>
              <w:bidi w:val="0"/>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0.5</w:t>
            </w:r>
          </w:p>
        </w:tc>
        <w:tc>
          <w:tcPr>
            <w:tcW w:w="1060" w:type="dxa"/>
            <w:tcBorders>
              <w:top w:val="nil"/>
              <w:left w:val="nil"/>
              <w:bottom w:val="single" w:color="auto" w:sz="4" w:space="0"/>
              <w:right w:val="single" w:color="auto" w:sz="4" w:space="0"/>
            </w:tcBorders>
            <w:shd w:val="clear" w:color="auto" w:fill="auto"/>
            <w:vAlign w:val="center"/>
          </w:tcPr>
          <w:p>
            <w:pPr>
              <w:pageBreakBefore w:val="0"/>
              <w:wordWrap/>
              <w:bidi w:val="0"/>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0.68</w:t>
            </w:r>
          </w:p>
        </w:tc>
        <w:tc>
          <w:tcPr>
            <w:tcW w:w="1060" w:type="dxa"/>
            <w:tcBorders>
              <w:top w:val="nil"/>
              <w:left w:val="nil"/>
              <w:bottom w:val="single" w:color="auto" w:sz="4" w:space="0"/>
              <w:right w:val="single" w:color="auto" w:sz="4" w:space="0"/>
            </w:tcBorders>
            <w:shd w:val="clear" w:color="auto" w:fill="auto"/>
            <w:vAlign w:val="center"/>
          </w:tcPr>
          <w:p>
            <w:pPr>
              <w:pageBreakBefore w:val="0"/>
              <w:wordWrap/>
              <w:bidi w:val="0"/>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33.6</w:t>
            </w:r>
          </w:p>
        </w:tc>
      </w:tr>
    </w:tbl>
    <w:p>
      <w:pPr>
        <w:pageBreakBefore w:val="0"/>
        <w:wordWrap/>
        <w:bidi w:val="0"/>
        <w:spacing w:line="360" w:lineRule="auto"/>
        <w:ind w:left="0" w:leftChars="0" w:right="0" w:rightChars="0" w:firstLine="480" w:firstLineChars="200"/>
        <w:outlineLvl w:val="0"/>
        <w:rPr>
          <w:rFonts w:hint="default" w:ascii="Times New Roman" w:hAnsi="Times New Roman" w:eastAsia="宋体" w:cs="Times New Roman"/>
          <w:color w:val="auto"/>
          <w:sz w:val="24"/>
          <w:szCs w:val="24"/>
          <w:highlight w:val="none"/>
        </w:rPr>
      </w:pPr>
      <w:bookmarkStart w:id="989" w:name="_Toc17214"/>
      <w:bookmarkStart w:id="990" w:name="_Toc24458"/>
      <w:r>
        <w:rPr>
          <w:rFonts w:hint="default" w:ascii="Times New Roman" w:hAnsi="Times New Roman" w:eastAsia="宋体" w:cs="Times New Roman"/>
          <w:color w:val="auto"/>
          <w:sz w:val="24"/>
          <w:szCs w:val="24"/>
          <w:highlight w:val="none"/>
        </w:rPr>
        <w:t>（2</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渗水试验</w:t>
      </w:r>
      <w:bookmarkEnd w:id="989"/>
      <w:bookmarkEnd w:id="990"/>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污染物从地表进入浅层地下水</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必然要经过包气带</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包气带的防污性能好坏直接影响着地下水污染程度和状况。通过现场渗水试验获得的表土垂向渗透系数是评价厂区包气带防污性能所需要的重要参数。本次在尾矿库北侧200m沟谷</w:t>
      </w:r>
      <w:r>
        <w:rPr>
          <w:rFonts w:hint="default" w:ascii="Times New Roman" w:hAnsi="Times New Roman" w:eastAsia="宋体" w:cs="Times New Roman"/>
          <w:color w:val="auto"/>
          <w:sz w:val="24"/>
          <w:szCs w:val="24"/>
          <w:highlight w:val="none"/>
          <w:lang w:eastAsia="zh-CN"/>
        </w:rPr>
        <w:t>沙砾石层</w:t>
      </w:r>
      <w:r>
        <w:rPr>
          <w:rFonts w:hint="default" w:ascii="Times New Roman" w:hAnsi="Times New Roman" w:eastAsia="宋体" w:cs="Times New Roman"/>
          <w:color w:val="auto"/>
          <w:sz w:val="24"/>
          <w:szCs w:val="24"/>
          <w:highlight w:val="none"/>
        </w:rPr>
        <w:t>进行了一处渗水试验。具体的试验点及成果见表</w:t>
      </w:r>
      <w:r>
        <w:rPr>
          <w:rFonts w:hint="default" w:ascii="Times New Roman" w:hAnsi="Times New Roman" w:eastAsia="宋体" w:cs="Times New Roman"/>
          <w:color w:val="auto"/>
          <w:sz w:val="24"/>
          <w:szCs w:val="24"/>
          <w:highlight w:val="none"/>
          <w:lang w:val="en-US" w:eastAsia="zh-CN"/>
        </w:rPr>
        <w:t>7-13</w:t>
      </w:r>
      <w:r>
        <w:rPr>
          <w:rFonts w:hint="default" w:ascii="Times New Roman" w:hAnsi="Times New Roman" w:eastAsia="宋体" w:cs="Times New Roman"/>
          <w:color w:val="auto"/>
          <w:sz w:val="24"/>
          <w:szCs w:val="24"/>
          <w:highlight w:val="none"/>
        </w:rPr>
        <w:t>。测得渗透系数为55.20m/d。评价区沟谷内包气带的渗透系数为55.20m/d</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表明地表砂砾石包气带渗透性较强</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防污性能弱</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一旦发生事故</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尾矿库澄清回水池内的水会迅速渗入地下水中。</w:t>
      </w:r>
    </w:p>
    <w:p>
      <w:pPr>
        <w:pageBreakBefore w:val="0"/>
        <w:wordWrap/>
        <w:bidi w:val="0"/>
        <w:spacing w:line="360" w:lineRule="auto"/>
        <w:ind w:left="0" w:leftChars="0" w:right="0" w:rightChars="0"/>
        <w:jc w:val="center"/>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7</w:t>
      </w:r>
      <w:r>
        <w:rPr>
          <w:rFonts w:hint="default" w:ascii="Times New Roman" w:hAnsi="Times New Roman" w:eastAsia="宋体" w:cs="Times New Roman"/>
          <w:b/>
          <w:bCs/>
          <w:color w:val="auto"/>
          <w:sz w:val="24"/>
          <w:szCs w:val="24"/>
          <w:highlight w:val="none"/>
          <w:lang w:val="en-US" w:eastAsia="zh-CN"/>
        </w:rPr>
        <w:t>-13</w:t>
      </w:r>
      <w:r>
        <w:rPr>
          <w:rFonts w:hint="default" w:ascii="Times New Roman" w:hAnsi="Times New Roman" w:eastAsia="宋体" w:cs="Times New Roman"/>
          <w:b/>
          <w:bCs/>
          <w:color w:val="auto"/>
          <w:sz w:val="24"/>
          <w:szCs w:val="24"/>
          <w:highlight w:val="none"/>
        </w:rPr>
        <w:t>渗水试验成果表</w:t>
      </w:r>
    </w:p>
    <w:tbl>
      <w:tblPr>
        <w:tblStyle w:val="54"/>
        <w:tblW w:w="5000" w:type="pct"/>
        <w:tblInd w:w="0" w:type="dxa"/>
        <w:tblLayout w:type="autofit"/>
        <w:tblCellMar>
          <w:top w:w="0" w:type="dxa"/>
          <w:left w:w="108" w:type="dxa"/>
          <w:bottom w:w="0" w:type="dxa"/>
          <w:right w:w="108" w:type="dxa"/>
        </w:tblCellMar>
      </w:tblPr>
      <w:tblGrid>
        <w:gridCol w:w="1549"/>
        <w:gridCol w:w="1860"/>
        <w:gridCol w:w="1280"/>
        <w:gridCol w:w="1711"/>
        <w:gridCol w:w="2122"/>
      </w:tblGrid>
      <w:tr>
        <w:tblPrEx>
          <w:tblCellMar>
            <w:top w:w="0" w:type="dxa"/>
            <w:left w:w="108" w:type="dxa"/>
            <w:bottom w:w="0" w:type="dxa"/>
            <w:right w:w="108" w:type="dxa"/>
          </w:tblCellMar>
        </w:tblPrEx>
        <w:trPr>
          <w:trHeight w:val="340" w:hRule="atLeast"/>
        </w:trPr>
        <w:tc>
          <w:tcPr>
            <w:tcW w:w="909" w:type="pct"/>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pPr>
              <w:pageBreakBefore w:val="0"/>
              <w:widowControl/>
              <w:wordWrap/>
              <w:bidi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编号</w:t>
            </w:r>
          </w:p>
        </w:tc>
        <w:tc>
          <w:tcPr>
            <w:tcW w:w="2846" w:type="pct"/>
            <w:gridSpan w:val="3"/>
            <w:tcBorders>
              <w:top w:val="single" w:color="000000" w:sz="8" w:space="0"/>
              <w:left w:val="nil"/>
              <w:bottom w:val="single" w:color="000000" w:sz="8" w:space="0"/>
              <w:right w:val="single" w:color="000000" w:sz="8" w:space="0"/>
            </w:tcBorders>
            <w:shd w:val="clear" w:color="auto" w:fill="auto"/>
            <w:vAlign w:val="center"/>
          </w:tcPr>
          <w:p>
            <w:pPr>
              <w:pageBreakBefore w:val="0"/>
              <w:widowControl/>
              <w:wordWrap/>
              <w:bidi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位置</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尾矿库北东沟谷</w:t>
            </w:r>
          </w:p>
        </w:tc>
        <w:tc>
          <w:tcPr>
            <w:tcW w:w="1245" w:type="pct"/>
            <w:tcBorders>
              <w:top w:val="single" w:color="000000" w:sz="8" w:space="0"/>
              <w:left w:val="nil"/>
              <w:bottom w:val="single" w:color="000000" w:sz="8" w:space="0"/>
              <w:right w:val="single" w:color="000000" w:sz="8" w:space="0"/>
            </w:tcBorders>
            <w:shd w:val="clear" w:color="auto" w:fill="auto"/>
            <w:vAlign w:val="center"/>
          </w:tcPr>
          <w:p>
            <w:pPr>
              <w:pageBreakBefore w:val="0"/>
              <w:widowControl/>
              <w:wordWrap/>
              <w:bidi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渗透系数K</w:t>
            </w:r>
          </w:p>
        </w:tc>
      </w:tr>
      <w:tr>
        <w:tblPrEx>
          <w:tblCellMar>
            <w:top w:w="0" w:type="dxa"/>
            <w:left w:w="108" w:type="dxa"/>
            <w:bottom w:w="0" w:type="dxa"/>
            <w:right w:w="108" w:type="dxa"/>
          </w:tblCellMar>
        </w:tblPrEx>
        <w:trPr>
          <w:trHeight w:val="340" w:hRule="atLeast"/>
        </w:trPr>
        <w:tc>
          <w:tcPr>
            <w:tcW w:w="909" w:type="pct"/>
            <w:vMerge w:val="continue"/>
            <w:tcBorders>
              <w:top w:val="single" w:color="000000" w:sz="8" w:space="0"/>
              <w:left w:val="single" w:color="000000" w:sz="8" w:space="0"/>
              <w:bottom w:val="single" w:color="000000" w:sz="8" w:space="0"/>
              <w:right w:val="single" w:color="000000" w:sz="8" w:space="0"/>
            </w:tcBorders>
            <w:vAlign w:val="center"/>
          </w:tcPr>
          <w:p>
            <w:pPr>
              <w:pageBreakBefore w:val="0"/>
              <w:widowControl/>
              <w:wordWrap/>
              <w:bidi w:val="0"/>
              <w:ind w:left="0" w:leftChars="0" w:right="0" w:rightChars="0"/>
              <w:jc w:val="left"/>
              <w:rPr>
                <w:rFonts w:hint="default" w:ascii="Times New Roman" w:hAnsi="Times New Roman" w:eastAsia="宋体" w:cs="Times New Roman"/>
                <w:color w:val="auto"/>
                <w:kern w:val="0"/>
                <w:szCs w:val="21"/>
                <w:highlight w:val="none"/>
              </w:rPr>
            </w:pPr>
          </w:p>
        </w:tc>
        <w:tc>
          <w:tcPr>
            <w:tcW w:w="1091" w:type="pct"/>
            <w:tcBorders>
              <w:top w:val="nil"/>
              <w:left w:val="nil"/>
              <w:bottom w:val="single" w:color="000000" w:sz="8" w:space="0"/>
              <w:right w:val="single" w:color="000000" w:sz="8" w:space="0"/>
            </w:tcBorders>
            <w:shd w:val="clear" w:color="auto" w:fill="auto"/>
            <w:vAlign w:val="center"/>
          </w:tcPr>
          <w:p>
            <w:pPr>
              <w:pageBreakBefore w:val="0"/>
              <w:widowControl/>
              <w:wordWrap/>
              <w:bidi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X</w:t>
            </w:r>
          </w:p>
        </w:tc>
        <w:tc>
          <w:tcPr>
            <w:tcW w:w="751" w:type="pct"/>
            <w:tcBorders>
              <w:top w:val="nil"/>
              <w:left w:val="nil"/>
              <w:bottom w:val="single" w:color="000000" w:sz="8" w:space="0"/>
              <w:right w:val="single" w:color="000000" w:sz="8" w:space="0"/>
            </w:tcBorders>
            <w:shd w:val="clear" w:color="auto" w:fill="auto"/>
            <w:vAlign w:val="center"/>
          </w:tcPr>
          <w:p>
            <w:pPr>
              <w:pageBreakBefore w:val="0"/>
              <w:widowControl/>
              <w:wordWrap/>
              <w:bidi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Y</w:t>
            </w:r>
          </w:p>
        </w:tc>
        <w:tc>
          <w:tcPr>
            <w:tcW w:w="1003" w:type="pct"/>
            <w:tcBorders>
              <w:top w:val="nil"/>
              <w:left w:val="nil"/>
              <w:bottom w:val="single" w:color="000000" w:sz="8" w:space="0"/>
              <w:right w:val="single" w:color="000000" w:sz="8" w:space="0"/>
            </w:tcBorders>
            <w:shd w:val="clear" w:color="auto" w:fill="auto"/>
            <w:vAlign w:val="center"/>
          </w:tcPr>
          <w:p>
            <w:pPr>
              <w:pageBreakBefore w:val="0"/>
              <w:widowControl/>
              <w:wordWrap/>
              <w:bidi w:val="0"/>
              <w:ind w:left="0" w:leftChars="0" w:right="0" w:rightChars="0"/>
              <w:jc w:val="center"/>
              <w:rPr>
                <w:rFonts w:hint="default" w:ascii="Times New Roman" w:hAnsi="Times New Roman" w:eastAsia="宋体" w:cs="Times New Roman"/>
                <w:color w:val="auto"/>
                <w:kern w:val="0"/>
                <w:szCs w:val="21"/>
                <w:highlight w:val="none"/>
                <w:lang w:eastAsia="zh-CN"/>
              </w:rPr>
            </w:pPr>
            <w:r>
              <w:rPr>
                <w:rFonts w:hint="default" w:ascii="Times New Roman" w:hAnsi="Times New Roman" w:eastAsia="宋体" w:cs="Times New Roman"/>
                <w:color w:val="auto"/>
                <w:kern w:val="0"/>
                <w:szCs w:val="21"/>
                <w:highlight w:val="none"/>
              </w:rPr>
              <w:t>高程</w:t>
            </w: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m</w:t>
            </w:r>
            <w:r>
              <w:rPr>
                <w:rFonts w:hint="default" w:ascii="Times New Roman" w:hAnsi="Times New Roman" w:eastAsia="宋体" w:cs="Times New Roman"/>
                <w:color w:val="auto"/>
                <w:kern w:val="0"/>
                <w:szCs w:val="21"/>
                <w:highlight w:val="none"/>
                <w:lang w:eastAsia="zh-CN"/>
              </w:rPr>
              <w:t>）</w:t>
            </w:r>
          </w:p>
        </w:tc>
        <w:tc>
          <w:tcPr>
            <w:tcW w:w="1245" w:type="pct"/>
            <w:tcBorders>
              <w:top w:val="nil"/>
              <w:left w:val="nil"/>
              <w:bottom w:val="single" w:color="000000" w:sz="8" w:space="0"/>
              <w:right w:val="single" w:color="000000" w:sz="8" w:space="0"/>
            </w:tcBorders>
            <w:shd w:val="clear" w:color="auto" w:fill="auto"/>
            <w:vAlign w:val="center"/>
          </w:tcPr>
          <w:p>
            <w:pPr>
              <w:pageBreakBefore w:val="0"/>
              <w:widowControl/>
              <w:wordWrap/>
              <w:bidi w:val="0"/>
              <w:ind w:left="0" w:leftChars="0" w:right="0" w:rightChars="0"/>
              <w:jc w:val="center"/>
              <w:rPr>
                <w:rFonts w:hint="default" w:ascii="Times New Roman" w:hAnsi="Times New Roman" w:eastAsia="宋体" w:cs="Times New Roman"/>
                <w:color w:val="auto"/>
                <w:kern w:val="0"/>
                <w:szCs w:val="21"/>
                <w:highlight w:val="none"/>
                <w:lang w:eastAsia="zh-CN"/>
              </w:rPr>
            </w:pPr>
            <w:r>
              <w:rPr>
                <w:rFonts w:hint="default" w:ascii="Times New Roman" w:hAnsi="Times New Roman" w:eastAsia="宋体" w:cs="Times New Roman"/>
                <w:color w:val="auto"/>
                <w:kern w:val="0"/>
                <w:szCs w:val="21"/>
                <w:highlight w:val="none"/>
                <w:lang w:eastAsia="zh-CN"/>
              </w:rPr>
              <w:t>（</w:t>
            </w:r>
            <w:r>
              <w:rPr>
                <w:rFonts w:hint="default" w:ascii="Times New Roman" w:hAnsi="Times New Roman" w:eastAsia="宋体" w:cs="Times New Roman"/>
                <w:color w:val="auto"/>
                <w:kern w:val="0"/>
                <w:szCs w:val="21"/>
                <w:highlight w:val="none"/>
              </w:rPr>
              <w:t>m/d</w:t>
            </w:r>
            <w:r>
              <w:rPr>
                <w:rFonts w:hint="default" w:ascii="Times New Roman" w:hAnsi="Times New Roman" w:eastAsia="宋体" w:cs="Times New Roman"/>
                <w:color w:val="auto"/>
                <w:kern w:val="0"/>
                <w:szCs w:val="21"/>
                <w:highlight w:val="none"/>
                <w:lang w:eastAsia="zh-CN"/>
              </w:rPr>
              <w:t>）</w:t>
            </w:r>
          </w:p>
        </w:tc>
      </w:tr>
      <w:tr>
        <w:tblPrEx>
          <w:tblCellMar>
            <w:top w:w="0" w:type="dxa"/>
            <w:left w:w="108" w:type="dxa"/>
            <w:bottom w:w="0" w:type="dxa"/>
            <w:right w:w="108" w:type="dxa"/>
          </w:tblCellMar>
        </w:tblPrEx>
        <w:trPr>
          <w:trHeight w:val="340" w:hRule="atLeast"/>
        </w:trPr>
        <w:tc>
          <w:tcPr>
            <w:tcW w:w="909" w:type="pct"/>
            <w:tcBorders>
              <w:top w:val="nil"/>
              <w:left w:val="single" w:color="000000" w:sz="8" w:space="0"/>
              <w:bottom w:val="single" w:color="000000" w:sz="8" w:space="0"/>
              <w:right w:val="single" w:color="000000" w:sz="8" w:space="0"/>
            </w:tcBorders>
            <w:shd w:val="clear" w:color="auto" w:fill="auto"/>
            <w:vAlign w:val="center"/>
          </w:tcPr>
          <w:p>
            <w:pPr>
              <w:pageBreakBefore w:val="0"/>
              <w:widowControl/>
              <w:wordWrap/>
              <w:bidi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ST1</w:t>
            </w:r>
          </w:p>
        </w:tc>
        <w:tc>
          <w:tcPr>
            <w:tcW w:w="1091" w:type="pct"/>
            <w:tcBorders>
              <w:top w:val="nil"/>
              <w:left w:val="nil"/>
              <w:bottom w:val="single" w:color="000000" w:sz="8" w:space="0"/>
              <w:right w:val="single" w:color="000000" w:sz="8" w:space="0"/>
            </w:tcBorders>
            <w:shd w:val="clear" w:color="auto" w:fill="auto"/>
            <w:vAlign w:val="center"/>
          </w:tcPr>
          <w:p>
            <w:pPr>
              <w:pageBreakBefore w:val="0"/>
              <w:widowControl/>
              <w:wordWrap/>
              <w:bidi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4519796</w:t>
            </w:r>
          </w:p>
        </w:tc>
        <w:tc>
          <w:tcPr>
            <w:tcW w:w="751" w:type="pct"/>
            <w:tcBorders>
              <w:top w:val="nil"/>
              <w:left w:val="nil"/>
              <w:bottom w:val="single" w:color="000000" w:sz="8" w:space="0"/>
              <w:right w:val="single" w:color="000000" w:sz="8" w:space="0"/>
            </w:tcBorders>
            <w:shd w:val="clear" w:color="auto" w:fill="auto"/>
            <w:vAlign w:val="center"/>
          </w:tcPr>
          <w:p>
            <w:pPr>
              <w:pageBreakBefore w:val="0"/>
              <w:widowControl/>
              <w:wordWrap/>
              <w:bidi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36620866</w:t>
            </w:r>
          </w:p>
        </w:tc>
        <w:tc>
          <w:tcPr>
            <w:tcW w:w="1003" w:type="pct"/>
            <w:tcBorders>
              <w:top w:val="nil"/>
              <w:left w:val="nil"/>
              <w:bottom w:val="single" w:color="000000" w:sz="8" w:space="0"/>
              <w:right w:val="single" w:color="000000" w:sz="8" w:space="0"/>
            </w:tcBorders>
            <w:shd w:val="clear" w:color="auto" w:fill="auto"/>
            <w:vAlign w:val="center"/>
          </w:tcPr>
          <w:p>
            <w:pPr>
              <w:pageBreakBefore w:val="0"/>
              <w:widowControl/>
              <w:wordWrap/>
              <w:bidi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1358.28</w:t>
            </w:r>
          </w:p>
        </w:tc>
        <w:tc>
          <w:tcPr>
            <w:tcW w:w="1245" w:type="pct"/>
            <w:tcBorders>
              <w:top w:val="nil"/>
              <w:left w:val="nil"/>
              <w:bottom w:val="single" w:color="000000" w:sz="8" w:space="0"/>
              <w:right w:val="single" w:color="000000" w:sz="8" w:space="0"/>
            </w:tcBorders>
            <w:shd w:val="clear" w:color="auto" w:fill="auto"/>
            <w:vAlign w:val="center"/>
          </w:tcPr>
          <w:p>
            <w:pPr>
              <w:pageBreakBefore w:val="0"/>
              <w:widowControl/>
              <w:wordWrap/>
              <w:bidi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55.20</w:t>
            </w:r>
          </w:p>
        </w:tc>
      </w:tr>
    </w:tbl>
    <w:p>
      <w:pPr>
        <w:pStyle w:val="5"/>
        <w:pageBreakBefore w:val="0"/>
        <w:numPr>
          <w:ilvl w:val="2"/>
          <w:numId w:val="0"/>
        </w:numPr>
        <w:wordWrap/>
        <w:bidi w:val="0"/>
        <w:ind w:left="0" w:leftChars="0" w:right="0" w:rightChars="0"/>
        <w:outlineLvl w:val="1"/>
        <w:rPr>
          <w:rFonts w:hint="default" w:ascii="Times New Roman" w:hAnsi="Times New Roman" w:eastAsia="宋体" w:cs="Times New Roman"/>
          <w:b/>
          <w:bCs/>
          <w:color w:val="auto"/>
          <w:highlight w:val="none"/>
        </w:rPr>
      </w:pPr>
      <w:bookmarkStart w:id="991" w:name="_Toc17359"/>
      <w:bookmarkStart w:id="992" w:name="_Toc23261"/>
      <w:bookmarkStart w:id="993" w:name="_Toc23732"/>
      <w:r>
        <w:rPr>
          <w:rFonts w:hint="default" w:ascii="Times New Roman" w:hAnsi="Times New Roman" w:eastAsia="宋体" w:cs="Times New Roman"/>
          <w:b/>
          <w:bCs/>
          <w:i w:val="0"/>
          <w:iCs w:val="0"/>
          <w:caps w:val="0"/>
          <w:smallCaps w:val="0"/>
          <w:strike w:val="0"/>
          <w:dstrike w:val="0"/>
          <w:vanish w:val="0"/>
          <w:color w:val="auto"/>
          <w:spacing w:val="0"/>
          <w:kern w:val="2"/>
          <w:position w:val="0"/>
          <w:sz w:val="24"/>
          <w:szCs w:val="24"/>
          <w:highlight w:val="none"/>
          <w:u w:val="none"/>
          <w:vertAlign w:val="baseline"/>
          <w:lang w:val="en-US" w:eastAsia="zh-CN" w:bidi="ar-SA"/>
          <w14:shadow w14:blurRad="0" w14:dist="0" w14:dir="0" w14:sx="0" w14:sy="0" w14:kx="0" w14:ky="0" w14:algn="none">
            <w14:srgbClr w14:val="000000"/>
          </w14:shadow>
        </w:rPr>
        <w:t>7.4.7</w:t>
      </w:r>
      <w:r>
        <w:rPr>
          <w:rFonts w:hint="default" w:ascii="Times New Roman" w:hAnsi="Times New Roman" w:eastAsia="宋体" w:cs="Times New Roman"/>
          <w:b/>
          <w:bCs/>
          <w:color w:val="auto"/>
          <w:highlight w:val="none"/>
        </w:rPr>
        <w:t>区域环境水文地质问题调查</w:t>
      </w:r>
      <w:bookmarkEnd w:id="991"/>
      <w:bookmarkEnd w:id="992"/>
      <w:bookmarkEnd w:id="993"/>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本矿区地处丘陵区</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地形起伏较大</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人口稀少</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有几家采矿企业及铁精粉选矿企业坐落在周围地区</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其他人类活动规模较小。</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经实地调查</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评价区范围不存在岩溶塌陷、土壤盐渍化等环境水文地质问题。且本区土壤比较贫瘠</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为中等强度的水土流失区域</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土壤侵蚀</w:t>
      </w:r>
      <w:r>
        <w:rPr>
          <w:rFonts w:hint="default" w:ascii="Times New Roman" w:hAnsi="Times New Roman" w:eastAsia="宋体" w:cs="Times New Roman"/>
          <w:color w:val="auto"/>
          <w:sz w:val="24"/>
          <w:highlight w:val="none"/>
          <w:lang w:eastAsia="zh-CN"/>
        </w:rPr>
        <w:t>属</w:t>
      </w:r>
      <w:r>
        <w:rPr>
          <w:rFonts w:hint="default" w:ascii="Times New Roman" w:hAnsi="Times New Roman" w:eastAsia="宋体" w:cs="Times New Roman"/>
          <w:color w:val="auto"/>
          <w:sz w:val="24"/>
          <w:highlight w:val="none"/>
        </w:rPr>
        <w:t>于轻、中度风蚀。</w:t>
      </w:r>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因此</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评价区范围内存在的主要环境水文地质问题为土壤风蚀、水土流失问题。</w:t>
      </w:r>
    </w:p>
    <w:p>
      <w:pPr>
        <w:pStyle w:val="5"/>
        <w:pageBreakBefore w:val="0"/>
        <w:numPr>
          <w:ilvl w:val="2"/>
          <w:numId w:val="0"/>
        </w:numPr>
        <w:wordWrap/>
        <w:bidi w:val="0"/>
        <w:ind w:left="0" w:leftChars="0" w:right="0" w:rightChars="0"/>
        <w:outlineLvl w:val="1"/>
        <w:rPr>
          <w:rFonts w:hint="default" w:ascii="Times New Roman" w:hAnsi="Times New Roman" w:eastAsia="宋体" w:cs="Times New Roman"/>
          <w:b/>
          <w:bCs/>
          <w:color w:val="auto"/>
          <w:highlight w:val="none"/>
        </w:rPr>
      </w:pPr>
      <w:bookmarkStart w:id="994" w:name="_Toc9849"/>
      <w:bookmarkStart w:id="995" w:name="_Toc2820"/>
      <w:bookmarkStart w:id="996" w:name="_Toc12391"/>
      <w:r>
        <w:rPr>
          <w:rFonts w:hint="default" w:ascii="Times New Roman" w:hAnsi="Times New Roman" w:eastAsia="宋体" w:cs="Times New Roman"/>
          <w:b/>
          <w:bCs/>
          <w:i w:val="0"/>
          <w:iCs w:val="0"/>
          <w:caps w:val="0"/>
          <w:smallCaps w:val="0"/>
          <w:strike w:val="0"/>
          <w:dstrike w:val="0"/>
          <w:vanish w:val="0"/>
          <w:color w:val="auto"/>
          <w:spacing w:val="0"/>
          <w:kern w:val="2"/>
          <w:position w:val="0"/>
          <w:sz w:val="24"/>
          <w:szCs w:val="24"/>
          <w:highlight w:val="none"/>
          <w:u w:val="none"/>
          <w:vertAlign w:val="baseline"/>
          <w:lang w:val="en-US" w:eastAsia="zh-CN" w:bidi="ar-SA"/>
          <w14:shadow w14:blurRad="0" w14:dist="0" w14:dir="0" w14:sx="0" w14:sy="0" w14:kx="0" w14:ky="0" w14:algn="none">
            <w14:srgbClr w14:val="000000"/>
          </w14:shadow>
        </w:rPr>
        <w:t>7.4.8</w:t>
      </w:r>
      <w:r>
        <w:rPr>
          <w:rFonts w:hint="default" w:ascii="Times New Roman" w:hAnsi="Times New Roman" w:eastAsia="宋体" w:cs="Times New Roman"/>
          <w:b/>
          <w:bCs/>
          <w:color w:val="auto"/>
          <w:highlight w:val="none"/>
        </w:rPr>
        <w:t>地下水环境影响评价</w:t>
      </w:r>
      <w:bookmarkEnd w:id="994"/>
      <w:bookmarkEnd w:id="995"/>
      <w:bookmarkEnd w:id="996"/>
    </w:p>
    <w:p>
      <w:pPr>
        <w:pageBreakBefore w:val="0"/>
        <w:wordWrap/>
        <w:bidi w:val="0"/>
        <w:spacing w:line="360" w:lineRule="auto"/>
        <w:ind w:left="0" w:leftChars="0" w:right="0" w:rightChars="0"/>
        <w:outlineLvl w:val="2"/>
        <w:rPr>
          <w:rFonts w:hint="default" w:ascii="Times New Roman" w:hAnsi="Times New Roman" w:eastAsia="宋体" w:cs="Times New Roman"/>
          <w:b/>
          <w:bCs/>
          <w:color w:val="auto"/>
          <w:sz w:val="24"/>
          <w:szCs w:val="32"/>
          <w:highlight w:val="none"/>
        </w:rPr>
      </w:pPr>
      <w:bookmarkStart w:id="997" w:name="_Toc21562"/>
      <w:bookmarkStart w:id="998" w:name="_Toc2248"/>
      <w:r>
        <w:rPr>
          <w:rFonts w:hint="default" w:ascii="Times New Roman" w:hAnsi="Times New Roman" w:eastAsia="宋体" w:cs="Times New Roman"/>
          <w:b/>
          <w:bCs/>
          <w:color w:val="auto"/>
          <w:sz w:val="24"/>
          <w:szCs w:val="32"/>
          <w:highlight w:val="none"/>
        </w:rPr>
        <w:t>7.4.8.1水文地质概念模型</w:t>
      </w:r>
      <w:bookmarkEnd w:id="997"/>
      <w:bookmarkEnd w:id="998"/>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在本项目中</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主要的水文地质环境问题是尾矿库产生的尾矿回水（含</w:t>
      </w:r>
      <w:r>
        <w:rPr>
          <w:rFonts w:hint="default" w:ascii="Times New Roman" w:hAnsi="Times New Roman" w:eastAsia="宋体" w:cs="Times New Roman"/>
          <w:color w:val="auto"/>
          <w:sz w:val="24"/>
          <w:highlight w:val="none"/>
          <w:lang w:eastAsia="zh-CN"/>
        </w:rPr>
        <w:t>钼、</w:t>
      </w:r>
      <w:r>
        <w:rPr>
          <w:rFonts w:hint="default" w:ascii="Times New Roman" w:hAnsi="Times New Roman" w:eastAsia="宋体" w:cs="Times New Roman"/>
          <w:color w:val="auto"/>
          <w:sz w:val="24"/>
          <w:highlight w:val="none"/>
        </w:rPr>
        <w:t>铬、砷、氟化物、SS等</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下渗进入地下水中产生污染</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进而对地下水资源产生影响。本项目位于丘陵区沟谷水文地质单元。含水层以基岩裂隙水为主</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本次采用解析法进行预测</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地下水溶质运移解析法预测</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模型可概化为一维稳定流动二维水动力弥散问题的瞬时注入示踪剂—平面瞬时点源的预测模型</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其主要假设条件为</w:t>
      </w:r>
      <w:r>
        <w:rPr>
          <w:rFonts w:hint="default" w:ascii="Times New Roman" w:hAnsi="Times New Roman" w:eastAsia="宋体" w:cs="Times New Roman"/>
          <w:color w:val="auto"/>
          <w:sz w:val="24"/>
          <w:highlight w:val="none"/>
          <w:lang w:eastAsia="zh-CN"/>
        </w:rPr>
        <w:t>：</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①假定含水层等厚、均质</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并在平面无限分布</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含水层的厚度、宽度和长度相比可忽略；</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②假定定量的定浓度的污水</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在极短时间内注入整个含水层的厚度范围；</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③污水的注入对含水层内的天然流场不产生影响。</w:t>
      </w:r>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污染物在含水层的情况可以概化为示踪剂（污染物离子</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瞬时注入的一维稳定流动二维水动力弥散问题</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取平行水流方向为x轴。</w:t>
      </w:r>
    </w:p>
    <w:p>
      <w:pPr>
        <w:pageBreakBefore w:val="0"/>
        <w:wordWrap/>
        <w:bidi w:val="0"/>
        <w:adjustRightInd w:val="0"/>
        <w:snapToGrid w:val="0"/>
        <w:spacing w:line="360" w:lineRule="auto"/>
        <w:ind w:left="0" w:leftChars="0" w:right="0" w:rightChars="0" w:firstLine="480" w:firstLineChars="200"/>
        <w:outlineLvl w:val="0"/>
        <w:rPr>
          <w:rFonts w:hint="default" w:ascii="Times New Roman" w:hAnsi="Times New Roman" w:eastAsia="宋体" w:cs="Times New Roman"/>
          <w:color w:val="auto"/>
          <w:sz w:val="24"/>
          <w:highlight w:val="none"/>
        </w:rPr>
      </w:pPr>
      <w:bookmarkStart w:id="999" w:name="_Toc20073"/>
      <w:bookmarkStart w:id="1000" w:name="_Toc18185"/>
      <w:r>
        <w:rPr>
          <w:rFonts w:hint="default" w:ascii="Times New Roman" w:hAnsi="Times New Roman" w:eastAsia="宋体" w:cs="Times New Roman"/>
          <w:color w:val="auto"/>
          <w:sz w:val="24"/>
          <w:highlight w:val="none"/>
        </w:rPr>
        <w:t>（2</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污染预测模型</w:t>
      </w:r>
      <w:bookmarkEnd w:id="999"/>
      <w:bookmarkEnd w:id="1000"/>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根据《</w:t>
      </w:r>
      <w:r>
        <w:rPr>
          <w:rFonts w:hint="default" w:ascii="Times New Roman" w:hAnsi="Times New Roman" w:eastAsia="宋体" w:cs="Times New Roman"/>
          <w:color w:val="auto"/>
          <w:sz w:val="24"/>
          <w:highlight w:val="none"/>
          <w:lang w:eastAsia="zh-CN"/>
        </w:rPr>
        <w:t>环境影响评价技术导则</w:t>
      </w:r>
      <w:r>
        <w:rPr>
          <w:rFonts w:hint="default" w:ascii="Times New Roman" w:hAnsi="Times New Roman" w:eastAsia="宋体" w:cs="Times New Roman"/>
          <w:color w:val="auto"/>
          <w:sz w:val="24"/>
          <w:highlight w:val="none"/>
        </w:rPr>
        <w:t>地下水环境》（HJ610-2016</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一维稳定流动二维水动力弥散问题的瞬时注入示踪剂—平面瞬时点源的预测模型为</w:t>
      </w:r>
      <w:r>
        <w:rPr>
          <w:rFonts w:hint="default" w:ascii="Times New Roman" w:hAnsi="Times New Roman" w:eastAsia="宋体" w:cs="Times New Roman"/>
          <w:color w:val="auto"/>
          <w:sz w:val="24"/>
          <w:highlight w:val="none"/>
          <w:lang w:eastAsia="zh-CN"/>
        </w:rPr>
        <w:t>：</w:t>
      </w:r>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drawing>
          <wp:inline distT="0" distB="0" distL="0" distR="0">
            <wp:extent cx="2209800" cy="579120"/>
            <wp:effectExtent l="0" t="0" r="0" b="0"/>
            <wp:docPr id="17" name="Picture 6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660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a:xfrm>
                      <a:off x="0" y="0"/>
                      <a:ext cx="2209800" cy="579120"/>
                    </a:xfrm>
                    <a:prstGeom prst="rect">
                      <a:avLst/>
                    </a:prstGeom>
                    <a:noFill/>
                    <a:ln>
                      <a:noFill/>
                    </a:ln>
                  </pic:spPr>
                </pic:pic>
              </a:graphicData>
            </a:graphic>
          </wp:inline>
        </w:drawing>
      </w:r>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式中</w:t>
      </w:r>
      <w:r>
        <w:rPr>
          <w:rFonts w:hint="default" w:ascii="Times New Roman" w:hAnsi="Times New Roman" w:eastAsia="宋体" w:cs="Times New Roman"/>
          <w:color w:val="auto"/>
          <w:sz w:val="24"/>
          <w:highlight w:val="none"/>
          <w:lang w:eastAsia="zh-CN"/>
        </w:rPr>
        <w:t>：</w:t>
      </w:r>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x</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y—计算点处的位置坐标；</w:t>
      </w:r>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t—时间</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d；</w:t>
      </w:r>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C（x</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y</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t</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—t时刻点x</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y处的示踪剂浓度</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mg/L；</w:t>
      </w:r>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M—含水层厚度；</w:t>
      </w:r>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bscript"/>
        </w:rPr>
        <w:t>M</w:t>
      </w:r>
      <w:r>
        <w:rPr>
          <w:rFonts w:hint="default" w:ascii="Times New Roman" w:hAnsi="Times New Roman" w:eastAsia="宋体" w:cs="Times New Roman"/>
          <w:color w:val="auto"/>
          <w:sz w:val="24"/>
          <w:highlight w:val="none"/>
        </w:rPr>
        <w:t>—长度为M的线源瞬时注入的示踪剂质量</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g；</w:t>
      </w:r>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u—水流速度</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m/d；</w:t>
      </w:r>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n—有效孔隙度</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无量纲；</w:t>
      </w:r>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D</w:t>
      </w:r>
      <w:r>
        <w:rPr>
          <w:rFonts w:hint="default" w:ascii="Times New Roman" w:hAnsi="Times New Roman" w:eastAsia="宋体" w:cs="Times New Roman"/>
          <w:color w:val="auto"/>
          <w:sz w:val="24"/>
          <w:highlight w:val="none"/>
          <w:vertAlign w:val="subscript"/>
        </w:rPr>
        <w:t>L</w:t>
      </w:r>
      <w:r>
        <w:rPr>
          <w:rFonts w:hint="default" w:ascii="Times New Roman" w:hAnsi="Times New Roman" w:eastAsia="宋体" w:cs="Times New Roman"/>
          <w:color w:val="auto"/>
          <w:sz w:val="24"/>
          <w:highlight w:val="none"/>
        </w:rPr>
        <w:t>—纵向x方向的弥散系数</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2</w:t>
      </w:r>
      <w:r>
        <w:rPr>
          <w:rFonts w:hint="default" w:ascii="Times New Roman" w:hAnsi="Times New Roman" w:eastAsia="宋体" w:cs="Times New Roman"/>
          <w:color w:val="auto"/>
          <w:sz w:val="24"/>
          <w:highlight w:val="none"/>
        </w:rPr>
        <w:t>/d；</w:t>
      </w:r>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D</w:t>
      </w:r>
      <w:r>
        <w:rPr>
          <w:rFonts w:hint="default" w:ascii="Times New Roman" w:hAnsi="Times New Roman" w:eastAsia="宋体" w:cs="Times New Roman"/>
          <w:color w:val="auto"/>
          <w:sz w:val="24"/>
          <w:highlight w:val="none"/>
          <w:vertAlign w:val="subscript"/>
        </w:rPr>
        <w:t>T</w:t>
      </w:r>
      <w:r>
        <w:rPr>
          <w:rFonts w:hint="default" w:ascii="Times New Roman" w:hAnsi="Times New Roman" w:eastAsia="宋体" w:cs="Times New Roman"/>
          <w:color w:val="auto"/>
          <w:sz w:val="24"/>
          <w:highlight w:val="none"/>
        </w:rPr>
        <w:t>—横向y方向的弥散系数</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2</w:t>
      </w:r>
      <w:r>
        <w:rPr>
          <w:rFonts w:hint="default" w:ascii="Times New Roman" w:hAnsi="Times New Roman" w:eastAsia="宋体" w:cs="Times New Roman"/>
          <w:color w:val="auto"/>
          <w:sz w:val="24"/>
          <w:highlight w:val="none"/>
        </w:rPr>
        <w:t>/d；</w:t>
      </w:r>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drawing>
          <wp:inline distT="0" distB="0" distL="0" distR="0">
            <wp:extent cx="137160" cy="137160"/>
            <wp:effectExtent l="0" t="0" r="0" b="0"/>
            <wp:docPr id="1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a:xfrm>
                      <a:off x="0" y="0"/>
                      <a:ext cx="137160" cy="137160"/>
                    </a:xfrm>
                    <a:prstGeom prst="rect">
                      <a:avLst/>
                    </a:prstGeom>
                    <a:noFill/>
                    <a:ln>
                      <a:noFill/>
                    </a:ln>
                  </pic:spPr>
                </pic:pic>
              </a:graphicData>
            </a:graphic>
          </wp:inline>
        </w:drawing>
      </w:r>
      <w:r>
        <w:rPr>
          <w:rFonts w:hint="default" w:ascii="Times New Roman" w:hAnsi="Times New Roman" w:eastAsia="宋体" w:cs="Times New Roman"/>
          <w:color w:val="auto"/>
          <w:sz w:val="24"/>
          <w:highlight w:val="none"/>
        </w:rPr>
        <w:t>—圆周率。</w:t>
      </w:r>
    </w:p>
    <w:p>
      <w:pPr>
        <w:pageBreakBefore w:val="0"/>
        <w:wordWrap/>
        <w:bidi w:val="0"/>
        <w:adjustRightInd w:val="0"/>
        <w:snapToGrid w:val="0"/>
        <w:spacing w:line="360" w:lineRule="auto"/>
        <w:ind w:left="0" w:leftChars="0" w:right="0" w:rightChars="0" w:firstLine="480" w:firstLineChars="200"/>
        <w:outlineLvl w:val="0"/>
        <w:rPr>
          <w:rFonts w:hint="default" w:ascii="Times New Roman" w:hAnsi="Times New Roman" w:eastAsia="宋体" w:cs="Times New Roman"/>
          <w:color w:val="auto"/>
          <w:sz w:val="24"/>
          <w:highlight w:val="none"/>
        </w:rPr>
      </w:pPr>
      <w:bookmarkStart w:id="1001" w:name="_Toc4235"/>
      <w:bookmarkStart w:id="1002" w:name="_Toc10137"/>
      <w:r>
        <w:rPr>
          <w:rFonts w:hint="default" w:ascii="Times New Roman" w:hAnsi="Times New Roman" w:eastAsia="宋体" w:cs="Times New Roman"/>
          <w:color w:val="auto"/>
          <w:sz w:val="24"/>
          <w:highlight w:val="none"/>
        </w:rPr>
        <w:t>（3</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模型参数的选取</w:t>
      </w:r>
      <w:bookmarkEnd w:id="1001"/>
      <w:bookmarkEnd w:id="1002"/>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利用所选取的污染物迁移模型</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能否达到对污染物迁移过程的合理预测</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在于模型参数的选取和确定。</w:t>
      </w:r>
    </w:p>
    <w:p>
      <w:pPr>
        <w:pageBreakBefore w:val="0"/>
        <w:wordWrap/>
        <w:bidi w:val="0"/>
        <w:adjustRightInd w:val="0"/>
        <w:snapToGrid w:val="0"/>
        <w:spacing w:line="360" w:lineRule="auto"/>
        <w:ind w:left="0" w:leftChars="0" w:right="0" w:rightChars="0" w:firstLine="480" w:firstLineChars="20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①污染物泄漏</w:t>
      </w:r>
      <w:r>
        <w:rPr>
          <w:rFonts w:hint="default" w:ascii="Times New Roman" w:hAnsi="Times New Roman" w:eastAsia="宋体" w:cs="Times New Roman"/>
          <w:color w:val="auto"/>
          <w:sz w:val="24"/>
          <w:highlight w:val="none"/>
          <w:lang w:eastAsia="zh-CN"/>
        </w:rPr>
        <w:t>量：</w:t>
      </w:r>
      <w:r>
        <w:rPr>
          <w:rFonts w:hint="default" w:ascii="Times New Roman" w:hAnsi="Times New Roman" w:eastAsia="宋体" w:cs="Times New Roman"/>
          <w:color w:val="auto"/>
          <w:sz w:val="24"/>
          <w:szCs w:val="24"/>
          <w:highlight w:val="none"/>
        </w:rPr>
        <w:t>尾矿库回水池面积为</w:t>
      </w:r>
      <w:r>
        <w:rPr>
          <w:rFonts w:hint="default" w:ascii="Times New Roman" w:hAnsi="Times New Roman" w:eastAsia="宋体" w:cs="Times New Roman"/>
          <w:color w:val="auto"/>
          <w:sz w:val="24"/>
          <w:szCs w:val="24"/>
          <w:highlight w:val="none"/>
          <w:lang w:val="en-US" w:eastAsia="zh-CN"/>
        </w:rPr>
        <w:t>225</w:t>
      </w:r>
      <w:r>
        <w:rPr>
          <w:rFonts w:hint="default" w:ascii="Times New Roman" w:hAnsi="Times New Roman" w:eastAsia="宋体" w:cs="Times New Roman"/>
          <w:color w:val="auto"/>
          <w:sz w:val="24"/>
          <w:szCs w:val="24"/>
          <w:highlight w:val="none"/>
        </w:rPr>
        <w:t>m</w:t>
      </w:r>
      <w:r>
        <w:rPr>
          <w:rFonts w:hint="default" w:ascii="Times New Roman" w:hAnsi="Times New Roman" w:eastAsia="宋体" w:cs="Times New Roman"/>
          <w:color w:val="auto"/>
          <w:sz w:val="24"/>
          <w:szCs w:val="24"/>
          <w:highlight w:val="none"/>
          <w:vertAlign w:val="superscript"/>
        </w:rPr>
        <w:t>2</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回水池容积为</w:t>
      </w:r>
      <w:r>
        <w:rPr>
          <w:rFonts w:hint="default" w:ascii="Times New Roman" w:hAnsi="Times New Roman" w:eastAsia="宋体"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rPr>
        <w:t>000m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highlight w:val="none"/>
        </w:rPr>
        <w:t>泄漏量预测为回水池容积量</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即</w:t>
      </w:r>
      <w:r>
        <w:rPr>
          <w:rFonts w:hint="default" w:ascii="Times New Roman" w:hAnsi="Times New Roman" w:eastAsia="宋体" w:cs="Times New Roman"/>
          <w:color w:val="auto"/>
          <w:sz w:val="24"/>
          <w:highlight w:val="none"/>
          <w:lang w:val="en-US" w:eastAsia="zh-CN"/>
        </w:rPr>
        <w:t>1</w:t>
      </w:r>
      <w:r>
        <w:rPr>
          <w:rFonts w:hint="default" w:ascii="Times New Roman" w:hAnsi="Times New Roman" w:eastAsia="宋体" w:cs="Times New Roman"/>
          <w:color w:val="auto"/>
          <w:sz w:val="24"/>
          <w:highlight w:val="none"/>
        </w:rPr>
        <w:t>000m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w:t>
      </w:r>
      <w:bookmarkStart w:id="1003" w:name="_Hlk138731126"/>
      <w:r>
        <w:rPr>
          <w:rFonts w:hint="default" w:ascii="Times New Roman" w:hAnsi="Times New Roman" w:eastAsia="宋体" w:cs="Times New Roman"/>
          <w:color w:val="auto"/>
          <w:sz w:val="24"/>
          <w:highlight w:val="none"/>
        </w:rPr>
        <w:t>根据污染物浓度分别计算。</w:t>
      </w:r>
    </w:p>
    <w:bookmarkEnd w:id="1003"/>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②泄漏时间</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假设监测为每半年一次</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在例行监测时发现超标</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则</w:t>
      </w:r>
      <w:r>
        <w:rPr>
          <w:rFonts w:hint="default" w:ascii="Times New Roman" w:hAnsi="Times New Roman" w:eastAsia="宋体" w:cs="Times New Roman"/>
          <w:color w:val="auto"/>
          <w:sz w:val="24"/>
          <w:highlight w:val="none"/>
          <w:lang w:eastAsia="zh-CN"/>
        </w:rPr>
        <w:t>泄漏</w:t>
      </w:r>
      <w:r>
        <w:rPr>
          <w:rFonts w:hint="default" w:ascii="Times New Roman" w:hAnsi="Times New Roman" w:eastAsia="宋体" w:cs="Times New Roman"/>
          <w:color w:val="auto"/>
          <w:sz w:val="24"/>
          <w:highlight w:val="none"/>
        </w:rPr>
        <w:t>时间按最大计算</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取180d。</w:t>
      </w:r>
    </w:p>
    <w:p>
      <w:pPr>
        <w:pageBreakBefore w:val="0"/>
        <w:wordWrap/>
        <w:bidi w:val="0"/>
        <w:adjustRightInd w:val="0"/>
        <w:snapToGrid w:val="0"/>
        <w:spacing w:line="360" w:lineRule="auto"/>
        <w:ind w:left="0" w:leftChars="0" w:right="0" w:rightChars="0" w:firstLine="480" w:firstLineChars="200"/>
        <w:outlineLvl w:val="1"/>
        <w:rPr>
          <w:rFonts w:hint="default" w:ascii="Times New Roman" w:hAnsi="Times New Roman" w:eastAsia="宋体" w:cs="Times New Roman"/>
          <w:color w:val="auto"/>
          <w:sz w:val="24"/>
          <w:highlight w:val="none"/>
          <w:lang w:eastAsia="zh-CN"/>
        </w:rPr>
      </w:pPr>
      <w:bookmarkStart w:id="1004" w:name="_Toc6851"/>
      <w:bookmarkStart w:id="1005" w:name="_Toc26211"/>
      <w:r>
        <w:rPr>
          <w:rFonts w:hint="default" w:ascii="Times New Roman" w:hAnsi="Times New Roman" w:eastAsia="宋体" w:cs="Times New Roman"/>
          <w:color w:val="auto"/>
          <w:sz w:val="24"/>
          <w:highlight w:val="none"/>
        </w:rPr>
        <w:t>③含水层的厚度M</w:t>
      </w:r>
      <w:r>
        <w:rPr>
          <w:rFonts w:hint="default" w:ascii="Times New Roman" w:hAnsi="Times New Roman" w:eastAsia="宋体" w:cs="Times New Roman"/>
          <w:color w:val="auto"/>
          <w:sz w:val="24"/>
          <w:highlight w:val="none"/>
          <w:lang w:eastAsia="zh-CN"/>
        </w:rPr>
        <w:t>：</w:t>
      </w:r>
      <w:bookmarkEnd w:id="1004"/>
      <w:bookmarkEnd w:id="1005"/>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根据评价区的水文地质条件</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评价区内含水层主要为第四系冲洪积潜水含水层和钾长斑状花岗岩风化裂隙构造裂隙弱含水层</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第四系冲洪积潜水含水层岩性为第四系冲洪积砂砾石层</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钾长斑状花岗岩风化裂隙构造裂隙弱含水层基岩风化裂隙较为发育</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裂隙深度不稳定</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结合水文地质剖面图和钻孔柱状图</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将本区划分为两层</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含水层厚度概化为100m。</w:t>
      </w:r>
    </w:p>
    <w:p>
      <w:pPr>
        <w:pageBreakBefore w:val="0"/>
        <w:wordWrap/>
        <w:bidi w:val="0"/>
        <w:adjustRightInd w:val="0"/>
        <w:snapToGrid w:val="0"/>
        <w:spacing w:line="360" w:lineRule="auto"/>
        <w:ind w:left="0" w:leftChars="0" w:right="0" w:rightChars="0" w:firstLine="480" w:firstLineChars="200"/>
        <w:outlineLvl w:val="1"/>
        <w:rPr>
          <w:rFonts w:hint="default" w:ascii="Times New Roman" w:hAnsi="Times New Roman" w:eastAsia="宋体" w:cs="Times New Roman"/>
          <w:color w:val="auto"/>
          <w:sz w:val="24"/>
          <w:highlight w:val="none"/>
        </w:rPr>
      </w:pPr>
      <w:bookmarkStart w:id="1006" w:name="_Toc20529"/>
      <w:bookmarkStart w:id="1007" w:name="_Toc839"/>
      <w:r>
        <w:rPr>
          <w:rFonts w:hint="default" w:ascii="Times New Roman" w:hAnsi="Times New Roman" w:eastAsia="宋体" w:cs="Times New Roman"/>
          <w:color w:val="auto"/>
          <w:sz w:val="24"/>
          <w:highlight w:val="none"/>
        </w:rPr>
        <w:t>④有效孔隙度</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有效孔隙度n</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基岩区取n=0.15；</w:t>
      </w:r>
      <w:bookmarkEnd w:id="1006"/>
      <w:bookmarkEnd w:id="1007"/>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lang w:val="nl-BE"/>
        </w:rPr>
      </w:pPr>
      <w:r>
        <w:rPr>
          <w:rFonts w:hint="default" w:ascii="Times New Roman" w:hAnsi="Times New Roman" w:eastAsia="宋体" w:cs="Times New Roman"/>
          <w:color w:val="auto"/>
          <w:sz w:val="24"/>
          <w:highlight w:val="none"/>
        </w:rPr>
        <w:t>⑤水流实际平均流速u</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根据上文工程地质勘察</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nl-BE"/>
        </w:rPr>
        <w:t>地下水包气带中砂砾石层渗透系数为46.66m/d</w:t>
      </w:r>
      <w:r>
        <w:rPr>
          <w:rFonts w:hint="default" w:ascii="Times New Roman" w:hAnsi="Times New Roman" w:eastAsia="宋体" w:cs="Times New Roman"/>
          <w:color w:val="auto"/>
          <w:sz w:val="24"/>
          <w:highlight w:val="none"/>
          <w:lang w:val="nl-BE" w:eastAsia="zh-CN"/>
        </w:rPr>
        <w:t>，</w:t>
      </w:r>
      <w:r>
        <w:rPr>
          <w:rFonts w:hint="default" w:ascii="Times New Roman" w:hAnsi="Times New Roman" w:eastAsia="宋体" w:cs="Times New Roman"/>
          <w:color w:val="auto"/>
          <w:sz w:val="24"/>
          <w:highlight w:val="none"/>
          <w:lang w:val="nl-BE"/>
        </w:rPr>
        <w:t>该层不含水。含水层渗透系数为0.37-1.73m/d</w:t>
      </w:r>
      <w:r>
        <w:rPr>
          <w:rFonts w:hint="default" w:ascii="Times New Roman" w:hAnsi="Times New Roman" w:eastAsia="宋体" w:cs="Times New Roman"/>
          <w:color w:val="auto"/>
          <w:sz w:val="24"/>
          <w:highlight w:val="none"/>
          <w:lang w:val="nl-BE" w:eastAsia="zh-CN"/>
        </w:rPr>
        <w:t>，</w:t>
      </w:r>
      <w:r>
        <w:rPr>
          <w:rFonts w:hint="default" w:ascii="Times New Roman" w:hAnsi="Times New Roman" w:eastAsia="宋体" w:cs="Times New Roman"/>
          <w:color w:val="auto"/>
          <w:sz w:val="24"/>
          <w:highlight w:val="none"/>
          <w:lang w:val="nl-BE"/>
        </w:rPr>
        <w:t>取平均值为</w:t>
      </w:r>
      <w:r>
        <w:rPr>
          <w:rFonts w:hint="default" w:ascii="Times New Roman" w:hAnsi="Times New Roman" w:eastAsia="宋体" w:cs="Times New Roman"/>
          <w:color w:val="auto"/>
          <w:sz w:val="24"/>
          <w:highlight w:val="none"/>
        </w:rPr>
        <w:t>0.77m/d。水力坡度I取0.031。因此地下水的渗透流速u=K×I/n=0.77m/d×0.031/0.15=0.16m/d。</w:t>
      </w:r>
    </w:p>
    <w:p>
      <w:pPr>
        <w:pageBreakBefore w:val="0"/>
        <w:wordWrap/>
        <w:bidi w:val="0"/>
        <w:adjustRightInd w:val="0"/>
        <w:snapToGrid w:val="0"/>
        <w:spacing w:line="360" w:lineRule="auto"/>
        <w:ind w:left="0" w:leftChars="0" w:right="0" w:rightChars="0" w:firstLine="50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pacing w:val="5"/>
          <w:sz w:val="24"/>
          <w:highlight w:val="none"/>
          <w:lang w:val="nl-BE"/>
        </w:rPr>
        <w:t>⑥</w:t>
      </w:r>
      <w:r>
        <w:rPr>
          <w:rFonts w:hint="default" w:ascii="Times New Roman" w:hAnsi="Times New Roman" w:eastAsia="宋体" w:cs="Times New Roman"/>
          <w:color w:val="auto"/>
          <w:sz w:val="24"/>
          <w:highlight w:val="none"/>
        </w:rPr>
        <w:t>纵向x方向的弥散系数D</w:t>
      </w:r>
      <w:r>
        <w:rPr>
          <w:rFonts w:hint="default" w:ascii="Times New Roman" w:hAnsi="Times New Roman" w:eastAsia="宋体" w:cs="Times New Roman"/>
          <w:color w:val="auto"/>
          <w:sz w:val="24"/>
          <w:highlight w:val="none"/>
          <w:vertAlign w:val="subscript"/>
        </w:rPr>
        <w:t>L</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含水层纵向弥散度α</w:t>
      </w:r>
      <w:r>
        <w:rPr>
          <w:rFonts w:hint="default" w:ascii="Times New Roman" w:hAnsi="Times New Roman" w:eastAsia="宋体" w:cs="Times New Roman"/>
          <w:color w:val="auto"/>
          <w:sz w:val="24"/>
          <w:highlight w:val="none"/>
          <w:vertAlign w:val="subscript"/>
        </w:rPr>
        <w:t>L</w:t>
      </w:r>
      <w:r>
        <w:rPr>
          <w:rFonts w:hint="default" w:ascii="Times New Roman" w:hAnsi="Times New Roman" w:eastAsia="宋体" w:cs="Times New Roman"/>
          <w:color w:val="auto"/>
          <w:sz w:val="24"/>
          <w:highlight w:val="none"/>
        </w:rPr>
        <w:t>=10m</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由此计算项目含水层中的纵向弥散系数D</w:t>
      </w:r>
      <w:r>
        <w:rPr>
          <w:rFonts w:hint="default" w:ascii="Times New Roman" w:hAnsi="Times New Roman" w:eastAsia="宋体" w:cs="Times New Roman"/>
          <w:color w:val="auto"/>
          <w:sz w:val="24"/>
          <w:highlight w:val="none"/>
          <w:vertAlign w:val="subscript"/>
        </w:rPr>
        <w:t>L=</w:t>
      </w:r>
      <w:r>
        <w:rPr>
          <w:rFonts w:hint="default" w:ascii="Times New Roman" w:hAnsi="Times New Roman" w:eastAsia="宋体" w:cs="Times New Roman"/>
          <w:color w:val="auto"/>
          <w:position w:val="-12"/>
          <w:sz w:val="24"/>
          <w:highlight w:val="none"/>
        </w:rPr>
        <w:drawing>
          <wp:inline distT="0" distB="0" distL="0" distR="0">
            <wp:extent cx="449580" cy="220980"/>
            <wp:effectExtent l="0" t="0" r="0" b="0"/>
            <wp:docPr id="1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2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a:xfrm>
                      <a:off x="0" y="0"/>
                      <a:ext cx="449580" cy="220980"/>
                    </a:xfrm>
                    <a:prstGeom prst="rect">
                      <a:avLst/>
                    </a:prstGeom>
                    <a:noFill/>
                    <a:ln>
                      <a:noFill/>
                    </a:ln>
                  </pic:spPr>
                </pic:pic>
              </a:graphicData>
            </a:graphic>
          </wp:inline>
        </w:drawing>
      </w:r>
      <w:r>
        <w:rPr>
          <w:rFonts w:hint="default" w:ascii="Times New Roman" w:hAnsi="Times New Roman" w:eastAsia="宋体" w:cs="Times New Roman"/>
          <w:color w:val="auto"/>
          <w:sz w:val="24"/>
          <w:highlight w:val="none"/>
        </w:rPr>
        <w:t>=10×0.16m/d=1.60m</w:t>
      </w:r>
      <w:r>
        <w:rPr>
          <w:rFonts w:hint="default" w:ascii="Times New Roman" w:hAnsi="Times New Roman" w:eastAsia="宋体" w:cs="Times New Roman"/>
          <w:color w:val="auto"/>
          <w:sz w:val="24"/>
          <w:highlight w:val="none"/>
          <w:vertAlign w:val="superscript"/>
        </w:rPr>
        <w:t>2</w:t>
      </w:r>
      <w:r>
        <w:rPr>
          <w:rFonts w:hint="default" w:ascii="Times New Roman" w:hAnsi="Times New Roman" w:eastAsia="宋体" w:cs="Times New Roman"/>
          <w:color w:val="auto"/>
          <w:sz w:val="24"/>
          <w:highlight w:val="none"/>
        </w:rPr>
        <w:t>/d；</w:t>
      </w:r>
    </w:p>
    <w:p>
      <w:pPr>
        <w:pageBreakBefore w:val="0"/>
        <w:wordWrap/>
        <w:bidi w:val="0"/>
        <w:adjustRightInd w:val="0"/>
        <w:snapToGrid w:val="0"/>
        <w:spacing w:line="360" w:lineRule="auto"/>
        <w:ind w:left="0" w:leftChars="0" w:right="0" w:rightChars="0" w:firstLine="50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pacing w:val="5"/>
          <w:sz w:val="24"/>
          <w:highlight w:val="none"/>
        </w:rPr>
        <w:t>⑦</w:t>
      </w:r>
      <w:r>
        <w:rPr>
          <w:rFonts w:hint="default" w:ascii="Times New Roman" w:hAnsi="Times New Roman" w:eastAsia="宋体" w:cs="Times New Roman"/>
          <w:color w:val="auto"/>
          <w:sz w:val="24"/>
          <w:highlight w:val="none"/>
        </w:rPr>
        <w:t>横向y方向的弥散系数D</w:t>
      </w:r>
      <w:r>
        <w:rPr>
          <w:rFonts w:hint="default" w:ascii="Times New Roman" w:hAnsi="Times New Roman" w:eastAsia="宋体" w:cs="Times New Roman"/>
          <w:color w:val="auto"/>
          <w:sz w:val="24"/>
          <w:highlight w:val="none"/>
          <w:vertAlign w:val="subscript"/>
        </w:rPr>
        <w:t>T</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根据经验一般</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α</w:t>
      </w:r>
      <w:r>
        <w:rPr>
          <w:rFonts w:hint="default" w:ascii="Times New Roman" w:hAnsi="Times New Roman" w:eastAsia="宋体" w:cs="Times New Roman"/>
          <w:color w:val="auto"/>
          <w:sz w:val="24"/>
          <w:highlight w:val="none"/>
          <w:vertAlign w:val="subscript"/>
        </w:rPr>
        <w:t>T</w:t>
      </w:r>
      <w:r>
        <w:rPr>
          <w:rFonts w:hint="default" w:ascii="Times New Roman" w:hAnsi="Times New Roman" w:eastAsia="宋体" w:cs="Times New Roman"/>
          <w:color w:val="auto"/>
          <w:sz w:val="24"/>
          <w:highlight w:val="none"/>
        </w:rPr>
        <w:t>=0.1×α</w:t>
      </w:r>
      <w:r>
        <w:rPr>
          <w:rFonts w:hint="default" w:ascii="Times New Roman" w:hAnsi="Times New Roman" w:eastAsia="宋体" w:cs="Times New Roman"/>
          <w:color w:val="auto"/>
          <w:sz w:val="24"/>
          <w:highlight w:val="none"/>
          <w:vertAlign w:val="subscript"/>
        </w:rPr>
        <w:t>L</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因此α</w:t>
      </w:r>
      <w:r>
        <w:rPr>
          <w:rFonts w:hint="default" w:ascii="Times New Roman" w:hAnsi="Times New Roman" w:eastAsia="宋体" w:cs="Times New Roman"/>
          <w:color w:val="auto"/>
          <w:sz w:val="24"/>
          <w:highlight w:val="none"/>
          <w:vertAlign w:val="subscript"/>
        </w:rPr>
        <w:t>T</w:t>
      </w:r>
      <w:r>
        <w:rPr>
          <w:rFonts w:hint="default" w:ascii="Times New Roman" w:hAnsi="Times New Roman" w:eastAsia="宋体" w:cs="Times New Roman"/>
          <w:color w:val="auto"/>
          <w:sz w:val="24"/>
          <w:highlight w:val="none"/>
        </w:rPr>
        <w:t>=1m</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则横向弥散系数D</w:t>
      </w:r>
      <w:r>
        <w:rPr>
          <w:rFonts w:hint="default" w:ascii="Times New Roman" w:hAnsi="Times New Roman" w:eastAsia="宋体" w:cs="Times New Roman"/>
          <w:color w:val="auto"/>
          <w:sz w:val="24"/>
          <w:highlight w:val="none"/>
          <w:vertAlign w:val="subscript"/>
        </w:rPr>
        <w:t>T</w:t>
      </w:r>
      <w:r>
        <w:rPr>
          <w:rFonts w:hint="default" w:ascii="Times New Roman" w:hAnsi="Times New Roman" w:eastAsia="宋体" w:cs="Times New Roman"/>
          <w:color w:val="auto"/>
          <w:sz w:val="24"/>
          <w:highlight w:val="none"/>
        </w:rPr>
        <w:t>=α</w:t>
      </w:r>
      <w:r>
        <w:rPr>
          <w:rFonts w:hint="default" w:ascii="Times New Roman" w:hAnsi="Times New Roman" w:eastAsia="宋体" w:cs="Times New Roman"/>
          <w:color w:val="auto"/>
          <w:sz w:val="24"/>
          <w:highlight w:val="none"/>
          <w:vertAlign w:val="subscript"/>
        </w:rPr>
        <w:t>T</w:t>
      </w:r>
      <w:r>
        <w:rPr>
          <w:rFonts w:hint="default" w:ascii="Times New Roman" w:hAnsi="Times New Roman" w:eastAsia="宋体" w:cs="Times New Roman"/>
          <w:color w:val="auto"/>
          <w:sz w:val="24"/>
          <w:highlight w:val="none"/>
        </w:rPr>
        <w:t>×u=0.16m</w:t>
      </w:r>
      <w:r>
        <w:rPr>
          <w:rFonts w:hint="default" w:ascii="Times New Roman" w:hAnsi="Times New Roman" w:eastAsia="宋体" w:cs="Times New Roman"/>
          <w:color w:val="auto"/>
          <w:sz w:val="24"/>
          <w:highlight w:val="none"/>
          <w:vertAlign w:val="superscript"/>
        </w:rPr>
        <w:t>2</w:t>
      </w:r>
      <w:r>
        <w:rPr>
          <w:rFonts w:hint="default" w:ascii="Times New Roman" w:hAnsi="Times New Roman" w:eastAsia="宋体" w:cs="Times New Roman"/>
          <w:color w:val="auto"/>
          <w:sz w:val="24"/>
          <w:highlight w:val="none"/>
        </w:rPr>
        <w:t>/d。</w:t>
      </w:r>
    </w:p>
    <w:p>
      <w:pPr>
        <w:pageBreakBefore w:val="0"/>
        <w:wordWrap/>
        <w:bidi w:val="0"/>
        <w:spacing w:line="360" w:lineRule="auto"/>
        <w:ind w:left="0" w:leftChars="0" w:right="0" w:rightChars="0"/>
        <w:outlineLvl w:val="2"/>
        <w:rPr>
          <w:rFonts w:hint="default" w:ascii="Times New Roman" w:hAnsi="Times New Roman" w:eastAsia="宋体" w:cs="Times New Roman"/>
          <w:b/>
          <w:bCs/>
          <w:color w:val="auto"/>
          <w:sz w:val="24"/>
          <w:szCs w:val="32"/>
          <w:highlight w:val="none"/>
        </w:rPr>
      </w:pPr>
      <w:bookmarkStart w:id="1008" w:name="_Toc2420"/>
      <w:bookmarkStart w:id="1009" w:name="_Toc2338"/>
      <w:r>
        <w:rPr>
          <w:rFonts w:hint="default" w:ascii="Times New Roman" w:hAnsi="Times New Roman" w:eastAsia="宋体" w:cs="Times New Roman"/>
          <w:b/>
          <w:bCs/>
          <w:color w:val="auto"/>
          <w:sz w:val="24"/>
          <w:szCs w:val="32"/>
          <w:highlight w:val="none"/>
        </w:rPr>
        <w:t>7.4.</w:t>
      </w:r>
      <w:r>
        <w:rPr>
          <w:rFonts w:hint="default" w:ascii="Times New Roman" w:hAnsi="Times New Roman" w:eastAsia="宋体" w:cs="Times New Roman"/>
          <w:b/>
          <w:bCs/>
          <w:color w:val="auto"/>
          <w:sz w:val="24"/>
          <w:szCs w:val="32"/>
          <w:highlight w:val="none"/>
          <w:lang w:val="en-US" w:eastAsia="zh-CN"/>
        </w:rPr>
        <w:t>8</w:t>
      </w:r>
      <w:r>
        <w:rPr>
          <w:rFonts w:hint="default" w:ascii="Times New Roman" w:hAnsi="Times New Roman" w:eastAsia="宋体" w:cs="Times New Roman"/>
          <w:b/>
          <w:bCs/>
          <w:color w:val="auto"/>
          <w:sz w:val="24"/>
          <w:szCs w:val="32"/>
          <w:highlight w:val="none"/>
        </w:rPr>
        <w:t>.2地下水污染预测</w:t>
      </w:r>
      <w:bookmarkEnd w:id="1008"/>
      <w:bookmarkEnd w:id="1009"/>
    </w:p>
    <w:p>
      <w:pPr>
        <w:pageBreakBefore w:val="0"/>
        <w:wordWrap/>
        <w:bidi w:val="0"/>
        <w:spacing w:line="360" w:lineRule="auto"/>
        <w:ind w:left="0" w:leftChars="0" w:right="0" w:rightChars="0" w:firstLine="480" w:firstLineChars="200"/>
        <w:outlineLvl w:val="0"/>
        <w:rPr>
          <w:rFonts w:hint="default" w:ascii="Times New Roman" w:hAnsi="Times New Roman" w:eastAsia="宋体" w:cs="Times New Roman"/>
          <w:color w:val="auto"/>
          <w:sz w:val="24"/>
          <w:highlight w:val="none"/>
        </w:rPr>
      </w:pPr>
      <w:bookmarkStart w:id="1010" w:name="_Toc3989"/>
      <w:bookmarkStart w:id="1011" w:name="_Toc26890"/>
      <w:r>
        <w:rPr>
          <w:rFonts w:hint="default" w:ascii="Times New Roman" w:hAnsi="Times New Roman" w:eastAsia="宋体" w:cs="Times New Roman"/>
          <w:color w:val="auto"/>
          <w:sz w:val="24"/>
          <w:highlight w:val="none"/>
        </w:rPr>
        <w:t>（1</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地下水污染预测情景设定</w:t>
      </w:r>
      <w:bookmarkEnd w:id="1010"/>
      <w:bookmarkEnd w:id="1011"/>
    </w:p>
    <w:p>
      <w:pPr>
        <w:pStyle w:val="21"/>
        <w:pageBreakBefore w:val="0"/>
        <w:kinsoku w:val="0"/>
        <w:wordWrap/>
        <w:overflowPunct w:val="0"/>
        <w:bidi w:val="0"/>
        <w:adjustRightInd w:val="0"/>
        <w:snapToGrid w:val="0"/>
        <w:spacing w:after="0"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正常工况下</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尾矿库内</w:t>
      </w:r>
      <w:r>
        <w:rPr>
          <w:rFonts w:hint="default" w:ascii="Times New Roman" w:hAnsi="Times New Roman" w:eastAsia="宋体" w:cs="Times New Roman"/>
          <w:color w:val="auto"/>
          <w:sz w:val="24"/>
          <w:highlight w:val="none"/>
          <w:lang w:eastAsia="zh-CN"/>
        </w:rPr>
        <w:t>尾矿砂</w:t>
      </w:r>
      <w:r>
        <w:rPr>
          <w:rFonts w:hint="default" w:ascii="Times New Roman" w:hAnsi="Times New Roman" w:eastAsia="宋体" w:cs="Times New Roman"/>
          <w:color w:val="auto"/>
          <w:sz w:val="24"/>
          <w:highlight w:val="none"/>
        </w:rPr>
        <w:t>不会外泄</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回水池防渗完好</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无泄漏</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不会对周围环境造成影响。在回水池防渗破损时</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尾矿库渗滤液可通过包气带等污染到松散岩类孔隙含水层</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逐渐渗入</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逐渐积累</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使第四系松散层类孔隙潜水含水层产生污染。</w:t>
      </w:r>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尾矿库澄清液回水池面积为</w:t>
      </w:r>
      <w:r>
        <w:rPr>
          <w:rFonts w:hint="default" w:ascii="Times New Roman" w:hAnsi="Times New Roman" w:eastAsia="宋体" w:cs="Times New Roman"/>
          <w:color w:val="auto"/>
          <w:sz w:val="24"/>
          <w:highlight w:val="none"/>
          <w:lang w:eastAsia="zh-CN"/>
        </w:rPr>
        <w:t>225</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2</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回水池容积为</w:t>
      </w:r>
      <w:r>
        <w:rPr>
          <w:rFonts w:hint="default" w:ascii="Times New Roman" w:hAnsi="Times New Roman" w:eastAsia="宋体" w:cs="Times New Roman"/>
          <w:color w:val="auto"/>
          <w:sz w:val="24"/>
          <w:highlight w:val="none"/>
          <w:lang w:val="en-US" w:eastAsia="zh-CN"/>
        </w:rPr>
        <w:t>1</w:t>
      </w:r>
      <w:r>
        <w:rPr>
          <w:rFonts w:hint="default" w:ascii="Times New Roman" w:hAnsi="Times New Roman" w:eastAsia="宋体" w:cs="Times New Roman"/>
          <w:color w:val="auto"/>
          <w:sz w:val="24"/>
          <w:highlight w:val="none"/>
        </w:rPr>
        <w:t>000m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假设回水池泄漏</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单次泄漏量为5%</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回水池容</w:t>
      </w:r>
      <w:r>
        <w:rPr>
          <w:rFonts w:hint="default" w:ascii="Times New Roman" w:hAnsi="Times New Roman" w:eastAsia="宋体" w:cs="Times New Roman"/>
          <w:color w:val="auto"/>
          <w:sz w:val="24"/>
          <w:highlight w:val="none"/>
          <w:lang w:eastAsia="zh-CN"/>
        </w:rPr>
        <w:t>积为</w:t>
      </w:r>
      <w:r>
        <w:rPr>
          <w:rFonts w:hint="default" w:ascii="Times New Roman" w:hAnsi="Times New Roman" w:eastAsia="宋体" w:cs="Times New Roman"/>
          <w:color w:val="auto"/>
          <w:sz w:val="24"/>
          <w:highlight w:val="none"/>
          <w:lang w:val="en-US" w:eastAsia="zh-CN"/>
        </w:rPr>
        <w:t>1</w:t>
      </w:r>
      <w:r>
        <w:rPr>
          <w:rFonts w:hint="default" w:ascii="Times New Roman" w:hAnsi="Times New Roman" w:eastAsia="宋体" w:cs="Times New Roman"/>
          <w:color w:val="auto"/>
          <w:sz w:val="24"/>
          <w:highlight w:val="none"/>
        </w:rPr>
        <w:t>000m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。假设监测为每半年一次</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在例行监测时发现超标</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则</w:t>
      </w:r>
      <w:r>
        <w:rPr>
          <w:rFonts w:hint="default" w:ascii="Times New Roman" w:hAnsi="Times New Roman" w:eastAsia="宋体" w:cs="Times New Roman"/>
          <w:color w:val="auto"/>
          <w:sz w:val="24"/>
          <w:highlight w:val="none"/>
          <w:lang w:eastAsia="zh-CN"/>
        </w:rPr>
        <w:t>泄漏</w:t>
      </w:r>
      <w:r>
        <w:rPr>
          <w:rFonts w:hint="default" w:ascii="Times New Roman" w:hAnsi="Times New Roman" w:eastAsia="宋体" w:cs="Times New Roman"/>
          <w:color w:val="auto"/>
          <w:sz w:val="24"/>
          <w:highlight w:val="none"/>
        </w:rPr>
        <w:t>时间按最大计算</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取180d</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每天泄漏100m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w:t>
      </w:r>
    </w:p>
    <w:p>
      <w:pPr>
        <w:pageBreakBefore w:val="0"/>
        <w:wordWrap/>
        <w:bidi w:val="0"/>
        <w:spacing w:line="360" w:lineRule="auto"/>
        <w:ind w:left="0" w:leftChars="0" w:right="0" w:rightChars="0" w:firstLine="480" w:firstLineChars="200"/>
        <w:outlineLvl w:val="0"/>
        <w:rPr>
          <w:rFonts w:hint="default" w:ascii="Times New Roman" w:hAnsi="Times New Roman" w:eastAsia="宋体" w:cs="Times New Roman"/>
          <w:color w:val="auto"/>
          <w:sz w:val="24"/>
          <w:highlight w:val="none"/>
        </w:rPr>
      </w:pPr>
      <w:bookmarkStart w:id="1012" w:name="_Toc9692"/>
      <w:bookmarkStart w:id="1013" w:name="_Toc26021"/>
      <w:r>
        <w:rPr>
          <w:rFonts w:hint="default" w:ascii="Times New Roman" w:hAnsi="Times New Roman" w:eastAsia="宋体" w:cs="Times New Roman"/>
          <w:color w:val="auto"/>
          <w:sz w:val="24"/>
          <w:highlight w:val="none"/>
        </w:rPr>
        <w:t>（2</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预测因子筛选</w:t>
      </w:r>
      <w:bookmarkEnd w:id="1012"/>
      <w:bookmarkEnd w:id="1013"/>
    </w:p>
    <w:p>
      <w:pPr>
        <w:pStyle w:val="21"/>
        <w:pageBreakBefore w:val="0"/>
        <w:kinsoku w:val="0"/>
        <w:wordWrap/>
        <w:overflowPunct w:val="0"/>
        <w:bidi w:val="0"/>
        <w:adjustRightInd w:val="0"/>
        <w:snapToGrid w:val="0"/>
        <w:spacing w:after="0" w:line="360" w:lineRule="auto"/>
        <w:ind w:left="0" w:leftChars="0" w:right="0" w:rightChars="0" w:firstLine="456" w:firstLineChars="200"/>
        <w:rPr>
          <w:rFonts w:hint="default" w:ascii="Times New Roman" w:hAnsi="Times New Roman" w:eastAsia="宋体" w:cs="Times New Roman"/>
          <w:color w:val="auto"/>
          <w:spacing w:val="-6"/>
          <w:sz w:val="24"/>
          <w:highlight w:val="none"/>
        </w:rPr>
      </w:pPr>
      <w:r>
        <w:rPr>
          <w:rFonts w:hint="default" w:ascii="Times New Roman" w:hAnsi="Times New Roman" w:eastAsia="宋体" w:cs="Times New Roman"/>
          <w:color w:val="auto"/>
          <w:spacing w:val="-6"/>
          <w:sz w:val="24"/>
          <w:highlight w:val="none"/>
        </w:rPr>
        <w:t>根据</w:t>
      </w:r>
      <w:r>
        <w:rPr>
          <w:rFonts w:hint="default" w:ascii="Times New Roman" w:hAnsi="Times New Roman" w:eastAsia="宋体" w:cs="Times New Roman"/>
          <w:color w:val="auto"/>
          <w:spacing w:val="-6"/>
          <w:sz w:val="24"/>
          <w:highlight w:val="none"/>
          <w:lang w:eastAsia="zh-CN"/>
        </w:rPr>
        <w:t>内蒙古</w:t>
      </w:r>
      <w:r>
        <w:rPr>
          <w:rFonts w:hint="default" w:ascii="Times New Roman" w:hAnsi="Times New Roman" w:eastAsia="宋体" w:cs="Times New Roman"/>
          <w:color w:val="auto"/>
          <w:spacing w:val="-6"/>
          <w:sz w:val="24"/>
          <w:highlight w:val="none"/>
          <w:lang w:val="en-US" w:eastAsia="zh-CN"/>
        </w:rPr>
        <w:t>路易精普检测科技有限公司</w:t>
      </w:r>
      <w:r>
        <w:rPr>
          <w:rFonts w:hint="default" w:ascii="Times New Roman" w:hAnsi="Times New Roman" w:eastAsia="宋体" w:cs="Times New Roman"/>
          <w:color w:val="auto"/>
          <w:spacing w:val="-6"/>
          <w:sz w:val="24"/>
          <w:highlight w:val="none"/>
          <w:lang w:eastAsia="zh-CN"/>
        </w:rPr>
        <w:t>于</w:t>
      </w:r>
      <w:r>
        <w:rPr>
          <w:rFonts w:hint="default" w:ascii="Times New Roman" w:hAnsi="Times New Roman" w:eastAsia="宋体" w:cs="Times New Roman"/>
          <w:color w:val="auto"/>
          <w:spacing w:val="-6"/>
          <w:sz w:val="24"/>
          <w:highlight w:val="none"/>
          <w:lang w:val="en-US" w:eastAsia="zh-CN"/>
        </w:rPr>
        <w:t>2023年8月10日出具的</w:t>
      </w:r>
      <w:r>
        <w:rPr>
          <w:rFonts w:hint="default" w:ascii="Times New Roman" w:hAnsi="Times New Roman" w:eastAsia="宋体" w:cs="Times New Roman"/>
          <w:color w:val="auto"/>
          <w:spacing w:val="-6"/>
          <w:sz w:val="24"/>
          <w:highlight w:val="none"/>
        </w:rPr>
        <w:t>尾矿废水的监测分析报告</w:t>
      </w:r>
      <w:r>
        <w:rPr>
          <w:rFonts w:hint="default" w:ascii="Times New Roman" w:hAnsi="Times New Roman" w:eastAsia="宋体" w:cs="Times New Roman"/>
          <w:color w:val="auto"/>
          <w:spacing w:val="-6"/>
          <w:sz w:val="24"/>
          <w:highlight w:val="none"/>
          <w:lang w:eastAsia="zh-CN"/>
        </w:rPr>
        <w:t>，</w:t>
      </w:r>
      <w:r>
        <w:rPr>
          <w:rFonts w:hint="default" w:ascii="Times New Roman" w:hAnsi="Times New Roman" w:eastAsia="宋体" w:cs="Times New Roman"/>
          <w:color w:val="auto"/>
          <w:spacing w:val="-6"/>
          <w:sz w:val="24"/>
          <w:highlight w:val="none"/>
        </w:rPr>
        <w:t>监测分析结果见表7</w:t>
      </w:r>
      <w:r>
        <w:rPr>
          <w:rFonts w:hint="default" w:ascii="Times New Roman" w:hAnsi="Times New Roman" w:eastAsia="宋体" w:cs="Times New Roman"/>
          <w:color w:val="auto"/>
          <w:spacing w:val="-6"/>
          <w:sz w:val="24"/>
          <w:highlight w:val="none"/>
          <w:lang w:val="en-US" w:eastAsia="zh-CN"/>
        </w:rPr>
        <w:t>-14</w:t>
      </w:r>
      <w:r>
        <w:rPr>
          <w:rFonts w:hint="default" w:ascii="Times New Roman" w:hAnsi="Times New Roman" w:eastAsia="宋体" w:cs="Times New Roman"/>
          <w:color w:val="auto"/>
          <w:spacing w:val="-6"/>
          <w:sz w:val="24"/>
          <w:highlight w:val="none"/>
        </w:rPr>
        <w:t>。</w:t>
      </w:r>
    </w:p>
    <w:p>
      <w:pPr>
        <w:pStyle w:val="21"/>
        <w:pageBreakBefore w:val="0"/>
        <w:kinsoku w:val="0"/>
        <w:wordWrap/>
        <w:overflowPunct w:val="0"/>
        <w:bidi w:val="0"/>
        <w:spacing w:after="0" w:line="360" w:lineRule="auto"/>
        <w:ind w:left="0" w:leftChars="0" w:right="0" w:rightChars="0" w:firstLine="458" w:firstLineChars="200"/>
        <w:jc w:val="center"/>
        <w:rPr>
          <w:rFonts w:hint="default" w:ascii="Times New Roman" w:hAnsi="Times New Roman" w:eastAsia="宋体" w:cs="Times New Roman"/>
          <w:b/>
          <w:color w:val="auto"/>
          <w:spacing w:val="-6"/>
          <w:sz w:val="24"/>
          <w:highlight w:val="none"/>
          <w:lang w:eastAsia="zh-CN"/>
        </w:rPr>
      </w:pPr>
      <w:r>
        <w:rPr>
          <w:rFonts w:hint="default" w:ascii="Times New Roman" w:hAnsi="Times New Roman" w:eastAsia="宋体" w:cs="Times New Roman"/>
          <w:b/>
          <w:color w:val="auto"/>
          <w:spacing w:val="-6"/>
          <w:sz w:val="24"/>
          <w:highlight w:val="none"/>
          <w:lang w:eastAsia="zh-CN"/>
        </w:rPr>
        <w:t>表7</w:t>
      </w:r>
      <w:r>
        <w:rPr>
          <w:rFonts w:hint="default" w:ascii="Times New Roman" w:hAnsi="Times New Roman" w:eastAsia="宋体" w:cs="Times New Roman"/>
          <w:b/>
          <w:color w:val="auto"/>
          <w:spacing w:val="-6"/>
          <w:sz w:val="24"/>
          <w:highlight w:val="none"/>
          <w:lang w:val="en-US" w:eastAsia="zh-CN"/>
        </w:rPr>
        <w:t>-14</w:t>
      </w:r>
      <w:r>
        <w:rPr>
          <w:rFonts w:hint="default" w:ascii="Times New Roman" w:hAnsi="Times New Roman" w:eastAsia="宋体" w:cs="Times New Roman"/>
          <w:b/>
          <w:color w:val="auto"/>
          <w:spacing w:val="-6"/>
          <w:sz w:val="24"/>
          <w:highlight w:val="none"/>
          <w:lang w:eastAsia="zh-CN"/>
        </w:rPr>
        <w:t>尾矿库尾矿水水质情况</w:t>
      </w:r>
    </w:p>
    <w:tbl>
      <w:tblPr>
        <w:tblStyle w:val="54"/>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
      <w:tblGrid>
        <w:gridCol w:w="1044"/>
        <w:gridCol w:w="1134"/>
        <w:gridCol w:w="1931"/>
        <w:gridCol w:w="2524"/>
        <w:gridCol w:w="172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045"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序号</w:t>
            </w:r>
          </w:p>
        </w:tc>
        <w:tc>
          <w:tcPr>
            <w:tcW w:w="1135"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lang w:val="en-US" w:eastAsia="zh-CN"/>
              </w:rPr>
              <w:t>送样</w:t>
            </w:r>
            <w:r>
              <w:rPr>
                <w:rFonts w:hint="default" w:ascii="Times New Roman" w:hAnsi="Times New Roman" w:eastAsia="宋体" w:cs="Times New Roman"/>
                <w:b/>
                <w:color w:val="auto"/>
                <w:szCs w:val="21"/>
                <w:highlight w:val="none"/>
              </w:rPr>
              <w:t>时间</w:t>
            </w:r>
          </w:p>
        </w:tc>
        <w:tc>
          <w:tcPr>
            <w:tcW w:w="1933"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分析项目</w:t>
            </w:r>
          </w:p>
        </w:tc>
        <w:tc>
          <w:tcPr>
            <w:tcW w:w="2526"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分析结果</w:t>
            </w:r>
          </w:p>
        </w:tc>
        <w:tc>
          <w:tcPr>
            <w:tcW w:w="1730"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单位</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045"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1</w:t>
            </w:r>
          </w:p>
        </w:tc>
        <w:tc>
          <w:tcPr>
            <w:tcW w:w="1135" w:type="dxa"/>
            <w:vMerge w:val="restar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2023年8月10日</w:t>
            </w:r>
          </w:p>
        </w:tc>
        <w:tc>
          <w:tcPr>
            <w:tcW w:w="1933"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pH</w:t>
            </w:r>
          </w:p>
        </w:tc>
        <w:tc>
          <w:tcPr>
            <w:tcW w:w="2526"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7.9</w:t>
            </w:r>
          </w:p>
        </w:tc>
        <w:tc>
          <w:tcPr>
            <w:tcW w:w="1730"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无量纲</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045"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rPr>
              <w:t>2</w:t>
            </w:r>
          </w:p>
        </w:tc>
        <w:tc>
          <w:tcPr>
            <w:tcW w:w="1135" w:type="dxa"/>
            <w:vMerge w:val="continue"/>
            <w:tcBorders>
              <w:left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rPr>
            </w:pPr>
          </w:p>
        </w:tc>
        <w:tc>
          <w:tcPr>
            <w:tcW w:w="1933"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rPr>
              <w:t>氨氮</w:t>
            </w:r>
          </w:p>
        </w:tc>
        <w:tc>
          <w:tcPr>
            <w:tcW w:w="2526"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0.956</w:t>
            </w:r>
          </w:p>
        </w:tc>
        <w:tc>
          <w:tcPr>
            <w:tcW w:w="1730"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rPr>
              <w:t>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045"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rPr>
              <w:t>3</w:t>
            </w:r>
          </w:p>
        </w:tc>
        <w:tc>
          <w:tcPr>
            <w:tcW w:w="1135" w:type="dxa"/>
            <w:vMerge w:val="continue"/>
            <w:tcBorders>
              <w:left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rPr>
            </w:pPr>
          </w:p>
        </w:tc>
        <w:tc>
          <w:tcPr>
            <w:tcW w:w="1933"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生化需氧量</w:t>
            </w:r>
          </w:p>
        </w:tc>
        <w:tc>
          <w:tcPr>
            <w:tcW w:w="2526"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3.0</w:t>
            </w:r>
          </w:p>
        </w:tc>
        <w:tc>
          <w:tcPr>
            <w:tcW w:w="1730"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045"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rPr>
              <w:t>4</w:t>
            </w:r>
          </w:p>
        </w:tc>
        <w:tc>
          <w:tcPr>
            <w:tcW w:w="1135" w:type="dxa"/>
            <w:vMerge w:val="continue"/>
            <w:tcBorders>
              <w:left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rPr>
            </w:pPr>
          </w:p>
        </w:tc>
        <w:tc>
          <w:tcPr>
            <w:tcW w:w="1933"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化学需氧量</w:t>
            </w:r>
          </w:p>
        </w:tc>
        <w:tc>
          <w:tcPr>
            <w:tcW w:w="2526"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56</w:t>
            </w:r>
          </w:p>
        </w:tc>
        <w:tc>
          <w:tcPr>
            <w:tcW w:w="1730"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045"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rPr>
              <w:t>5</w:t>
            </w:r>
          </w:p>
        </w:tc>
        <w:tc>
          <w:tcPr>
            <w:tcW w:w="1135" w:type="dxa"/>
            <w:vMerge w:val="continue"/>
            <w:tcBorders>
              <w:left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rPr>
            </w:pPr>
          </w:p>
        </w:tc>
        <w:tc>
          <w:tcPr>
            <w:tcW w:w="1933"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阴离子表面活性剂</w:t>
            </w:r>
          </w:p>
        </w:tc>
        <w:tc>
          <w:tcPr>
            <w:tcW w:w="2526"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0.333</w:t>
            </w:r>
          </w:p>
        </w:tc>
        <w:tc>
          <w:tcPr>
            <w:tcW w:w="1730"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045"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rPr>
              <w:t>6</w:t>
            </w:r>
          </w:p>
        </w:tc>
        <w:tc>
          <w:tcPr>
            <w:tcW w:w="1135" w:type="dxa"/>
            <w:vMerge w:val="continue"/>
            <w:tcBorders>
              <w:left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rPr>
            </w:pPr>
          </w:p>
        </w:tc>
        <w:tc>
          <w:tcPr>
            <w:tcW w:w="1933"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氯化物</w:t>
            </w:r>
          </w:p>
        </w:tc>
        <w:tc>
          <w:tcPr>
            <w:tcW w:w="2526"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17</w:t>
            </w:r>
          </w:p>
        </w:tc>
        <w:tc>
          <w:tcPr>
            <w:tcW w:w="1730"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045"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rPr>
              <w:t>7</w:t>
            </w:r>
          </w:p>
        </w:tc>
        <w:tc>
          <w:tcPr>
            <w:tcW w:w="1135" w:type="dxa"/>
            <w:vMerge w:val="continue"/>
            <w:tcBorders>
              <w:left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rPr>
            </w:pPr>
          </w:p>
        </w:tc>
        <w:tc>
          <w:tcPr>
            <w:tcW w:w="1933"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lang w:eastAsia="zh-CN"/>
              </w:rPr>
              <w:t>氟化物</w:t>
            </w:r>
          </w:p>
        </w:tc>
        <w:tc>
          <w:tcPr>
            <w:tcW w:w="2526"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13.3</w:t>
            </w:r>
          </w:p>
        </w:tc>
        <w:tc>
          <w:tcPr>
            <w:tcW w:w="1730"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045"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rPr>
              <w:t>8</w:t>
            </w:r>
          </w:p>
        </w:tc>
        <w:tc>
          <w:tcPr>
            <w:tcW w:w="1135" w:type="dxa"/>
            <w:vMerge w:val="continue"/>
            <w:tcBorders>
              <w:left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rPr>
            </w:pPr>
          </w:p>
        </w:tc>
        <w:tc>
          <w:tcPr>
            <w:tcW w:w="1933"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硫酸盐</w:t>
            </w:r>
          </w:p>
        </w:tc>
        <w:tc>
          <w:tcPr>
            <w:tcW w:w="2526"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180</w:t>
            </w:r>
          </w:p>
        </w:tc>
        <w:tc>
          <w:tcPr>
            <w:tcW w:w="1730"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045"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rPr>
              <w:t>9</w:t>
            </w:r>
          </w:p>
        </w:tc>
        <w:tc>
          <w:tcPr>
            <w:tcW w:w="1135" w:type="dxa"/>
            <w:vMerge w:val="continue"/>
            <w:tcBorders>
              <w:left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rPr>
            </w:pPr>
          </w:p>
        </w:tc>
        <w:tc>
          <w:tcPr>
            <w:tcW w:w="1933"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lang w:eastAsia="zh-CN"/>
              </w:rPr>
              <w:t>总磷</w:t>
            </w:r>
          </w:p>
        </w:tc>
        <w:tc>
          <w:tcPr>
            <w:tcW w:w="2526"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0.05</w:t>
            </w:r>
          </w:p>
        </w:tc>
        <w:tc>
          <w:tcPr>
            <w:tcW w:w="1730"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045"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rPr>
              <w:t>10</w:t>
            </w:r>
          </w:p>
        </w:tc>
        <w:tc>
          <w:tcPr>
            <w:tcW w:w="1135" w:type="dxa"/>
            <w:vMerge w:val="continue"/>
            <w:tcBorders>
              <w:left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rPr>
            </w:pPr>
          </w:p>
        </w:tc>
        <w:tc>
          <w:tcPr>
            <w:tcW w:w="1933"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溶解性总固体</w:t>
            </w:r>
          </w:p>
        </w:tc>
        <w:tc>
          <w:tcPr>
            <w:tcW w:w="2526"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760</w:t>
            </w:r>
          </w:p>
        </w:tc>
        <w:tc>
          <w:tcPr>
            <w:tcW w:w="1730"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045"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rPr>
              <w:t>11</w:t>
            </w:r>
          </w:p>
        </w:tc>
        <w:tc>
          <w:tcPr>
            <w:tcW w:w="1135" w:type="dxa"/>
            <w:vMerge w:val="continue"/>
            <w:tcBorders>
              <w:left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rPr>
            </w:pPr>
          </w:p>
        </w:tc>
        <w:tc>
          <w:tcPr>
            <w:tcW w:w="1933"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色度</w:t>
            </w:r>
          </w:p>
        </w:tc>
        <w:tc>
          <w:tcPr>
            <w:tcW w:w="2526"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5</w:t>
            </w:r>
          </w:p>
        </w:tc>
        <w:tc>
          <w:tcPr>
            <w:tcW w:w="1730"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lang w:val="en-US" w:eastAsia="zh-CN"/>
              </w:rPr>
              <w:t>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045"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rPr>
              <w:t>12</w:t>
            </w:r>
          </w:p>
        </w:tc>
        <w:tc>
          <w:tcPr>
            <w:tcW w:w="1135" w:type="dxa"/>
            <w:vMerge w:val="continue"/>
            <w:tcBorders>
              <w:left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rPr>
            </w:pPr>
          </w:p>
        </w:tc>
        <w:tc>
          <w:tcPr>
            <w:tcW w:w="1933"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浊度</w:t>
            </w:r>
          </w:p>
        </w:tc>
        <w:tc>
          <w:tcPr>
            <w:tcW w:w="2526"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4</w:t>
            </w:r>
          </w:p>
        </w:tc>
        <w:tc>
          <w:tcPr>
            <w:tcW w:w="1730"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lang w:val="en-US" w:eastAsia="zh-CN"/>
              </w:rPr>
              <w:t>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045"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rPr>
              <w:t>13</w:t>
            </w:r>
          </w:p>
        </w:tc>
        <w:tc>
          <w:tcPr>
            <w:tcW w:w="1135" w:type="dxa"/>
            <w:vMerge w:val="continue"/>
            <w:tcBorders>
              <w:left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rPr>
            </w:pPr>
          </w:p>
        </w:tc>
        <w:tc>
          <w:tcPr>
            <w:tcW w:w="1933"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总硬度</w:t>
            </w:r>
          </w:p>
        </w:tc>
        <w:tc>
          <w:tcPr>
            <w:tcW w:w="2526"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414</w:t>
            </w:r>
          </w:p>
        </w:tc>
        <w:tc>
          <w:tcPr>
            <w:tcW w:w="1730"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045"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rPr>
              <w:t>14</w:t>
            </w:r>
          </w:p>
        </w:tc>
        <w:tc>
          <w:tcPr>
            <w:tcW w:w="1135" w:type="dxa"/>
            <w:vMerge w:val="continue"/>
            <w:tcBorders>
              <w:left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rPr>
            </w:pPr>
          </w:p>
        </w:tc>
        <w:tc>
          <w:tcPr>
            <w:tcW w:w="1933"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总碱度</w:t>
            </w:r>
          </w:p>
        </w:tc>
        <w:tc>
          <w:tcPr>
            <w:tcW w:w="2526"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118</w:t>
            </w:r>
          </w:p>
        </w:tc>
        <w:tc>
          <w:tcPr>
            <w:tcW w:w="1730"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045"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rPr>
              <w:t>15</w:t>
            </w:r>
          </w:p>
        </w:tc>
        <w:tc>
          <w:tcPr>
            <w:tcW w:w="1135" w:type="dxa"/>
            <w:vMerge w:val="continue"/>
            <w:tcBorders>
              <w:left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rPr>
            </w:pPr>
          </w:p>
        </w:tc>
        <w:tc>
          <w:tcPr>
            <w:tcW w:w="1933"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粪大肠菌群</w:t>
            </w:r>
          </w:p>
        </w:tc>
        <w:tc>
          <w:tcPr>
            <w:tcW w:w="2526"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120</w:t>
            </w:r>
          </w:p>
        </w:tc>
        <w:tc>
          <w:tcPr>
            <w:tcW w:w="1730"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045"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rPr>
              <w:t>16</w:t>
            </w:r>
          </w:p>
        </w:tc>
        <w:tc>
          <w:tcPr>
            <w:tcW w:w="1135" w:type="dxa"/>
            <w:vMerge w:val="continue"/>
            <w:tcBorders>
              <w:left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rPr>
            </w:pPr>
          </w:p>
        </w:tc>
        <w:tc>
          <w:tcPr>
            <w:tcW w:w="1933"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石油类</w:t>
            </w:r>
          </w:p>
        </w:tc>
        <w:tc>
          <w:tcPr>
            <w:tcW w:w="2526"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0.48</w:t>
            </w:r>
          </w:p>
        </w:tc>
        <w:tc>
          <w:tcPr>
            <w:tcW w:w="1730"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045"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rPr>
              <w:t>17</w:t>
            </w:r>
          </w:p>
        </w:tc>
        <w:tc>
          <w:tcPr>
            <w:tcW w:w="1135" w:type="dxa"/>
            <w:vMerge w:val="continue"/>
            <w:tcBorders>
              <w:left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rPr>
            </w:pPr>
          </w:p>
        </w:tc>
        <w:tc>
          <w:tcPr>
            <w:tcW w:w="1933"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rPr>
              <w:t>铁</w:t>
            </w:r>
          </w:p>
        </w:tc>
        <w:tc>
          <w:tcPr>
            <w:tcW w:w="2526"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0.153</w:t>
            </w:r>
          </w:p>
        </w:tc>
        <w:tc>
          <w:tcPr>
            <w:tcW w:w="1730"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045"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rPr>
              <w:t>18</w:t>
            </w:r>
          </w:p>
        </w:tc>
        <w:tc>
          <w:tcPr>
            <w:tcW w:w="1135" w:type="dxa"/>
            <w:vMerge w:val="continue"/>
            <w:tcBorders>
              <w:left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rPr>
            </w:pPr>
          </w:p>
        </w:tc>
        <w:tc>
          <w:tcPr>
            <w:tcW w:w="1933"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rPr>
              <w:t>锰</w:t>
            </w:r>
          </w:p>
        </w:tc>
        <w:tc>
          <w:tcPr>
            <w:tcW w:w="2526"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0.0152</w:t>
            </w:r>
          </w:p>
        </w:tc>
        <w:tc>
          <w:tcPr>
            <w:tcW w:w="1730"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045"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rPr>
              <w:t>19</w:t>
            </w:r>
          </w:p>
        </w:tc>
        <w:tc>
          <w:tcPr>
            <w:tcW w:w="1135" w:type="dxa"/>
            <w:vMerge w:val="continue"/>
            <w:tcBorders>
              <w:left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rPr>
            </w:pPr>
          </w:p>
        </w:tc>
        <w:tc>
          <w:tcPr>
            <w:tcW w:w="1933"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rPr>
              <w:t>铅</w:t>
            </w:r>
          </w:p>
        </w:tc>
        <w:tc>
          <w:tcPr>
            <w:tcW w:w="2526"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2.34×10</w:t>
            </w:r>
            <w:r>
              <w:rPr>
                <w:rFonts w:hint="default" w:ascii="Times New Roman" w:hAnsi="Times New Roman" w:eastAsia="宋体" w:cs="Times New Roman"/>
                <w:b w:val="0"/>
                <w:bCs w:val="0"/>
                <w:color w:val="auto"/>
                <w:szCs w:val="21"/>
                <w:highlight w:val="none"/>
                <w:vertAlign w:val="superscript"/>
                <w:lang w:val="en-US" w:eastAsia="zh-CN"/>
              </w:rPr>
              <w:t>-3</w:t>
            </w:r>
          </w:p>
        </w:tc>
        <w:tc>
          <w:tcPr>
            <w:tcW w:w="1730"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1045"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rPr>
              <w:t>20</w:t>
            </w:r>
          </w:p>
        </w:tc>
        <w:tc>
          <w:tcPr>
            <w:tcW w:w="1135" w:type="dxa"/>
            <w:vMerge w:val="continue"/>
            <w:tcBorders>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rPr>
            </w:pPr>
          </w:p>
        </w:tc>
        <w:tc>
          <w:tcPr>
            <w:tcW w:w="1933"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钼</w:t>
            </w:r>
          </w:p>
        </w:tc>
        <w:tc>
          <w:tcPr>
            <w:tcW w:w="2526"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10.9</w:t>
            </w:r>
          </w:p>
        </w:tc>
        <w:tc>
          <w:tcPr>
            <w:tcW w:w="1730"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rPr>
              <w:t>mg/L</w:t>
            </w:r>
          </w:p>
        </w:tc>
      </w:tr>
    </w:tbl>
    <w:p>
      <w:pPr>
        <w:pageBreakBefore w:val="0"/>
        <w:wordWrap/>
        <w:bidi w:val="0"/>
        <w:spacing w:line="360" w:lineRule="auto"/>
        <w:ind w:left="0" w:leftChars="0" w:right="0" w:rightChars="0" w:firstLine="480" w:firstLineChars="20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本项目尾矿库废水检测数据对照《城市污水再生利用工业用水水质》</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GB/T19923-2020</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表1工艺与产品用水要求、《地下水质量标准》（GB</w:t>
      </w:r>
      <w:r>
        <w:rPr>
          <w:rFonts w:hint="default"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rPr>
        <w:t>T14848-2017</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fldChar w:fldCharType="begin"/>
      </w:r>
      <w:r>
        <w:rPr>
          <w:rFonts w:hint="default" w:ascii="Times New Roman" w:hAnsi="Times New Roman" w:eastAsia="宋体" w:cs="Times New Roman"/>
          <w:color w:val="auto"/>
          <w:sz w:val="24"/>
          <w:highlight w:val="none"/>
        </w:rPr>
        <w:instrText xml:space="preserve"> = 3 \* ROMAN </w:instrText>
      </w:r>
      <w:r>
        <w:rPr>
          <w:rFonts w:hint="default" w:ascii="Times New Roman" w:hAnsi="Times New Roman" w:eastAsia="宋体" w:cs="Times New Roman"/>
          <w:color w:val="auto"/>
          <w:sz w:val="24"/>
          <w:highlight w:val="none"/>
        </w:rPr>
        <w:fldChar w:fldCharType="separate"/>
      </w:r>
      <w:r>
        <w:rPr>
          <w:rFonts w:hint="default" w:ascii="Times New Roman" w:hAnsi="Times New Roman" w:eastAsia="宋体" w:cs="Times New Roman"/>
          <w:color w:val="auto"/>
          <w:sz w:val="24"/>
          <w:highlight w:val="none"/>
          <w:lang w:eastAsia="zh-CN"/>
        </w:rPr>
        <w:t>Ⅲ</w:t>
      </w:r>
      <w:r>
        <w:rPr>
          <w:rFonts w:hint="default" w:ascii="Times New Roman" w:hAnsi="Times New Roman" w:eastAsia="宋体" w:cs="Times New Roman"/>
          <w:color w:val="auto"/>
          <w:sz w:val="24"/>
          <w:highlight w:val="none"/>
        </w:rPr>
        <w:fldChar w:fldCharType="end"/>
      </w:r>
      <w:r>
        <w:rPr>
          <w:rFonts w:hint="default" w:ascii="Times New Roman" w:hAnsi="Times New Roman" w:eastAsia="宋体" w:cs="Times New Roman"/>
          <w:color w:val="auto"/>
          <w:sz w:val="24"/>
          <w:highlight w:val="none"/>
        </w:rPr>
        <w:t>类水质</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所测项目对比情况见下表7</w:t>
      </w:r>
      <w:r>
        <w:rPr>
          <w:rFonts w:hint="default" w:ascii="Times New Roman" w:hAnsi="Times New Roman" w:eastAsia="宋体" w:cs="Times New Roman"/>
          <w:color w:val="auto"/>
          <w:sz w:val="24"/>
          <w:highlight w:val="none"/>
          <w:lang w:val="en-US" w:eastAsia="zh-CN"/>
        </w:rPr>
        <w:t>-15</w:t>
      </w:r>
      <w:r>
        <w:rPr>
          <w:rFonts w:hint="default" w:ascii="Times New Roman" w:hAnsi="Times New Roman" w:eastAsia="宋体" w:cs="Times New Roman"/>
          <w:color w:val="auto"/>
          <w:sz w:val="24"/>
          <w:highlight w:val="none"/>
        </w:rPr>
        <w:t>。</w:t>
      </w:r>
    </w:p>
    <w:p>
      <w:pPr>
        <w:pageBreakBefore w:val="0"/>
        <w:wordWrap/>
        <w:bidi w:val="0"/>
        <w:spacing w:line="360" w:lineRule="auto"/>
        <w:ind w:left="0" w:leftChars="0" w:right="0" w:rightChars="0" w:firstLine="482" w:firstLineChars="200"/>
        <w:jc w:val="center"/>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w:t>表</w:t>
      </w:r>
      <w:r>
        <w:rPr>
          <w:rFonts w:hint="default" w:ascii="Times New Roman" w:hAnsi="Times New Roman" w:eastAsia="宋体" w:cs="Times New Roman"/>
          <w:b/>
          <w:color w:val="auto"/>
          <w:sz w:val="24"/>
          <w:highlight w:val="none"/>
          <w:lang w:val="en-US" w:eastAsia="zh-CN"/>
        </w:rPr>
        <w:t>7-15尾</w:t>
      </w:r>
      <w:r>
        <w:rPr>
          <w:rFonts w:hint="default" w:ascii="Times New Roman" w:hAnsi="Times New Roman" w:eastAsia="宋体" w:cs="Times New Roman"/>
          <w:b/>
          <w:color w:val="auto"/>
          <w:spacing w:val="-6"/>
          <w:sz w:val="24"/>
          <w:highlight w:val="none"/>
        </w:rPr>
        <w:t>矿库</w:t>
      </w:r>
      <w:r>
        <w:rPr>
          <w:rFonts w:hint="default" w:ascii="Times New Roman" w:hAnsi="Times New Roman" w:eastAsia="宋体" w:cs="Times New Roman"/>
          <w:b/>
          <w:color w:val="auto"/>
          <w:spacing w:val="-6"/>
          <w:sz w:val="24"/>
          <w:highlight w:val="none"/>
          <w:lang w:eastAsia="zh-CN"/>
        </w:rPr>
        <w:t>尾矿水</w:t>
      </w:r>
      <w:r>
        <w:rPr>
          <w:rFonts w:hint="default" w:ascii="Times New Roman" w:hAnsi="Times New Roman" w:eastAsia="宋体" w:cs="Times New Roman"/>
          <w:b/>
          <w:color w:val="auto"/>
          <w:spacing w:val="-6"/>
          <w:sz w:val="24"/>
          <w:highlight w:val="none"/>
        </w:rPr>
        <w:t>水质分析</w:t>
      </w:r>
      <w:r>
        <w:rPr>
          <w:rFonts w:hint="default" w:ascii="Times New Roman" w:hAnsi="Times New Roman" w:eastAsia="宋体" w:cs="Times New Roman"/>
          <w:b/>
          <w:color w:val="auto"/>
          <w:sz w:val="24"/>
          <w:highlight w:val="none"/>
        </w:rPr>
        <w:t>结果</w:t>
      </w:r>
    </w:p>
    <w:tbl>
      <w:tblPr>
        <w:tblStyle w:val="5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463"/>
        <w:gridCol w:w="1159"/>
        <w:gridCol w:w="1159"/>
        <w:gridCol w:w="1062"/>
        <w:gridCol w:w="2257"/>
        <w:gridCol w:w="22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277"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序号</w:t>
            </w:r>
          </w:p>
        </w:tc>
        <w:tc>
          <w:tcPr>
            <w:tcW w:w="693"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分析项目</w:t>
            </w:r>
          </w:p>
        </w:tc>
        <w:tc>
          <w:tcPr>
            <w:tcW w:w="693"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分析结果</w:t>
            </w:r>
          </w:p>
        </w:tc>
        <w:tc>
          <w:tcPr>
            <w:tcW w:w="635"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单位</w:t>
            </w:r>
          </w:p>
        </w:tc>
        <w:tc>
          <w:tcPr>
            <w:tcW w:w="1349" w:type="pct"/>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color w:val="auto"/>
                <w:sz w:val="21"/>
                <w:szCs w:val="21"/>
                <w:highlight w:val="none"/>
                <w:lang w:eastAsia="zh-CN"/>
              </w:rPr>
            </w:pPr>
            <w:r>
              <w:rPr>
                <w:rFonts w:hint="default" w:ascii="Times New Roman" w:hAnsi="Times New Roman" w:eastAsia="宋体" w:cs="Times New Roman"/>
                <w:b/>
                <w:color w:val="auto"/>
                <w:sz w:val="21"/>
                <w:szCs w:val="21"/>
                <w:highlight w:val="none"/>
              </w:rPr>
              <w:t>《城市污水再生利用工业用水水质》（GB/T19923-2020）</w:t>
            </w:r>
            <w:r>
              <w:rPr>
                <w:rFonts w:hint="default" w:ascii="Times New Roman" w:hAnsi="Times New Roman" w:eastAsia="宋体" w:cs="Times New Roman"/>
                <w:b/>
                <w:color w:val="auto"/>
                <w:sz w:val="21"/>
                <w:szCs w:val="21"/>
                <w:highlight w:val="none"/>
                <w:lang w:eastAsia="zh-CN"/>
              </w:rPr>
              <w:t>（</w:t>
            </w:r>
            <w:r>
              <w:rPr>
                <w:rFonts w:hint="default" w:ascii="Times New Roman" w:hAnsi="Times New Roman" w:eastAsia="宋体" w:cs="Times New Roman"/>
                <w:b/>
                <w:color w:val="auto"/>
                <w:sz w:val="21"/>
                <w:szCs w:val="21"/>
                <w:highlight w:val="none"/>
                <w:lang w:val="en-US" w:eastAsia="zh-CN"/>
              </w:rPr>
              <w:t>表1</w:t>
            </w:r>
            <w:r>
              <w:rPr>
                <w:rFonts w:hint="default" w:ascii="Times New Roman" w:hAnsi="Times New Roman" w:eastAsia="宋体" w:cs="Times New Roman"/>
                <w:b/>
                <w:color w:val="auto"/>
                <w:sz w:val="21"/>
                <w:szCs w:val="21"/>
                <w:highlight w:val="none"/>
                <w:lang w:eastAsia="zh-CN"/>
              </w:rPr>
              <w:t>）</w:t>
            </w:r>
          </w:p>
        </w:tc>
        <w:tc>
          <w:tcPr>
            <w:tcW w:w="1352" w:type="pct"/>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color w:val="auto"/>
                <w:sz w:val="21"/>
                <w:szCs w:val="21"/>
                <w:highlight w:val="none"/>
                <w:lang w:eastAsia="zh-CN"/>
              </w:rPr>
            </w:pPr>
            <w:r>
              <w:rPr>
                <w:rFonts w:hint="default" w:ascii="Times New Roman" w:hAnsi="Times New Roman" w:eastAsia="宋体" w:cs="Times New Roman"/>
                <w:b/>
                <w:color w:val="auto"/>
                <w:sz w:val="21"/>
                <w:szCs w:val="21"/>
                <w:highlight w:val="none"/>
              </w:rPr>
              <w:t>《地下水质量标准》GB</w:t>
            </w:r>
            <w:r>
              <w:rPr>
                <w:rFonts w:hint="default" w:ascii="Times New Roman" w:hAnsi="Times New Roman" w:eastAsia="宋体" w:cs="Times New Roman"/>
                <w:b/>
                <w:color w:val="auto"/>
                <w:sz w:val="21"/>
                <w:szCs w:val="21"/>
                <w:highlight w:val="none"/>
                <w:lang w:val="en-US" w:eastAsia="zh-CN"/>
              </w:rPr>
              <w:t>/</w:t>
            </w:r>
            <w:r>
              <w:rPr>
                <w:rFonts w:hint="default" w:ascii="Times New Roman" w:hAnsi="Times New Roman" w:eastAsia="宋体" w:cs="Times New Roman"/>
                <w:b/>
                <w:color w:val="auto"/>
                <w:sz w:val="21"/>
                <w:szCs w:val="21"/>
                <w:highlight w:val="none"/>
              </w:rPr>
              <w:t>T14848-2017（</w:t>
            </w:r>
            <w:r>
              <w:rPr>
                <w:rFonts w:hint="default" w:ascii="Times New Roman" w:hAnsi="Times New Roman" w:eastAsia="宋体" w:cs="Times New Roman"/>
                <w:b/>
                <w:color w:val="auto"/>
                <w:sz w:val="21"/>
                <w:szCs w:val="21"/>
                <w:highlight w:val="none"/>
              </w:rPr>
              <w:fldChar w:fldCharType="begin"/>
            </w:r>
            <w:r>
              <w:rPr>
                <w:rFonts w:hint="default" w:ascii="Times New Roman" w:hAnsi="Times New Roman" w:eastAsia="宋体" w:cs="Times New Roman"/>
                <w:b/>
                <w:color w:val="auto"/>
                <w:sz w:val="21"/>
                <w:szCs w:val="21"/>
                <w:highlight w:val="none"/>
              </w:rPr>
              <w:instrText xml:space="preserve"> = 3 \* ROMAN </w:instrText>
            </w:r>
            <w:r>
              <w:rPr>
                <w:rFonts w:hint="default" w:ascii="Times New Roman" w:hAnsi="Times New Roman" w:eastAsia="宋体" w:cs="Times New Roman"/>
                <w:b/>
                <w:color w:val="auto"/>
                <w:sz w:val="21"/>
                <w:szCs w:val="21"/>
                <w:highlight w:val="none"/>
              </w:rPr>
              <w:fldChar w:fldCharType="separate"/>
            </w:r>
            <w:r>
              <w:rPr>
                <w:rFonts w:hint="default" w:ascii="Times New Roman" w:hAnsi="Times New Roman" w:eastAsia="宋体" w:cs="Times New Roman"/>
                <w:b/>
                <w:color w:val="auto"/>
                <w:sz w:val="21"/>
                <w:szCs w:val="21"/>
                <w:highlight w:val="none"/>
                <w:lang w:eastAsia="zh-CN"/>
              </w:rPr>
              <w:t>Ⅲ</w:t>
            </w:r>
            <w:r>
              <w:rPr>
                <w:rFonts w:hint="default" w:ascii="Times New Roman" w:hAnsi="Times New Roman" w:eastAsia="宋体" w:cs="Times New Roman"/>
                <w:b/>
                <w:color w:val="auto"/>
                <w:sz w:val="21"/>
                <w:szCs w:val="21"/>
                <w:highlight w:val="none"/>
              </w:rPr>
              <w:fldChar w:fldCharType="end"/>
            </w:r>
            <w:r>
              <w:rPr>
                <w:rFonts w:hint="default" w:ascii="Times New Roman" w:hAnsi="Times New Roman" w:eastAsia="宋体" w:cs="Times New Roman"/>
                <w:b/>
                <w:color w:val="auto"/>
                <w:sz w:val="21"/>
                <w:szCs w:val="21"/>
                <w:highlight w:val="none"/>
              </w:rPr>
              <w:t>类</w:t>
            </w:r>
            <w:r>
              <w:rPr>
                <w:rFonts w:hint="default" w:ascii="Times New Roman" w:hAnsi="Times New Roman" w:eastAsia="宋体" w:cs="Times New Roman"/>
                <w:b/>
                <w:color w:val="auto"/>
                <w:sz w:val="21"/>
                <w:szCs w:val="21"/>
                <w:highlight w:val="no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277"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1</w:t>
            </w:r>
          </w:p>
        </w:tc>
        <w:tc>
          <w:tcPr>
            <w:tcW w:w="693"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rPr>
              <w:t>pH</w:t>
            </w:r>
          </w:p>
        </w:tc>
        <w:tc>
          <w:tcPr>
            <w:tcW w:w="693"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lang w:val="en-US" w:eastAsia="zh-CN"/>
              </w:rPr>
              <w:t>7.9</w:t>
            </w:r>
          </w:p>
        </w:tc>
        <w:tc>
          <w:tcPr>
            <w:tcW w:w="635"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rPr>
              <w:t>无量纲</w:t>
            </w:r>
          </w:p>
        </w:tc>
        <w:tc>
          <w:tcPr>
            <w:tcW w:w="1349" w:type="pct"/>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6.5-8.5</w:t>
            </w:r>
          </w:p>
        </w:tc>
        <w:tc>
          <w:tcPr>
            <w:tcW w:w="1352"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6.5-8.5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277"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rPr>
              <w:t>2</w:t>
            </w:r>
          </w:p>
        </w:tc>
        <w:tc>
          <w:tcPr>
            <w:tcW w:w="693"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rPr>
              <w:t>氨氮</w:t>
            </w:r>
          </w:p>
        </w:tc>
        <w:tc>
          <w:tcPr>
            <w:tcW w:w="693"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0.956</w:t>
            </w:r>
          </w:p>
        </w:tc>
        <w:tc>
          <w:tcPr>
            <w:tcW w:w="635"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rPr>
              <w:t>mg/L</w:t>
            </w:r>
          </w:p>
        </w:tc>
        <w:tc>
          <w:tcPr>
            <w:tcW w:w="1349" w:type="pct"/>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10</w:t>
            </w:r>
          </w:p>
        </w:tc>
        <w:tc>
          <w:tcPr>
            <w:tcW w:w="1352"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277"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rPr>
              <w:t>3</w:t>
            </w:r>
          </w:p>
        </w:tc>
        <w:tc>
          <w:tcPr>
            <w:tcW w:w="693"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lang w:val="en-US" w:eastAsia="zh-CN"/>
              </w:rPr>
              <w:t>生化需氧量</w:t>
            </w:r>
          </w:p>
        </w:tc>
        <w:tc>
          <w:tcPr>
            <w:tcW w:w="693"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3.0</w:t>
            </w:r>
          </w:p>
        </w:tc>
        <w:tc>
          <w:tcPr>
            <w:tcW w:w="635"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rPr>
              <w:t>mg/L</w:t>
            </w:r>
          </w:p>
        </w:tc>
        <w:tc>
          <w:tcPr>
            <w:tcW w:w="1349" w:type="pct"/>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10</w:t>
            </w:r>
          </w:p>
        </w:tc>
        <w:tc>
          <w:tcPr>
            <w:tcW w:w="1352"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277"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rPr>
              <w:t>4</w:t>
            </w:r>
          </w:p>
        </w:tc>
        <w:tc>
          <w:tcPr>
            <w:tcW w:w="693"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rPr>
              <w:t>化学需氧量</w:t>
            </w:r>
          </w:p>
        </w:tc>
        <w:tc>
          <w:tcPr>
            <w:tcW w:w="693"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56</w:t>
            </w:r>
          </w:p>
        </w:tc>
        <w:tc>
          <w:tcPr>
            <w:tcW w:w="635"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rPr>
              <w:t>mg/L</w:t>
            </w:r>
          </w:p>
        </w:tc>
        <w:tc>
          <w:tcPr>
            <w:tcW w:w="1349" w:type="pct"/>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60</w:t>
            </w:r>
          </w:p>
        </w:tc>
        <w:tc>
          <w:tcPr>
            <w:tcW w:w="1352"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277"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rPr>
              <w:t>5</w:t>
            </w:r>
          </w:p>
        </w:tc>
        <w:tc>
          <w:tcPr>
            <w:tcW w:w="693"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lang w:val="en-US" w:eastAsia="zh-CN"/>
              </w:rPr>
              <w:t>阴离子表面活性剂</w:t>
            </w:r>
          </w:p>
        </w:tc>
        <w:tc>
          <w:tcPr>
            <w:tcW w:w="693"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0.333</w:t>
            </w:r>
          </w:p>
        </w:tc>
        <w:tc>
          <w:tcPr>
            <w:tcW w:w="635"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rPr>
              <w:t>mg/L</w:t>
            </w:r>
          </w:p>
        </w:tc>
        <w:tc>
          <w:tcPr>
            <w:tcW w:w="1349" w:type="pct"/>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0.5</w:t>
            </w:r>
          </w:p>
        </w:tc>
        <w:tc>
          <w:tcPr>
            <w:tcW w:w="1352"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277"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rPr>
              <w:t>6</w:t>
            </w:r>
          </w:p>
        </w:tc>
        <w:tc>
          <w:tcPr>
            <w:tcW w:w="693"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lang w:val="en-US" w:eastAsia="zh-CN"/>
              </w:rPr>
              <w:t>氯化物</w:t>
            </w:r>
          </w:p>
        </w:tc>
        <w:tc>
          <w:tcPr>
            <w:tcW w:w="693"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17</w:t>
            </w:r>
          </w:p>
        </w:tc>
        <w:tc>
          <w:tcPr>
            <w:tcW w:w="635"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rPr>
              <w:t>mg/L</w:t>
            </w:r>
          </w:p>
        </w:tc>
        <w:tc>
          <w:tcPr>
            <w:tcW w:w="1349" w:type="pct"/>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250</w:t>
            </w:r>
          </w:p>
        </w:tc>
        <w:tc>
          <w:tcPr>
            <w:tcW w:w="1352"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277"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rPr>
              <w:t>7</w:t>
            </w:r>
          </w:p>
        </w:tc>
        <w:tc>
          <w:tcPr>
            <w:tcW w:w="693"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lang w:eastAsia="zh-CN"/>
              </w:rPr>
              <w:t>氟化物</w:t>
            </w:r>
          </w:p>
        </w:tc>
        <w:tc>
          <w:tcPr>
            <w:tcW w:w="693"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13.3</w:t>
            </w:r>
          </w:p>
        </w:tc>
        <w:tc>
          <w:tcPr>
            <w:tcW w:w="635"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rPr>
              <w:t>mg/L</w:t>
            </w:r>
          </w:p>
        </w:tc>
        <w:tc>
          <w:tcPr>
            <w:tcW w:w="1349" w:type="pct"/>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w:t>
            </w:r>
          </w:p>
        </w:tc>
        <w:tc>
          <w:tcPr>
            <w:tcW w:w="1352"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277"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rPr>
              <w:t>8</w:t>
            </w:r>
          </w:p>
        </w:tc>
        <w:tc>
          <w:tcPr>
            <w:tcW w:w="693"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lang w:val="en-US" w:eastAsia="zh-CN"/>
              </w:rPr>
              <w:t>硫酸盐</w:t>
            </w:r>
          </w:p>
        </w:tc>
        <w:tc>
          <w:tcPr>
            <w:tcW w:w="693"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lang w:val="en-US" w:eastAsia="zh-CN"/>
              </w:rPr>
              <w:t>180</w:t>
            </w:r>
          </w:p>
        </w:tc>
        <w:tc>
          <w:tcPr>
            <w:tcW w:w="635"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rPr>
              <w:t>mg/L</w:t>
            </w:r>
          </w:p>
        </w:tc>
        <w:tc>
          <w:tcPr>
            <w:tcW w:w="1349" w:type="pct"/>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250</w:t>
            </w:r>
          </w:p>
        </w:tc>
        <w:tc>
          <w:tcPr>
            <w:tcW w:w="1352"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277"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rPr>
              <w:t>9</w:t>
            </w:r>
          </w:p>
        </w:tc>
        <w:tc>
          <w:tcPr>
            <w:tcW w:w="693"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lang w:eastAsia="zh-CN"/>
              </w:rPr>
              <w:t>总磷</w:t>
            </w:r>
          </w:p>
        </w:tc>
        <w:tc>
          <w:tcPr>
            <w:tcW w:w="693"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0.05</w:t>
            </w:r>
          </w:p>
        </w:tc>
        <w:tc>
          <w:tcPr>
            <w:tcW w:w="635"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rPr>
              <w:t>mg/L</w:t>
            </w:r>
          </w:p>
        </w:tc>
        <w:tc>
          <w:tcPr>
            <w:tcW w:w="1349" w:type="pct"/>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1</w:t>
            </w:r>
          </w:p>
        </w:tc>
        <w:tc>
          <w:tcPr>
            <w:tcW w:w="1352"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277"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rPr>
              <w:t>10</w:t>
            </w:r>
          </w:p>
        </w:tc>
        <w:tc>
          <w:tcPr>
            <w:tcW w:w="693"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溶解性总固体</w:t>
            </w:r>
          </w:p>
        </w:tc>
        <w:tc>
          <w:tcPr>
            <w:tcW w:w="693"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760</w:t>
            </w:r>
          </w:p>
        </w:tc>
        <w:tc>
          <w:tcPr>
            <w:tcW w:w="635"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rPr>
              <w:t>mg/L</w:t>
            </w:r>
          </w:p>
        </w:tc>
        <w:tc>
          <w:tcPr>
            <w:tcW w:w="1349" w:type="pct"/>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1000</w:t>
            </w:r>
          </w:p>
        </w:tc>
        <w:tc>
          <w:tcPr>
            <w:tcW w:w="1352"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277"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rPr>
              <w:t>11</w:t>
            </w:r>
          </w:p>
        </w:tc>
        <w:tc>
          <w:tcPr>
            <w:tcW w:w="693"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色度</w:t>
            </w:r>
          </w:p>
        </w:tc>
        <w:tc>
          <w:tcPr>
            <w:tcW w:w="693"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5</w:t>
            </w:r>
          </w:p>
        </w:tc>
        <w:tc>
          <w:tcPr>
            <w:tcW w:w="635"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lang w:val="en-US" w:eastAsia="zh-CN"/>
              </w:rPr>
              <w:t>度</w:t>
            </w:r>
          </w:p>
        </w:tc>
        <w:tc>
          <w:tcPr>
            <w:tcW w:w="1349" w:type="pct"/>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30</w:t>
            </w:r>
          </w:p>
        </w:tc>
        <w:tc>
          <w:tcPr>
            <w:tcW w:w="1352"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277"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rPr>
              <w:t>12</w:t>
            </w:r>
          </w:p>
        </w:tc>
        <w:tc>
          <w:tcPr>
            <w:tcW w:w="693"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lang w:val="en-US" w:eastAsia="zh-CN"/>
              </w:rPr>
              <w:t>浊度</w:t>
            </w:r>
          </w:p>
        </w:tc>
        <w:tc>
          <w:tcPr>
            <w:tcW w:w="693"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lang w:val="en-US" w:eastAsia="zh-CN"/>
              </w:rPr>
              <w:t>4</w:t>
            </w:r>
          </w:p>
        </w:tc>
        <w:tc>
          <w:tcPr>
            <w:tcW w:w="635"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lang w:val="en-US" w:eastAsia="zh-CN"/>
              </w:rPr>
              <w:t>度</w:t>
            </w:r>
          </w:p>
        </w:tc>
        <w:tc>
          <w:tcPr>
            <w:tcW w:w="1349" w:type="pct"/>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5</w:t>
            </w:r>
          </w:p>
        </w:tc>
        <w:tc>
          <w:tcPr>
            <w:tcW w:w="1352"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277"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rPr>
              <w:t>13</w:t>
            </w:r>
          </w:p>
        </w:tc>
        <w:tc>
          <w:tcPr>
            <w:tcW w:w="693"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lang w:val="en-US" w:eastAsia="zh-CN"/>
              </w:rPr>
              <w:t>总硬度</w:t>
            </w:r>
          </w:p>
        </w:tc>
        <w:tc>
          <w:tcPr>
            <w:tcW w:w="693"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lang w:val="en-US" w:eastAsia="zh-CN"/>
              </w:rPr>
              <w:t>414</w:t>
            </w:r>
          </w:p>
        </w:tc>
        <w:tc>
          <w:tcPr>
            <w:tcW w:w="635"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rPr>
              <w:t>mg/L</w:t>
            </w:r>
          </w:p>
        </w:tc>
        <w:tc>
          <w:tcPr>
            <w:tcW w:w="1349" w:type="pct"/>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450</w:t>
            </w:r>
          </w:p>
        </w:tc>
        <w:tc>
          <w:tcPr>
            <w:tcW w:w="1352"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450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277"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rPr>
              <w:t>14</w:t>
            </w:r>
          </w:p>
        </w:tc>
        <w:tc>
          <w:tcPr>
            <w:tcW w:w="693"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lang w:val="en-US" w:eastAsia="zh-CN"/>
              </w:rPr>
              <w:t>总碱度</w:t>
            </w:r>
          </w:p>
        </w:tc>
        <w:tc>
          <w:tcPr>
            <w:tcW w:w="693"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lang w:val="en-US" w:eastAsia="zh-CN"/>
              </w:rPr>
              <w:t>118</w:t>
            </w:r>
          </w:p>
        </w:tc>
        <w:tc>
          <w:tcPr>
            <w:tcW w:w="635"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rPr>
              <w:t>mg/L</w:t>
            </w:r>
          </w:p>
        </w:tc>
        <w:tc>
          <w:tcPr>
            <w:tcW w:w="1349" w:type="pct"/>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350</w:t>
            </w:r>
          </w:p>
        </w:tc>
        <w:tc>
          <w:tcPr>
            <w:tcW w:w="1352"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277"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rPr>
              <w:t>15</w:t>
            </w:r>
          </w:p>
        </w:tc>
        <w:tc>
          <w:tcPr>
            <w:tcW w:w="693"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lang w:val="en-US" w:eastAsia="zh-CN"/>
              </w:rPr>
              <w:t>粪大肠菌群</w:t>
            </w:r>
          </w:p>
        </w:tc>
        <w:tc>
          <w:tcPr>
            <w:tcW w:w="693"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lang w:val="en-US" w:eastAsia="zh-CN"/>
              </w:rPr>
              <w:t>120</w:t>
            </w:r>
          </w:p>
        </w:tc>
        <w:tc>
          <w:tcPr>
            <w:tcW w:w="635"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rPr>
              <w:t>mg/L</w:t>
            </w:r>
          </w:p>
        </w:tc>
        <w:tc>
          <w:tcPr>
            <w:tcW w:w="1349" w:type="pct"/>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2000</w:t>
            </w:r>
          </w:p>
        </w:tc>
        <w:tc>
          <w:tcPr>
            <w:tcW w:w="1352"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277"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rPr>
              <w:t>16</w:t>
            </w:r>
          </w:p>
        </w:tc>
        <w:tc>
          <w:tcPr>
            <w:tcW w:w="693"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lang w:val="en-US" w:eastAsia="zh-CN"/>
              </w:rPr>
              <w:t>石油类</w:t>
            </w:r>
          </w:p>
        </w:tc>
        <w:tc>
          <w:tcPr>
            <w:tcW w:w="693"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lang w:val="en-US" w:eastAsia="zh-CN"/>
              </w:rPr>
              <w:t>0.48</w:t>
            </w:r>
          </w:p>
        </w:tc>
        <w:tc>
          <w:tcPr>
            <w:tcW w:w="635"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rPr>
              <w:t>mg/L</w:t>
            </w:r>
          </w:p>
        </w:tc>
        <w:tc>
          <w:tcPr>
            <w:tcW w:w="1349" w:type="pct"/>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1</w:t>
            </w:r>
          </w:p>
        </w:tc>
        <w:tc>
          <w:tcPr>
            <w:tcW w:w="1352"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277"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rPr>
              <w:t>17</w:t>
            </w:r>
          </w:p>
        </w:tc>
        <w:tc>
          <w:tcPr>
            <w:tcW w:w="693"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rPr>
              <w:t>铁</w:t>
            </w:r>
          </w:p>
        </w:tc>
        <w:tc>
          <w:tcPr>
            <w:tcW w:w="693"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lang w:val="en-US" w:eastAsia="zh-CN"/>
              </w:rPr>
              <w:t>0.153</w:t>
            </w:r>
          </w:p>
        </w:tc>
        <w:tc>
          <w:tcPr>
            <w:tcW w:w="635"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rPr>
              <w:t>mg/L</w:t>
            </w:r>
          </w:p>
        </w:tc>
        <w:tc>
          <w:tcPr>
            <w:tcW w:w="1349" w:type="pct"/>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0.3</w:t>
            </w:r>
          </w:p>
        </w:tc>
        <w:tc>
          <w:tcPr>
            <w:tcW w:w="1352"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277"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rPr>
              <w:t>18</w:t>
            </w:r>
          </w:p>
        </w:tc>
        <w:tc>
          <w:tcPr>
            <w:tcW w:w="693"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rPr>
              <w:t>锰</w:t>
            </w:r>
          </w:p>
        </w:tc>
        <w:tc>
          <w:tcPr>
            <w:tcW w:w="693"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lang w:val="en-US" w:eastAsia="zh-CN"/>
              </w:rPr>
              <w:t>0.0152</w:t>
            </w:r>
          </w:p>
        </w:tc>
        <w:tc>
          <w:tcPr>
            <w:tcW w:w="635"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rPr>
              <w:t>mg/L</w:t>
            </w:r>
          </w:p>
        </w:tc>
        <w:tc>
          <w:tcPr>
            <w:tcW w:w="1349" w:type="pct"/>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0.1</w:t>
            </w:r>
          </w:p>
        </w:tc>
        <w:tc>
          <w:tcPr>
            <w:tcW w:w="1352"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277"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rPr>
              <w:t>19</w:t>
            </w:r>
          </w:p>
        </w:tc>
        <w:tc>
          <w:tcPr>
            <w:tcW w:w="693"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rPr>
              <w:t>铅</w:t>
            </w:r>
          </w:p>
        </w:tc>
        <w:tc>
          <w:tcPr>
            <w:tcW w:w="693"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lang w:val="en-US" w:eastAsia="zh-CN"/>
              </w:rPr>
              <w:t>2.34×10</w:t>
            </w:r>
            <w:r>
              <w:rPr>
                <w:rFonts w:hint="default" w:ascii="Times New Roman" w:hAnsi="Times New Roman" w:eastAsia="宋体" w:cs="Times New Roman"/>
                <w:b w:val="0"/>
                <w:bCs w:val="0"/>
                <w:color w:val="auto"/>
                <w:szCs w:val="21"/>
                <w:highlight w:val="none"/>
                <w:vertAlign w:val="superscript"/>
                <w:lang w:val="en-US" w:eastAsia="zh-CN"/>
              </w:rPr>
              <w:t>-3</w:t>
            </w:r>
          </w:p>
        </w:tc>
        <w:tc>
          <w:tcPr>
            <w:tcW w:w="635"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rPr>
              <w:t>mg/L</w:t>
            </w:r>
          </w:p>
        </w:tc>
        <w:tc>
          <w:tcPr>
            <w:tcW w:w="1349" w:type="pct"/>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w:t>
            </w:r>
          </w:p>
        </w:tc>
        <w:tc>
          <w:tcPr>
            <w:tcW w:w="1352"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277"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rPr>
              <w:t>20</w:t>
            </w:r>
          </w:p>
        </w:tc>
        <w:tc>
          <w:tcPr>
            <w:tcW w:w="693"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钼</w:t>
            </w:r>
          </w:p>
        </w:tc>
        <w:tc>
          <w:tcPr>
            <w:tcW w:w="693"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10.9</w:t>
            </w:r>
          </w:p>
        </w:tc>
        <w:tc>
          <w:tcPr>
            <w:tcW w:w="635"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rPr>
              <w:t>mg/L</w:t>
            </w:r>
          </w:p>
        </w:tc>
        <w:tc>
          <w:tcPr>
            <w:tcW w:w="1349" w:type="pct"/>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w:t>
            </w:r>
          </w:p>
        </w:tc>
        <w:tc>
          <w:tcPr>
            <w:tcW w:w="1352" w:type="pc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0.07</w:t>
            </w:r>
          </w:p>
        </w:tc>
      </w:tr>
    </w:tbl>
    <w:p>
      <w:pPr>
        <w:pStyle w:val="21"/>
        <w:pageBreakBefore w:val="0"/>
        <w:kinsoku w:val="0"/>
        <w:wordWrap/>
        <w:overflowPunct w:val="0"/>
        <w:bidi w:val="0"/>
        <w:adjustRightInd w:val="0"/>
        <w:snapToGrid w:val="0"/>
        <w:spacing w:after="0" w:line="360" w:lineRule="auto"/>
        <w:ind w:left="0" w:leftChars="0" w:right="0" w:rightChars="0" w:firstLine="480" w:firstLineChars="200"/>
        <w:rPr>
          <w:rFonts w:hint="default" w:ascii="Times New Roman" w:hAnsi="Times New Roman" w:eastAsia="宋体" w:cs="Times New Roman"/>
          <w:color w:val="auto"/>
          <w:sz w:val="24"/>
          <w:highlight w:val="none"/>
          <w:lang w:bidi="ar"/>
        </w:rPr>
      </w:pPr>
      <w:r>
        <w:rPr>
          <w:rFonts w:hint="default" w:ascii="Times New Roman" w:hAnsi="Times New Roman" w:eastAsia="宋体" w:cs="Times New Roman"/>
          <w:color w:val="auto"/>
          <w:sz w:val="24"/>
          <w:highlight w:val="none"/>
        </w:rPr>
        <w:t>根据项目污染源的分布和类型参照地下水水质现状以及选矿回水监测结果进行单因子筛选</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监测中单因子指数占比最高的因子作为预测因子。尾矿回水中监测因子均满</w:t>
      </w:r>
      <w:r>
        <w:rPr>
          <w:rFonts w:hint="default" w:ascii="Times New Roman" w:hAnsi="Times New Roman" w:eastAsia="宋体" w:cs="Times New Roman"/>
          <w:b w:val="0"/>
          <w:bCs w:val="0"/>
          <w:color w:val="auto"/>
          <w:sz w:val="24"/>
          <w:highlight w:val="none"/>
        </w:rPr>
        <w:t>足《</w:t>
      </w:r>
      <w:r>
        <w:rPr>
          <w:rFonts w:hint="default" w:ascii="Times New Roman" w:hAnsi="Times New Roman" w:eastAsia="宋体" w:cs="Times New Roman"/>
          <w:b w:val="0"/>
          <w:bCs w:val="0"/>
          <w:color w:val="auto"/>
          <w:sz w:val="24"/>
          <w:highlight w:val="none"/>
          <w:lang w:eastAsia="zh-CN"/>
        </w:rPr>
        <w:t>污水综合排放标准</w:t>
      </w:r>
      <w:r>
        <w:rPr>
          <w:rFonts w:hint="default" w:ascii="Times New Roman" w:hAnsi="Times New Roman" w:eastAsia="宋体" w:cs="Times New Roman"/>
          <w:b w:val="0"/>
          <w:bCs w:val="0"/>
          <w:color w:val="auto"/>
          <w:sz w:val="24"/>
          <w:highlight w:val="none"/>
        </w:rPr>
        <w:t>》</w:t>
      </w:r>
      <w:r>
        <w:rPr>
          <w:rFonts w:hint="default" w:ascii="Times New Roman" w:hAnsi="Times New Roman" w:eastAsia="宋体" w:cs="Times New Roman"/>
          <w:b w:val="0"/>
          <w:bCs w:val="0"/>
          <w:color w:val="auto"/>
          <w:sz w:val="24"/>
          <w:highlight w:val="none"/>
          <w:lang w:eastAsia="zh-CN"/>
        </w:rPr>
        <w:t>GB8979-1996</w:t>
      </w:r>
      <w:r>
        <w:rPr>
          <w:rFonts w:hint="default" w:ascii="Times New Roman" w:hAnsi="Times New Roman" w:eastAsia="宋体" w:cs="Times New Roman"/>
          <w:b w:val="0"/>
          <w:bCs w:val="0"/>
          <w:color w:val="auto"/>
          <w:sz w:val="24"/>
          <w:highlight w:val="none"/>
        </w:rPr>
        <w:t>排放标准</w:t>
      </w:r>
      <w:r>
        <w:rPr>
          <w:rFonts w:hint="default" w:ascii="Times New Roman" w:hAnsi="Times New Roman" w:eastAsia="宋体" w:cs="Times New Roman"/>
          <w:b w:val="0"/>
          <w:bCs w:val="0"/>
          <w:color w:val="auto"/>
          <w:sz w:val="24"/>
          <w:highlight w:val="none"/>
          <w:lang w:eastAsia="zh-CN"/>
        </w:rPr>
        <w:t>，</w:t>
      </w:r>
      <w:r>
        <w:rPr>
          <w:rFonts w:hint="default" w:ascii="Times New Roman" w:hAnsi="Times New Roman" w:eastAsia="宋体" w:cs="Times New Roman"/>
          <w:b w:val="0"/>
          <w:bCs w:val="0"/>
          <w:color w:val="auto"/>
          <w:sz w:val="24"/>
          <w:highlight w:val="none"/>
        </w:rPr>
        <w:t>部分物质浓度超过《地下水质量标准》（GB/T14848-2017</w:t>
      </w:r>
      <w:r>
        <w:rPr>
          <w:rFonts w:hint="default" w:ascii="Times New Roman" w:hAnsi="Times New Roman" w:eastAsia="宋体" w:cs="Times New Roman"/>
          <w:b w:val="0"/>
          <w:bCs w:val="0"/>
          <w:color w:val="auto"/>
          <w:sz w:val="24"/>
          <w:highlight w:val="none"/>
          <w:lang w:eastAsia="zh-CN"/>
        </w:rPr>
        <w:t>）</w:t>
      </w:r>
      <w:r>
        <w:rPr>
          <w:rFonts w:hint="default" w:ascii="Times New Roman" w:hAnsi="Times New Roman" w:eastAsia="宋体" w:cs="Times New Roman"/>
          <w:b w:val="0"/>
          <w:bCs w:val="0"/>
          <w:color w:val="auto"/>
          <w:sz w:val="24"/>
          <w:highlight w:val="none"/>
        </w:rPr>
        <w:t>中</w:t>
      </w:r>
      <w:r>
        <w:rPr>
          <w:rFonts w:hint="default" w:ascii="Times New Roman" w:hAnsi="Times New Roman" w:eastAsia="宋体" w:cs="Times New Roman"/>
          <w:b w:val="0"/>
          <w:bCs w:val="0"/>
          <w:color w:val="auto"/>
          <w:sz w:val="24"/>
          <w:highlight w:val="none"/>
          <w:lang w:eastAsia="zh-CN"/>
        </w:rPr>
        <w:t>Ⅲ</w:t>
      </w:r>
      <w:r>
        <w:rPr>
          <w:rFonts w:hint="default" w:ascii="Times New Roman" w:hAnsi="Times New Roman" w:eastAsia="宋体" w:cs="Times New Roman"/>
          <w:b w:val="0"/>
          <w:bCs w:val="0"/>
          <w:color w:val="auto"/>
          <w:sz w:val="24"/>
          <w:highlight w:val="none"/>
        </w:rPr>
        <w:t>类标准</w:t>
      </w:r>
      <w:r>
        <w:rPr>
          <w:rFonts w:hint="default" w:ascii="Times New Roman" w:hAnsi="Times New Roman" w:eastAsia="宋体" w:cs="Times New Roman"/>
          <w:b w:val="0"/>
          <w:bCs w:val="0"/>
          <w:color w:val="auto"/>
          <w:sz w:val="24"/>
          <w:highlight w:val="none"/>
          <w:lang w:eastAsia="zh-CN"/>
        </w:rPr>
        <w:t>，</w:t>
      </w:r>
      <w:r>
        <w:rPr>
          <w:rFonts w:hint="default" w:ascii="Times New Roman" w:hAnsi="Times New Roman" w:eastAsia="宋体" w:cs="Times New Roman"/>
          <w:b w:val="0"/>
          <w:bCs w:val="0"/>
          <w:color w:val="auto"/>
          <w:sz w:val="24"/>
          <w:szCs w:val="24"/>
          <w:highlight w:val="none"/>
        </w:rPr>
        <w:t>最终选取化学需氧量</w:t>
      </w:r>
      <w:r>
        <w:rPr>
          <w:rFonts w:hint="default" w:ascii="Times New Roman" w:hAnsi="Times New Roman" w:eastAsia="宋体" w:cs="Times New Roman"/>
          <w:b w:val="0"/>
          <w:bCs w:val="0"/>
          <w:color w:val="auto"/>
          <w:sz w:val="24"/>
          <w:szCs w:val="24"/>
          <w:highlight w:val="none"/>
          <w:lang w:eastAsia="zh-CN"/>
        </w:rPr>
        <w:t>、钼</w:t>
      </w:r>
      <w:r>
        <w:rPr>
          <w:rFonts w:hint="default" w:ascii="Times New Roman" w:hAnsi="Times New Roman" w:eastAsia="宋体" w:cs="Times New Roman"/>
          <w:b w:val="0"/>
          <w:bCs w:val="0"/>
          <w:color w:val="auto"/>
          <w:sz w:val="24"/>
          <w:szCs w:val="24"/>
          <w:highlight w:val="none"/>
        </w:rPr>
        <w:t>作为特征因</w:t>
      </w:r>
      <w:r>
        <w:rPr>
          <w:rFonts w:hint="default" w:ascii="Times New Roman" w:hAnsi="Times New Roman" w:eastAsia="宋体" w:cs="Times New Roman"/>
          <w:b w:val="0"/>
          <w:bCs w:val="0"/>
          <w:color w:val="auto"/>
          <w:sz w:val="24"/>
          <w:highlight w:val="none"/>
        </w:rPr>
        <w:t>子</w:t>
      </w:r>
      <w:r>
        <w:rPr>
          <w:rFonts w:hint="default" w:ascii="Times New Roman" w:hAnsi="Times New Roman" w:eastAsia="宋体" w:cs="Times New Roman"/>
          <w:b w:val="0"/>
          <w:bCs w:val="0"/>
          <w:color w:val="auto"/>
          <w:sz w:val="24"/>
          <w:highlight w:val="none"/>
          <w:lang w:eastAsia="zh-CN"/>
        </w:rPr>
        <w:t>，</w:t>
      </w:r>
      <w:r>
        <w:rPr>
          <w:rFonts w:hint="default" w:ascii="Times New Roman" w:hAnsi="Times New Roman" w:eastAsia="宋体" w:cs="Times New Roman"/>
          <w:b w:val="0"/>
          <w:bCs w:val="0"/>
          <w:color w:val="auto"/>
          <w:sz w:val="24"/>
          <w:highlight w:val="none"/>
        </w:rPr>
        <w:t>一次污染</w:t>
      </w:r>
      <w:r>
        <w:rPr>
          <w:rFonts w:hint="default" w:ascii="Times New Roman" w:hAnsi="Times New Roman" w:eastAsia="宋体" w:cs="Times New Roman"/>
          <w:b w:val="0"/>
          <w:bCs w:val="0"/>
          <w:color w:val="auto"/>
          <w:sz w:val="24"/>
          <w:szCs w:val="24"/>
          <w:highlight w:val="none"/>
        </w:rPr>
        <w:t>化学需氧量</w:t>
      </w:r>
      <w:r>
        <w:rPr>
          <w:rFonts w:hint="default" w:ascii="Times New Roman" w:hAnsi="Times New Roman" w:eastAsia="宋体" w:cs="Times New Roman"/>
          <w:b w:val="0"/>
          <w:bCs w:val="0"/>
          <w:color w:val="auto"/>
          <w:sz w:val="24"/>
          <w:highlight w:val="none"/>
        </w:rPr>
        <w:t>泄漏</w:t>
      </w:r>
      <w:r>
        <w:rPr>
          <w:rFonts w:hint="default" w:ascii="Times New Roman" w:hAnsi="Times New Roman" w:eastAsia="宋体" w:cs="Times New Roman"/>
          <w:b w:val="0"/>
          <w:bCs w:val="0"/>
          <w:color w:val="auto"/>
          <w:sz w:val="24"/>
          <w:highlight w:val="none"/>
          <w:lang w:val="en-US" w:eastAsia="zh-CN"/>
        </w:rPr>
        <w:t>95kg</w:t>
      </w:r>
      <w:r>
        <w:rPr>
          <w:rFonts w:hint="default" w:ascii="Times New Roman" w:hAnsi="Times New Roman" w:eastAsia="宋体" w:cs="Times New Roman"/>
          <w:b w:val="0"/>
          <w:bCs w:val="0"/>
          <w:color w:val="auto"/>
          <w:sz w:val="24"/>
          <w:szCs w:val="24"/>
          <w:highlight w:val="none"/>
          <w:lang w:eastAsia="zh-CN"/>
        </w:rPr>
        <w:t>、钼</w:t>
      </w:r>
      <w:r>
        <w:rPr>
          <w:rFonts w:hint="default" w:ascii="Times New Roman" w:hAnsi="Times New Roman" w:eastAsia="宋体" w:cs="Times New Roman"/>
          <w:b w:val="0"/>
          <w:bCs w:val="0"/>
          <w:color w:val="auto"/>
          <w:sz w:val="24"/>
          <w:highlight w:val="none"/>
        </w:rPr>
        <w:t>泄漏5.31kg。</w:t>
      </w:r>
      <w:r>
        <w:rPr>
          <w:rFonts w:hint="default" w:ascii="Times New Roman" w:hAnsi="Times New Roman" w:eastAsia="宋体" w:cs="Times New Roman"/>
          <w:b w:val="0"/>
          <w:bCs w:val="0"/>
          <w:color w:val="auto"/>
          <w:sz w:val="24"/>
          <w:szCs w:val="24"/>
          <w:highlight w:val="none"/>
          <w:lang w:eastAsia="zh-CN"/>
        </w:rPr>
        <w:t>钼</w:t>
      </w:r>
      <w:r>
        <w:rPr>
          <w:rFonts w:hint="default" w:ascii="Times New Roman" w:hAnsi="Times New Roman" w:eastAsia="宋体" w:cs="Times New Roman"/>
          <w:b w:val="0"/>
          <w:bCs w:val="0"/>
          <w:color w:val="auto"/>
          <w:sz w:val="24"/>
          <w:szCs w:val="24"/>
          <w:highlight w:val="none"/>
        </w:rPr>
        <w:t>、石油类</w:t>
      </w:r>
      <w:r>
        <w:rPr>
          <w:rFonts w:hint="default" w:ascii="Times New Roman" w:hAnsi="Times New Roman" w:eastAsia="宋体" w:cs="Times New Roman"/>
          <w:b w:val="0"/>
          <w:bCs w:val="0"/>
          <w:color w:val="auto"/>
          <w:sz w:val="24"/>
          <w:highlight w:val="none"/>
          <w:lang w:bidi="ar"/>
        </w:rPr>
        <w:t>以</w:t>
      </w:r>
      <w:r>
        <w:rPr>
          <w:rFonts w:hint="default" w:ascii="Times New Roman" w:hAnsi="Times New Roman" w:eastAsia="宋体" w:cs="Times New Roman"/>
          <w:b w:val="0"/>
          <w:bCs w:val="0"/>
          <w:color w:val="auto"/>
          <w:sz w:val="24"/>
          <w:highlight w:val="none"/>
        </w:rPr>
        <w:t>《地下水质量标准》（GB/T14848-2017</w:t>
      </w:r>
      <w:r>
        <w:rPr>
          <w:rFonts w:hint="default" w:ascii="Times New Roman" w:hAnsi="Times New Roman" w:eastAsia="宋体" w:cs="Times New Roman"/>
          <w:b w:val="0"/>
          <w:bCs w:val="0"/>
          <w:color w:val="auto"/>
          <w:sz w:val="24"/>
          <w:highlight w:val="none"/>
          <w:lang w:eastAsia="zh-CN"/>
        </w:rPr>
        <w:t>）</w:t>
      </w:r>
      <w:r>
        <w:rPr>
          <w:rFonts w:hint="default" w:ascii="Times New Roman" w:hAnsi="Times New Roman" w:eastAsia="宋体" w:cs="Times New Roman"/>
          <w:b w:val="0"/>
          <w:bCs w:val="0"/>
          <w:color w:val="auto"/>
          <w:sz w:val="24"/>
          <w:highlight w:val="none"/>
        </w:rPr>
        <w:t>中</w:t>
      </w:r>
      <w:r>
        <w:rPr>
          <w:rFonts w:hint="default" w:ascii="Times New Roman" w:hAnsi="Times New Roman" w:eastAsia="宋体" w:cs="Times New Roman"/>
          <w:b w:val="0"/>
          <w:bCs w:val="0"/>
          <w:color w:val="auto"/>
          <w:sz w:val="24"/>
          <w:highlight w:val="none"/>
          <w:lang w:eastAsia="zh-CN"/>
        </w:rPr>
        <w:t>Ⅲ</w:t>
      </w:r>
      <w:r>
        <w:rPr>
          <w:rFonts w:hint="default" w:ascii="Times New Roman" w:hAnsi="Times New Roman" w:eastAsia="宋体" w:cs="Times New Roman"/>
          <w:b w:val="0"/>
          <w:bCs w:val="0"/>
          <w:color w:val="auto"/>
          <w:sz w:val="24"/>
          <w:highlight w:val="none"/>
        </w:rPr>
        <w:t>类标准</w:t>
      </w:r>
      <w:r>
        <w:rPr>
          <w:rFonts w:hint="default" w:ascii="Times New Roman" w:hAnsi="Times New Roman" w:eastAsia="宋体" w:cs="Times New Roman"/>
          <w:b w:val="0"/>
          <w:bCs w:val="0"/>
          <w:color w:val="auto"/>
          <w:sz w:val="24"/>
          <w:highlight w:val="none"/>
          <w:lang w:bidi="ar"/>
        </w:rPr>
        <w:t>作为超标范围限值</w:t>
      </w:r>
      <w:r>
        <w:rPr>
          <w:rFonts w:hint="default" w:ascii="Times New Roman" w:hAnsi="Times New Roman" w:eastAsia="宋体" w:cs="Times New Roman"/>
          <w:b w:val="0"/>
          <w:bCs w:val="0"/>
          <w:color w:val="auto"/>
          <w:sz w:val="24"/>
          <w:highlight w:val="none"/>
          <w:lang w:eastAsia="zh-CN" w:bidi="ar"/>
        </w:rPr>
        <w:t>，</w:t>
      </w:r>
      <w:r>
        <w:rPr>
          <w:rFonts w:hint="default" w:ascii="Times New Roman" w:hAnsi="Times New Roman" w:eastAsia="宋体" w:cs="Times New Roman"/>
          <w:b w:val="0"/>
          <w:bCs w:val="0"/>
          <w:color w:val="auto"/>
          <w:sz w:val="24"/>
          <w:highlight w:val="none"/>
          <w:lang w:bidi="ar"/>
        </w:rPr>
        <w:t>将上述源强代入模型</w:t>
      </w:r>
      <w:r>
        <w:rPr>
          <w:rFonts w:hint="default" w:ascii="Times New Roman" w:hAnsi="Times New Roman" w:eastAsia="宋体" w:cs="Times New Roman"/>
          <w:b w:val="0"/>
          <w:bCs w:val="0"/>
          <w:color w:val="auto"/>
          <w:sz w:val="24"/>
          <w:highlight w:val="none"/>
          <w:lang w:eastAsia="zh-CN" w:bidi="ar"/>
        </w:rPr>
        <w:t>，</w:t>
      </w:r>
      <w:r>
        <w:rPr>
          <w:rFonts w:hint="default" w:ascii="Times New Roman" w:hAnsi="Times New Roman" w:eastAsia="宋体" w:cs="Times New Roman"/>
          <w:b w:val="0"/>
          <w:bCs w:val="0"/>
          <w:color w:val="auto"/>
          <w:sz w:val="24"/>
          <w:highlight w:val="none"/>
          <w:lang w:bidi="ar"/>
        </w:rPr>
        <w:t>得出计算结果。</w:t>
      </w:r>
    </w:p>
    <w:p>
      <w:pPr>
        <w:pStyle w:val="21"/>
        <w:pageBreakBefore w:val="0"/>
        <w:kinsoku w:val="0"/>
        <w:wordWrap/>
        <w:overflowPunct w:val="0"/>
        <w:bidi w:val="0"/>
        <w:spacing w:after="0" w:line="360" w:lineRule="auto"/>
        <w:ind w:left="0" w:leftChars="0" w:right="0" w:rightChars="0" w:firstLine="458" w:firstLineChars="200"/>
        <w:jc w:val="center"/>
        <w:rPr>
          <w:rFonts w:hint="default" w:ascii="Times New Roman" w:hAnsi="Times New Roman" w:eastAsia="宋体" w:cs="Times New Roman"/>
          <w:b/>
          <w:color w:val="auto"/>
          <w:spacing w:val="-6"/>
          <w:sz w:val="24"/>
          <w:highlight w:val="none"/>
          <w:lang w:eastAsia="zh-CN"/>
        </w:rPr>
      </w:pPr>
      <w:r>
        <w:rPr>
          <w:rFonts w:hint="default" w:ascii="Times New Roman" w:hAnsi="Times New Roman" w:eastAsia="宋体" w:cs="Times New Roman"/>
          <w:b/>
          <w:color w:val="auto"/>
          <w:spacing w:val="-6"/>
          <w:sz w:val="24"/>
          <w:highlight w:val="none"/>
        </w:rPr>
        <w:t>表7</w:t>
      </w:r>
      <w:r>
        <w:rPr>
          <w:rFonts w:hint="default" w:ascii="Times New Roman" w:hAnsi="Times New Roman" w:eastAsia="宋体" w:cs="Times New Roman"/>
          <w:b/>
          <w:color w:val="auto"/>
          <w:spacing w:val="-6"/>
          <w:sz w:val="24"/>
          <w:highlight w:val="none"/>
          <w:lang w:val="en-US" w:eastAsia="zh-CN"/>
        </w:rPr>
        <w:t>-16</w:t>
      </w:r>
      <w:r>
        <w:rPr>
          <w:rFonts w:hint="default" w:ascii="Times New Roman" w:hAnsi="Times New Roman" w:eastAsia="宋体" w:cs="Times New Roman"/>
          <w:b/>
          <w:color w:val="auto"/>
          <w:spacing w:val="-6"/>
          <w:sz w:val="24"/>
          <w:highlight w:val="none"/>
        </w:rPr>
        <w:t>预测因子超标范围贡献浓度值（单位</w:t>
      </w:r>
      <w:r>
        <w:rPr>
          <w:rFonts w:hint="default" w:ascii="Times New Roman" w:hAnsi="Times New Roman" w:eastAsia="宋体" w:cs="Times New Roman"/>
          <w:b/>
          <w:color w:val="auto"/>
          <w:spacing w:val="-6"/>
          <w:sz w:val="24"/>
          <w:highlight w:val="none"/>
          <w:lang w:eastAsia="zh-CN"/>
        </w:rPr>
        <w:t>：</w:t>
      </w:r>
      <w:r>
        <w:rPr>
          <w:rFonts w:hint="default" w:ascii="Times New Roman" w:hAnsi="Times New Roman" w:eastAsia="宋体" w:cs="Times New Roman"/>
          <w:b/>
          <w:color w:val="auto"/>
          <w:spacing w:val="-6"/>
          <w:sz w:val="24"/>
          <w:highlight w:val="none"/>
        </w:rPr>
        <w:t>mg/L</w:t>
      </w:r>
      <w:r>
        <w:rPr>
          <w:rFonts w:hint="default" w:ascii="Times New Roman" w:hAnsi="Times New Roman" w:eastAsia="宋体" w:cs="Times New Roman"/>
          <w:b/>
          <w:color w:val="auto"/>
          <w:spacing w:val="-6"/>
          <w:sz w:val="24"/>
          <w:highlight w:val="none"/>
          <w:lang w:eastAsia="zh-CN"/>
        </w:rPr>
        <w:t>）</w:t>
      </w:r>
    </w:p>
    <w:tbl>
      <w:tblPr>
        <w:tblStyle w:val="5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07"/>
        <w:gridCol w:w="1707"/>
        <w:gridCol w:w="1452"/>
        <w:gridCol w:w="1377"/>
        <w:gridCol w:w="22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08" w:type="dxa"/>
            <w:vAlign w:val="center"/>
          </w:tcPr>
          <w:p>
            <w:pPr>
              <w:pageBreakBefore w:val="0"/>
              <w:widowControl/>
              <w:wordWrap/>
              <w:bidi w:val="0"/>
              <w:ind w:left="0" w:leftChars="0" w:right="0" w:rightChars="0"/>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污染源</w:t>
            </w:r>
          </w:p>
        </w:tc>
        <w:tc>
          <w:tcPr>
            <w:tcW w:w="1708" w:type="dxa"/>
            <w:vAlign w:val="center"/>
          </w:tcPr>
          <w:p>
            <w:pPr>
              <w:pageBreakBefore w:val="0"/>
              <w:widowControl/>
              <w:wordWrap/>
              <w:bidi w:val="0"/>
              <w:ind w:left="0" w:leftChars="0" w:right="0" w:rightChars="0"/>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预测因子</w:t>
            </w:r>
          </w:p>
        </w:tc>
        <w:tc>
          <w:tcPr>
            <w:tcW w:w="1453" w:type="dxa"/>
            <w:vAlign w:val="center"/>
          </w:tcPr>
          <w:p>
            <w:pPr>
              <w:pageBreakBefore w:val="0"/>
              <w:widowControl/>
              <w:wordWrap/>
              <w:bidi w:val="0"/>
              <w:ind w:left="0" w:leftChars="0" w:right="0" w:rightChars="0"/>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监测最大值</w:t>
            </w:r>
          </w:p>
        </w:tc>
        <w:tc>
          <w:tcPr>
            <w:tcW w:w="1378" w:type="dxa"/>
            <w:vAlign w:val="center"/>
          </w:tcPr>
          <w:p>
            <w:pPr>
              <w:pageBreakBefore w:val="0"/>
              <w:widowControl/>
              <w:wordWrap/>
              <w:bidi w:val="0"/>
              <w:ind w:left="0" w:leftChars="0" w:right="0" w:rightChars="0"/>
              <w:jc w:val="center"/>
              <w:rPr>
                <w:rFonts w:hint="default" w:ascii="Times New Roman" w:hAnsi="Times New Roman" w:eastAsia="宋体" w:cs="Times New Roman"/>
                <w:b/>
                <w:color w:val="auto"/>
                <w:kern w:val="0"/>
                <w:sz w:val="21"/>
                <w:szCs w:val="21"/>
                <w:highlight w:val="none"/>
                <w:lang w:eastAsia="zh-CN"/>
              </w:rPr>
            </w:pPr>
            <w:r>
              <w:rPr>
                <w:rFonts w:hint="default" w:ascii="Times New Roman" w:hAnsi="Times New Roman" w:eastAsia="宋体" w:cs="Times New Roman"/>
                <w:b/>
                <w:color w:val="auto"/>
                <w:spacing w:val="-6"/>
                <w:sz w:val="21"/>
                <w:szCs w:val="21"/>
                <w:highlight w:val="none"/>
                <w:lang w:eastAsia="zh-CN"/>
              </w:rPr>
              <w:t>地下水标准</w:t>
            </w:r>
          </w:p>
        </w:tc>
        <w:tc>
          <w:tcPr>
            <w:tcW w:w="2281" w:type="dxa"/>
          </w:tcPr>
          <w:p>
            <w:pPr>
              <w:pageBreakBefore w:val="0"/>
              <w:widowControl/>
              <w:wordWrap/>
              <w:bidi w:val="0"/>
              <w:ind w:left="0" w:leftChars="0" w:right="0" w:rightChars="0"/>
              <w:jc w:val="center"/>
              <w:rPr>
                <w:rFonts w:hint="default" w:ascii="Times New Roman" w:hAnsi="Times New Roman" w:eastAsia="宋体" w:cs="Times New Roman"/>
                <w:b/>
                <w:color w:val="auto"/>
                <w:spacing w:val="-6"/>
                <w:sz w:val="21"/>
                <w:szCs w:val="21"/>
                <w:highlight w:val="none"/>
              </w:rPr>
            </w:pPr>
            <w:r>
              <w:rPr>
                <w:rFonts w:hint="default" w:ascii="Times New Roman" w:hAnsi="Times New Roman" w:eastAsia="宋体" w:cs="Times New Roman"/>
                <w:b/>
                <w:color w:val="auto"/>
                <w:spacing w:val="-6"/>
                <w:sz w:val="21"/>
                <w:szCs w:val="21"/>
                <w:highlight w:val="none"/>
              </w:rPr>
              <w:t>单因子指数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08" w:type="dxa"/>
            <w:vMerge w:val="restart"/>
            <w:vAlign w:val="center"/>
          </w:tcPr>
          <w:p>
            <w:pPr>
              <w:pageBreakBefore w:val="0"/>
              <w:widowControl/>
              <w:wordWrap/>
              <w:bidi w:val="0"/>
              <w:ind w:left="0" w:leftChars="0" w:right="0" w:rightChars="0"/>
              <w:jc w:val="center"/>
              <w:rPr>
                <w:rFonts w:hint="default" w:ascii="Times New Roman" w:hAnsi="Times New Roman" w:eastAsia="宋体" w:cs="Times New Roman"/>
                <w:b w:val="0"/>
                <w:bCs w:val="0"/>
                <w:color w:val="auto"/>
                <w:kern w:val="0"/>
                <w:sz w:val="21"/>
                <w:szCs w:val="21"/>
                <w:highlight w:val="none"/>
              </w:rPr>
            </w:pPr>
            <w:r>
              <w:rPr>
                <w:rFonts w:hint="default" w:ascii="Times New Roman" w:hAnsi="Times New Roman" w:eastAsia="宋体" w:cs="Times New Roman"/>
                <w:b w:val="0"/>
                <w:bCs w:val="0"/>
                <w:color w:val="auto"/>
                <w:kern w:val="0"/>
                <w:sz w:val="21"/>
                <w:szCs w:val="21"/>
                <w:highlight w:val="none"/>
              </w:rPr>
              <w:t>选矿回水</w:t>
            </w:r>
          </w:p>
        </w:tc>
        <w:tc>
          <w:tcPr>
            <w:tcW w:w="1708" w:type="dxa"/>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b w:val="0"/>
                <w:bCs w:val="0"/>
                <w:color w:val="auto"/>
                <w:kern w:val="0"/>
                <w:sz w:val="21"/>
                <w:szCs w:val="21"/>
                <w:highlight w:val="none"/>
                <w:lang w:val="en-US" w:eastAsia="zh-CN"/>
              </w:rPr>
            </w:pPr>
            <w:r>
              <w:rPr>
                <w:rFonts w:hint="default" w:ascii="Times New Roman" w:hAnsi="Times New Roman" w:eastAsia="宋体" w:cs="Times New Roman"/>
                <w:b w:val="0"/>
                <w:bCs w:val="0"/>
                <w:color w:val="auto"/>
                <w:kern w:val="0"/>
                <w:sz w:val="21"/>
                <w:szCs w:val="21"/>
                <w:highlight w:val="none"/>
                <w:lang w:eastAsia="zh-CN"/>
              </w:rPr>
              <w:t>钼</w:t>
            </w:r>
          </w:p>
        </w:tc>
        <w:tc>
          <w:tcPr>
            <w:tcW w:w="1453" w:type="dxa"/>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b w:val="0"/>
                <w:bCs w:val="0"/>
                <w:color w:val="auto"/>
                <w:kern w:val="0"/>
                <w:sz w:val="21"/>
                <w:szCs w:val="21"/>
                <w:highlight w:val="none"/>
                <w:lang w:val="en-US" w:eastAsia="zh-CN"/>
              </w:rPr>
            </w:pPr>
            <w:r>
              <w:rPr>
                <w:rFonts w:hint="default" w:ascii="Times New Roman" w:hAnsi="Times New Roman" w:eastAsia="宋体" w:cs="Times New Roman"/>
                <w:b w:val="0"/>
                <w:bCs w:val="0"/>
                <w:color w:val="auto"/>
                <w:kern w:val="0"/>
                <w:sz w:val="21"/>
                <w:szCs w:val="21"/>
                <w:highlight w:val="none"/>
                <w:lang w:val="en-US" w:eastAsia="zh-CN"/>
              </w:rPr>
              <w:t>10.9</w:t>
            </w:r>
          </w:p>
        </w:tc>
        <w:tc>
          <w:tcPr>
            <w:tcW w:w="1378" w:type="dxa"/>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b w:val="0"/>
                <w:bCs w:val="0"/>
                <w:color w:val="auto"/>
                <w:kern w:val="0"/>
                <w:sz w:val="21"/>
                <w:szCs w:val="21"/>
                <w:highlight w:val="none"/>
                <w:lang w:val="en-US" w:eastAsia="zh-CN"/>
              </w:rPr>
            </w:pPr>
            <w:r>
              <w:rPr>
                <w:rFonts w:hint="default" w:ascii="Times New Roman" w:hAnsi="Times New Roman" w:eastAsia="宋体" w:cs="Times New Roman"/>
                <w:b w:val="0"/>
                <w:bCs w:val="0"/>
                <w:color w:val="auto"/>
                <w:kern w:val="0"/>
                <w:sz w:val="21"/>
                <w:szCs w:val="21"/>
                <w:highlight w:val="none"/>
                <w:lang w:val="en-US" w:eastAsia="zh-CN"/>
              </w:rPr>
              <w:t>0.07</w:t>
            </w:r>
          </w:p>
        </w:tc>
        <w:tc>
          <w:tcPr>
            <w:tcW w:w="2281" w:type="dxa"/>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b w:val="0"/>
                <w:bCs w:val="0"/>
                <w:color w:val="auto"/>
                <w:kern w:val="0"/>
                <w:sz w:val="21"/>
                <w:szCs w:val="21"/>
                <w:highlight w:val="none"/>
                <w:lang w:val="en-US" w:eastAsia="zh-CN"/>
              </w:rPr>
            </w:pPr>
            <w:r>
              <w:rPr>
                <w:rFonts w:hint="default" w:ascii="Times New Roman" w:hAnsi="Times New Roman" w:eastAsia="宋体" w:cs="Times New Roman"/>
                <w:b w:val="0"/>
                <w:bCs w:val="0"/>
                <w:color w:val="auto"/>
                <w:kern w:val="0"/>
                <w:sz w:val="21"/>
                <w:szCs w:val="21"/>
                <w:highlight w:val="none"/>
                <w:lang w:val="en-US" w:eastAsia="zh-CN"/>
              </w:rPr>
              <w:t>155.7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08" w:type="dxa"/>
            <w:vMerge w:val="continue"/>
            <w:vAlign w:val="center"/>
          </w:tcPr>
          <w:p>
            <w:pPr>
              <w:pageBreakBefore w:val="0"/>
              <w:widowControl/>
              <w:wordWrap/>
              <w:bidi w:val="0"/>
              <w:ind w:left="0" w:leftChars="0" w:right="0" w:rightChars="0"/>
              <w:jc w:val="center"/>
              <w:rPr>
                <w:rFonts w:hint="default" w:ascii="Times New Roman" w:hAnsi="Times New Roman" w:eastAsia="宋体" w:cs="Times New Roman"/>
                <w:b w:val="0"/>
                <w:bCs w:val="0"/>
                <w:color w:val="auto"/>
                <w:kern w:val="0"/>
                <w:sz w:val="21"/>
                <w:szCs w:val="21"/>
                <w:highlight w:val="none"/>
              </w:rPr>
            </w:pPr>
          </w:p>
        </w:tc>
        <w:tc>
          <w:tcPr>
            <w:tcW w:w="1708" w:type="dxa"/>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rPr>
              <w:t>化学需氧量</w:t>
            </w:r>
          </w:p>
        </w:tc>
        <w:tc>
          <w:tcPr>
            <w:tcW w:w="1453" w:type="dxa"/>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56</w:t>
            </w:r>
          </w:p>
        </w:tc>
        <w:tc>
          <w:tcPr>
            <w:tcW w:w="1378" w:type="dxa"/>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b w:val="0"/>
                <w:bCs w:val="0"/>
                <w:color w:val="auto"/>
                <w:kern w:val="0"/>
                <w:sz w:val="21"/>
                <w:szCs w:val="21"/>
                <w:highlight w:val="none"/>
                <w:lang w:val="en-US" w:eastAsia="zh-CN"/>
              </w:rPr>
            </w:pPr>
            <w:r>
              <w:rPr>
                <w:rFonts w:hint="default" w:ascii="Times New Roman" w:hAnsi="Times New Roman" w:eastAsia="宋体" w:cs="Times New Roman"/>
                <w:b w:val="0"/>
                <w:bCs w:val="0"/>
                <w:color w:val="auto"/>
                <w:kern w:val="0"/>
                <w:sz w:val="21"/>
                <w:szCs w:val="21"/>
                <w:highlight w:val="none"/>
                <w:lang w:val="en-US" w:eastAsia="zh-CN"/>
              </w:rPr>
              <w:t>3</w:t>
            </w:r>
          </w:p>
        </w:tc>
        <w:tc>
          <w:tcPr>
            <w:tcW w:w="2281" w:type="dxa"/>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b w:val="0"/>
                <w:bCs w:val="0"/>
                <w:color w:val="auto"/>
                <w:kern w:val="0"/>
                <w:sz w:val="21"/>
                <w:szCs w:val="21"/>
                <w:highlight w:val="none"/>
                <w:lang w:val="en-US" w:eastAsia="zh-CN"/>
              </w:rPr>
            </w:pPr>
            <w:r>
              <w:rPr>
                <w:rFonts w:hint="default" w:ascii="Times New Roman" w:hAnsi="Times New Roman" w:eastAsia="宋体" w:cs="Times New Roman"/>
                <w:b w:val="0"/>
                <w:bCs w:val="0"/>
                <w:color w:val="auto"/>
                <w:kern w:val="0"/>
                <w:sz w:val="21"/>
                <w:szCs w:val="21"/>
                <w:highlight w:val="none"/>
                <w:lang w:val="en-US" w:eastAsia="zh-CN"/>
              </w:rPr>
              <w:t>18.7</w:t>
            </w:r>
          </w:p>
        </w:tc>
      </w:tr>
    </w:tbl>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outlineLvl w:val="0"/>
        <w:rPr>
          <w:rFonts w:hint="default" w:ascii="Times New Roman" w:hAnsi="Times New Roman" w:eastAsia="宋体" w:cs="Times New Roman"/>
          <w:color w:val="auto"/>
          <w:sz w:val="24"/>
          <w:szCs w:val="24"/>
          <w:highlight w:val="none"/>
        </w:rPr>
      </w:pPr>
      <w:bookmarkStart w:id="1014" w:name="_Toc1784"/>
      <w:bookmarkStart w:id="1015" w:name="_Toc28557"/>
      <w:r>
        <w:rPr>
          <w:rFonts w:hint="default" w:ascii="Times New Roman" w:hAnsi="Times New Roman" w:eastAsia="宋体" w:cs="Times New Roman"/>
          <w:color w:val="auto"/>
          <w:sz w:val="24"/>
          <w:szCs w:val="24"/>
          <w:highlight w:val="none"/>
        </w:rPr>
        <w:t>（3</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预测结果</w:t>
      </w:r>
      <w:bookmarkEnd w:id="1014"/>
      <w:bookmarkEnd w:id="1015"/>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非正常工况回水池一次泄漏180天</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地下水污染模拟300天～5000天</w:t>
      </w:r>
      <w:r>
        <w:rPr>
          <w:rFonts w:hint="default" w:ascii="Times New Roman" w:hAnsi="Times New Roman" w:eastAsia="宋体" w:cs="Times New Roman"/>
          <w:color w:val="auto"/>
          <w:sz w:val="24"/>
          <w:szCs w:val="24"/>
          <w:highlight w:val="none"/>
          <w:lang w:eastAsia="zh-CN"/>
        </w:rPr>
        <w:t>，化学需氧量、钼</w:t>
      </w:r>
      <w:r>
        <w:rPr>
          <w:rFonts w:hint="default" w:ascii="Times New Roman" w:hAnsi="Times New Roman" w:eastAsia="宋体" w:cs="Times New Roman"/>
          <w:color w:val="auto"/>
          <w:sz w:val="24"/>
          <w:szCs w:val="24"/>
          <w:highlight w:val="none"/>
        </w:rPr>
        <w:t>污染运移预测结果见下表</w:t>
      </w:r>
      <w:r>
        <w:rPr>
          <w:rFonts w:hint="default" w:ascii="Times New Roman" w:hAnsi="Times New Roman" w:eastAsia="宋体" w:cs="Times New Roman"/>
          <w:color w:val="auto"/>
          <w:sz w:val="24"/>
          <w:szCs w:val="24"/>
          <w:highlight w:val="none"/>
          <w:lang w:val="en-US" w:eastAsia="zh-CN"/>
        </w:rPr>
        <w:t>7-17</w:t>
      </w:r>
      <w:r>
        <w:rPr>
          <w:rFonts w:hint="default" w:ascii="Times New Roman" w:hAnsi="Times New Roman" w:eastAsia="宋体" w:cs="Times New Roman"/>
          <w:color w:val="auto"/>
          <w:sz w:val="24"/>
          <w:szCs w:val="24"/>
          <w:highlight w:val="none"/>
          <w:lang w:eastAsia="zh-CN"/>
        </w:rPr>
        <w:t>。</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jc w:val="center"/>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b/>
          <w:color w:val="auto"/>
          <w:spacing w:val="-6"/>
          <w:sz w:val="24"/>
          <w:highlight w:val="none"/>
        </w:rPr>
        <w:t>表7</w:t>
      </w:r>
      <w:r>
        <w:rPr>
          <w:rFonts w:hint="default" w:ascii="Times New Roman" w:hAnsi="Times New Roman" w:eastAsia="宋体" w:cs="Times New Roman"/>
          <w:b/>
          <w:color w:val="auto"/>
          <w:spacing w:val="-6"/>
          <w:sz w:val="24"/>
          <w:highlight w:val="none"/>
          <w:lang w:val="en-US" w:eastAsia="zh-CN"/>
        </w:rPr>
        <w:t>-17</w:t>
      </w:r>
      <w:r>
        <w:rPr>
          <w:rFonts w:hint="default" w:ascii="Times New Roman" w:hAnsi="Times New Roman" w:eastAsia="宋体" w:cs="Times New Roman"/>
          <w:b/>
          <w:color w:val="auto"/>
          <w:spacing w:val="-6"/>
          <w:sz w:val="24"/>
          <w:highlight w:val="none"/>
        </w:rPr>
        <w:t>预测因子超标范围贡献浓度值（单位</w:t>
      </w:r>
      <w:r>
        <w:rPr>
          <w:rFonts w:hint="default" w:ascii="Times New Roman" w:hAnsi="Times New Roman" w:eastAsia="宋体" w:cs="Times New Roman"/>
          <w:b/>
          <w:color w:val="auto"/>
          <w:spacing w:val="-6"/>
          <w:sz w:val="24"/>
          <w:highlight w:val="none"/>
          <w:lang w:eastAsia="zh-CN"/>
        </w:rPr>
        <w:t>：</w:t>
      </w:r>
      <w:r>
        <w:rPr>
          <w:rFonts w:hint="default" w:ascii="Times New Roman" w:hAnsi="Times New Roman" w:eastAsia="宋体" w:cs="Times New Roman"/>
          <w:b/>
          <w:color w:val="auto"/>
          <w:spacing w:val="-6"/>
          <w:sz w:val="24"/>
          <w:highlight w:val="none"/>
        </w:rPr>
        <w:t>mg/L</w:t>
      </w:r>
      <w:r>
        <w:rPr>
          <w:rFonts w:hint="default" w:ascii="Times New Roman" w:hAnsi="Times New Roman" w:eastAsia="宋体" w:cs="Times New Roman"/>
          <w:b/>
          <w:color w:val="auto"/>
          <w:spacing w:val="-6"/>
          <w:sz w:val="24"/>
          <w:highlight w:val="none"/>
          <w:lang w:eastAsia="zh-CN"/>
        </w:rPr>
        <w:t>）</w:t>
      </w:r>
      <w:r>
        <w:rPr>
          <w:rFonts w:hint="default" w:ascii="Times New Roman" w:hAnsi="Times New Roman" w:eastAsia="宋体" w:cs="Times New Roman"/>
          <w:color w:val="auto"/>
          <w:sz w:val="24"/>
          <w:szCs w:val="24"/>
          <w:highlight w:val="none"/>
        </w:rPr>
        <w:t>。</w:t>
      </w:r>
    </w:p>
    <w:tbl>
      <w:tblPr>
        <w:tblStyle w:val="54"/>
        <w:tblW w:w="500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1318"/>
        <w:gridCol w:w="1103"/>
        <w:gridCol w:w="1220"/>
        <w:gridCol w:w="1224"/>
        <w:gridCol w:w="1219"/>
        <w:gridCol w:w="1219"/>
        <w:gridCol w:w="121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397" w:hRule="atLeast"/>
          <w:jc w:val="center"/>
        </w:trPr>
        <w:tc>
          <w:tcPr>
            <w:tcW w:w="774" w:type="pct"/>
            <w:vMerge w:val="restart"/>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szCs w:val="21"/>
                <w:highlight w:val="none"/>
                <w:lang w:eastAsia="zh-CN"/>
              </w:rPr>
            </w:pPr>
            <w:r>
              <w:rPr>
                <w:rFonts w:hint="default" w:ascii="Times New Roman" w:hAnsi="Times New Roman" w:eastAsia="宋体" w:cs="Times New Roman"/>
                <w:color w:val="auto"/>
                <w:kern w:val="0"/>
                <w:highlight w:val="none"/>
              </w:rPr>
              <w:t>运移时间（d</w:t>
            </w:r>
            <w:r>
              <w:rPr>
                <w:rFonts w:hint="default" w:ascii="Times New Roman" w:hAnsi="Times New Roman" w:eastAsia="宋体" w:cs="Times New Roman"/>
                <w:color w:val="auto"/>
                <w:kern w:val="0"/>
                <w:highlight w:val="none"/>
                <w:lang w:eastAsia="zh-CN"/>
              </w:rPr>
              <w:t>）</w:t>
            </w:r>
          </w:p>
        </w:tc>
        <w:tc>
          <w:tcPr>
            <w:tcW w:w="2081" w:type="pct"/>
            <w:gridSpan w:val="3"/>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b w:val="0"/>
                <w:bCs w:val="0"/>
                <w:color w:val="auto"/>
                <w:sz w:val="21"/>
                <w:szCs w:val="21"/>
                <w:highlight w:val="none"/>
                <w:lang w:eastAsia="zh-CN"/>
              </w:rPr>
              <w:t>钼</w:t>
            </w:r>
          </w:p>
        </w:tc>
        <w:tc>
          <w:tcPr>
            <w:tcW w:w="2144" w:type="pct"/>
            <w:gridSpan w:val="3"/>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化学需氧量</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74" w:type="pct"/>
            <w:vMerge w:val="continue"/>
            <w:vAlign w:val="center"/>
          </w:tcPr>
          <w:p>
            <w:pPr>
              <w:pageBreakBefore w:val="0"/>
              <w:widowControl/>
              <w:wordWrap/>
              <w:bidi w:val="0"/>
              <w:spacing w:line="240" w:lineRule="auto"/>
              <w:ind w:left="0" w:leftChars="0" w:right="0" w:rightChars="0"/>
              <w:jc w:val="left"/>
              <w:rPr>
                <w:rFonts w:hint="default" w:ascii="Times New Roman" w:hAnsi="Times New Roman" w:eastAsia="宋体" w:cs="Times New Roman"/>
                <w:color w:val="auto"/>
                <w:kern w:val="0"/>
                <w:szCs w:val="21"/>
                <w:highlight w:val="none"/>
              </w:rPr>
            </w:pPr>
          </w:p>
        </w:tc>
        <w:tc>
          <w:tcPr>
            <w:tcW w:w="647" w:type="pct"/>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highlight w:val="none"/>
                <w:lang w:eastAsia="zh-CN"/>
              </w:rPr>
            </w:pPr>
            <w:r>
              <w:rPr>
                <w:rFonts w:hint="default" w:ascii="Times New Roman" w:hAnsi="Times New Roman" w:eastAsia="宋体" w:cs="Times New Roman"/>
                <w:color w:val="auto"/>
                <w:kern w:val="0"/>
                <w:highlight w:val="none"/>
              </w:rPr>
              <w:t>预测超标范围长（m</w:t>
            </w:r>
            <w:r>
              <w:rPr>
                <w:rFonts w:hint="default" w:ascii="Times New Roman" w:hAnsi="Times New Roman" w:eastAsia="宋体" w:cs="Times New Roman"/>
                <w:color w:val="auto"/>
                <w:kern w:val="0"/>
                <w:highlight w:val="none"/>
                <w:lang w:eastAsia="zh-CN"/>
              </w:rPr>
              <w:t>）</w:t>
            </w:r>
          </w:p>
        </w:tc>
        <w:tc>
          <w:tcPr>
            <w:tcW w:w="716" w:type="pct"/>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highlight w:val="none"/>
                <w:lang w:eastAsia="zh-CN"/>
              </w:rPr>
            </w:pPr>
            <w:r>
              <w:rPr>
                <w:rFonts w:hint="default" w:ascii="Times New Roman" w:hAnsi="Times New Roman" w:eastAsia="宋体" w:cs="Times New Roman"/>
                <w:color w:val="auto"/>
                <w:kern w:val="0"/>
                <w:highlight w:val="none"/>
              </w:rPr>
              <w:t>预测超标面积（m</w:t>
            </w:r>
            <w:r>
              <w:rPr>
                <w:rFonts w:hint="default" w:ascii="Times New Roman" w:hAnsi="Times New Roman" w:eastAsia="宋体" w:cs="Times New Roman"/>
                <w:color w:val="auto"/>
                <w:kern w:val="0"/>
                <w:highlight w:val="none"/>
                <w:vertAlign w:val="superscript"/>
              </w:rPr>
              <w:t>2</w:t>
            </w:r>
            <w:r>
              <w:rPr>
                <w:rFonts w:hint="default" w:ascii="Times New Roman" w:hAnsi="Times New Roman" w:eastAsia="宋体" w:cs="Times New Roman"/>
                <w:color w:val="auto"/>
                <w:kern w:val="0"/>
                <w:highlight w:val="none"/>
                <w:lang w:eastAsia="zh-CN"/>
              </w:rPr>
              <w:t>）</w:t>
            </w:r>
          </w:p>
        </w:tc>
        <w:tc>
          <w:tcPr>
            <w:tcW w:w="718" w:type="pct"/>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highlight w:val="none"/>
                <w:lang w:eastAsia="zh-CN"/>
              </w:rPr>
            </w:pPr>
            <w:r>
              <w:rPr>
                <w:rFonts w:hint="default" w:ascii="Times New Roman" w:hAnsi="Times New Roman" w:eastAsia="宋体" w:cs="Times New Roman"/>
                <w:color w:val="auto"/>
                <w:kern w:val="0"/>
                <w:highlight w:val="none"/>
              </w:rPr>
              <w:t>影响最远距离（m</w:t>
            </w:r>
            <w:r>
              <w:rPr>
                <w:rFonts w:hint="default" w:ascii="Times New Roman" w:hAnsi="Times New Roman" w:eastAsia="宋体" w:cs="Times New Roman"/>
                <w:color w:val="auto"/>
                <w:kern w:val="0"/>
                <w:highlight w:val="none"/>
                <w:lang w:eastAsia="zh-CN"/>
              </w:rPr>
              <w:t>）</w:t>
            </w:r>
          </w:p>
        </w:tc>
        <w:tc>
          <w:tcPr>
            <w:tcW w:w="715" w:type="pct"/>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highlight w:val="none"/>
                <w:lang w:eastAsia="zh-CN"/>
              </w:rPr>
            </w:pPr>
            <w:r>
              <w:rPr>
                <w:rFonts w:hint="default" w:ascii="Times New Roman" w:hAnsi="Times New Roman" w:eastAsia="宋体" w:cs="Times New Roman"/>
                <w:color w:val="auto"/>
                <w:kern w:val="0"/>
                <w:highlight w:val="none"/>
              </w:rPr>
              <w:t>预测超标范围长（m</w:t>
            </w:r>
            <w:r>
              <w:rPr>
                <w:rFonts w:hint="default" w:ascii="Times New Roman" w:hAnsi="Times New Roman" w:eastAsia="宋体" w:cs="Times New Roman"/>
                <w:color w:val="auto"/>
                <w:kern w:val="0"/>
                <w:highlight w:val="none"/>
                <w:lang w:eastAsia="zh-CN"/>
              </w:rPr>
              <w:t>）</w:t>
            </w:r>
          </w:p>
        </w:tc>
        <w:tc>
          <w:tcPr>
            <w:tcW w:w="715" w:type="pct"/>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highlight w:val="none"/>
                <w:lang w:eastAsia="zh-CN"/>
              </w:rPr>
            </w:pPr>
            <w:r>
              <w:rPr>
                <w:rFonts w:hint="default" w:ascii="Times New Roman" w:hAnsi="Times New Roman" w:eastAsia="宋体" w:cs="Times New Roman"/>
                <w:color w:val="auto"/>
                <w:kern w:val="0"/>
                <w:highlight w:val="none"/>
              </w:rPr>
              <w:t>预测超标面积（m</w:t>
            </w:r>
            <w:r>
              <w:rPr>
                <w:rFonts w:hint="default" w:ascii="Times New Roman" w:hAnsi="Times New Roman" w:eastAsia="宋体" w:cs="Times New Roman"/>
                <w:color w:val="auto"/>
                <w:kern w:val="0"/>
                <w:highlight w:val="none"/>
                <w:vertAlign w:val="superscript"/>
              </w:rPr>
              <w:t>2</w:t>
            </w:r>
            <w:r>
              <w:rPr>
                <w:rFonts w:hint="default" w:ascii="Times New Roman" w:hAnsi="Times New Roman" w:eastAsia="宋体" w:cs="Times New Roman"/>
                <w:color w:val="auto"/>
                <w:kern w:val="0"/>
                <w:highlight w:val="none"/>
                <w:lang w:eastAsia="zh-CN"/>
              </w:rPr>
              <w:t>）</w:t>
            </w:r>
          </w:p>
        </w:tc>
        <w:tc>
          <w:tcPr>
            <w:tcW w:w="715" w:type="pct"/>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highlight w:val="none"/>
                <w:lang w:eastAsia="zh-CN"/>
              </w:rPr>
            </w:pPr>
            <w:r>
              <w:rPr>
                <w:rFonts w:hint="default" w:ascii="Times New Roman" w:hAnsi="Times New Roman" w:eastAsia="宋体" w:cs="Times New Roman"/>
                <w:color w:val="auto"/>
                <w:kern w:val="0"/>
                <w:highlight w:val="none"/>
              </w:rPr>
              <w:t>影响最远距离（m</w:t>
            </w:r>
            <w:r>
              <w:rPr>
                <w:rFonts w:hint="default" w:ascii="Times New Roman" w:hAnsi="Times New Roman" w:eastAsia="宋体" w:cs="Times New Roman"/>
                <w:color w:val="auto"/>
                <w:kern w:val="0"/>
                <w:highlight w:val="none"/>
                <w:lang w:eastAsia="zh-CN"/>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74" w:type="pct"/>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300</w:t>
            </w:r>
          </w:p>
        </w:tc>
        <w:tc>
          <w:tcPr>
            <w:tcW w:w="647" w:type="pct"/>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130</w:t>
            </w:r>
          </w:p>
        </w:tc>
        <w:tc>
          <w:tcPr>
            <w:tcW w:w="716" w:type="pct"/>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5103</w:t>
            </w:r>
          </w:p>
        </w:tc>
        <w:tc>
          <w:tcPr>
            <w:tcW w:w="718" w:type="pct"/>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155</w:t>
            </w:r>
          </w:p>
        </w:tc>
        <w:tc>
          <w:tcPr>
            <w:tcW w:w="715" w:type="pct"/>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115</w:t>
            </w:r>
          </w:p>
        </w:tc>
        <w:tc>
          <w:tcPr>
            <w:tcW w:w="715" w:type="pct"/>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2708</w:t>
            </w:r>
          </w:p>
        </w:tc>
        <w:tc>
          <w:tcPr>
            <w:tcW w:w="715" w:type="pct"/>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135</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74" w:type="pct"/>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500</w:t>
            </w:r>
          </w:p>
        </w:tc>
        <w:tc>
          <w:tcPr>
            <w:tcW w:w="647" w:type="pct"/>
          </w:tcPr>
          <w:p>
            <w:pPr>
              <w:pageBreakBefore w:val="0"/>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kern w:val="0"/>
                <w:highlight w:val="none"/>
              </w:rPr>
              <w:t>183</w:t>
            </w:r>
          </w:p>
        </w:tc>
        <w:tc>
          <w:tcPr>
            <w:tcW w:w="716" w:type="pct"/>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8045</w:t>
            </w:r>
          </w:p>
        </w:tc>
        <w:tc>
          <w:tcPr>
            <w:tcW w:w="718" w:type="pct"/>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180</w:t>
            </w:r>
          </w:p>
        </w:tc>
        <w:tc>
          <w:tcPr>
            <w:tcW w:w="715" w:type="pct"/>
          </w:tcPr>
          <w:p>
            <w:pPr>
              <w:pageBreakBefore w:val="0"/>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kern w:val="0"/>
                <w:highlight w:val="none"/>
              </w:rPr>
              <w:t>110</w:t>
            </w:r>
          </w:p>
        </w:tc>
        <w:tc>
          <w:tcPr>
            <w:tcW w:w="715" w:type="pct"/>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2591</w:t>
            </w:r>
          </w:p>
        </w:tc>
        <w:tc>
          <w:tcPr>
            <w:tcW w:w="715" w:type="pct"/>
          </w:tcPr>
          <w:p>
            <w:pPr>
              <w:pageBreakBefore w:val="0"/>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kern w:val="0"/>
                <w:highlight w:val="none"/>
              </w:rPr>
              <w:t>180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74" w:type="pct"/>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1000</w:t>
            </w:r>
          </w:p>
        </w:tc>
        <w:tc>
          <w:tcPr>
            <w:tcW w:w="647" w:type="pct"/>
          </w:tcPr>
          <w:p>
            <w:pPr>
              <w:pageBreakBefore w:val="0"/>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kern w:val="0"/>
                <w:highlight w:val="none"/>
              </w:rPr>
              <w:t>195</w:t>
            </w:r>
          </w:p>
        </w:tc>
        <w:tc>
          <w:tcPr>
            <w:tcW w:w="716" w:type="pct"/>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8573</w:t>
            </w:r>
          </w:p>
        </w:tc>
        <w:tc>
          <w:tcPr>
            <w:tcW w:w="718" w:type="pct"/>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315</w:t>
            </w:r>
          </w:p>
        </w:tc>
        <w:tc>
          <w:tcPr>
            <w:tcW w:w="715" w:type="pct"/>
          </w:tcPr>
          <w:p>
            <w:pPr>
              <w:pageBreakBefore w:val="0"/>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kern w:val="0"/>
                <w:highlight w:val="none"/>
              </w:rPr>
              <w:t>60</w:t>
            </w:r>
          </w:p>
        </w:tc>
        <w:tc>
          <w:tcPr>
            <w:tcW w:w="715" w:type="pct"/>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1178</w:t>
            </w:r>
          </w:p>
        </w:tc>
        <w:tc>
          <w:tcPr>
            <w:tcW w:w="715" w:type="pct"/>
          </w:tcPr>
          <w:p>
            <w:pPr>
              <w:pageBreakBefore w:val="0"/>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kern w:val="0"/>
                <w:highlight w:val="none"/>
              </w:rPr>
              <w:t>295</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74" w:type="pct"/>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3000</w:t>
            </w:r>
          </w:p>
        </w:tc>
        <w:tc>
          <w:tcPr>
            <w:tcW w:w="647" w:type="pct"/>
          </w:tcPr>
          <w:p>
            <w:pPr>
              <w:pageBreakBefore w:val="0"/>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kern w:val="0"/>
                <w:highlight w:val="none"/>
              </w:rPr>
              <w:t>175</w:t>
            </w:r>
          </w:p>
        </w:tc>
        <w:tc>
          <w:tcPr>
            <w:tcW w:w="716" w:type="pct"/>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4122</w:t>
            </w:r>
          </w:p>
        </w:tc>
        <w:tc>
          <w:tcPr>
            <w:tcW w:w="718" w:type="pct"/>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705</w:t>
            </w:r>
          </w:p>
        </w:tc>
        <w:tc>
          <w:tcPr>
            <w:tcW w:w="715" w:type="pct"/>
          </w:tcPr>
          <w:p>
            <w:pPr>
              <w:pageBreakBefore w:val="0"/>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kern w:val="0"/>
                <w:highlight w:val="none"/>
              </w:rPr>
              <w:t>/</w:t>
            </w:r>
          </w:p>
        </w:tc>
        <w:tc>
          <w:tcPr>
            <w:tcW w:w="715" w:type="pct"/>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w:t>
            </w:r>
          </w:p>
        </w:tc>
        <w:tc>
          <w:tcPr>
            <w:tcW w:w="715" w:type="pct"/>
          </w:tcPr>
          <w:p>
            <w:pPr>
              <w:pageBreakBefore w:val="0"/>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kern w:val="0"/>
                <w:highlight w:val="none"/>
              </w:rPr>
              <w:t>640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74" w:type="pct"/>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5000</w:t>
            </w:r>
          </w:p>
        </w:tc>
        <w:tc>
          <w:tcPr>
            <w:tcW w:w="647" w:type="pct"/>
          </w:tcPr>
          <w:p>
            <w:pPr>
              <w:pageBreakBefore w:val="0"/>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kern w:val="0"/>
                <w:highlight w:val="none"/>
              </w:rPr>
              <w:t>/</w:t>
            </w:r>
          </w:p>
        </w:tc>
        <w:tc>
          <w:tcPr>
            <w:tcW w:w="716" w:type="pct"/>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w:t>
            </w:r>
          </w:p>
        </w:tc>
        <w:tc>
          <w:tcPr>
            <w:tcW w:w="718" w:type="pct"/>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1250</w:t>
            </w:r>
          </w:p>
        </w:tc>
        <w:tc>
          <w:tcPr>
            <w:tcW w:w="715" w:type="pct"/>
          </w:tcPr>
          <w:p>
            <w:pPr>
              <w:pageBreakBefore w:val="0"/>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kern w:val="0"/>
                <w:highlight w:val="none"/>
              </w:rPr>
              <w:t>/</w:t>
            </w:r>
          </w:p>
        </w:tc>
        <w:tc>
          <w:tcPr>
            <w:tcW w:w="715" w:type="pct"/>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w:t>
            </w:r>
          </w:p>
        </w:tc>
        <w:tc>
          <w:tcPr>
            <w:tcW w:w="715" w:type="pct"/>
          </w:tcPr>
          <w:p>
            <w:pPr>
              <w:pageBreakBefore w:val="0"/>
              <w:wordWrap/>
              <w:bidi w:val="0"/>
              <w:spacing w:line="240" w:lineRule="auto"/>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kern w:val="0"/>
                <w:highlight w:val="none"/>
              </w:rPr>
              <w:t>1200</w:t>
            </w:r>
          </w:p>
        </w:tc>
      </w:tr>
    </w:tbl>
    <w:p>
      <w:pPr>
        <w:pageBreakBefore w:val="0"/>
        <w:wordWrap/>
        <w:bidi w:val="0"/>
        <w:spacing w:line="440" w:lineRule="atLeast"/>
        <w:ind w:left="0" w:leftChars="0" w:right="0" w:rightChars="0" w:firstLine="480" w:firstLineChars="200"/>
        <w:outlineLvl w:val="0"/>
        <w:rPr>
          <w:rFonts w:hint="default" w:ascii="Times New Roman" w:hAnsi="Times New Roman" w:eastAsia="宋体" w:cs="Times New Roman"/>
          <w:color w:val="auto"/>
          <w:sz w:val="24"/>
          <w:highlight w:val="none"/>
        </w:rPr>
      </w:pPr>
      <w:bookmarkStart w:id="1016" w:name="_Toc7484"/>
      <w:bookmarkStart w:id="1017" w:name="_Toc21852"/>
      <w:r>
        <w:rPr>
          <w:rFonts w:hint="default" w:ascii="Times New Roman" w:hAnsi="Times New Roman" w:eastAsia="宋体" w:cs="Times New Roman"/>
          <w:color w:val="auto"/>
          <w:sz w:val="24"/>
          <w:highlight w:val="none"/>
        </w:rPr>
        <w:t>（4</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结果评价</w:t>
      </w:r>
      <w:bookmarkEnd w:id="1016"/>
      <w:bookmarkEnd w:id="1017"/>
    </w:p>
    <w:p>
      <w:pPr>
        <w:pageBreakBefore w:val="0"/>
        <w:wordWrap/>
        <w:bidi w:val="0"/>
        <w:spacing w:line="440" w:lineRule="atLeast"/>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根据预测结果</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尾矿库回水池一次性泄漏导致污染物在项目区超标范围超出范围很小</w:t>
      </w:r>
      <w:r>
        <w:rPr>
          <w:rFonts w:hint="default" w:ascii="Times New Roman" w:hAnsi="Times New Roman" w:eastAsia="宋体" w:cs="Times New Roman"/>
          <w:color w:val="auto"/>
          <w:sz w:val="24"/>
          <w:highlight w:val="none"/>
          <w:lang w:eastAsia="zh-CN"/>
        </w:rPr>
        <w:t>，钼</w:t>
      </w:r>
      <w:r>
        <w:rPr>
          <w:rFonts w:hint="default" w:ascii="Times New Roman" w:hAnsi="Times New Roman" w:eastAsia="宋体" w:cs="Times New Roman"/>
          <w:color w:val="auto"/>
          <w:sz w:val="24"/>
          <w:highlight w:val="none"/>
        </w:rPr>
        <w:t>超标最大</w:t>
      </w:r>
      <w:r>
        <w:rPr>
          <w:rFonts w:hint="default" w:ascii="Times New Roman" w:hAnsi="Times New Roman" w:eastAsia="宋体" w:cs="Times New Roman"/>
          <w:color w:val="auto"/>
          <w:sz w:val="24"/>
          <w:highlight w:val="none"/>
          <w:lang w:eastAsia="zh-CN"/>
        </w:rPr>
        <w:t>污染源</w:t>
      </w:r>
      <w:r>
        <w:rPr>
          <w:rFonts w:hint="default" w:ascii="Times New Roman" w:hAnsi="Times New Roman" w:eastAsia="宋体" w:cs="Times New Roman"/>
          <w:color w:val="auto"/>
          <w:sz w:val="24"/>
          <w:highlight w:val="none"/>
        </w:rPr>
        <w:t>直径为195m</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可检测到的影响范围最远在污染源下游1250m</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超过尾矿库的范围不大</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污染物在5000天后基本消失。而化学需氧量由于水质中浓度较低</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则在计算期间由于泄漏导致的水中化学需氧量超标范围小</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最大超标范围直径为115m</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超标面积为2708m</w:t>
      </w:r>
      <w:r>
        <w:rPr>
          <w:rFonts w:hint="default" w:ascii="Times New Roman" w:hAnsi="Times New Roman" w:eastAsia="宋体" w:cs="Times New Roman"/>
          <w:color w:val="auto"/>
          <w:sz w:val="24"/>
          <w:highlight w:val="none"/>
          <w:vertAlign w:val="superscript"/>
        </w:rPr>
        <w:t>2</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超标时间短</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1000天超标区域逐渐消失</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下游最远影响1200。</w:t>
      </w:r>
    </w:p>
    <w:p>
      <w:pPr>
        <w:pageBreakBefore w:val="0"/>
        <w:wordWrap/>
        <w:bidi w:val="0"/>
        <w:ind w:left="0" w:leftChars="0" w:right="0" w:rightChars="0"/>
        <w:rPr>
          <w:rFonts w:hint="default" w:ascii="Times New Roman" w:hAnsi="Times New Roman" w:eastAsia="宋体" w:cs="Times New Roman"/>
          <w:color w:val="auto"/>
          <w:highlight w:val="none"/>
        </w:rPr>
      </w:pPr>
    </w:p>
    <w:p>
      <w:pPr>
        <w:pStyle w:val="21"/>
        <w:pageBreakBefore w:val="0"/>
        <w:kinsoku w:val="0"/>
        <w:wordWrap/>
        <w:overflowPunct w:val="0"/>
        <w:bidi w:val="0"/>
        <w:spacing w:after="0" w:line="360" w:lineRule="auto"/>
        <w:ind w:left="0" w:leftChars="0" w:right="0" w:rightChars="0"/>
        <w:jc w:val="both"/>
        <w:rPr>
          <w:rFonts w:hint="default" w:ascii="Times New Roman" w:hAnsi="Times New Roman" w:eastAsia="宋体" w:cs="Times New Roman"/>
          <w:b/>
          <w:color w:val="auto"/>
          <w:spacing w:val="-6"/>
          <w:sz w:val="24"/>
          <w:highlight w:val="none"/>
        </w:rPr>
      </w:pPr>
      <w:r>
        <w:rPr>
          <w:rFonts w:hint="default" w:ascii="Times New Roman" w:hAnsi="Times New Roman" w:eastAsia="宋体" w:cs="Times New Roman"/>
          <w:color w:val="auto"/>
          <w:highlight w:val="none"/>
        </w:rPr>
        <w:drawing>
          <wp:inline distT="0" distB="0" distL="0" distR="0">
            <wp:extent cx="5278120" cy="2689860"/>
            <wp:effectExtent l="0" t="0" r="0" b="0"/>
            <wp:docPr id="16864482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448206" name="图片 1"/>
                    <pic:cNvPicPr>
                      <a:picLocks noChangeAspect="1"/>
                    </pic:cNvPicPr>
                  </pic:nvPicPr>
                  <pic:blipFill>
                    <a:blip r:embed="rId71"/>
                    <a:stretch>
                      <a:fillRect/>
                    </a:stretch>
                  </pic:blipFill>
                  <pic:spPr>
                    <a:xfrm>
                      <a:off x="0" y="0"/>
                      <a:ext cx="5278120" cy="2689860"/>
                    </a:xfrm>
                    <a:prstGeom prst="rect">
                      <a:avLst/>
                    </a:prstGeom>
                  </pic:spPr>
                </pic:pic>
              </a:graphicData>
            </a:graphic>
          </wp:inline>
        </w:drawing>
      </w:r>
    </w:p>
    <w:p>
      <w:pPr>
        <w:pStyle w:val="21"/>
        <w:pageBreakBefore w:val="0"/>
        <w:kinsoku w:val="0"/>
        <w:wordWrap/>
        <w:overflowPunct w:val="0"/>
        <w:bidi w:val="0"/>
        <w:spacing w:after="0" w:line="360" w:lineRule="auto"/>
        <w:ind w:left="0" w:leftChars="0" w:right="0" w:rightChars="0" w:firstLine="420" w:firstLineChars="200"/>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color w:val="auto"/>
          <w:highlight w:val="none"/>
        </w:rPr>
        <w:t>a.</w:t>
      </w:r>
      <w:r>
        <w:rPr>
          <w:rFonts w:hint="default" w:ascii="Times New Roman" w:hAnsi="Times New Roman" w:eastAsia="宋体" w:cs="Times New Roman"/>
          <w:b/>
          <w:bCs/>
          <w:color w:val="auto"/>
          <w:sz w:val="24"/>
          <w:highlight w:val="none"/>
          <w:lang w:eastAsia="zh-CN"/>
        </w:rPr>
        <w:t>钼</w:t>
      </w:r>
      <w:r>
        <w:rPr>
          <w:rFonts w:hint="default" w:ascii="Times New Roman" w:hAnsi="Times New Roman" w:eastAsia="宋体" w:cs="Times New Roman"/>
          <w:b/>
          <w:bCs/>
          <w:color w:val="auto"/>
          <w:sz w:val="24"/>
          <w:highlight w:val="none"/>
        </w:rPr>
        <w:t>泄漏300天预测图</w:t>
      </w:r>
    </w:p>
    <w:p>
      <w:pPr>
        <w:pStyle w:val="53"/>
        <w:pageBreakBefore w:val="0"/>
        <w:wordWrap/>
        <w:bidi w:val="0"/>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drawing>
          <wp:inline distT="0" distB="0" distL="0" distR="0">
            <wp:extent cx="5278120" cy="2677160"/>
            <wp:effectExtent l="0" t="0" r="0" b="8890"/>
            <wp:docPr id="13390108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010877" name="图片 1"/>
                    <pic:cNvPicPr>
                      <a:picLocks noChangeAspect="1"/>
                    </pic:cNvPicPr>
                  </pic:nvPicPr>
                  <pic:blipFill>
                    <a:blip r:embed="rId72"/>
                    <a:stretch>
                      <a:fillRect/>
                    </a:stretch>
                  </pic:blipFill>
                  <pic:spPr>
                    <a:xfrm>
                      <a:off x="0" y="0"/>
                      <a:ext cx="5278120" cy="2677160"/>
                    </a:xfrm>
                    <a:prstGeom prst="rect">
                      <a:avLst/>
                    </a:prstGeom>
                  </pic:spPr>
                </pic:pic>
              </a:graphicData>
            </a:graphic>
          </wp:inline>
        </w:drawing>
      </w:r>
    </w:p>
    <w:p>
      <w:pPr>
        <w:pStyle w:val="21"/>
        <w:pageBreakBefore w:val="0"/>
        <w:kinsoku w:val="0"/>
        <w:wordWrap/>
        <w:overflowPunct w:val="0"/>
        <w:bidi w:val="0"/>
        <w:spacing w:after="0" w:line="360" w:lineRule="auto"/>
        <w:ind w:left="0" w:leftChars="0" w:right="0" w:rightChars="0" w:firstLine="420" w:firstLineChars="200"/>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color w:val="auto"/>
          <w:highlight w:val="none"/>
        </w:rPr>
        <w:t>b.</w:t>
      </w:r>
      <w:r>
        <w:rPr>
          <w:rFonts w:hint="default" w:ascii="Times New Roman" w:hAnsi="Times New Roman" w:eastAsia="宋体" w:cs="Times New Roman"/>
          <w:b/>
          <w:bCs/>
          <w:color w:val="auto"/>
          <w:sz w:val="24"/>
          <w:highlight w:val="none"/>
          <w:lang w:eastAsia="zh-CN"/>
        </w:rPr>
        <w:t>钼</w:t>
      </w:r>
      <w:r>
        <w:rPr>
          <w:rFonts w:hint="default" w:ascii="Times New Roman" w:hAnsi="Times New Roman" w:eastAsia="宋体" w:cs="Times New Roman"/>
          <w:b/>
          <w:bCs/>
          <w:color w:val="auto"/>
          <w:sz w:val="24"/>
          <w:highlight w:val="none"/>
        </w:rPr>
        <w:t>泄漏500天预测图</w:t>
      </w:r>
    </w:p>
    <w:p>
      <w:pPr>
        <w:pStyle w:val="53"/>
        <w:pageBreakBefore w:val="0"/>
        <w:wordWrap/>
        <w:bidi w:val="0"/>
        <w:ind w:left="0" w:leftChars="0" w:right="0" w:right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drawing>
          <wp:inline distT="0" distB="0" distL="0" distR="0">
            <wp:extent cx="5278120" cy="2733040"/>
            <wp:effectExtent l="0" t="0" r="0" b="0"/>
            <wp:docPr id="21129965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996594" name="图片 1"/>
                    <pic:cNvPicPr>
                      <a:picLocks noChangeAspect="1"/>
                    </pic:cNvPicPr>
                  </pic:nvPicPr>
                  <pic:blipFill>
                    <a:blip r:embed="rId73"/>
                    <a:stretch>
                      <a:fillRect/>
                    </a:stretch>
                  </pic:blipFill>
                  <pic:spPr>
                    <a:xfrm>
                      <a:off x="0" y="0"/>
                      <a:ext cx="5278120" cy="2733040"/>
                    </a:xfrm>
                    <a:prstGeom prst="rect">
                      <a:avLst/>
                    </a:prstGeom>
                  </pic:spPr>
                </pic:pic>
              </a:graphicData>
            </a:graphic>
          </wp:inline>
        </w:drawing>
      </w:r>
    </w:p>
    <w:p>
      <w:pPr>
        <w:pStyle w:val="21"/>
        <w:pageBreakBefore w:val="0"/>
        <w:kinsoku w:val="0"/>
        <w:wordWrap/>
        <w:overflowPunct w:val="0"/>
        <w:bidi w:val="0"/>
        <w:spacing w:after="0" w:line="360" w:lineRule="auto"/>
        <w:ind w:left="0" w:leftChars="0" w:right="0" w:rightChars="0" w:firstLine="420" w:firstLineChars="200"/>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color w:val="auto"/>
          <w:highlight w:val="none"/>
        </w:rPr>
        <w:t>c.</w:t>
      </w:r>
      <w:r>
        <w:rPr>
          <w:rFonts w:hint="default" w:ascii="Times New Roman" w:hAnsi="Times New Roman" w:eastAsia="宋体" w:cs="Times New Roman"/>
          <w:b/>
          <w:bCs/>
          <w:color w:val="auto"/>
          <w:sz w:val="24"/>
          <w:highlight w:val="none"/>
          <w:lang w:eastAsia="zh-CN"/>
        </w:rPr>
        <w:t>钼</w:t>
      </w:r>
      <w:r>
        <w:rPr>
          <w:rFonts w:hint="default" w:ascii="Times New Roman" w:hAnsi="Times New Roman" w:eastAsia="宋体" w:cs="Times New Roman"/>
          <w:b/>
          <w:bCs/>
          <w:color w:val="auto"/>
          <w:sz w:val="24"/>
          <w:highlight w:val="none"/>
        </w:rPr>
        <w:t>泄漏1000天预测图</w:t>
      </w:r>
    </w:p>
    <w:p>
      <w:pPr>
        <w:pStyle w:val="53"/>
        <w:pageBreakBefore w:val="0"/>
        <w:wordWrap/>
        <w:bidi w:val="0"/>
        <w:ind w:left="0" w:leftChars="0" w:right="0" w:right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drawing>
          <wp:inline distT="0" distB="0" distL="0" distR="0">
            <wp:extent cx="5278120" cy="2656840"/>
            <wp:effectExtent l="0" t="0" r="0" b="0"/>
            <wp:docPr id="6892358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235868" name="图片 1"/>
                    <pic:cNvPicPr>
                      <a:picLocks noChangeAspect="1"/>
                    </pic:cNvPicPr>
                  </pic:nvPicPr>
                  <pic:blipFill>
                    <a:blip r:embed="rId74"/>
                    <a:stretch>
                      <a:fillRect/>
                    </a:stretch>
                  </pic:blipFill>
                  <pic:spPr>
                    <a:xfrm>
                      <a:off x="0" y="0"/>
                      <a:ext cx="5278120" cy="2656840"/>
                    </a:xfrm>
                    <a:prstGeom prst="rect">
                      <a:avLst/>
                    </a:prstGeom>
                  </pic:spPr>
                </pic:pic>
              </a:graphicData>
            </a:graphic>
          </wp:inline>
        </w:drawing>
      </w:r>
    </w:p>
    <w:p>
      <w:pPr>
        <w:pStyle w:val="21"/>
        <w:pageBreakBefore w:val="0"/>
        <w:kinsoku w:val="0"/>
        <w:wordWrap/>
        <w:overflowPunct w:val="0"/>
        <w:bidi w:val="0"/>
        <w:spacing w:after="0" w:line="360" w:lineRule="auto"/>
        <w:ind w:left="0" w:leftChars="0" w:right="0" w:rightChars="0" w:firstLine="420" w:firstLineChars="200"/>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color w:val="auto"/>
          <w:highlight w:val="none"/>
        </w:rPr>
        <w:t>d.</w:t>
      </w:r>
      <w:r>
        <w:rPr>
          <w:rFonts w:hint="default" w:ascii="Times New Roman" w:hAnsi="Times New Roman" w:eastAsia="宋体" w:cs="Times New Roman"/>
          <w:b/>
          <w:bCs/>
          <w:color w:val="auto"/>
          <w:sz w:val="24"/>
          <w:highlight w:val="none"/>
          <w:lang w:eastAsia="zh-CN"/>
        </w:rPr>
        <w:t>钼</w:t>
      </w:r>
      <w:r>
        <w:rPr>
          <w:rFonts w:hint="default" w:ascii="Times New Roman" w:hAnsi="Times New Roman" w:eastAsia="宋体" w:cs="Times New Roman"/>
          <w:b/>
          <w:bCs/>
          <w:color w:val="auto"/>
          <w:sz w:val="24"/>
          <w:highlight w:val="none"/>
        </w:rPr>
        <w:t>泄漏3000天预测图</w:t>
      </w:r>
    </w:p>
    <w:p>
      <w:pPr>
        <w:pStyle w:val="53"/>
        <w:pageBreakBefore w:val="0"/>
        <w:wordWrap/>
        <w:bidi w:val="0"/>
        <w:ind w:left="0" w:leftChars="0" w:right="0" w:right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drawing>
          <wp:inline distT="0" distB="0" distL="0" distR="0">
            <wp:extent cx="5278120" cy="2738755"/>
            <wp:effectExtent l="0" t="0" r="0" b="4445"/>
            <wp:docPr id="6532811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281163" name="图片 1"/>
                    <pic:cNvPicPr>
                      <a:picLocks noChangeAspect="1"/>
                    </pic:cNvPicPr>
                  </pic:nvPicPr>
                  <pic:blipFill>
                    <a:blip r:embed="rId75"/>
                    <a:stretch>
                      <a:fillRect/>
                    </a:stretch>
                  </pic:blipFill>
                  <pic:spPr>
                    <a:xfrm>
                      <a:off x="0" y="0"/>
                      <a:ext cx="5278120" cy="2738755"/>
                    </a:xfrm>
                    <a:prstGeom prst="rect">
                      <a:avLst/>
                    </a:prstGeom>
                  </pic:spPr>
                </pic:pic>
              </a:graphicData>
            </a:graphic>
          </wp:inline>
        </w:drawing>
      </w:r>
    </w:p>
    <w:p>
      <w:pPr>
        <w:pStyle w:val="21"/>
        <w:pageBreakBefore w:val="0"/>
        <w:kinsoku w:val="0"/>
        <w:wordWrap/>
        <w:overflowPunct w:val="0"/>
        <w:bidi w:val="0"/>
        <w:spacing w:after="0" w:line="360" w:lineRule="auto"/>
        <w:ind w:left="0" w:leftChars="0" w:right="0" w:rightChars="0" w:firstLine="420" w:firstLineChars="200"/>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color w:val="auto"/>
          <w:highlight w:val="none"/>
        </w:rPr>
        <w:t>e.</w:t>
      </w:r>
      <w:r>
        <w:rPr>
          <w:rFonts w:hint="default" w:ascii="Times New Roman" w:hAnsi="Times New Roman" w:eastAsia="宋体" w:cs="Times New Roman"/>
          <w:b/>
          <w:bCs/>
          <w:color w:val="auto"/>
          <w:sz w:val="24"/>
          <w:highlight w:val="none"/>
          <w:lang w:eastAsia="zh-CN"/>
        </w:rPr>
        <w:t>钼</w:t>
      </w:r>
      <w:r>
        <w:rPr>
          <w:rFonts w:hint="default" w:ascii="Times New Roman" w:hAnsi="Times New Roman" w:eastAsia="宋体" w:cs="Times New Roman"/>
          <w:b/>
          <w:bCs/>
          <w:color w:val="auto"/>
          <w:sz w:val="24"/>
          <w:highlight w:val="none"/>
        </w:rPr>
        <w:t>泄漏5000天预测图</w:t>
      </w:r>
    </w:p>
    <w:p>
      <w:pPr>
        <w:pStyle w:val="21"/>
        <w:pageBreakBefore w:val="0"/>
        <w:kinsoku w:val="0"/>
        <w:wordWrap/>
        <w:overflowPunct w:val="0"/>
        <w:bidi w:val="0"/>
        <w:spacing w:after="0" w:line="360" w:lineRule="auto"/>
        <w:ind w:left="0" w:leftChars="0" w:right="0" w:rightChars="0" w:firstLine="482" w:firstLineChars="200"/>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图7</w:t>
      </w:r>
      <w:r>
        <w:rPr>
          <w:rFonts w:hint="default" w:ascii="Times New Roman" w:hAnsi="Times New Roman" w:eastAsia="宋体" w:cs="Times New Roman"/>
          <w:b/>
          <w:bCs/>
          <w:color w:val="auto"/>
          <w:sz w:val="24"/>
          <w:highlight w:val="none"/>
          <w:lang w:val="en-US" w:eastAsia="zh-CN"/>
        </w:rPr>
        <w:t>-9</w:t>
      </w:r>
      <w:r>
        <w:rPr>
          <w:rFonts w:hint="default" w:ascii="Times New Roman" w:hAnsi="Times New Roman" w:eastAsia="宋体" w:cs="Times New Roman"/>
          <w:b/>
          <w:bCs/>
          <w:color w:val="auto"/>
          <w:sz w:val="24"/>
          <w:highlight w:val="none"/>
          <w:lang w:eastAsia="zh-CN"/>
        </w:rPr>
        <w:t>钼</w:t>
      </w:r>
      <w:r>
        <w:rPr>
          <w:rFonts w:hint="default" w:ascii="Times New Roman" w:hAnsi="Times New Roman" w:eastAsia="宋体" w:cs="Times New Roman"/>
          <w:b/>
          <w:bCs/>
          <w:color w:val="auto"/>
          <w:sz w:val="24"/>
          <w:highlight w:val="none"/>
        </w:rPr>
        <w:t>泄漏300天～5000天预测图</w:t>
      </w:r>
    </w:p>
    <w:p>
      <w:pPr>
        <w:pageBreakBefore w:val="0"/>
        <w:wordWrap/>
        <w:bidi w:val="0"/>
        <w:ind w:left="0" w:leftChars="0" w:right="0" w:rightChars="0"/>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color w:val="auto"/>
          <w:highlight w:val="none"/>
        </w:rPr>
        <w:drawing>
          <wp:inline distT="0" distB="0" distL="0" distR="0">
            <wp:extent cx="4946650" cy="2527935"/>
            <wp:effectExtent l="0" t="0" r="6350" b="5715"/>
            <wp:docPr id="93834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3479" name="图片 1"/>
                    <pic:cNvPicPr>
                      <a:picLocks noChangeAspect="1"/>
                    </pic:cNvPicPr>
                  </pic:nvPicPr>
                  <pic:blipFill>
                    <a:blip r:embed="rId76"/>
                    <a:stretch>
                      <a:fillRect/>
                    </a:stretch>
                  </pic:blipFill>
                  <pic:spPr>
                    <a:xfrm>
                      <a:off x="0" y="0"/>
                      <a:ext cx="4949620" cy="2529594"/>
                    </a:xfrm>
                    <a:prstGeom prst="rect">
                      <a:avLst/>
                    </a:prstGeom>
                  </pic:spPr>
                </pic:pic>
              </a:graphicData>
            </a:graphic>
          </wp:inline>
        </w:drawing>
      </w:r>
    </w:p>
    <w:p>
      <w:pPr>
        <w:pStyle w:val="21"/>
        <w:pageBreakBefore w:val="0"/>
        <w:kinsoku w:val="0"/>
        <w:wordWrap/>
        <w:overflowPunct w:val="0"/>
        <w:bidi w:val="0"/>
        <w:spacing w:after="0" w:line="360" w:lineRule="auto"/>
        <w:ind w:left="0" w:leftChars="0" w:right="0" w:rightChars="0" w:firstLine="482" w:firstLineChars="200"/>
        <w:jc w:val="center"/>
        <w:outlineLvl w:val="1"/>
        <w:rPr>
          <w:rFonts w:hint="default" w:ascii="Times New Roman" w:hAnsi="Times New Roman" w:eastAsia="宋体" w:cs="Times New Roman"/>
          <w:b/>
          <w:bCs/>
          <w:color w:val="auto"/>
          <w:sz w:val="24"/>
          <w:szCs w:val="32"/>
          <w:highlight w:val="none"/>
        </w:rPr>
      </w:pPr>
      <w:bookmarkStart w:id="1018" w:name="_Toc11197"/>
      <w:bookmarkStart w:id="1019" w:name="_Toc8938"/>
      <w:r>
        <w:rPr>
          <w:rFonts w:hint="default" w:ascii="Times New Roman" w:hAnsi="Times New Roman" w:eastAsia="宋体" w:cs="Times New Roman"/>
          <w:b/>
          <w:bCs/>
          <w:color w:val="auto"/>
          <w:sz w:val="24"/>
          <w:szCs w:val="32"/>
          <w:highlight w:val="none"/>
        </w:rPr>
        <w:t>a.化学需氧量泄漏300天预测图</w:t>
      </w:r>
      <w:bookmarkEnd w:id="1018"/>
      <w:bookmarkEnd w:id="1019"/>
    </w:p>
    <w:p>
      <w:pPr>
        <w:pStyle w:val="53"/>
        <w:pageBreakBefore w:val="0"/>
        <w:wordWrap/>
        <w:bidi w:val="0"/>
        <w:ind w:left="0" w:leftChars="0" w:right="0" w:right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drawing>
          <wp:inline distT="0" distB="0" distL="0" distR="0">
            <wp:extent cx="5278120" cy="2753995"/>
            <wp:effectExtent l="0" t="0" r="0" b="8255"/>
            <wp:docPr id="7926393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639308" name="图片 1"/>
                    <pic:cNvPicPr>
                      <a:picLocks noChangeAspect="1"/>
                    </pic:cNvPicPr>
                  </pic:nvPicPr>
                  <pic:blipFill>
                    <a:blip r:embed="rId77"/>
                    <a:stretch>
                      <a:fillRect/>
                    </a:stretch>
                  </pic:blipFill>
                  <pic:spPr>
                    <a:xfrm>
                      <a:off x="0" y="0"/>
                      <a:ext cx="5278120" cy="2753995"/>
                    </a:xfrm>
                    <a:prstGeom prst="rect">
                      <a:avLst/>
                    </a:prstGeom>
                  </pic:spPr>
                </pic:pic>
              </a:graphicData>
            </a:graphic>
          </wp:inline>
        </w:drawing>
      </w:r>
    </w:p>
    <w:p>
      <w:pPr>
        <w:pStyle w:val="21"/>
        <w:pageBreakBefore w:val="0"/>
        <w:kinsoku w:val="0"/>
        <w:wordWrap/>
        <w:overflowPunct w:val="0"/>
        <w:bidi w:val="0"/>
        <w:spacing w:after="0" w:line="360" w:lineRule="auto"/>
        <w:ind w:left="0" w:leftChars="0" w:right="0" w:rightChars="0" w:firstLine="482" w:firstLineChars="200"/>
        <w:jc w:val="center"/>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b.化学需氧量泄漏500天预测图</w:t>
      </w:r>
    </w:p>
    <w:p>
      <w:pPr>
        <w:pStyle w:val="21"/>
        <w:pageBreakBefore w:val="0"/>
        <w:kinsoku w:val="0"/>
        <w:wordWrap/>
        <w:overflowPunct w:val="0"/>
        <w:bidi w:val="0"/>
        <w:spacing w:after="0" w:line="360" w:lineRule="auto"/>
        <w:ind w:left="0" w:leftChars="0" w:right="0" w:rightChars="0"/>
        <w:jc w:val="center"/>
        <w:rPr>
          <w:rFonts w:hint="default" w:ascii="Times New Roman" w:hAnsi="Times New Roman" w:eastAsia="宋体" w:cs="Times New Roman"/>
          <w:b/>
          <w:bCs/>
          <w:color w:val="auto"/>
          <w:sz w:val="22"/>
          <w:szCs w:val="22"/>
          <w:highlight w:val="none"/>
        </w:rPr>
      </w:pPr>
      <w:r>
        <w:rPr>
          <w:rFonts w:hint="default" w:ascii="Times New Roman" w:hAnsi="Times New Roman" w:eastAsia="宋体" w:cs="Times New Roman"/>
          <w:color w:val="auto"/>
          <w:highlight w:val="none"/>
        </w:rPr>
        <w:drawing>
          <wp:inline distT="0" distB="0" distL="0" distR="0">
            <wp:extent cx="5278120" cy="2594610"/>
            <wp:effectExtent l="0" t="0" r="0" b="0"/>
            <wp:docPr id="1289722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72221" name="图片 1"/>
                    <pic:cNvPicPr>
                      <a:picLocks noChangeAspect="1"/>
                    </pic:cNvPicPr>
                  </pic:nvPicPr>
                  <pic:blipFill>
                    <a:blip r:embed="rId78"/>
                    <a:stretch>
                      <a:fillRect/>
                    </a:stretch>
                  </pic:blipFill>
                  <pic:spPr>
                    <a:xfrm>
                      <a:off x="0" y="0"/>
                      <a:ext cx="5278120" cy="2594610"/>
                    </a:xfrm>
                    <a:prstGeom prst="rect">
                      <a:avLst/>
                    </a:prstGeom>
                  </pic:spPr>
                </pic:pic>
              </a:graphicData>
            </a:graphic>
          </wp:inline>
        </w:drawing>
      </w:r>
      <w:r>
        <w:rPr>
          <w:rFonts w:hint="default" w:ascii="Times New Roman" w:hAnsi="Times New Roman" w:eastAsia="宋体" w:cs="Times New Roman"/>
          <w:b/>
          <w:bCs/>
          <w:color w:val="auto"/>
          <w:sz w:val="24"/>
          <w:szCs w:val="24"/>
          <w:highlight w:val="none"/>
        </w:rPr>
        <w:t>c.化学需氧量泄漏2000天预测图</w:t>
      </w:r>
    </w:p>
    <w:p>
      <w:pPr>
        <w:pageBreakBefore w:val="0"/>
        <w:wordWrap/>
        <w:bidi w:val="0"/>
        <w:ind w:left="0" w:leftChars="0" w:right="0" w:rightChars="0"/>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color w:val="auto"/>
          <w:highlight w:val="none"/>
        </w:rPr>
        <w:drawing>
          <wp:inline distT="0" distB="0" distL="0" distR="0">
            <wp:extent cx="5278120" cy="2708275"/>
            <wp:effectExtent l="0" t="0" r="0" b="0"/>
            <wp:docPr id="20107203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720394" name="图片 1"/>
                    <pic:cNvPicPr>
                      <a:picLocks noChangeAspect="1"/>
                    </pic:cNvPicPr>
                  </pic:nvPicPr>
                  <pic:blipFill>
                    <a:blip r:embed="rId79"/>
                    <a:stretch>
                      <a:fillRect/>
                    </a:stretch>
                  </pic:blipFill>
                  <pic:spPr>
                    <a:xfrm>
                      <a:off x="0" y="0"/>
                      <a:ext cx="5278120" cy="2708275"/>
                    </a:xfrm>
                    <a:prstGeom prst="rect">
                      <a:avLst/>
                    </a:prstGeom>
                  </pic:spPr>
                </pic:pic>
              </a:graphicData>
            </a:graphic>
          </wp:inline>
        </w:drawing>
      </w:r>
    </w:p>
    <w:p>
      <w:pPr>
        <w:pStyle w:val="21"/>
        <w:pageBreakBefore w:val="0"/>
        <w:kinsoku w:val="0"/>
        <w:wordWrap/>
        <w:overflowPunct w:val="0"/>
        <w:bidi w:val="0"/>
        <w:spacing w:after="0" w:line="360" w:lineRule="auto"/>
        <w:ind w:left="0" w:leftChars="0" w:right="0" w:rightChars="0" w:firstLine="482" w:firstLineChars="200"/>
        <w:jc w:val="center"/>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d.化学需氧量物泄漏3000天预测图</w:t>
      </w:r>
    </w:p>
    <w:p>
      <w:pPr>
        <w:pStyle w:val="53"/>
        <w:pageBreakBefore w:val="0"/>
        <w:wordWrap/>
        <w:bidi w:val="0"/>
        <w:ind w:left="0" w:leftChars="0" w:right="0" w:right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drawing>
          <wp:inline distT="0" distB="0" distL="0" distR="0">
            <wp:extent cx="5278120" cy="2671445"/>
            <wp:effectExtent l="0" t="0" r="0" b="0"/>
            <wp:docPr id="5565752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575233" name="图片 1"/>
                    <pic:cNvPicPr>
                      <a:picLocks noChangeAspect="1"/>
                    </pic:cNvPicPr>
                  </pic:nvPicPr>
                  <pic:blipFill>
                    <a:blip r:embed="rId80"/>
                    <a:stretch>
                      <a:fillRect/>
                    </a:stretch>
                  </pic:blipFill>
                  <pic:spPr>
                    <a:xfrm>
                      <a:off x="0" y="0"/>
                      <a:ext cx="5278120" cy="2671445"/>
                    </a:xfrm>
                    <a:prstGeom prst="rect">
                      <a:avLst/>
                    </a:prstGeom>
                  </pic:spPr>
                </pic:pic>
              </a:graphicData>
            </a:graphic>
          </wp:inline>
        </w:drawing>
      </w:r>
    </w:p>
    <w:p>
      <w:pPr>
        <w:pStyle w:val="21"/>
        <w:pageBreakBefore w:val="0"/>
        <w:kinsoku w:val="0"/>
        <w:wordWrap/>
        <w:overflowPunct w:val="0"/>
        <w:bidi w:val="0"/>
        <w:spacing w:after="0" w:line="360" w:lineRule="auto"/>
        <w:ind w:left="0" w:leftChars="0" w:right="0" w:rightChars="0" w:firstLine="482" w:firstLineChars="200"/>
        <w:jc w:val="center"/>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e.化学需氧量泄漏5000天预测图</w:t>
      </w:r>
    </w:p>
    <w:p>
      <w:pPr>
        <w:pStyle w:val="21"/>
        <w:pageBreakBefore w:val="0"/>
        <w:kinsoku w:val="0"/>
        <w:wordWrap/>
        <w:overflowPunct w:val="0"/>
        <w:bidi w:val="0"/>
        <w:spacing w:after="0" w:line="360" w:lineRule="auto"/>
        <w:ind w:left="0" w:leftChars="0" w:right="0" w:rightChars="0" w:firstLine="482" w:firstLineChars="200"/>
        <w:jc w:val="center"/>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图</w:t>
      </w:r>
      <w:r>
        <w:rPr>
          <w:rFonts w:hint="default" w:ascii="Times New Roman" w:hAnsi="Times New Roman" w:eastAsia="宋体" w:cs="Times New Roman"/>
          <w:b/>
          <w:bCs/>
          <w:color w:val="auto"/>
          <w:sz w:val="24"/>
          <w:szCs w:val="24"/>
          <w:highlight w:val="none"/>
          <w:lang w:val="en-US" w:eastAsia="zh-CN"/>
        </w:rPr>
        <w:t>7-10化学需氧量</w:t>
      </w:r>
      <w:r>
        <w:rPr>
          <w:rFonts w:hint="default" w:ascii="Times New Roman" w:hAnsi="Times New Roman" w:eastAsia="宋体" w:cs="Times New Roman"/>
          <w:b/>
          <w:bCs/>
          <w:color w:val="auto"/>
          <w:sz w:val="24"/>
          <w:szCs w:val="24"/>
          <w:highlight w:val="none"/>
        </w:rPr>
        <w:t>泄漏300天～5000天预测图</w:t>
      </w:r>
    </w:p>
    <w:p>
      <w:pPr>
        <w:pageBreakBefore w:val="0"/>
        <w:kinsoku w:val="0"/>
        <w:wordWrap/>
        <w:overflowPunct w:val="0"/>
        <w:bidi w:val="0"/>
        <w:spacing w:line="360" w:lineRule="auto"/>
        <w:ind w:left="0" w:leftChars="0" w:right="0" w:rightChars="0" w:firstLine="456" w:firstLineChars="200"/>
        <w:rPr>
          <w:rFonts w:hint="default" w:ascii="Times New Roman" w:hAnsi="Times New Roman" w:eastAsia="宋体" w:cs="Times New Roman"/>
          <w:color w:val="auto"/>
          <w:spacing w:val="-6"/>
          <w:sz w:val="24"/>
          <w:szCs w:val="24"/>
          <w:highlight w:val="none"/>
        </w:rPr>
      </w:pPr>
      <w:r>
        <w:rPr>
          <w:rFonts w:hint="default" w:ascii="Times New Roman" w:hAnsi="Times New Roman" w:eastAsia="宋体" w:cs="Times New Roman"/>
          <w:color w:val="auto"/>
          <w:spacing w:val="-6"/>
          <w:sz w:val="24"/>
          <w:szCs w:val="24"/>
          <w:highlight w:val="none"/>
        </w:rPr>
        <w:t>根据上图上表</w:t>
      </w:r>
      <w:r>
        <w:rPr>
          <w:rFonts w:hint="default" w:ascii="Times New Roman" w:hAnsi="Times New Roman" w:eastAsia="宋体" w:cs="Times New Roman"/>
          <w:color w:val="auto"/>
          <w:spacing w:val="-6"/>
          <w:sz w:val="24"/>
          <w:szCs w:val="24"/>
          <w:highlight w:val="none"/>
          <w:lang w:eastAsia="zh-CN"/>
        </w:rPr>
        <w:t>，</w:t>
      </w:r>
      <w:r>
        <w:rPr>
          <w:rFonts w:hint="default" w:ascii="Times New Roman" w:hAnsi="Times New Roman" w:eastAsia="宋体" w:cs="Times New Roman"/>
          <w:color w:val="auto"/>
          <w:spacing w:val="-6"/>
          <w:sz w:val="24"/>
          <w:szCs w:val="24"/>
          <w:highlight w:val="none"/>
        </w:rPr>
        <w:t>非正常工况下化学需氧量</w:t>
      </w:r>
      <w:r>
        <w:rPr>
          <w:rFonts w:hint="default" w:ascii="Times New Roman" w:hAnsi="Times New Roman" w:eastAsia="宋体" w:cs="Times New Roman"/>
          <w:color w:val="auto"/>
          <w:spacing w:val="-6"/>
          <w:sz w:val="24"/>
          <w:szCs w:val="24"/>
          <w:highlight w:val="none"/>
          <w:lang w:eastAsia="zh-CN"/>
        </w:rPr>
        <w:t>、钼</w:t>
      </w:r>
      <w:r>
        <w:rPr>
          <w:rFonts w:hint="default" w:ascii="Times New Roman" w:hAnsi="Times New Roman" w:eastAsia="宋体" w:cs="Times New Roman"/>
          <w:color w:val="auto"/>
          <w:spacing w:val="-6"/>
          <w:sz w:val="24"/>
          <w:szCs w:val="24"/>
          <w:highlight w:val="none"/>
        </w:rPr>
        <w:t>的泄漏</w:t>
      </w:r>
      <w:r>
        <w:rPr>
          <w:rFonts w:hint="default" w:ascii="Times New Roman" w:hAnsi="Times New Roman" w:eastAsia="宋体" w:cs="Times New Roman"/>
          <w:color w:val="auto"/>
          <w:spacing w:val="-6"/>
          <w:sz w:val="24"/>
          <w:szCs w:val="24"/>
          <w:highlight w:val="none"/>
          <w:lang w:eastAsia="zh-CN"/>
        </w:rPr>
        <w:t>，</w:t>
      </w:r>
      <w:r>
        <w:rPr>
          <w:rFonts w:hint="default" w:ascii="Times New Roman" w:hAnsi="Times New Roman" w:eastAsia="宋体" w:cs="Times New Roman"/>
          <w:color w:val="auto"/>
          <w:spacing w:val="-6"/>
          <w:sz w:val="24"/>
          <w:szCs w:val="24"/>
          <w:highlight w:val="none"/>
        </w:rPr>
        <w:t>随着时间的推移</w:t>
      </w:r>
      <w:r>
        <w:rPr>
          <w:rFonts w:hint="default" w:ascii="Times New Roman" w:hAnsi="Times New Roman" w:eastAsia="宋体" w:cs="Times New Roman"/>
          <w:color w:val="auto"/>
          <w:spacing w:val="-6"/>
          <w:sz w:val="24"/>
          <w:szCs w:val="24"/>
          <w:highlight w:val="none"/>
          <w:lang w:eastAsia="zh-CN"/>
        </w:rPr>
        <w:t>，</w:t>
      </w:r>
      <w:r>
        <w:rPr>
          <w:rFonts w:hint="default" w:ascii="Times New Roman" w:hAnsi="Times New Roman" w:eastAsia="宋体" w:cs="Times New Roman"/>
          <w:color w:val="auto"/>
          <w:spacing w:val="-6"/>
          <w:sz w:val="24"/>
          <w:szCs w:val="24"/>
          <w:highlight w:val="none"/>
        </w:rPr>
        <w:t>污染物浓度贡献值越来越小</w:t>
      </w:r>
      <w:r>
        <w:rPr>
          <w:rFonts w:hint="default" w:ascii="Times New Roman" w:hAnsi="Times New Roman" w:eastAsia="宋体" w:cs="Times New Roman"/>
          <w:color w:val="auto"/>
          <w:spacing w:val="-6"/>
          <w:sz w:val="24"/>
          <w:szCs w:val="24"/>
          <w:highlight w:val="none"/>
          <w:lang w:eastAsia="zh-CN"/>
        </w:rPr>
        <w:t>，</w:t>
      </w:r>
      <w:r>
        <w:rPr>
          <w:rFonts w:hint="default" w:ascii="Times New Roman" w:hAnsi="Times New Roman" w:eastAsia="宋体" w:cs="Times New Roman"/>
          <w:color w:val="auto"/>
          <w:spacing w:val="-6"/>
          <w:sz w:val="24"/>
          <w:szCs w:val="24"/>
          <w:highlight w:val="none"/>
        </w:rPr>
        <w:t>3000天后超标范围消失</w:t>
      </w:r>
      <w:r>
        <w:rPr>
          <w:rFonts w:hint="default" w:ascii="Times New Roman" w:hAnsi="Times New Roman" w:eastAsia="宋体" w:cs="Times New Roman"/>
          <w:color w:val="auto"/>
          <w:spacing w:val="-6"/>
          <w:sz w:val="24"/>
          <w:szCs w:val="24"/>
          <w:highlight w:val="none"/>
          <w:lang w:eastAsia="zh-CN"/>
        </w:rPr>
        <w:t>，</w:t>
      </w:r>
      <w:r>
        <w:rPr>
          <w:rFonts w:hint="default" w:ascii="Times New Roman" w:hAnsi="Times New Roman" w:eastAsia="宋体" w:cs="Times New Roman"/>
          <w:color w:val="auto"/>
          <w:spacing w:val="-6"/>
          <w:sz w:val="24"/>
          <w:szCs w:val="24"/>
          <w:highlight w:val="none"/>
        </w:rPr>
        <w:t>之后污染物运移面积逐渐增大</w:t>
      </w:r>
      <w:r>
        <w:rPr>
          <w:rFonts w:hint="default" w:ascii="Times New Roman" w:hAnsi="Times New Roman" w:eastAsia="宋体" w:cs="Times New Roman"/>
          <w:color w:val="auto"/>
          <w:spacing w:val="-6"/>
          <w:sz w:val="24"/>
          <w:szCs w:val="24"/>
          <w:highlight w:val="none"/>
          <w:lang w:eastAsia="zh-CN"/>
        </w:rPr>
        <w:t>，</w:t>
      </w:r>
      <w:r>
        <w:rPr>
          <w:rFonts w:hint="default" w:ascii="Times New Roman" w:hAnsi="Times New Roman" w:eastAsia="宋体" w:cs="Times New Roman"/>
          <w:color w:val="auto"/>
          <w:spacing w:val="-6"/>
          <w:sz w:val="24"/>
          <w:szCs w:val="24"/>
          <w:highlight w:val="none"/>
        </w:rPr>
        <w:t>但均未超标</w:t>
      </w:r>
      <w:r>
        <w:rPr>
          <w:rFonts w:hint="default" w:ascii="Times New Roman" w:hAnsi="Times New Roman" w:eastAsia="宋体" w:cs="Times New Roman"/>
          <w:color w:val="auto"/>
          <w:spacing w:val="-6"/>
          <w:sz w:val="24"/>
          <w:szCs w:val="24"/>
          <w:highlight w:val="none"/>
          <w:lang w:eastAsia="zh-CN"/>
        </w:rPr>
        <w:t>，</w:t>
      </w:r>
      <w:r>
        <w:rPr>
          <w:rFonts w:hint="default" w:ascii="Times New Roman" w:hAnsi="Times New Roman" w:eastAsia="宋体" w:cs="Times New Roman"/>
          <w:color w:val="auto"/>
          <w:spacing w:val="-6"/>
          <w:sz w:val="24"/>
          <w:szCs w:val="24"/>
          <w:highlight w:val="none"/>
        </w:rPr>
        <w:t>对地下水影响较小。</w:t>
      </w:r>
    </w:p>
    <w:p>
      <w:pPr>
        <w:pStyle w:val="5"/>
        <w:pageBreakBefore w:val="0"/>
        <w:numPr>
          <w:ilvl w:val="2"/>
          <w:numId w:val="0"/>
        </w:numPr>
        <w:wordWrap/>
        <w:bidi w:val="0"/>
        <w:ind w:left="0" w:leftChars="0" w:right="0" w:rightChars="0"/>
        <w:outlineLvl w:val="1"/>
        <w:rPr>
          <w:rFonts w:hint="default" w:ascii="Times New Roman" w:hAnsi="Times New Roman" w:eastAsia="宋体" w:cs="Times New Roman"/>
          <w:b/>
          <w:bCs/>
          <w:color w:val="auto"/>
          <w:sz w:val="24"/>
          <w:szCs w:val="24"/>
          <w:highlight w:val="none"/>
        </w:rPr>
      </w:pPr>
      <w:bookmarkStart w:id="1020" w:name="_Toc21218"/>
      <w:bookmarkStart w:id="1021" w:name="_Toc29953"/>
      <w:bookmarkStart w:id="1022" w:name="_Toc459454945"/>
      <w:bookmarkStart w:id="1023" w:name="_Toc24542"/>
      <w:r>
        <w:rPr>
          <w:rFonts w:hint="default" w:ascii="Times New Roman" w:hAnsi="Times New Roman" w:eastAsia="宋体" w:cs="Times New Roman"/>
          <w:b/>
          <w:bCs/>
          <w:i w:val="0"/>
          <w:iCs w:val="0"/>
          <w:caps w:val="0"/>
          <w:smallCaps w:val="0"/>
          <w:strike w:val="0"/>
          <w:dstrike w:val="0"/>
          <w:vanish w:val="0"/>
          <w:color w:val="auto"/>
          <w:spacing w:val="0"/>
          <w:kern w:val="2"/>
          <w:position w:val="0"/>
          <w:sz w:val="24"/>
          <w:szCs w:val="24"/>
          <w:highlight w:val="none"/>
          <w:u w:val="none"/>
          <w:vertAlign w:val="baseline"/>
          <w:lang w:val="en-US" w:eastAsia="zh-CN" w:bidi="ar-SA"/>
          <w14:shadow w14:blurRad="0" w14:dist="0" w14:dir="0" w14:sx="0" w14:sy="0" w14:kx="0" w14:ky="0" w14:algn="none">
            <w14:srgbClr w14:val="000000"/>
          </w14:shadow>
        </w:rPr>
        <w:t>7.4.9</w:t>
      </w:r>
      <w:r>
        <w:rPr>
          <w:rFonts w:hint="default" w:ascii="Times New Roman" w:hAnsi="Times New Roman" w:eastAsia="宋体" w:cs="Times New Roman"/>
          <w:b/>
          <w:bCs/>
          <w:color w:val="auto"/>
          <w:sz w:val="24"/>
          <w:szCs w:val="24"/>
          <w:highlight w:val="none"/>
        </w:rPr>
        <w:t>地下水环境保护措施</w:t>
      </w:r>
      <w:bookmarkEnd w:id="1020"/>
      <w:bookmarkEnd w:id="1021"/>
      <w:bookmarkEnd w:id="1022"/>
      <w:bookmarkEnd w:id="1023"/>
    </w:p>
    <w:p>
      <w:pPr>
        <w:pageBreakBefore w:val="0"/>
        <w:wordWrap/>
        <w:bidi w:val="0"/>
        <w:snapToGrid w:val="0"/>
        <w:spacing w:line="360" w:lineRule="auto"/>
        <w:ind w:left="0" w:leftChars="0" w:right="0" w:rightChars="0" w:firstLine="480" w:firstLineChars="200"/>
        <w:outlineLvl w:val="0"/>
        <w:rPr>
          <w:rFonts w:hint="default" w:ascii="Times New Roman" w:hAnsi="Times New Roman" w:eastAsia="宋体" w:cs="Times New Roman"/>
          <w:color w:val="auto"/>
          <w:sz w:val="24"/>
          <w:szCs w:val="24"/>
          <w:highlight w:val="none"/>
        </w:rPr>
      </w:pPr>
      <w:bookmarkStart w:id="1024" w:name="_Toc30815"/>
      <w:bookmarkStart w:id="1025" w:name="_Toc13360"/>
      <w:r>
        <w:rPr>
          <w:rFonts w:hint="default" w:ascii="Times New Roman" w:hAnsi="Times New Roman" w:eastAsia="宋体" w:cs="Times New Roman"/>
          <w:color w:val="auto"/>
          <w:sz w:val="24"/>
          <w:szCs w:val="24"/>
          <w:highlight w:val="none"/>
        </w:rPr>
        <w:t>（1</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应急措施</w:t>
      </w:r>
      <w:bookmarkEnd w:id="1024"/>
      <w:bookmarkEnd w:id="1025"/>
    </w:p>
    <w:p>
      <w:pPr>
        <w:pageBreakBefore w:val="0"/>
        <w:wordWrap/>
        <w:bidi w:val="0"/>
        <w:snapToGrid w:val="0"/>
        <w:spacing w:line="360" w:lineRule="auto"/>
        <w:ind w:left="0" w:leftChars="0" w:right="0" w:rightChars="0"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根据《地下水环境监测技术规范》</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HJ164-2020</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的要求</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为了及时准确地掌握周围地下水环境污染控制状况</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工程应建立地下水监控体系</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包括建立完善的监测制度、配备先进的检测仪器和设备、科学、合理设置地下水污染监控井</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及时发现污染、及时控制。</w:t>
      </w:r>
    </w:p>
    <w:p>
      <w:pPr>
        <w:pageBreakBefore w:val="0"/>
        <w:wordWrap/>
        <w:bidi w:val="0"/>
        <w:snapToGrid w:val="0"/>
        <w:spacing w:line="360" w:lineRule="auto"/>
        <w:ind w:left="0" w:leftChars="0" w:right="0" w:rightChars="0"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通过地下水监测井监测数据及反馈启动应急处置方案</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及时发现地下水污染事故及其影响范围和程度</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为启动地下水应急措施提供信息保障。并设立警示牌</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警示牌参考下图。</w:t>
      </w:r>
    </w:p>
    <w:p>
      <w:pPr>
        <w:pageBreakBefore w:val="0"/>
        <w:wordWrap/>
        <w:bidi w:val="0"/>
        <w:snapToGrid w:val="0"/>
        <w:spacing w:line="360" w:lineRule="auto"/>
        <w:ind w:left="0" w:leftChars="0" w:right="0" w:rightChars="0" w:firstLine="480" w:firstLineChars="200"/>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drawing>
          <wp:inline distT="0" distB="0" distL="0" distR="0">
            <wp:extent cx="3429000" cy="4480560"/>
            <wp:effectExtent l="0" t="0" r="0" b="0"/>
            <wp:docPr id="26"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7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a:xfrm>
                      <a:off x="0" y="0"/>
                      <a:ext cx="3429000" cy="4480560"/>
                    </a:xfrm>
                    <a:prstGeom prst="rect">
                      <a:avLst/>
                    </a:prstGeom>
                    <a:noFill/>
                    <a:ln>
                      <a:noFill/>
                    </a:ln>
                  </pic:spPr>
                </pic:pic>
              </a:graphicData>
            </a:graphic>
          </wp:inline>
        </w:drawing>
      </w:r>
    </w:p>
    <w:p>
      <w:pPr>
        <w:pageBreakBefore w:val="0"/>
        <w:wordWrap/>
        <w:bidi w:val="0"/>
        <w:snapToGrid w:val="0"/>
        <w:spacing w:line="360" w:lineRule="auto"/>
        <w:ind w:left="0" w:leftChars="0" w:right="0" w:rightChars="0" w:firstLine="482" w:firstLineChars="200"/>
        <w:jc w:val="center"/>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w:t>图7-</w:t>
      </w:r>
      <w:r>
        <w:rPr>
          <w:rFonts w:hint="default" w:ascii="Times New Roman" w:hAnsi="Times New Roman" w:eastAsia="宋体" w:cs="Times New Roman"/>
          <w:b/>
          <w:color w:val="auto"/>
          <w:sz w:val="24"/>
          <w:highlight w:val="none"/>
          <w:lang w:val="en-US" w:eastAsia="zh-CN"/>
        </w:rPr>
        <w:t>1</w:t>
      </w:r>
      <w:r>
        <w:rPr>
          <w:rFonts w:hint="default" w:ascii="Times New Roman" w:hAnsi="Times New Roman" w:eastAsia="宋体" w:cs="Times New Roman"/>
          <w:b/>
          <w:color w:val="auto"/>
          <w:sz w:val="24"/>
          <w:highlight w:val="none"/>
        </w:rPr>
        <w:t>1地下水环境监测井警示牌示意图</w:t>
      </w:r>
    </w:p>
    <w:p>
      <w:pPr>
        <w:pageBreakBefore w:val="0"/>
        <w:wordWrap/>
        <w:bidi w:val="0"/>
        <w:snapToGrid w:val="0"/>
        <w:spacing w:line="360" w:lineRule="auto"/>
        <w:ind w:left="0" w:leftChars="0" w:right="0" w:rightChars="0" w:firstLine="480" w:firstLineChars="200"/>
        <w:outlineLvl w:val="0"/>
        <w:rPr>
          <w:rFonts w:hint="default" w:ascii="Times New Roman" w:hAnsi="Times New Roman" w:eastAsia="宋体" w:cs="Times New Roman"/>
          <w:color w:val="auto"/>
          <w:sz w:val="24"/>
          <w:highlight w:val="none"/>
        </w:rPr>
      </w:pPr>
      <w:bookmarkStart w:id="1026" w:name="_Toc15975"/>
      <w:bookmarkStart w:id="1027" w:name="_Toc18934"/>
      <w:r>
        <w:rPr>
          <w:rFonts w:hint="default" w:ascii="Times New Roman" w:hAnsi="Times New Roman" w:eastAsia="宋体" w:cs="Times New Roman"/>
          <w:color w:val="auto"/>
          <w:sz w:val="24"/>
          <w:highlight w:val="none"/>
        </w:rPr>
        <w:t>（2</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监控措施</w:t>
      </w:r>
      <w:bookmarkEnd w:id="1026"/>
      <w:bookmarkEnd w:id="1027"/>
    </w:p>
    <w:p>
      <w:pPr>
        <w:pageBreakBefore w:val="0"/>
        <w:wordWrap/>
        <w:bidi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根据《地下水环境监测技术规范》</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HJ164-2020</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的要求</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监测井建设包括监测井设计、施工、成井、抽水试验等内容</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参照DZ/T相关要求执行。为了保护监测井</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应建设监测井井口保护装置</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包括井口保护筒、井台或井盖等部分。监测井保护装置应坚固耐用、不易被破坏。</w:t>
      </w:r>
    </w:p>
    <w:p>
      <w:pPr>
        <w:pageBreakBefore w:val="0"/>
        <w:wordWrap/>
        <w:bidi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在</w:t>
      </w:r>
      <w:r>
        <w:rPr>
          <w:rFonts w:hint="default" w:ascii="Times New Roman" w:hAnsi="Times New Roman" w:eastAsia="宋体" w:cs="Times New Roman"/>
          <w:color w:val="auto"/>
          <w:sz w:val="24"/>
          <w:highlight w:val="none"/>
          <w:lang w:eastAsia="zh-CN"/>
        </w:rPr>
        <w:t>尾矿库范围</w:t>
      </w:r>
      <w:r>
        <w:rPr>
          <w:rFonts w:hint="default" w:ascii="Times New Roman" w:hAnsi="Times New Roman" w:eastAsia="宋体" w:cs="Times New Roman"/>
          <w:color w:val="auto"/>
          <w:sz w:val="24"/>
          <w:highlight w:val="none"/>
        </w:rPr>
        <w:t>按照地下水</w:t>
      </w:r>
      <w:r>
        <w:rPr>
          <w:rFonts w:hint="default" w:ascii="Times New Roman" w:hAnsi="Times New Roman" w:eastAsia="宋体" w:cs="Times New Roman"/>
          <w:color w:val="auto"/>
          <w:sz w:val="24"/>
          <w:highlight w:val="none"/>
          <w:lang w:eastAsia="zh-CN"/>
        </w:rPr>
        <w:t>的</w:t>
      </w:r>
      <w:r>
        <w:rPr>
          <w:rFonts w:hint="default" w:ascii="Times New Roman" w:hAnsi="Times New Roman" w:eastAsia="宋体" w:cs="Times New Roman"/>
          <w:color w:val="auto"/>
          <w:sz w:val="24"/>
          <w:highlight w:val="none"/>
        </w:rPr>
        <w:t>流向布设地下水监测井。布设原则如下</w:t>
      </w:r>
      <w:r>
        <w:rPr>
          <w:rFonts w:hint="default" w:ascii="Times New Roman" w:hAnsi="Times New Roman" w:eastAsia="宋体" w:cs="Times New Roman"/>
          <w:color w:val="auto"/>
          <w:sz w:val="24"/>
          <w:highlight w:val="none"/>
          <w:lang w:eastAsia="zh-CN"/>
        </w:rPr>
        <w:t>：</w:t>
      </w:r>
    </w:p>
    <w:p>
      <w:pPr>
        <w:pageBreakBefore w:val="0"/>
        <w:wordWrap/>
        <w:bidi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①监测点总体上能反映监测区域内</w:t>
      </w:r>
      <w:r>
        <w:rPr>
          <w:rFonts w:hint="default" w:ascii="Times New Roman" w:hAnsi="Times New Roman" w:eastAsia="宋体" w:cs="Times New Roman"/>
          <w:color w:val="auto"/>
          <w:sz w:val="24"/>
          <w:highlight w:val="none"/>
          <w:lang w:eastAsia="zh-CN"/>
        </w:rPr>
        <w:t>的</w:t>
      </w:r>
      <w:r>
        <w:rPr>
          <w:rFonts w:hint="default" w:ascii="Times New Roman" w:hAnsi="Times New Roman" w:eastAsia="宋体" w:cs="Times New Roman"/>
          <w:color w:val="auto"/>
          <w:sz w:val="24"/>
          <w:highlight w:val="none"/>
        </w:rPr>
        <w:t>地下水环境质量状况。</w:t>
      </w:r>
    </w:p>
    <w:p>
      <w:pPr>
        <w:pageBreakBefore w:val="0"/>
        <w:wordWrap/>
        <w:bidi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②监测点位不宜变动</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尽可能保持地下水监测数据的连续性。</w:t>
      </w:r>
    </w:p>
    <w:p>
      <w:pPr>
        <w:pageBreakBefore w:val="0"/>
        <w:wordWrap/>
        <w:bidi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③综合考虑监测井成井方法、当前科技发展和监测技术水平等因素</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考虑实际采样的可行性</w:t>
      </w:r>
      <w:r>
        <w:rPr>
          <w:rFonts w:hint="default" w:ascii="Times New Roman" w:hAnsi="Times New Roman" w:eastAsia="宋体" w:cs="Times New Roman"/>
          <w:color w:val="auto"/>
          <w:sz w:val="24"/>
          <w:highlight w:val="none"/>
          <w:lang w:eastAsia="zh-CN"/>
        </w:rPr>
        <w:t>，使</w:t>
      </w:r>
      <w:r>
        <w:rPr>
          <w:rFonts w:hint="default" w:ascii="Times New Roman" w:hAnsi="Times New Roman" w:eastAsia="宋体" w:cs="Times New Roman"/>
          <w:color w:val="auto"/>
          <w:sz w:val="24"/>
          <w:highlight w:val="none"/>
        </w:rPr>
        <w:t>地下水监测点布设切实可行。</w:t>
      </w:r>
    </w:p>
    <w:p>
      <w:pPr>
        <w:pageBreakBefore w:val="0"/>
        <w:wordWrap/>
        <w:bidi w:val="0"/>
        <w:spacing w:line="360" w:lineRule="auto"/>
        <w:ind w:left="0" w:leftChars="0" w:right="0" w:rightChars="0" w:firstLine="480" w:firstLineChars="200"/>
        <w:outlineLvl w:val="0"/>
        <w:rPr>
          <w:rFonts w:hint="default" w:ascii="Times New Roman" w:hAnsi="Times New Roman" w:eastAsia="宋体" w:cs="Times New Roman"/>
          <w:color w:val="auto"/>
          <w:sz w:val="24"/>
          <w:highlight w:val="none"/>
        </w:rPr>
      </w:pPr>
      <w:bookmarkStart w:id="1028" w:name="_Toc1220"/>
      <w:bookmarkStart w:id="1029" w:name="_Toc1573"/>
      <w:r>
        <w:rPr>
          <w:rFonts w:hint="default" w:ascii="Times New Roman" w:hAnsi="Times New Roman" w:eastAsia="宋体" w:cs="Times New Roman"/>
          <w:color w:val="auto"/>
          <w:sz w:val="24"/>
          <w:highlight w:val="none"/>
        </w:rPr>
        <w:t>（3</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监测井布置</w:t>
      </w:r>
      <w:bookmarkEnd w:id="1028"/>
      <w:bookmarkEnd w:id="1029"/>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依据地下水监测原则</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结合</w:t>
      </w:r>
      <w:r>
        <w:rPr>
          <w:rFonts w:hint="default" w:ascii="Times New Roman" w:hAnsi="Times New Roman" w:eastAsia="宋体" w:cs="Times New Roman"/>
          <w:color w:val="auto"/>
          <w:sz w:val="24"/>
          <w:highlight w:val="none"/>
          <w:lang w:eastAsia="zh-CN"/>
        </w:rPr>
        <w:t>扩建</w:t>
      </w:r>
      <w:r>
        <w:rPr>
          <w:rFonts w:hint="default" w:ascii="Times New Roman" w:hAnsi="Times New Roman" w:eastAsia="宋体" w:cs="Times New Roman"/>
          <w:color w:val="auto"/>
          <w:sz w:val="24"/>
          <w:highlight w:val="none"/>
        </w:rPr>
        <w:t>工程所在区域的水文地质条件</w:t>
      </w:r>
      <w:r>
        <w:rPr>
          <w:rFonts w:hint="default" w:ascii="Times New Roman" w:hAnsi="Times New Roman" w:eastAsia="宋体" w:cs="Times New Roman"/>
          <w:color w:val="auto"/>
          <w:sz w:val="24"/>
          <w:highlight w:val="none"/>
          <w:lang w:eastAsia="zh-CN"/>
        </w:rPr>
        <w:t>，依托现有水井，</w:t>
      </w:r>
      <w:r>
        <w:rPr>
          <w:rFonts w:hint="default" w:ascii="Times New Roman" w:hAnsi="Times New Roman" w:eastAsia="宋体" w:cs="Times New Roman"/>
          <w:color w:val="auto"/>
          <w:sz w:val="24"/>
          <w:highlight w:val="none"/>
        </w:rPr>
        <w:t>在尾矿库下游布设2个地下水水质监测点</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在尾矿库上游布设1个地下水水质监测点</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地下水监测计划见表7-1</w:t>
      </w:r>
      <w:r>
        <w:rPr>
          <w:rFonts w:hint="default" w:ascii="Times New Roman" w:hAnsi="Times New Roman" w:eastAsia="宋体" w:cs="Times New Roman"/>
          <w:color w:val="auto"/>
          <w:sz w:val="24"/>
          <w:highlight w:val="none"/>
          <w:lang w:val="en-US" w:eastAsia="zh-CN"/>
        </w:rPr>
        <w:t>8</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监测点分布见图</w:t>
      </w:r>
      <w:r>
        <w:rPr>
          <w:rFonts w:hint="default" w:ascii="Times New Roman" w:hAnsi="Times New Roman" w:eastAsia="宋体" w:cs="Times New Roman"/>
          <w:color w:val="auto"/>
          <w:sz w:val="24"/>
          <w:highlight w:val="none"/>
          <w:lang w:val="en-US" w:eastAsia="zh-CN"/>
        </w:rPr>
        <w:t>7-12</w:t>
      </w:r>
      <w:r>
        <w:rPr>
          <w:rFonts w:hint="default" w:ascii="Times New Roman" w:hAnsi="Times New Roman" w:eastAsia="宋体" w:cs="Times New Roman"/>
          <w:color w:val="auto"/>
          <w:sz w:val="24"/>
          <w:highlight w:val="none"/>
        </w:rPr>
        <w:t>。</w:t>
      </w:r>
    </w:p>
    <w:p>
      <w:pPr>
        <w:pageBreakBefore w:val="0"/>
        <w:wordWrap/>
        <w:bidi w:val="0"/>
        <w:spacing w:line="360" w:lineRule="auto"/>
        <w:ind w:left="0" w:leftChars="0" w:right="0" w:rightChars="0" w:firstLine="480" w:firstLineChars="200"/>
        <w:outlineLvl w:val="0"/>
        <w:rPr>
          <w:rFonts w:hint="default" w:ascii="Times New Roman" w:hAnsi="Times New Roman" w:eastAsia="宋体" w:cs="Times New Roman"/>
          <w:color w:val="auto"/>
          <w:sz w:val="24"/>
          <w:highlight w:val="none"/>
        </w:rPr>
      </w:pPr>
      <w:bookmarkStart w:id="1030" w:name="_Toc15538"/>
      <w:bookmarkStart w:id="1031" w:name="_Toc29822"/>
      <w:r>
        <w:rPr>
          <w:rFonts w:hint="default" w:ascii="Times New Roman" w:hAnsi="Times New Roman" w:eastAsia="宋体" w:cs="Times New Roman"/>
          <w:color w:val="auto"/>
          <w:sz w:val="24"/>
          <w:highlight w:val="none"/>
        </w:rPr>
        <w:t>（4</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监测数据管理</w:t>
      </w:r>
      <w:bookmarkEnd w:id="1030"/>
      <w:bookmarkEnd w:id="1031"/>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监测结果应及时存档</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并定期向环保部门汇报</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对于监测数据应该进行公开。如发现异常或发生环境事故时</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加密监测频次</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并分析异常原因</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采取应急措施。</w:t>
      </w:r>
    </w:p>
    <w:p>
      <w:pPr>
        <w:pageBreakBefore w:val="0"/>
        <w:wordWrap/>
        <w:bidi w:val="0"/>
        <w:spacing w:line="360" w:lineRule="auto"/>
        <w:ind w:left="0" w:leftChars="0" w:right="0" w:rightChars="0" w:firstLine="482" w:firstLineChars="200"/>
        <w:jc w:val="center"/>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w:t>表7-18地下水监测计划一览表</w:t>
      </w:r>
    </w:p>
    <w:tbl>
      <w:tblPr>
        <w:tblStyle w:val="5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12"/>
        <w:gridCol w:w="1832"/>
        <w:gridCol w:w="1384"/>
        <w:gridCol w:w="37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13" w:type="dxa"/>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color w:val="auto"/>
                <w:sz w:val="21"/>
                <w:szCs w:val="21"/>
                <w:highlight w:val="none"/>
              </w:rPr>
            </w:pPr>
          </w:p>
        </w:tc>
        <w:tc>
          <w:tcPr>
            <w:tcW w:w="1833" w:type="dxa"/>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color w:val="auto"/>
                <w:sz w:val="21"/>
                <w:szCs w:val="21"/>
                <w:highlight w:val="none"/>
                <w:lang w:eastAsia="zh-CN"/>
              </w:rPr>
            </w:pPr>
            <w:r>
              <w:rPr>
                <w:rFonts w:hint="default" w:ascii="Times New Roman" w:hAnsi="Times New Roman" w:eastAsia="宋体" w:cs="Times New Roman"/>
                <w:b w:val="0"/>
                <w:bCs/>
                <w:color w:val="auto"/>
                <w:sz w:val="21"/>
                <w:szCs w:val="21"/>
                <w:highlight w:val="none"/>
                <w:lang w:eastAsia="zh-CN"/>
              </w:rPr>
              <w:t>坐标</w:t>
            </w:r>
          </w:p>
        </w:tc>
        <w:tc>
          <w:tcPr>
            <w:tcW w:w="1385" w:type="dxa"/>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监测频率</w:t>
            </w:r>
          </w:p>
        </w:tc>
        <w:tc>
          <w:tcPr>
            <w:tcW w:w="3797" w:type="dxa"/>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监测项目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13" w:type="dxa"/>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color w:val="auto"/>
                <w:sz w:val="21"/>
                <w:szCs w:val="21"/>
                <w:highlight w:val="none"/>
                <w:lang w:eastAsia="zh-CN"/>
              </w:rPr>
            </w:pPr>
            <w:r>
              <w:rPr>
                <w:rFonts w:hint="default" w:ascii="Times New Roman" w:hAnsi="Times New Roman" w:eastAsia="宋体" w:cs="Times New Roman"/>
                <w:b w:val="0"/>
                <w:bCs/>
                <w:color w:val="auto"/>
                <w:sz w:val="21"/>
                <w:szCs w:val="21"/>
                <w:highlight w:val="none"/>
              </w:rPr>
              <w:t>现状监测</w:t>
            </w:r>
            <w:r>
              <w:rPr>
                <w:rFonts w:hint="default" w:ascii="Times New Roman" w:hAnsi="Times New Roman" w:eastAsia="宋体" w:cs="Times New Roman"/>
                <w:color w:val="auto"/>
                <w:sz w:val="21"/>
                <w:szCs w:val="21"/>
                <w:highlight w:val="none"/>
              </w:rPr>
              <w:t>井</w:t>
            </w:r>
            <w:r>
              <w:rPr>
                <w:rFonts w:hint="default" w:ascii="Times New Roman" w:hAnsi="Times New Roman" w:eastAsia="宋体" w:cs="Times New Roman"/>
                <w:b w:val="0"/>
                <w:bCs/>
                <w:color w:val="auto"/>
                <w:sz w:val="21"/>
                <w:szCs w:val="21"/>
                <w:highlight w:val="none"/>
              </w:rPr>
              <w:t>1#</w:t>
            </w:r>
            <w:r>
              <w:rPr>
                <w:rFonts w:hint="default" w:ascii="Times New Roman" w:hAnsi="Times New Roman" w:eastAsia="宋体" w:cs="Times New Roman"/>
                <w:b w:val="0"/>
                <w:bCs/>
                <w:color w:val="auto"/>
                <w:sz w:val="21"/>
                <w:szCs w:val="21"/>
                <w:highlight w:val="none"/>
                <w:lang w:eastAsia="zh-CN"/>
              </w:rPr>
              <w:t>（下游）</w:t>
            </w:r>
          </w:p>
        </w:tc>
        <w:tc>
          <w:tcPr>
            <w:tcW w:w="1833" w:type="dxa"/>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color w:val="auto"/>
                <w:sz w:val="21"/>
                <w:szCs w:val="21"/>
                <w:highlight w:val="none"/>
                <w:lang w:val="en-US" w:eastAsia="zh-CN"/>
              </w:rPr>
              <w:t>E</w:t>
            </w:r>
            <w:r>
              <w:rPr>
                <w:rFonts w:hint="default" w:ascii="Times New Roman" w:hAnsi="Times New Roman" w:eastAsia="宋体" w:cs="Times New Roman"/>
                <w:color w:val="auto"/>
                <w:kern w:val="0"/>
                <w:sz w:val="21"/>
                <w:szCs w:val="21"/>
                <w:highlight w:val="none"/>
                <w:lang w:bidi="ar"/>
              </w:rPr>
              <w:t>109°25'32.33"</w:t>
            </w:r>
            <w:r>
              <w:rPr>
                <w:rFonts w:hint="default" w:ascii="Times New Roman" w:hAnsi="Times New Roman" w:eastAsia="宋体" w:cs="Times New Roman"/>
                <w:color w:val="auto"/>
                <w:kern w:val="0"/>
                <w:sz w:val="21"/>
                <w:szCs w:val="21"/>
                <w:highlight w:val="none"/>
                <w:lang w:val="en-US" w:eastAsia="zh-CN" w:bidi="ar"/>
              </w:rPr>
              <w:t>，N</w:t>
            </w:r>
            <w:r>
              <w:rPr>
                <w:rFonts w:hint="default" w:ascii="Times New Roman" w:hAnsi="Times New Roman" w:eastAsia="宋体" w:cs="Times New Roman"/>
                <w:color w:val="auto"/>
                <w:kern w:val="0"/>
                <w:sz w:val="21"/>
                <w:szCs w:val="21"/>
                <w:highlight w:val="none"/>
                <w:lang w:bidi="ar"/>
              </w:rPr>
              <w:t>40°48'56.79"</w:t>
            </w:r>
            <w:r>
              <w:rPr>
                <w:rFonts w:hint="default" w:ascii="Times New Roman" w:hAnsi="Times New Roman" w:eastAsia="宋体" w:cs="Times New Roman"/>
                <w:color w:val="auto"/>
                <w:kern w:val="0"/>
                <w:sz w:val="21"/>
                <w:szCs w:val="21"/>
                <w:highlight w:val="none"/>
                <w:lang w:eastAsia="zh-CN" w:bidi="ar"/>
              </w:rPr>
              <w:t>；</w:t>
            </w:r>
          </w:p>
        </w:tc>
        <w:tc>
          <w:tcPr>
            <w:tcW w:w="1385" w:type="dxa"/>
            <w:vMerge w:val="restar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丰、枯水期/年</w:t>
            </w:r>
          </w:p>
        </w:tc>
        <w:tc>
          <w:tcPr>
            <w:tcW w:w="3797" w:type="dxa"/>
            <w:vMerge w:val="restart"/>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pH值、氨氮、硝酸盐、亚硝酸盐、氰化物、砷、汞、铬（六价</w:t>
            </w:r>
            <w:r>
              <w:rPr>
                <w:rFonts w:hint="default" w:ascii="Times New Roman" w:hAnsi="Times New Roman" w:eastAsia="宋体" w:cs="Times New Roman"/>
                <w:b w:val="0"/>
                <w:bCs/>
                <w:color w:val="auto"/>
                <w:sz w:val="21"/>
                <w:szCs w:val="21"/>
                <w:highlight w:val="none"/>
                <w:lang w:eastAsia="zh-CN"/>
              </w:rPr>
              <w:t>）</w:t>
            </w:r>
            <w:r>
              <w:rPr>
                <w:rFonts w:hint="default" w:ascii="Times New Roman" w:hAnsi="Times New Roman" w:eastAsia="宋体" w:cs="Times New Roman"/>
                <w:b w:val="0"/>
                <w:bCs/>
                <w:color w:val="auto"/>
                <w:sz w:val="21"/>
                <w:szCs w:val="21"/>
                <w:highlight w:val="none"/>
              </w:rPr>
              <w:t>、总硬度、铅、氟化物、镉、铁、锰、溶解性总固体、</w:t>
            </w:r>
            <w:r>
              <w:rPr>
                <w:rFonts w:hint="default" w:ascii="Times New Roman" w:hAnsi="Times New Roman" w:eastAsia="宋体" w:cs="Times New Roman"/>
                <w:bCs/>
                <w:color w:val="auto"/>
                <w:sz w:val="21"/>
                <w:szCs w:val="21"/>
                <w:highlight w:val="none"/>
              </w:rPr>
              <w:t>耗氧量</w:t>
            </w:r>
            <w:r>
              <w:rPr>
                <w:rFonts w:hint="default" w:ascii="Times New Roman" w:hAnsi="Times New Roman" w:eastAsia="宋体" w:cs="Times New Roman"/>
                <w:b w:val="0"/>
                <w:bCs/>
                <w:color w:val="auto"/>
                <w:sz w:val="21"/>
                <w:szCs w:val="21"/>
                <w:highlight w:val="none"/>
              </w:rPr>
              <w:t>、硫酸盐、氯化物、总大肠菌群、铜、锌</w:t>
            </w:r>
            <w:r>
              <w:rPr>
                <w:rFonts w:hint="default" w:ascii="Times New Roman" w:hAnsi="Times New Roman" w:eastAsia="宋体" w:cs="Times New Roman"/>
                <w:b w:val="0"/>
                <w:bCs/>
                <w:color w:val="auto"/>
                <w:sz w:val="21"/>
                <w:szCs w:val="21"/>
                <w:highlight w:val="none"/>
                <w:lang w:eastAsia="zh-CN"/>
              </w:rPr>
              <w:t>，</w:t>
            </w:r>
            <w:r>
              <w:rPr>
                <w:rFonts w:hint="default" w:ascii="Times New Roman" w:hAnsi="Times New Roman" w:eastAsia="宋体" w:cs="Times New Roman"/>
                <w:b w:val="0"/>
                <w:bCs/>
                <w:color w:val="auto"/>
                <w:sz w:val="21"/>
                <w:szCs w:val="21"/>
                <w:highlight w:val="none"/>
              </w:rPr>
              <w:t>石油类</w:t>
            </w:r>
            <w:r>
              <w:rPr>
                <w:rFonts w:hint="default" w:ascii="Times New Roman" w:hAnsi="Times New Roman" w:eastAsia="宋体" w:cs="Times New Roman"/>
                <w:b w:val="0"/>
                <w:bCs/>
                <w:color w:val="auto"/>
                <w:sz w:val="21"/>
                <w:szCs w:val="21"/>
                <w:highlight w:val="none"/>
                <w:lang w:eastAsia="zh-CN"/>
              </w:rPr>
              <w:t>、钼，</w:t>
            </w:r>
            <w:r>
              <w:rPr>
                <w:rFonts w:hint="default" w:ascii="Times New Roman" w:hAnsi="Times New Roman" w:eastAsia="宋体" w:cs="Times New Roman"/>
                <w:b w:val="0"/>
                <w:bCs/>
                <w:color w:val="auto"/>
                <w:sz w:val="21"/>
                <w:szCs w:val="21"/>
                <w:highlight w:val="none"/>
              </w:rPr>
              <w:t>同时监测地下水水位。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13" w:type="dxa"/>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现状监测井2#</w:t>
            </w:r>
            <w:r>
              <w:rPr>
                <w:rFonts w:hint="default" w:ascii="Times New Roman" w:hAnsi="Times New Roman" w:eastAsia="宋体" w:cs="Times New Roman"/>
                <w:b w:val="0"/>
                <w:bCs/>
                <w:color w:val="auto"/>
                <w:sz w:val="21"/>
                <w:szCs w:val="21"/>
                <w:highlight w:val="none"/>
                <w:lang w:eastAsia="zh-CN"/>
              </w:rPr>
              <w:t>（下游）</w:t>
            </w:r>
          </w:p>
        </w:tc>
        <w:tc>
          <w:tcPr>
            <w:tcW w:w="1833" w:type="dxa"/>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E</w:t>
            </w:r>
            <w:r>
              <w:rPr>
                <w:rFonts w:hint="default" w:ascii="Times New Roman" w:hAnsi="Times New Roman" w:eastAsia="宋体" w:cs="Times New Roman"/>
                <w:color w:val="auto"/>
                <w:kern w:val="0"/>
                <w:sz w:val="21"/>
                <w:szCs w:val="21"/>
                <w:highlight w:val="none"/>
                <w:lang w:bidi="ar"/>
              </w:rPr>
              <w:t>109°26'06.67"</w:t>
            </w:r>
            <w:r>
              <w:rPr>
                <w:rFonts w:hint="default" w:ascii="Times New Roman" w:hAnsi="Times New Roman" w:eastAsia="宋体" w:cs="Times New Roman"/>
                <w:color w:val="auto"/>
                <w:kern w:val="0"/>
                <w:sz w:val="21"/>
                <w:szCs w:val="21"/>
                <w:highlight w:val="none"/>
                <w:lang w:eastAsia="zh-CN" w:bidi="ar"/>
              </w:rPr>
              <w:t>，</w:t>
            </w:r>
            <w:r>
              <w:rPr>
                <w:rFonts w:hint="default" w:ascii="Times New Roman" w:hAnsi="Times New Roman" w:eastAsia="宋体" w:cs="Times New Roman"/>
                <w:color w:val="auto"/>
                <w:kern w:val="0"/>
                <w:sz w:val="21"/>
                <w:szCs w:val="21"/>
                <w:highlight w:val="none"/>
                <w:lang w:val="en-US" w:eastAsia="zh-CN" w:bidi="ar"/>
              </w:rPr>
              <w:t>N</w:t>
            </w:r>
            <w:r>
              <w:rPr>
                <w:rFonts w:hint="default" w:ascii="Times New Roman" w:hAnsi="Times New Roman" w:eastAsia="宋体" w:cs="Times New Roman"/>
                <w:color w:val="auto"/>
                <w:kern w:val="0"/>
                <w:sz w:val="21"/>
                <w:szCs w:val="21"/>
                <w:highlight w:val="none"/>
                <w:lang w:bidi="ar"/>
              </w:rPr>
              <w:t>40°48'16.35"</w:t>
            </w:r>
            <w:r>
              <w:rPr>
                <w:rFonts w:hint="default" w:ascii="Times New Roman" w:hAnsi="Times New Roman" w:eastAsia="宋体" w:cs="Times New Roman"/>
                <w:color w:val="auto"/>
                <w:kern w:val="0"/>
                <w:sz w:val="21"/>
                <w:szCs w:val="21"/>
                <w:highlight w:val="none"/>
                <w:lang w:val="en-US" w:eastAsia="zh-CN" w:bidi="ar"/>
              </w:rPr>
              <w:t>；</w:t>
            </w:r>
          </w:p>
        </w:tc>
        <w:tc>
          <w:tcPr>
            <w:tcW w:w="1385" w:type="dxa"/>
            <w:vMerge w:val="continue"/>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3797" w:type="dxa"/>
            <w:vMerge w:val="continue"/>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13" w:type="dxa"/>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bCs/>
                <w:color w:val="auto"/>
                <w:sz w:val="21"/>
                <w:szCs w:val="21"/>
                <w:highlight w:val="none"/>
              </w:rPr>
              <w:t>现状监测</w:t>
            </w:r>
            <w:r>
              <w:rPr>
                <w:rFonts w:hint="default" w:ascii="Times New Roman" w:hAnsi="Times New Roman" w:eastAsia="宋体" w:cs="Times New Roman"/>
                <w:color w:val="auto"/>
                <w:sz w:val="21"/>
                <w:szCs w:val="21"/>
                <w:highlight w:val="none"/>
              </w:rPr>
              <w:t>井J3</w:t>
            </w:r>
            <w:r>
              <w:rPr>
                <w:rFonts w:hint="default" w:ascii="Times New Roman" w:hAnsi="Times New Roman" w:eastAsia="宋体" w:cs="Times New Roman"/>
                <w:b w:val="0"/>
                <w:bCs/>
                <w:color w:val="auto"/>
                <w:sz w:val="21"/>
                <w:szCs w:val="21"/>
                <w:highlight w:val="none"/>
                <w:lang w:eastAsia="zh-CN"/>
              </w:rPr>
              <w:t>（上游）</w:t>
            </w:r>
          </w:p>
        </w:tc>
        <w:tc>
          <w:tcPr>
            <w:tcW w:w="1833" w:type="dxa"/>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E</w:t>
            </w:r>
            <w:r>
              <w:rPr>
                <w:rFonts w:hint="default" w:ascii="Times New Roman" w:hAnsi="Times New Roman" w:eastAsia="宋体" w:cs="Times New Roman"/>
                <w:color w:val="auto"/>
                <w:kern w:val="0"/>
                <w:sz w:val="21"/>
                <w:szCs w:val="21"/>
                <w:highlight w:val="none"/>
                <w:lang w:bidi="ar"/>
              </w:rPr>
              <w:t>109°25'16.02"</w:t>
            </w:r>
            <w:r>
              <w:rPr>
                <w:rFonts w:hint="default" w:ascii="Times New Roman" w:hAnsi="Times New Roman" w:eastAsia="宋体" w:cs="Times New Roman"/>
                <w:color w:val="auto"/>
                <w:kern w:val="0"/>
                <w:sz w:val="21"/>
                <w:szCs w:val="21"/>
                <w:highlight w:val="none"/>
                <w:lang w:val="en-US" w:eastAsia="zh-CN" w:bidi="ar"/>
              </w:rPr>
              <w:t>，N</w:t>
            </w:r>
            <w:r>
              <w:rPr>
                <w:rFonts w:hint="default" w:ascii="Times New Roman" w:hAnsi="Times New Roman" w:eastAsia="宋体" w:cs="Times New Roman"/>
                <w:color w:val="auto"/>
                <w:kern w:val="0"/>
                <w:sz w:val="21"/>
                <w:szCs w:val="21"/>
                <w:highlight w:val="none"/>
                <w:lang w:bidi="ar"/>
              </w:rPr>
              <w:t>40°47'18.73"</w:t>
            </w:r>
            <w:r>
              <w:rPr>
                <w:rFonts w:hint="default" w:ascii="Times New Roman" w:hAnsi="Times New Roman" w:eastAsia="宋体" w:cs="Times New Roman"/>
                <w:color w:val="auto"/>
                <w:kern w:val="0"/>
                <w:sz w:val="21"/>
                <w:szCs w:val="21"/>
                <w:highlight w:val="none"/>
                <w:lang w:val="en-US" w:eastAsia="zh-CN" w:bidi="ar"/>
              </w:rPr>
              <w:t>；</w:t>
            </w:r>
          </w:p>
        </w:tc>
        <w:tc>
          <w:tcPr>
            <w:tcW w:w="1385" w:type="dxa"/>
            <w:vMerge w:val="continue"/>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3797" w:type="dxa"/>
            <w:vMerge w:val="continue"/>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r>
    </w:tbl>
    <w:p>
      <w:pPr>
        <w:pageBreakBefore w:val="0"/>
        <w:wordWrap/>
        <w:bidi w:val="0"/>
        <w:spacing w:line="360" w:lineRule="auto"/>
        <w:ind w:left="0" w:leftChars="0" w:right="0" w:rightChars="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drawing>
          <wp:inline distT="0" distB="0" distL="114300" distR="114300">
            <wp:extent cx="5273040" cy="6318250"/>
            <wp:effectExtent l="0" t="0" r="3810" b="6350"/>
            <wp:docPr id="134" name="图片 134" descr="1692846184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descr="1692846184495"/>
                    <pic:cNvPicPr>
                      <a:picLocks noChangeAspect="1"/>
                    </pic:cNvPicPr>
                  </pic:nvPicPr>
                  <pic:blipFill>
                    <a:blip r:embed="rId82"/>
                    <a:stretch>
                      <a:fillRect/>
                    </a:stretch>
                  </pic:blipFill>
                  <pic:spPr>
                    <a:xfrm>
                      <a:off x="0" y="0"/>
                      <a:ext cx="5273040" cy="6318250"/>
                    </a:xfrm>
                    <a:prstGeom prst="rect">
                      <a:avLst/>
                    </a:prstGeom>
                  </pic:spPr>
                </pic:pic>
              </a:graphicData>
            </a:graphic>
          </wp:inline>
        </w:drawing>
      </w:r>
    </w:p>
    <w:p>
      <w:pPr>
        <w:pageBreakBefore w:val="0"/>
        <w:wordWrap/>
        <w:bidi w:val="0"/>
        <w:ind w:left="0" w:leftChars="0" w:right="0" w:rightChars="0"/>
        <w:rPr>
          <w:rFonts w:hint="default" w:ascii="Times New Roman" w:hAnsi="Times New Roman" w:eastAsia="宋体" w:cs="Times New Roman"/>
          <w:color w:val="auto"/>
          <w:sz w:val="24"/>
          <w:highlight w:val="none"/>
        </w:rPr>
      </w:pPr>
    </w:p>
    <w:p>
      <w:pPr>
        <w:pageBreakBefore w:val="0"/>
        <w:wordWrap/>
        <w:bidi w:val="0"/>
        <w:spacing w:line="360" w:lineRule="auto"/>
        <w:ind w:left="0" w:leftChars="0" w:right="0" w:rightChars="0"/>
        <w:jc w:val="center"/>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图7</w:t>
      </w:r>
      <w:r>
        <w:rPr>
          <w:rFonts w:hint="default" w:ascii="Times New Roman" w:hAnsi="Times New Roman" w:eastAsia="宋体" w:cs="Times New Roman"/>
          <w:b/>
          <w:color w:val="auto"/>
          <w:sz w:val="24"/>
          <w:szCs w:val="24"/>
          <w:highlight w:val="none"/>
          <w:lang w:val="en-US" w:eastAsia="zh-CN"/>
        </w:rPr>
        <w:t>-12</w:t>
      </w:r>
      <w:r>
        <w:rPr>
          <w:rFonts w:hint="default" w:ascii="Times New Roman" w:hAnsi="Times New Roman" w:eastAsia="宋体" w:cs="Times New Roman"/>
          <w:b/>
          <w:color w:val="auto"/>
          <w:sz w:val="24"/>
          <w:szCs w:val="24"/>
          <w:highlight w:val="none"/>
        </w:rPr>
        <w:t>地下水跟踪监测井示意图</w:t>
      </w:r>
    </w:p>
    <w:p>
      <w:pPr>
        <w:pStyle w:val="4"/>
        <w:pageBreakBefore w:val="0"/>
        <w:numPr>
          <w:ilvl w:val="1"/>
          <w:numId w:val="0"/>
        </w:numPr>
        <w:wordWrap/>
        <w:bidi w:val="0"/>
        <w:spacing w:line="360" w:lineRule="auto"/>
        <w:ind w:left="0" w:leftChars="0" w:right="0" w:rightChars="0" w:firstLine="0" w:firstLineChars="0"/>
        <w:rPr>
          <w:rFonts w:hint="default" w:ascii="Times New Roman" w:hAnsi="Times New Roman" w:eastAsia="宋体" w:cs="Times New Roman"/>
          <w:b/>
          <w:bCs/>
          <w:color w:val="auto"/>
          <w:sz w:val="28"/>
          <w:szCs w:val="28"/>
          <w:highlight w:val="none"/>
        </w:rPr>
      </w:pPr>
      <w:bookmarkStart w:id="1032" w:name="_Toc269188360"/>
      <w:bookmarkEnd w:id="1032"/>
      <w:bookmarkStart w:id="1033" w:name="_Toc288306235"/>
      <w:bookmarkStart w:id="1034" w:name="_Toc25927"/>
      <w:bookmarkStart w:id="1035" w:name="_Toc12172"/>
      <w:bookmarkStart w:id="1036" w:name="_Toc260567939"/>
      <w:bookmarkStart w:id="1037" w:name="_Toc118258938"/>
      <w:r>
        <w:rPr>
          <w:rFonts w:hint="default" w:ascii="Times New Roman" w:hAnsi="Times New Roman" w:eastAsia="宋体" w:cs="Times New Roman"/>
          <w:b/>
          <w:bCs/>
          <w:i w:val="0"/>
          <w:color w:val="auto"/>
          <w:kern w:val="2"/>
          <w:sz w:val="28"/>
          <w:szCs w:val="28"/>
          <w:highlight w:val="none"/>
          <w:lang w:val="en-US" w:eastAsia="zh-CN" w:bidi="ar-SA"/>
        </w:rPr>
        <w:t>7.5</w:t>
      </w:r>
      <w:r>
        <w:rPr>
          <w:rFonts w:hint="default" w:ascii="Times New Roman" w:hAnsi="Times New Roman" w:eastAsia="宋体" w:cs="Times New Roman"/>
          <w:b/>
          <w:bCs/>
          <w:color w:val="auto"/>
          <w:sz w:val="28"/>
          <w:szCs w:val="28"/>
          <w:highlight w:val="none"/>
        </w:rPr>
        <w:t>噪声环境影响分析</w:t>
      </w:r>
      <w:bookmarkEnd w:id="1033"/>
      <w:bookmarkEnd w:id="1034"/>
      <w:bookmarkEnd w:id="1035"/>
      <w:bookmarkEnd w:id="1036"/>
      <w:bookmarkEnd w:id="1037"/>
    </w:p>
    <w:p>
      <w:pPr>
        <w:pStyle w:val="5"/>
        <w:pageBreakBefore w:val="0"/>
        <w:numPr>
          <w:ilvl w:val="2"/>
          <w:numId w:val="0"/>
        </w:numPr>
        <w:wordWrap/>
        <w:bidi w:val="0"/>
        <w:spacing w:line="360" w:lineRule="auto"/>
        <w:ind w:left="0" w:leftChars="0" w:right="0" w:rightChars="0"/>
        <w:rPr>
          <w:rFonts w:hint="default" w:ascii="Times New Roman" w:hAnsi="Times New Roman" w:eastAsia="宋体" w:cs="Times New Roman"/>
          <w:b/>
          <w:bCs/>
          <w:color w:val="auto"/>
          <w:sz w:val="24"/>
          <w:szCs w:val="24"/>
          <w:highlight w:val="none"/>
        </w:rPr>
      </w:pPr>
      <w:bookmarkStart w:id="1038" w:name="_Toc11693"/>
      <w:bookmarkStart w:id="1039" w:name="_Toc24968"/>
      <w:bookmarkStart w:id="1040" w:name="_Toc28937"/>
      <w:bookmarkStart w:id="1041" w:name="_Toc118258939"/>
      <w:r>
        <w:rPr>
          <w:rFonts w:hint="default" w:ascii="Times New Roman" w:hAnsi="Times New Roman" w:eastAsia="宋体" w:cs="Times New Roman"/>
          <w:b/>
          <w:bCs/>
          <w:i w:val="0"/>
          <w:iCs w:val="0"/>
          <w:caps w:val="0"/>
          <w:smallCaps w:val="0"/>
          <w:strike w:val="0"/>
          <w:dstrike w:val="0"/>
          <w:vanish w:val="0"/>
          <w:color w:val="auto"/>
          <w:spacing w:val="0"/>
          <w:kern w:val="2"/>
          <w:position w:val="0"/>
          <w:sz w:val="24"/>
          <w:szCs w:val="24"/>
          <w:highlight w:val="none"/>
          <w:u w:val="none"/>
          <w:vertAlign w:val="baseline"/>
          <w:lang w:val="en-US" w:eastAsia="zh-CN" w:bidi="ar-SA"/>
          <w14:shadow w14:blurRad="0" w14:dist="0" w14:dir="0" w14:sx="0" w14:sy="0" w14:kx="0" w14:ky="0" w14:algn="none">
            <w14:srgbClr w14:val="000000"/>
          </w14:shadow>
        </w:rPr>
        <w:t>7.5.1</w:t>
      </w:r>
      <w:r>
        <w:rPr>
          <w:rFonts w:hint="default" w:ascii="Times New Roman" w:hAnsi="Times New Roman" w:eastAsia="宋体" w:cs="Times New Roman"/>
          <w:b/>
          <w:bCs/>
          <w:color w:val="auto"/>
          <w:sz w:val="24"/>
          <w:szCs w:val="24"/>
          <w:highlight w:val="none"/>
        </w:rPr>
        <w:t>噪声源强分析</w:t>
      </w:r>
      <w:bookmarkEnd w:id="1038"/>
      <w:bookmarkEnd w:id="1039"/>
      <w:bookmarkEnd w:id="1040"/>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项目主要噪声设备包括各类泵等</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其最高噪声值90dB</w:t>
      </w:r>
      <w:r>
        <w:rPr>
          <w:rFonts w:hint="default" w:ascii="Times New Roman" w:hAnsi="Times New Roman" w:eastAsia="宋体" w:cs="Times New Roman"/>
          <w:color w:val="auto"/>
          <w:sz w:val="24"/>
          <w:szCs w:val="24"/>
          <w:highlight w:val="none"/>
          <w:lang w:eastAsia="zh-CN"/>
        </w:rPr>
        <w:t>（A），</w:t>
      </w:r>
      <w:r>
        <w:rPr>
          <w:rFonts w:hint="default" w:ascii="Times New Roman" w:hAnsi="Times New Roman" w:eastAsia="宋体" w:cs="Times New Roman"/>
          <w:color w:val="auto"/>
          <w:sz w:val="24"/>
          <w:szCs w:val="24"/>
          <w:highlight w:val="none"/>
        </w:rPr>
        <w:t>各类设备声源强见表7-</w:t>
      </w:r>
      <w:r>
        <w:rPr>
          <w:rFonts w:hint="default" w:ascii="Times New Roman" w:hAnsi="Times New Roman" w:eastAsia="宋体" w:cs="Times New Roman"/>
          <w:color w:val="auto"/>
          <w:sz w:val="24"/>
          <w:szCs w:val="24"/>
          <w:highlight w:val="none"/>
          <w:lang w:val="en-US" w:eastAsia="zh-CN"/>
        </w:rPr>
        <w:t>19</w:t>
      </w:r>
      <w:r>
        <w:rPr>
          <w:rFonts w:hint="default" w:ascii="Times New Roman" w:hAnsi="Times New Roman" w:eastAsia="宋体" w:cs="Times New Roman"/>
          <w:color w:val="auto"/>
          <w:sz w:val="24"/>
          <w:szCs w:val="24"/>
          <w:highlight w:val="none"/>
        </w:rPr>
        <w:t>。</w:t>
      </w:r>
    </w:p>
    <w:p>
      <w:pPr>
        <w:pageBreakBefore w:val="0"/>
        <w:tabs>
          <w:tab w:val="left" w:pos="3062"/>
        </w:tabs>
        <w:wordWrap/>
        <w:bidi w:val="0"/>
        <w:spacing w:line="360" w:lineRule="auto"/>
        <w:ind w:left="0" w:leftChars="0" w:right="0" w:rightChars="0"/>
        <w:jc w:val="center"/>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表7-19运</w:t>
      </w:r>
      <w:r>
        <w:rPr>
          <w:rFonts w:hint="default" w:ascii="Times New Roman" w:hAnsi="Times New Roman" w:eastAsia="宋体" w:cs="Times New Roman"/>
          <w:b/>
          <w:bCs/>
          <w:color w:val="auto"/>
          <w:sz w:val="24"/>
          <w:szCs w:val="24"/>
          <w:highlight w:val="none"/>
          <w:lang w:eastAsia="zh-CN"/>
        </w:rPr>
        <w:t>营</w:t>
      </w:r>
      <w:r>
        <w:rPr>
          <w:rFonts w:hint="default" w:ascii="Times New Roman" w:hAnsi="Times New Roman" w:eastAsia="宋体" w:cs="Times New Roman"/>
          <w:b/>
          <w:bCs/>
          <w:color w:val="auto"/>
          <w:sz w:val="24"/>
          <w:szCs w:val="24"/>
          <w:highlight w:val="none"/>
        </w:rPr>
        <w:t>期噪声源强一览表</w:t>
      </w:r>
    </w:p>
    <w:tbl>
      <w:tblPr>
        <w:tblStyle w:val="54"/>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0" w:type="dxa"/>
          <w:bottom w:w="0" w:type="dxa"/>
          <w:right w:w="0" w:type="dxa"/>
        </w:tblCellMar>
      </w:tblPr>
      <w:tblGrid>
        <w:gridCol w:w="894"/>
        <w:gridCol w:w="2308"/>
        <w:gridCol w:w="1268"/>
        <w:gridCol w:w="1185"/>
        <w:gridCol w:w="1185"/>
        <w:gridCol w:w="147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537" w:type="pct"/>
            <w:tcBorders>
              <w:top w:val="single" w:color="auto" w:sz="4" w:space="0"/>
              <w:left w:val="single" w:color="auto" w:sz="4" w:space="0"/>
              <w:bottom w:val="single" w:color="auto" w:sz="4" w:space="0"/>
              <w:right w:val="single" w:color="auto" w:sz="4" w:space="0"/>
            </w:tcBorders>
            <w:vAlign w:val="center"/>
          </w:tcPr>
          <w:p>
            <w:pPr>
              <w:pageBreakBefore w:val="0"/>
              <w:wordWrap/>
              <w:autoSpaceDE w:val="0"/>
              <w:autoSpaceDN w:val="0"/>
              <w:bidi w:val="0"/>
              <w:adjustRightInd w:val="0"/>
              <w:spacing w:line="240" w:lineRule="auto"/>
              <w:ind w:left="0" w:leftChars="0" w:right="0" w:rightChars="0"/>
              <w:jc w:val="center"/>
              <w:rPr>
                <w:rFonts w:hint="default" w:ascii="Times New Roman" w:hAnsi="Times New Roman" w:eastAsia="宋体" w:cs="Times New Roman"/>
                <w:b/>
                <w:color w:val="auto"/>
                <w:kern w:val="0"/>
                <w:szCs w:val="21"/>
                <w:highlight w:val="none"/>
                <w:lang w:val="zh-CN"/>
              </w:rPr>
            </w:pPr>
            <w:r>
              <w:rPr>
                <w:rFonts w:hint="default" w:ascii="Times New Roman" w:hAnsi="Times New Roman" w:eastAsia="宋体" w:cs="Times New Roman"/>
                <w:b/>
                <w:color w:val="auto"/>
                <w:kern w:val="0"/>
                <w:szCs w:val="21"/>
                <w:highlight w:val="none"/>
                <w:lang w:val="zh-CN"/>
              </w:rPr>
              <w:t>位置</w:t>
            </w:r>
          </w:p>
        </w:tc>
        <w:tc>
          <w:tcPr>
            <w:tcW w:w="1387" w:type="pct"/>
            <w:tcBorders>
              <w:top w:val="single" w:color="auto" w:sz="4" w:space="0"/>
              <w:left w:val="single" w:color="auto" w:sz="4" w:space="0"/>
              <w:bottom w:val="single" w:color="auto" w:sz="4" w:space="0"/>
              <w:right w:val="single" w:color="auto" w:sz="4" w:space="0"/>
            </w:tcBorders>
            <w:vAlign w:val="center"/>
          </w:tcPr>
          <w:p>
            <w:pPr>
              <w:pageBreakBefore w:val="0"/>
              <w:wordWrap/>
              <w:autoSpaceDE w:val="0"/>
              <w:autoSpaceDN w:val="0"/>
              <w:bidi w:val="0"/>
              <w:adjustRightInd w:val="0"/>
              <w:spacing w:line="240" w:lineRule="auto"/>
              <w:ind w:left="0" w:leftChars="0" w:right="0" w:rightChars="0"/>
              <w:jc w:val="center"/>
              <w:rPr>
                <w:rFonts w:hint="default" w:ascii="Times New Roman" w:hAnsi="Times New Roman" w:eastAsia="宋体" w:cs="Times New Roman"/>
                <w:b/>
                <w:color w:val="auto"/>
                <w:kern w:val="0"/>
                <w:szCs w:val="21"/>
                <w:highlight w:val="none"/>
                <w:lang w:val="zh-CN"/>
              </w:rPr>
            </w:pPr>
            <w:r>
              <w:rPr>
                <w:rFonts w:hint="default" w:ascii="Times New Roman" w:hAnsi="Times New Roman" w:eastAsia="宋体" w:cs="Times New Roman"/>
                <w:b/>
                <w:color w:val="auto"/>
                <w:kern w:val="0"/>
                <w:szCs w:val="21"/>
                <w:highlight w:val="none"/>
                <w:lang w:val="zh-CN"/>
              </w:rPr>
              <w:t>设备名称</w:t>
            </w:r>
          </w:p>
        </w:tc>
        <w:tc>
          <w:tcPr>
            <w:tcW w:w="762" w:type="pct"/>
            <w:tcBorders>
              <w:top w:val="single" w:color="auto" w:sz="4" w:space="0"/>
              <w:left w:val="single" w:color="auto" w:sz="4" w:space="0"/>
              <w:bottom w:val="single" w:color="auto" w:sz="4" w:space="0"/>
              <w:right w:val="single" w:color="auto" w:sz="4" w:space="0"/>
            </w:tcBorders>
            <w:vAlign w:val="center"/>
          </w:tcPr>
          <w:p>
            <w:pPr>
              <w:pageBreakBefore w:val="0"/>
              <w:wordWrap/>
              <w:autoSpaceDE w:val="0"/>
              <w:autoSpaceDN w:val="0"/>
              <w:bidi w:val="0"/>
              <w:adjustRightInd w:val="0"/>
              <w:spacing w:line="240" w:lineRule="auto"/>
              <w:ind w:left="0" w:leftChars="0" w:right="0" w:rightChars="0"/>
              <w:jc w:val="center"/>
              <w:rPr>
                <w:rFonts w:hint="default" w:ascii="Times New Roman" w:hAnsi="Times New Roman" w:eastAsia="宋体" w:cs="Times New Roman"/>
                <w:b/>
                <w:color w:val="auto"/>
                <w:kern w:val="0"/>
                <w:szCs w:val="21"/>
                <w:highlight w:val="none"/>
                <w:lang w:val="zh-CN"/>
              </w:rPr>
            </w:pPr>
            <w:r>
              <w:rPr>
                <w:rFonts w:hint="default" w:ascii="Times New Roman" w:hAnsi="Times New Roman" w:eastAsia="宋体" w:cs="Times New Roman"/>
                <w:b/>
                <w:color w:val="auto"/>
                <w:kern w:val="0"/>
                <w:szCs w:val="21"/>
                <w:highlight w:val="none"/>
                <w:lang w:val="zh-CN"/>
              </w:rPr>
              <w:t>数量</w:t>
            </w:r>
          </w:p>
          <w:p>
            <w:pPr>
              <w:pageBreakBefore w:val="0"/>
              <w:wordWrap/>
              <w:autoSpaceDE w:val="0"/>
              <w:autoSpaceDN w:val="0"/>
              <w:bidi w:val="0"/>
              <w:adjustRightInd w:val="0"/>
              <w:spacing w:line="240" w:lineRule="auto"/>
              <w:ind w:left="0" w:leftChars="0" w:right="0" w:rightChars="0"/>
              <w:jc w:val="center"/>
              <w:rPr>
                <w:rFonts w:hint="default" w:ascii="Times New Roman" w:hAnsi="Times New Roman" w:eastAsia="宋体" w:cs="Times New Roman"/>
                <w:b/>
                <w:color w:val="auto"/>
                <w:kern w:val="0"/>
                <w:szCs w:val="21"/>
                <w:highlight w:val="none"/>
                <w:lang w:val="zh-CN"/>
              </w:rPr>
            </w:pPr>
            <w:r>
              <w:rPr>
                <w:rFonts w:hint="default" w:ascii="Times New Roman" w:hAnsi="Times New Roman" w:eastAsia="宋体" w:cs="Times New Roman"/>
                <w:b/>
                <w:color w:val="auto"/>
                <w:kern w:val="0"/>
                <w:szCs w:val="21"/>
                <w:highlight w:val="none"/>
                <w:lang w:val="zh-CN"/>
              </w:rPr>
              <w:t>（台/套）</w:t>
            </w:r>
          </w:p>
        </w:tc>
        <w:tc>
          <w:tcPr>
            <w:tcW w:w="712" w:type="pct"/>
            <w:tcBorders>
              <w:top w:val="single" w:color="auto" w:sz="4" w:space="0"/>
              <w:left w:val="single" w:color="auto" w:sz="4" w:space="0"/>
              <w:bottom w:val="single" w:color="auto" w:sz="4" w:space="0"/>
              <w:right w:val="single" w:color="auto" w:sz="4" w:space="0"/>
            </w:tcBorders>
            <w:vAlign w:val="center"/>
          </w:tcPr>
          <w:p>
            <w:pPr>
              <w:pageBreakBefore w:val="0"/>
              <w:wordWrap/>
              <w:autoSpaceDE w:val="0"/>
              <w:autoSpaceDN w:val="0"/>
              <w:bidi w:val="0"/>
              <w:adjustRightInd w:val="0"/>
              <w:spacing w:line="240" w:lineRule="auto"/>
              <w:ind w:left="0" w:leftChars="0" w:right="0" w:rightChars="0"/>
              <w:jc w:val="center"/>
              <w:rPr>
                <w:rFonts w:hint="default" w:ascii="Times New Roman" w:hAnsi="Times New Roman" w:eastAsia="宋体" w:cs="Times New Roman"/>
                <w:b/>
                <w:color w:val="auto"/>
                <w:kern w:val="0"/>
                <w:szCs w:val="21"/>
                <w:highlight w:val="none"/>
                <w:lang w:val="zh-CN"/>
              </w:rPr>
            </w:pPr>
            <w:r>
              <w:rPr>
                <w:rFonts w:hint="default" w:ascii="Times New Roman" w:hAnsi="Times New Roman" w:eastAsia="宋体" w:cs="Times New Roman"/>
                <w:b/>
                <w:color w:val="auto"/>
                <w:kern w:val="0"/>
                <w:szCs w:val="21"/>
                <w:highlight w:val="none"/>
                <w:lang w:val="zh-CN"/>
              </w:rPr>
              <w:t>最高声级</w:t>
            </w:r>
          </w:p>
          <w:p>
            <w:pPr>
              <w:pageBreakBefore w:val="0"/>
              <w:wordWrap/>
              <w:autoSpaceDE w:val="0"/>
              <w:autoSpaceDN w:val="0"/>
              <w:bidi w:val="0"/>
              <w:adjustRightInd w:val="0"/>
              <w:spacing w:line="240" w:lineRule="auto"/>
              <w:ind w:left="0" w:leftChars="0" w:right="0" w:rightChars="0"/>
              <w:jc w:val="center"/>
              <w:rPr>
                <w:rFonts w:hint="default" w:ascii="Times New Roman" w:hAnsi="Times New Roman" w:eastAsia="宋体" w:cs="Times New Roman"/>
                <w:b/>
                <w:color w:val="auto"/>
                <w:kern w:val="0"/>
                <w:szCs w:val="21"/>
                <w:highlight w:val="none"/>
                <w:lang w:val="zh-CN" w:eastAsia="zh-CN"/>
              </w:rPr>
            </w:pPr>
            <w:r>
              <w:rPr>
                <w:rFonts w:hint="default" w:ascii="Times New Roman" w:hAnsi="Times New Roman" w:eastAsia="宋体" w:cs="Times New Roman"/>
                <w:b/>
                <w:color w:val="auto"/>
                <w:kern w:val="0"/>
                <w:szCs w:val="21"/>
                <w:highlight w:val="none"/>
              </w:rPr>
              <w:t>dB</w:t>
            </w:r>
            <w:r>
              <w:rPr>
                <w:rFonts w:hint="default" w:ascii="Times New Roman" w:hAnsi="Times New Roman" w:eastAsia="宋体" w:cs="Times New Roman"/>
                <w:b/>
                <w:color w:val="auto"/>
                <w:kern w:val="0"/>
                <w:szCs w:val="21"/>
                <w:highlight w:val="none"/>
                <w:lang w:eastAsia="zh-CN"/>
              </w:rPr>
              <w:t>（A）</w:t>
            </w:r>
          </w:p>
        </w:tc>
        <w:tc>
          <w:tcPr>
            <w:tcW w:w="712" w:type="pct"/>
            <w:tcBorders>
              <w:top w:val="single" w:color="auto" w:sz="4" w:space="0"/>
              <w:left w:val="single" w:color="auto" w:sz="4" w:space="0"/>
              <w:bottom w:val="single" w:color="auto" w:sz="4" w:space="0"/>
              <w:right w:val="single" w:color="auto" w:sz="4" w:space="0"/>
            </w:tcBorders>
            <w:vAlign w:val="center"/>
          </w:tcPr>
          <w:p>
            <w:pPr>
              <w:pageBreakBefore w:val="0"/>
              <w:wordWrap/>
              <w:autoSpaceDE w:val="0"/>
              <w:autoSpaceDN w:val="0"/>
              <w:bidi w:val="0"/>
              <w:adjustRightInd w:val="0"/>
              <w:spacing w:line="240" w:lineRule="auto"/>
              <w:ind w:left="0" w:leftChars="0" w:right="0" w:rightChars="0"/>
              <w:jc w:val="center"/>
              <w:rPr>
                <w:rFonts w:hint="default" w:ascii="Times New Roman" w:hAnsi="Times New Roman" w:eastAsia="宋体" w:cs="Times New Roman"/>
                <w:b/>
                <w:color w:val="auto"/>
                <w:kern w:val="0"/>
                <w:szCs w:val="21"/>
                <w:highlight w:val="none"/>
                <w:lang w:val="zh-CN"/>
              </w:rPr>
            </w:pPr>
            <w:r>
              <w:rPr>
                <w:rFonts w:hint="default" w:ascii="Times New Roman" w:hAnsi="Times New Roman" w:eastAsia="宋体" w:cs="Times New Roman"/>
                <w:b/>
                <w:color w:val="auto"/>
                <w:kern w:val="0"/>
                <w:szCs w:val="21"/>
                <w:highlight w:val="none"/>
                <w:lang w:val="zh-CN"/>
              </w:rPr>
              <w:t>采取措施</w:t>
            </w:r>
          </w:p>
        </w:tc>
        <w:tc>
          <w:tcPr>
            <w:tcW w:w="887" w:type="pct"/>
            <w:tcBorders>
              <w:top w:val="single" w:color="auto" w:sz="4" w:space="0"/>
              <w:left w:val="single" w:color="auto" w:sz="4" w:space="0"/>
              <w:bottom w:val="single" w:color="auto" w:sz="4" w:space="0"/>
              <w:right w:val="single" w:color="auto" w:sz="4" w:space="0"/>
            </w:tcBorders>
            <w:vAlign w:val="center"/>
          </w:tcPr>
          <w:p>
            <w:pPr>
              <w:pageBreakBefore w:val="0"/>
              <w:wordWrap/>
              <w:autoSpaceDE w:val="0"/>
              <w:autoSpaceDN w:val="0"/>
              <w:bidi w:val="0"/>
              <w:adjustRightInd w:val="0"/>
              <w:spacing w:line="240" w:lineRule="auto"/>
              <w:ind w:left="0" w:leftChars="0" w:right="0" w:rightChars="0"/>
              <w:jc w:val="center"/>
              <w:rPr>
                <w:rFonts w:hint="default" w:ascii="Times New Roman" w:hAnsi="Times New Roman" w:eastAsia="宋体" w:cs="Times New Roman"/>
                <w:b/>
                <w:color w:val="auto"/>
                <w:kern w:val="0"/>
                <w:szCs w:val="21"/>
                <w:highlight w:val="none"/>
                <w:lang w:val="zh-CN"/>
              </w:rPr>
            </w:pPr>
            <w:r>
              <w:rPr>
                <w:rFonts w:hint="default" w:ascii="Times New Roman" w:hAnsi="Times New Roman" w:eastAsia="宋体" w:cs="Times New Roman"/>
                <w:b/>
                <w:color w:val="auto"/>
                <w:kern w:val="0"/>
                <w:szCs w:val="21"/>
                <w:highlight w:val="none"/>
                <w:lang w:val="zh-CN"/>
              </w:rPr>
              <w:t>治理后源强</w:t>
            </w:r>
          </w:p>
          <w:p>
            <w:pPr>
              <w:pageBreakBefore w:val="0"/>
              <w:wordWrap/>
              <w:autoSpaceDE w:val="0"/>
              <w:autoSpaceDN w:val="0"/>
              <w:bidi w:val="0"/>
              <w:adjustRightInd w:val="0"/>
              <w:spacing w:line="240" w:lineRule="auto"/>
              <w:ind w:left="0" w:leftChars="0" w:right="0" w:rightChars="0"/>
              <w:jc w:val="center"/>
              <w:rPr>
                <w:rFonts w:hint="default" w:ascii="Times New Roman" w:hAnsi="Times New Roman" w:eastAsia="宋体" w:cs="Times New Roman"/>
                <w:b/>
                <w:color w:val="auto"/>
                <w:kern w:val="0"/>
                <w:szCs w:val="21"/>
                <w:highlight w:val="none"/>
                <w:lang w:val="zh-CN" w:eastAsia="zh-CN"/>
              </w:rPr>
            </w:pPr>
            <w:r>
              <w:rPr>
                <w:rFonts w:hint="default" w:ascii="Times New Roman" w:hAnsi="Times New Roman" w:eastAsia="宋体" w:cs="Times New Roman"/>
                <w:b/>
                <w:color w:val="auto"/>
                <w:kern w:val="0"/>
                <w:szCs w:val="21"/>
                <w:highlight w:val="none"/>
              </w:rPr>
              <w:t>dB</w:t>
            </w:r>
            <w:r>
              <w:rPr>
                <w:rFonts w:hint="default" w:ascii="Times New Roman" w:hAnsi="Times New Roman" w:eastAsia="宋体" w:cs="Times New Roman"/>
                <w:b/>
                <w:color w:val="auto"/>
                <w:kern w:val="0"/>
                <w:szCs w:val="21"/>
                <w:highlight w:val="none"/>
                <w:lang w:eastAsia="zh-CN"/>
              </w:rPr>
              <w:t>（A）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537" w:type="pct"/>
            <w:vMerge w:val="restar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尾矿库</w:t>
            </w:r>
          </w:p>
        </w:tc>
        <w:tc>
          <w:tcPr>
            <w:tcW w:w="1387"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尾矿输送泵</w:t>
            </w:r>
          </w:p>
        </w:tc>
        <w:tc>
          <w:tcPr>
            <w:tcW w:w="762" w:type="pct"/>
            <w:tcBorders>
              <w:top w:val="single" w:color="auto" w:sz="4" w:space="0"/>
              <w:left w:val="single" w:color="auto" w:sz="4" w:space="0"/>
              <w:bottom w:val="single" w:color="auto" w:sz="4" w:space="0"/>
              <w:right w:val="single" w:color="auto" w:sz="4" w:space="0"/>
            </w:tcBorders>
            <w:vAlign w:val="center"/>
          </w:tcPr>
          <w:p>
            <w:pPr>
              <w:pageBreakBefore w:val="0"/>
              <w:wordWrap/>
              <w:autoSpaceDE w:val="0"/>
              <w:autoSpaceDN w:val="0"/>
              <w:bidi w:val="0"/>
              <w:adjustRightInd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4</w:t>
            </w:r>
          </w:p>
        </w:tc>
        <w:tc>
          <w:tcPr>
            <w:tcW w:w="712"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pacing w:line="240" w:lineRule="auto"/>
              <w:ind w:left="0" w:leftChars="0" w:right="0" w:rightChars="0"/>
              <w:jc w:val="center"/>
              <w:rPr>
                <w:rFonts w:hint="default" w:ascii="Times New Roman" w:hAnsi="Times New Roman" w:eastAsia="宋体" w:cs="Times New Roman"/>
                <w:color w:val="auto"/>
                <w:spacing w:val="-2"/>
                <w:szCs w:val="21"/>
                <w:highlight w:val="none"/>
              </w:rPr>
            </w:pPr>
            <w:r>
              <w:rPr>
                <w:rFonts w:hint="default" w:ascii="Times New Roman" w:hAnsi="Times New Roman" w:eastAsia="宋体" w:cs="Times New Roman"/>
                <w:color w:val="auto"/>
                <w:spacing w:val="-2"/>
                <w:szCs w:val="21"/>
                <w:highlight w:val="none"/>
              </w:rPr>
              <w:t>90</w:t>
            </w:r>
          </w:p>
        </w:tc>
        <w:tc>
          <w:tcPr>
            <w:tcW w:w="712"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pacing w:line="240" w:lineRule="auto"/>
              <w:ind w:left="0" w:leftChars="0" w:right="0" w:rightChars="0"/>
              <w:jc w:val="center"/>
              <w:rPr>
                <w:rFonts w:hint="default" w:ascii="Times New Roman" w:hAnsi="Times New Roman" w:eastAsia="宋体" w:cs="Times New Roman"/>
                <w:color w:val="auto"/>
                <w:spacing w:val="-2"/>
                <w:szCs w:val="21"/>
                <w:highlight w:val="none"/>
              </w:rPr>
            </w:pPr>
            <w:r>
              <w:rPr>
                <w:rFonts w:hint="default" w:ascii="Times New Roman" w:hAnsi="Times New Roman" w:eastAsia="宋体" w:cs="Times New Roman"/>
                <w:color w:val="auto"/>
                <w:spacing w:val="-2"/>
                <w:szCs w:val="21"/>
                <w:highlight w:val="none"/>
              </w:rPr>
              <w:t>隔声减震</w:t>
            </w:r>
          </w:p>
        </w:tc>
        <w:tc>
          <w:tcPr>
            <w:tcW w:w="887"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pacing w:line="240" w:lineRule="auto"/>
              <w:ind w:left="0" w:leftChars="0" w:right="0" w:rightChars="0"/>
              <w:jc w:val="center"/>
              <w:rPr>
                <w:rFonts w:hint="default" w:ascii="Times New Roman" w:hAnsi="Times New Roman" w:eastAsia="宋体" w:cs="Times New Roman"/>
                <w:color w:val="auto"/>
                <w:spacing w:val="-2"/>
                <w:szCs w:val="21"/>
                <w:highlight w:val="none"/>
              </w:rPr>
            </w:pPr>
            <w:r>
              <w:rPr>
                <w:rFonts w:hint="default" w:ascii="Times New Roman" w:hAnsi="Times New Roman" w:eastAsia="宋体" w:cs="Times New Roman"/>
                <w:color w:val="auto"/>
                <w:spacing w:val="-2"/>
                <w:szCs w:val="21"/>
                <w:highlight w:val="none"/>
              </w:rPr>
              <w:t>60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537" w:type="pct"/>
            <w:vMerge w:val="continue"/>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p>
        </w:tc>
        <w:tc>
          <w:tcPr>
            <w:tcW w:w="1387"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回水泵</w:t>
            </w:r>
          </w:p>
        </w:tc>
        <w:tc>
          <w:tcPr>
            <w:tcW w:w="762" w:type="pct"/>
            <w:tcBorders>
              <w:top w:val="single" w:color="auto" w:sz="4" w:space="0"/>
              <w:left w:val="single" w:color="auto" w:sz="4" w:space="0"/>
              <w:bottom w:val="single" w:color="auto" w:sz="4" w:space="0"/>
              <w:right w:val="single" w:color="auto" w:sz="4" w:space="0"/>
            </w:tcBorders>
            <w:vAlign w:val="center"/>
          </w:tcPr>
          <w:p>
            <w:pPr>
              <w:pageBreakBefore w:val="0"/>
              <w:wordWrap/>
              <w:autoSpaceDE w:val="0"/>
              <w:autoSpaceDN w:val="0"/>
              <w:bidi w:val="0"/>
              <w:adjustRightInd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4</w:t>
            </w:r>
          </w:p>
        </w:tc>
        <w:tc>
          <w:tcPr>
            <w:tcW w:w="712"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pacing w:line="240" w:lineRule="auto"/>
              <w:ind w:left="0" w:leftChars="0" w:right="0" w:rightChars="0"/>
              <w:jc w:val="center"/>
              <w:rPr>
                <w:rFonts w:hint="default" w:ascii="Times New Roman" w:hAnsi="Times New Roman" w:eastAsia="宋体" w:cs="Times New Roman"/>
                <w:color w:val="auto"/>
                <w:spacing w:val="-2"/>
                <w:szCs w:val="21"/>
                <w:highlight w:val="none"/>
              </w:rPr>
            </w:pPr>
            <w:r>
              <w:rPr>
                <w:rFonts w:hint="default" w:ascii="Times New Roman" w:hAnsi="Times New Roman" w:eastAsia="宋体" w:cs="Times New Roman"/>
                <w:color w:val="auto"/>
                <w:spacing w:val="-2"/>
                <w:szCs w:val="21"/>
                <w:highlight w:val="none"/>
              </w:rPr>
              <w:t>90</w:t>
            </w:r>
          </w:p>
        </w:tc>
        <w:tc>
          <w:tcPr>
            <w:tcW w:w="712"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pacing w:line="240" w:lineRule="auto"/>
              <w:ind w:left="0" w:leftChars="0" w:right="0" w:rightChars="0"/>
              <w:jc w:val="center"/>
              <w:rPr>
                <w:rFonts w:hint="default" w:ascii="Times New Roman" w:hAnsi="Times New Roman" w:eastAsia="宋体" w:cs="Times New Roman"/>
                <w:color w:val="auto"/>
                <w:spacing w:val="-2"/>
                <w:szCs w:val="21"/>
                <w:highlight w:val="none"/>
              </w:rPr>
            </w:pPr>
            <w:r>
              <w:rPr>
                <w:rFonts w:hint="default" w:ascii="Times New Roman" w:hAnsi="Times New Roman" w:eastAsia="宋体" w:cs="Times New Roman"/>
                <w:color w:val="auto"/>
                <w:spacing w:val="-2"/>
                <w:szCs w:val="21"/>
                <w:highlight w:val="none"/>
              </w:rPr>
              <w:t>隔声减震</w:t>
            </w:r>
          </w:p>
        </w:tc>
        <w:tc>
          <w:tcPr>
            <w:tcW w:w="887" w:type="pc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pacing w:line="240" w:lineRule="auto"/>
              <w:ind w:left="0" w:leftChars="0" w:right="0" w:rightChars="0"/>
              <w:jc w:val="center"/>
              <w:rPr>
                <w:rFonts w:hint="default" w:ascii="Times New Roman" w:hAnsi="Times New Roman" w:eastAsia="宋体" w:cs="Times New Roman"/>
                <w:color w:val="auto"/>
                <w:spacing w:val="-2"/>
                <w:szCs w:val="21"/>
                <w:highlight w:val="none"/>
              </w:rPr>
            </w:pPr>
            <w:r>
              <w:rPr>
                <w:rFonts w:hint="default" w:ascii="Times New Roman" w:hAnsi="Times New Roman" w:eastAsia="宋体" w:cs="Times New Roman"/>
                <w:color w:val="auto"/>
                <w:spacing w:val="-2"/>
                <w:szCs w:val="21"/>
                <w:highlight w:val="none"/>
              </w:rPr>
              <w:t>60</w:t>
            </w:r>
          </w:p>
        </w:tc>
      </w:tr>
    </w:tbl>
    <w:p>
      <w:pPr>
        <w:pStyle w:val="5"/>
        <w:pageBreakBefore w:val="0"/>
        <w:numPr>
          <w:ilvl w:val="2"/>
          <w:numId w:val="0"/>
        </w:numPr>
        <w:wordWrap/>
        <w:bidi w:val="0"/>
        <w:ind w:left="0" w:leftChars="0" w:right="0" w:rightChars="0"/>
        <w:rPr>
          <w:rFonts w:hint="default" w:ascii="Times New Roman" w:hAnsi="Times New Roman" w:eastAsia="宋体" w:cs="Times New Roman"/>
          <w:b/>
          <w:bCs/>
          <w:color w:val="auto"/>
          <w:highlight w:val="none"/>
        </w:rPr>
      </w:pPr>
      <w:bookmarkStart w:id="1042" w:name="_Toc16063"/>
      <w:bookmarkStart w:id="1043" w:name="_Toc8367"/>
      <w:bookmarkStart w:id="1044" w:name="_Toc10101"/>
      <w:r>
        <w:rPr>
          <w:rFonts w:hint="default" w:ascii="Times New Roman" w:hAnsi="Times New Roman" w:eastAsia="宋体" w:cs="Times New Roman"/>
          <w:b/>
          <w:bCs/>
          <w:i w:val="0"/>
          <w:iCs w:val="0"/>
          <w:caps w:val="0"/>
          <w:smallCaps w:val="0"/>
          <w:strike w:val="0"/>
          <w:dstrike w:val="0"/>
          <w:vanish w:val="0"/>
          <w:color w:val="auto"/>
          <w:spacing w:val="0"/>
          <w:kern w:val="2"/>
          <w:position w:val="0"/>
          <w:sz w:val="24"/>
          <w:szCs w:val="24"/>
          <w:highlight w:val="none"/>
          <w:u w:val="none"/>
          <w:vertAlign w:val="baseline"/>
          <w:lang w:val="en-US" w:eastAsia="zh-CN" w:bidi="ar-SA"/>
          <w14:shadow w14:blurRad="0" w14:dist="0" w14:dir="0" w14:sx="0" w14:sy="0" w14:kx="0" w14:ky="0" w14:algn="none">
            <w14:srgbClr w14:val="000000"/>
          </w14:shadow>
        </w:rPr>
        <w:t>7.5.2</w:t>
      </w:r>
      <w:r>
        <w:rPr>
          <w:rFonts w:hint="default" w:ascii="Times New Roman" w:hAnsi="Times New Roman" w:eastAsia="宋体" w:cs="Times New Roman"/>
          <w:b/>
          <w:bCs/>
          <w:color w:val="auto"/>
          <w:highlight w:val="none"/>
        </w:rPr>
        <w:t>声环境影响预测</w:t>
      </w:r>
      <w:bookmarkEnd w:id="1042"/>
      <w:bookmarkEnd w:id="1043"/>
      <w:bookmarkEnd w:id="1044"/>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在进行噪声预测时</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只考虑各噪声源所在车间围护结构的屏蔽效应、初声源至受声点的距离衰减以及空气吸收等主要衰减因素</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各噪声源强只考虑常规降噪措施。预测模式如下</w:t>
      </w:r>
      <w:r>
        <w:rPr>
          <w:rFonts w:hint="default" w:ascii="Times New Roman" w:hAnsi="Times New Roman" w:eastAsia="宋体" w:cs="Times New Roman"/>
          <w:color w:val="auto"/>
          <w:sz w:val="24"/>
          <w:highlight w:val="none"/>
          <w:lang w:eastAsia="zh-CN"/>
        </w:rPr>
        <w:t>：</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本次评价采用《</w:t>
      </w:r>
      <w:r>
        <w:rPr>
          <w:rFonts w:hint="default" w:ascii="Times New Roman" w:hAnsi="Times New Roman" w:eastAsia="宋体" w:cs="Times New Roman"/>
          <w:color w:val="auto"/>
          <w:sz w:val="24"/>
          <w:highlight w:val="none"/>
          <w:lang w:eastAsia="zh-CN"/>
        </w:rPr>
        <w:t>环境影响评价技术导则</w:t>
      </w:r>
      <w:r>
        <w:rPr>
          <w:rFonts w:hint="default" w:ascii="Times New Roman" w:hAnsi="Times New Roman" w:eastAsia="宋体" w:cs="Times New Roman"/>
          <w:color w:val="auto"/>
          <w:sz w:val="24"/>
          <w:highlight w:val="none"/>
        </w:rPr>
        <w:t>声环境》（HJ2.4-2021</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中推荐模式进行预测</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用A声级计算</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模式如下</w:t>
      </w:r>
      <w:r>
        <w:rPr>
          <w:rFonts w:hint="default" w:ascii="Times New Roman" w:hAnsi="Times New Roman" w:eastAsia="宋体" w:cs="Times New Roman"/>
          <w:color w:val="auto"/>
          <w:sz w:val="24"/>
          <w:highlight w:val="none"/>
          <w:lang w:eastAsia="zh-CN"/>
        </w:rPr>
        <w:t>：</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室外声源在预测点的声压级计算</w:t>
      </w:r>
      <w:r>
        <w:rPr>
          <w:rFonts w:hint="default" w:ascii="Times New Roman" w:hAnsi="Times New Roman" w:eastAsia="宋体" w:cs="Times New Roman"/>
          <w:color w:val="auto"/>
          <w:sz w:val="24"/>
          <w:highlight w:val="none"/>
          <w:lang w:eastAsia="zh-CN"/>
        </w:rPr>
        <w:t>：</w:t>
      </w:r>
    </w:p>
    <w:p>
      <w:pPr>
        <w:pageBreakBefore w:val="0"/>
        <w:wordWrap/>
        <w:bidi w:val="0"/>
        <w:spacing w:line="360" w:lineRule="auto"/>
        <w:ind w:left="0" w:leftChars="0" w:right="0" w:rightChars="0" w:firstLine="480" w:firstLineChars="200"/>
        <w:outlineLvl w:val="0"/>
        <w:rPr>
          <w:rFonts w:hint="default" w:ascii="Times New Roman" w:hAnsi="Times New Roman" w:eastAsia="宋体" w:cs="Times New Roman"/>
          <w:color w:val="auto"/>
          <w:sz w:val="24"/>
          <w:highlight w:val="none"/>
          <w:lang w:eastAsia="zh-CN"/>
        </w:rPr>
      </w:pPr>
      <w:bookmarkStart w:id="1045" w:name="_Toc14261"/>
      <w:bookmarkStart w:id="1046" w:name="_Toc27429"/>
      <w:r>
        <w:rPr>
          <w:rFonts w:hint="default" w:ascii="Times New Roman" w:hAnsi="Times New Roman" w:eastAsia="宋体" w:cs="Times New Roman"/>
          <w:color w:val="auto"/>
          <w:sz w:val="24"/>
          <w:highlight w:val="none"/>
        </w:rPr>
        <w:t>L</w:t>
      </w:r>
      <w:r>
        <w:rPr>
          <w:rFonts w:hint="default" w:ascii="Times New Roman" w:hAnsi="Times New Roman" w:eastAsia="宋体" w:cs="Times New Roman"/>
          <w:color w:val="auto"/>
          <w:sz w:val="24"/>
          <w:highlight w:val="none"/>
          <w:vertAlign w:val="subscript"/>
        </w:rPr>
        <w:t>A</w:t>
      </w:r>
      <w:r>
        <w:rPr>
          <w:rFonts w:hint="default" w:ascii="Times New Roman" w:hAnsi="Times New Roman" w:eastAsia="宋体" w:cs="Times New Roman"/>
          <w:color w:val="auto"/>
          <w:sz w:val="24"/>
          <w:highlight w:val="none"/>
        </w:rPr>
        <w:t>（r</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=L</w:t>
      </w:r>
      <w:r>
        <w:rPr>
          <w:rFonts w:hint="default" w:ascii="Times New Roman" w:hAnsi="Times New Roman" w:eastAsia="宋体" w:cs="Times New Roman"/>
          <w:color w:val="auto"/>
          <w:sz w:val="24"/>
          <w:highlight w:val="none"/>
          <w:vertAlign w:val="subscript"/>
        </w:rPr>
        <w:t>A</w:t>
      </w:r>
      <w:r>
        <w:rPr>
          <w:rFonts w:hint="default" w:ascii="Times New Roman" w:hAnsi="Times New Roman" w:eastAsia="宋体" w:cs="Times New Roman"/>
          <w:color w:val="auto"/>
          <w:sz w:val="24"/>
          <w:highlight w:val="none"/>
        </w:rPr>
        <w:t>ref（r</w:t>
      </w:r>
      <w:r>
        <w:rPr>
          <w:rFonts w:hint="default" w:ascii="Times New Roman" w:hAnsi="Times New Roman" w:eastAsia="宋体" w:cs="Times New Roman"/>
          <w:color w:val="auto"/>
          <w:sz w:val="24"/>
          <w:highlight w:val="none"/>
          <w:vertAlign w:val="subscript"/>
        </w:rPr>
        <w:t>0</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-（A</w:t>
      </w:r>
      <w:r>
        <w:rPr>
          <w:rFonts w:hint="default" w:ascii="Times New Roman" w:hAnsi="Times New Roman" w:eastAsia="宋体" w:cs="Times New Roman"/>
          <w:color w:val="auto"/>
          <w:sz w:val="24"/>
          <w:highlight w:val="none"/>
          <w:vertAlign w:val="subscript"/>
        </w:rPr>
        <w:t>d</w:t>
      </w:r>
      <w:r>
        <w:rPr>
          <w:rFonts w:hint="default" w:ascii="Times New Roman" w:hAnsi="Times New Roman" w:eastAsia="宋体" w:cs="Times New Roman"/>
          <w:color w:val="auto"/>
          <w:sz w:val="24"/>
          <w:highlight w:val="none"/>
          <w:vertAlign w:val="subscript"/>
          <w:lang w:eastAsia="zh-CN"/>
        </w:rPr>
        <w:t>Ⅳ</w:t>
      </w:r>
      <w:r>
        <w:rPr>
          <w:rFonts w:hint="default" w:ascii="Times New Roman" w:hAnsi="Times New Roman" w:eastAsia="宋体" w:cs="Times New Roman"/>
          <w:color w:val="auto"/>
          <w:sz w:val="24"/>
          <w:highlight w:val="none"/>
        </w:rPr>
        <w:t>+A</w:t>
      </w:r>
      <w:r>
        <w:rPr>
          <w:rFonts w:hint="default" w:ascii="Times New Roman" w:hAnsi="Times New Roman" w:eastAsia="宋体" w:cs="Times New Roman"/>
          <w:color w:val="auto"/>
          <w:sz w:val="24"/>
          <w:highlight w:val="none"/>
          <w:vertAlign w:val="subscript"/>
        </w:rPr>
        <w:t>bar</w:t>
      </w:r>
      <w:r>
        <w:rPr>
          <w:rFonts w:hint="default" w:ascii="Times New Roman" w:hAnsi="Times New Roman" w:eastAsia="宋体" w:cs="Times New Roman"/>
          <w:color w:val="auto"/>
          <w:sz w:val="24"/>
          <w:highlight w:val="none"/>
        </w:rPr>
        <w:t>+A</w:t>
      </w:r>
      <w:r>
        <w:rPr>
          <w:rFonts w:hint="default" w:ascii="Times New Roman" w:hAnsi="Times New Roman" w:eastAsia="宋体" w:cs="Times New Roman"/>
          <w:color w:val="auto"/>
          <w:sz w:val="24"/>
          <w:highlight w:val="none"/>
          <w:vertAlign w:val="subscript"/>
        </w:rPr>
        <w:t>atm</w:t>
      </w:r>
      <w:r>
        <w:rPr>
          <w:rFonts w:hint="default" w:ascii="Times New Roman" w:hAnsi="Times New Roman" w:eastAsia="宋体" w:cs="Times New Roman"/>
          <w:color w:val="auto"/>
          <w:sz w:val="24"/>
          <w:highlight w:val="none"/>
        </w:rPr>
        <w:t>+A</w:t>
      </w:r>
      <w:r>
        <w:rPr>
          <w:rFonts w:hint="default" w:ascii="Times New Roman" w:hAnsi="Times New Roman" w:eastAsia="宋体" w:cs="Times New Roman"/>
          <w:color w:val="auto"/>
          <w:sz w:val="24"/>
          <w:highlight w:val="none"/>
          <w:vertAlign w:val="subscript"/>
        </w:rPr>
        <w:t>exc</w:t>
      </w:r>
      <w:r>
        <w:rPr>
          <w:rFonts w:hint="default" w:ascii="Times New Roman" w:hAnsi="Times New Roman" w:eastAsia="宋体" w:cs="Times New Roman"/>
          <w:color w:val="auto"/>
          <w:sz w:val="24"/>
          <w:highlight w:val="none"/>
        </w:rPr>
        <w:t>+TL</w:t>
      </w:r>
      <w:r>
        <w:rPr>
          <w:rFonts w:hint="default" w:ascii="Times New Roman" w:hAnsi="Times New Roman" w:eastAsia="宋体" w:cs="Times New Roman"/>
          <w:color w:val="auto"/>
          <w:sz w:val="24"/>
          <w:highlight w:val="none"/>
          <w:lang w:eastAsia="zh-CN"/>
        </w:rPr>
        <w:t>）</w:t>
      </w:r>
      <w:bookmarkEnd w:id="1045"/>
      <w:bookmarkEnd w:id="1046"/>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式中</w:t>
      </w:r>
      <w:r>
        <w:rPr>
          <w:rFonts w:hint="default" w:ascii="Times New Roman" w:hAnsi="Times New Roman" w:eastAsia="宋体" w:cs="Times New Roman"/>
          <w:color w:val="auto"/>
          <w:sz w:val="24"/>
          <w:highlight w:val="none"/>
          <w:lang w:eastAsia="zh-CN"/>
        </w:rPr>
        <w:t>：</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L</w:t>
      </w:r>
      <w:r>
        <w:rPr>
          <w:rFonts w:hint="default" w:ascii="Times New Roman" w:hAnsi="Times New Roman" w:eastAsia="宋体" w:cs="Times New Roman"/>
          <w:color w:val="auto"/>
          <w:sz w:val="24"/>
          <w:highlight w:val="none"/>
          <w:vertAlign w:val="subscript"/>
        </w:rPr>
        <w:t>A</w:t>
      </w:r>
      <w:r>
        <w:rPr>
          <w:rFonts w:hint="default" w:ascii="Times New Roman" w:hAnsi="Times New Roman" w:eastAsia="宋体" w:cs="Times New Roman"/>
          <w:color w:val="auto"/>
          <w:sz w:val="24"/>
          <w:highlight w:val="none"/>
        </w:rPr>
        <w:t>（r</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—距声源r处A声级</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dB</w:t>
      </w:r>
      <w:r>
        <w:rPr>
          <w:rFonts w:hint="default" w:ascii="Times New Roman" w:hAnsi="Times New Roman" w:eastAsia="宋体" w:cs="Times New Roman"/>
          <w:color w:val="auto"/>
          <w:sz w:val="24"/>
          <w:highlight w:val="none"/>
          <w:lang w:eastAsia="zh-CN"/>
        </w:rPr>
        <w:t>（A）</w:t>
      </w:r>
      <w:r>
        <w:rPr>
          <w:rFonts w:hint="default" w:ascii="Times New Roman" w:hAnsi="Times New Roman" w:eastAsia="宋体" w:cs="Times New Roman"/>
          <w:color w:val="auto"/>
          <w:sz w:val="24"/>
          <w:highlight w:val="none"/>
        </w:rPr>
        <w:t>；</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L</w:t>
      </w:r>
      <w:r>
        <w:rPr>
          <w:rFonts w:hint="default" w:ascii="Times New Roman" w:hAnsi="Times New Roman" w:eastAsia="宋体" w:cs="Times New Roman"/>
          <w:color w:val="auto"/>
          <w:sz w:val="24"/>
          <w:highlight w:val="none"/>
          <w:vertAlign w:val="subscript"/>
        </w:rPr>
        <w:t>A</w:t>
      </w:r>
      <w:r>
        <w:rPr>
          <w:rFonts w:hint="default" w:ascii="Times New Roman" w:hAnsi="Times New Roman" w:eastAsia="宋体" w:cs="Times New Roman"/>
          <w:color w:val="auto"/>
          <w:sz w:val="24"/>
          <w:highlight w:val="none"/>
        </w:rPr>
        <w:t>ref（r</w:t>
      </w:r>
      <w:r>
        <w:rPr>
          <w:rFonts w:hint="default" w:ascii="Times New Roman" w:hAnsi="Times New Roman" w:eastAsia="宋体" w:cs="Times New Roman"/>
          <w:color w:val="auto"/>
          <w:sz w:val="24"/>
          <w:highlight w:val="none"/>
          <w:vertAlign w:val="subscript"/>
        </w:rPr>
        <w:t>0</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—参考位置r</w:t>
      </w:r>
      <w:r>
        <w:rPr>
          <w:rFonts w:hint="default" w:ascii="Times New Roman" w:hAnsi="Times New Roman" w:eastAsia="宋体" w:cs="Times New Roman"/>
          <w:color w:val="auto"/>
          <w:sz w:val="24"/>
          <w:highlight w:val="none"/>
          <w:vertAlign w:val="subscript"/>
        </w:rPr>
        <w:t>0</w:t>
      </w:r>
      <w:r>
        <w:rPr>
          <w:rFonts w:hint="default" w:ascii="Times New Roman" w:hAnsi="Times New Roman" w:eastAsia="宋体" w:cs="Times New Roman"/>
          <w:color w:val="auto"/>
          <w:sz w:val="24"/>
          <w:highlight w:val="none"/>
        </w:rPr>
        <w:t>处A声级</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dB</w:t>
      </w:r>
      <w:r>
        <w:rPr>
          <w:rFonts w:hint="default" w:ascii="Times New Roman" w:hAnsi="Times New Roman" w:eastAsia="宋体" w:cs="Times New Roman"/>
          <w:color w:val="auto"/>
          <w:sz w:val="24"/>
          <w:highlight w:val="none"/>
          <w:lang w:eastAsia="zh-CN"/>
        </w:rPr>
        <w:t>（A）</w:t>
      </w:r>
      <w:r>
        <w:rPr>
          <w:rFonts w:hint="default" w:ascii="Times New Roman" w:hAnsi="Times New Roman" w:eastAsia="宋体" w:cs="Times New Roman"/>
          <w:color w:val="auto"/>
          <w:sz w:val="24"/>
          <w:highlight w:val="none"/>
        </w:rPr>
        <w:t>；</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A</w:t>
      </w:r>
      <w:r>
        <w:rPr>
          <w:rFonts w:hint="default" w:ascii="Times New Roman" w:hAnsi="Times New Roman" w:eastAsia="宋体" w:cs="Times New Roman"/>
          <w:color w:val="auto"/>
          <w:sz w:val="24"/>
          <w:highlight w:val="none"/>
          <w:vertAlign w:val="subscript"/>
        </w:rPr>
        <w:t>d</w:t>
      </w:r>
      <w:r>
        <w:rPr>
          <w:rFonts w:hint="default" w:ascii="Times New Roman" w:hAnsi="Times New Roman" w:eastAsia="宋体" w:cs="Times New Roman"/>
          <w:color w:val="auto"/>
          <w:sz w:val="24"/>
          <w:highlight w:val="none"/>
          <w:vertAlign w:val="subscript"/>
          <w:lang w:eastAsia="zh-CN"/>
        </w:rPr>
        <w:t>Ⅳ</w:t>
      </w:r>
      <w:r>
        <w:rPr>
          <w:rFonts w:hint="default" w:ascii="Times New Roman" w:hAnsi="Times New Roman" w:eastAsia="宋体" w:cs="Times New Roman"/>
          <w:color w:val="auto"/>
          <w:sz w:val="24"/>
          <w:highlight w:val="none"/>
        </w:rPr>
        <w:t>—声波几何发散引起的A声级衰减量</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dB</w:t>
      </w:r>
      <w:r>
        <w:rPr>
          <w:rFonts w:hint="default" w:ascii="Times New Roman" w:hAnsi="Times New Roman" w:eastAsia="宋体" w:cs="Times New Roman"/>
          <w:color w:val="auto"/>
          <w:sz w:val="24"/>
          <w:highlight w:val="none"/>
          <w:lang w:eastAsia="zh-CN"/>
        </w:rPr>
        <w:t>（A）</w:t>
      </w:r>
      <w:r>
        <w:rPr>
          <w:rFonts w:hint="default" w:ascii="Times New Roman" w:hAnsi="Times New Roman" w:eastAsia="宋体" w:cs="Times New Roman"/>
          <w:color w:val="auto"/>
          <w:sz w:val="24"/>
          <w:highlight w:val="none"/>
        </w:rPr>
        <w:t>；</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A</w:t>
      </w:r>
      <w:r>
        <w:rPr>
          <w:rFonts w:hint="default" w:ascii="Times New Roman" w:hAnsi="Times New Roman" w:eastAsia="宋体" w:cs="Times New Roman"/>
          <w:color w:val="auto"/>
          <w:sz w:val="24"/>
          <w:highlight w:val="none"/>
          <w:vertAlign w:val="subscript"/>
        </w:rPr>
        <w:t>bar</w:t>
      </w:r>
      <w:r>
        <w:rPr>
          <w:rFonts w:hint="default" w:ascii="Times New Roman" w:hAnsi="Times New Roman" w:eastAsia="宋体" w:cs="Times New Roman"/>
          <w:color w:val="auto"/>
          <w:sz w:val="24"/>
          <w:highlight w:val="none"/>
        </w:rPr>
        <w:t>—遮挡物引起的A声级衰减量</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dB</w:t>
      </w:r>
      <w:r>
        <w:rPr>
          <w:rFonts w:hint="default" w:ascii="Times New Roman" w:hAnsi="Times New Roman" w:eastAsia="宋体" w:cs="Times New Roman"/>
          <w:color w:val="auto"/>
          <w:sz w:val="24"/>
          <w:highlight w:val="none"/>
          <w:lang w:eastAsia="zh-CN"/>
        </w:rPr>
        <w:t>（A）</w:t>
      </w:r>
      <w:r>
        <w:rPr>
          <w:rFonts w:hint="default" w:ascii="Times New Roman" w:hAnsi="Times New Roman" w:eastAsia="宋体" w:cs="Times New Roman"/>
          <w:color w:val="auto"/>
          <w:sz w:val="24"/>
          <w:highlight w:val="none"/>
        </w:rPr>
        <w:t>；</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A</w:t>
      </w:r>
      <w:r>
        <w:rPr>
          <w:rFonts w:hint="default" w:ascii="Times New Roman" w:hAnsi="Times New Roman" w:eastAsia="宋体" w:cs="Times New Roman"/>
          <w:color w:val="auto"/>
          <w:sz w:val="24"/>
          <w:highlight w:val="none"/>
          <w:vertAlign w:val="subscript"/>
        </w:rPr>
        <w:t>atm</w:t>
      </w:r>
      <w:r>
        <w:rPr>
          <w:rFonts w:hint="default" w:ascii="Times New Roman" w:hAnsi="Times New Roman" w:eastAsia="宋体" w:cs="Times New Roman"/>
          <w:color w:val="auto"/>
          <w:sz w:val="24"/>
          <w:highlight w:val="none"/>
        </w:rPr>
        <w:t>—空气吸收衰减量</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dB</w:t>
      </w:r>
      <w:r>
        <w:rPr>
          <w:rFonts w:hint="default" w:ascii="Times New Roman" w:hAnsi="Times New Roman" w:eastAsia="宋体" w:cs="Times New Roman"/>
          <w:color w:val="auto"/>
          <w:sz w:val="24"/>
          <w:highlight w:val="none"/>
          <w:lang w:eastAsia="zh-CN"/>
        </w:rPr>
        <w:t>（A）</w:t>
      </w:r>
      <w:r>
        <w:rPr>
          <w:rFonts w:hint="default" w:ascii="Times New Roman" w:hAnsi="Times New Roman" w:eastAsia="宋体" w:cs="Times New Roman"/>
          <w:color w:val="auto"/>
          <w:sz w:val="24"/>
          <w:highlight w:val="none"/>
        </w:rPr>
        <w:t>；</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A</w:t>
      </w:r>
      <w:r>
        <w:rPr>
          <w:rFonts w:hint="default" w:ascii="Times New Roman" w:hAnsi="Times New Roman" w:eastAsia="宋体" w:cs="Times New Roman"/>
          <w:color w:val="auto"/>
          <w:sz w:val="24"/>
          <w:highlight w:val="none"/>
          <w:vertAlign w:val="subscript"/>
        </w:rPr>
        <w:t>exc</w:t>
      </w:r>
      <w:r>
        <w:rPr>
          <w:rFonts w:hint="default" w:ascii="Times New Roman" w:hAnsi="Times New Roman" w:eastAsia="宋体" w:cs="Times New Roman"/>
          <w:color w:val="auto"/>
          <w:sz w:val="24"/>
          <w:highlight w:val="none"/>
        </w:rPr>
        <w:t>—附加衰减量</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dB</w:t>
      </w:r>
      <w:r>
        <w:rPr>
          <w:rFonts w:hint="default" w:ascii="Times New Roman" w:hAnsi="Times New Roman" w:eastAsia="宋体" w:cs="Times New Roman"/>
          <w:color w:val="auto"/>
          <w:sz w:val="24"/>
          <w:highlight w:val="none"/>
          <w:lang w:eastAsia="zh-CN"/>
        </w:rPr>
        <w:t>（A）</w:t>
      </w:r>
      <w:r>
        <w:rPr>
          <w:rFonts w:hint="default" w:ascii="Times New Roman" w:hAnsi="Times New Roman" w:eastAsia="宋体" w:cs="Times New Roman"/>
          <w:color w:val="auto"/>
          <w:sz w:val="24"/>
          <w:highlight w:val="none"/>
        </w:rPr>
        <w:t>。</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总声级的计算</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设第i个室外声源在预测点产生的A声级为LA</w:t>
      </w:r>
      <w:r>
        <w:rPr>
          <w:rFonts w:hint="default" w:ascii="Times New Roman" w:hAnsi="Times New Roman" w:eastAsia="宋体" w:cs="Times New Roman"/>
          <w:color w:val="auto"/>
          <w:sz w:val="24"/>
          <w:highlight w:val="none"/>
          <w:vertAlign w:val="subscript"/>
        </w:rPr>
        <w:t>in</w:t>
      </w:r>
      <w:r>
        <w:rPr>
          <w:rFonts w:hint="default" w:ascii="Times New Roman" w:hAnsi="Times New Roman" w:eastAsia="宋体" w:cs="Times New Roman"/>
          <w:color w:val="auto"/>
          <w:sz w:val="24"/>
          <w:highlight w:val="none"/>
          <w:vertAlign w:val="subscript"/>
          <w:lang w:eastAsia="zh-CN"/>
        </w:rPr>
        <w:t>，</w:t>
      </w:r>
      <w:r>
        <w:rPr>
          <w:rFonts w:hint="default" w:ascii="Times New Roman" w:hAnsi="Times New Roman" w:eastAsia="宋体" w:cs="Times New Roman"/>
          <w:color w:val="auto"/>
          <w:sz w:val="24"/>
          <w:highlight w:val="none"/>
          <w:vertAlign w:val="subscript"/>
        </w:rPr>
        <w:t>i</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在T时间内该声源工作时间为t</w:t>
      </w:r>
      <w:r>
        <w:rPr>
          <w:rFonts w:hint="default" w:ascii="Times New Roman" w:hAnsi="Times New Roman" w:eastAsia="宋体" w:cs="Times New Roman"/>
          <w:color w:val="auto"/>
          <w:sz w:val="24"/>
          <w:highlight w:val="none"/>
          <w:vertAlign w:val="subscript"/>
        </w:rPr>
        <w:t>in</w:t>
      </w:r>
      <w:r>
        <w:rPr>
          <w:rFonts w:hint="default" w:ascii="Times New Roman" w:hAnsi="Times New Roman" w:eastAsia="宋体" w:cs="Times New Roman"/>
          <w:color w:val="auto"/>
          <w:sz w:val="24"/>
          <w:highlight w:val="none"/>
          <w:vertAlign w:val="subscript"/>
          <w:lang w:eastAsia="zh-CN"/>
        </w:rPr>
        <w:t>，</w:t>
      </w:r>
      <w:r>
        <w:rPr>
          <w:rFonts w:hint="default" w:ascii="Times New Roman" w:hAnsi="Times New Roman" w:eastAsia="宋体" w:cs="Times New Roman"/>
          <w:color w:val="auto"/>
          <w:sz w:val="24"/>
          <w:highlight w:val="none"/>
          <w:vertAlign w:val="subscript"/>
        </w:rPr>
        <w:t>i</w:t>
      </w:r>
      <w:r>
        <w:rPr>
          <w:rFonts w:hint="default" w:ascii="Times New Roman" w:hAnsi="Times New Roman" w:eastAsia="宋体" w:cs="Times New Roman"/>
          <w:color w:val="auto"/>
          <w:sz w:val="24"/>
          <w:highlight w:val="none"/>
        </w:rPr>
        <w:t>；第j个等效室外声源在预测点产生的A声级为La</w:t>
      </w:r>
      <w:r>
        <w:rPr>
          <w:rFonts w:hint="default" w:ascii="Times New Roman" w:hAnsi="Times New Roman" w:eastAsia="宋体" w:cs="Times New Roman"/>
          <w:color w:val="auto"/>
          <w:sz w:val="24"/>
          <w:highlight w:val="none"/>
          <w:vertAlign w:val="subscript"/>
        </w:rPr>
        <w:t>out</w:t>
      </w:r>
      <w:r>
        <w:rPr>
          <w:rFonts w:hint="default" w:ascii="Times New Roman" w:hAnsi="Times New Roman" w:eastAsia="宋体" w:cs="Times New Roman"/>
          <w:color w:val="auto"/>
          <w:sz w:val="24"/>
          <w:highlight w:val="none"/>
          <w:vertAlign w:val="subscript"/>
          <w:lang w:eastAsia="zh-CN"/>
        </w:rPr>
        <w:t>，</w:t>
      </w:r>
      <w:r>
        <w:rPr>
          <w:rFonts w:hint="default" w:ascii="Times New Roman" w:hAnsi="Times New Roman" w:eastAsia="宋体" w:cs="Times New Roman"/>
          <w:color w:val="auto"/>
          <w:sz w:val="24"/>
          <w:highlight w:val="none"/>
          <w:vertAlign w:val="subscript"/>
        </w:rPr>
        <w:t>j</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在T时间内该声源工作时间为t</w:t>
      </w:r>
      <w:r>
        <w:rPr>
          <w:rFonts w:hint="default" w:ascii="Times New Roman" w:hAnsi="Times New Roman" w:eastAsia="宋体" w:cs="Times New Roman"/>
          <w:color w:val="auto"/>
          <w:sz w:val="24"/>
          <w:highlight w:val="none"/>
          <w:vertAlign w:val="subscript"/>
        </w:rPr>
        <w:t>out</w:t>
      </w:r>
      <w:r>
        <w:rPr>
          <w:rFonts w:hint="default" w:ascii="Times New Roman" w:hAnsi="Times New Roman" w:eastAsia="宋体" w:cs="Times New Roman"/>
          <w:color w:val="auto"/>
          <w:sz w:val="24"/>
          <w:highlight w:val="none"/>
          <w:vertAlign w:val="subscript"/>
          <w:lang w:eastAsia="zh-CN"/>
        </w:rPr>
        <w:t>，</w:t>
      </w:r>
      <w:r>
        <w:rPr>
          <w:rFonts w:hint="default" w:ascii="Times New Roman" w:hAnsi="Times New Roman" w:eastAsia="宋体" w:cs="Times New Roman"/>
          <w:color w:val="auto"/>
          <w:sz w:val="24"/>
          <w:highlight w:val="none"/>
          <w:vertAlign w:val="subscript"/>
        </w:rPr>
        <w:t>j</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则预测点的总有效声级为</w:t>
      </w:r>
      <w:r>
        <w:rPr>
          <w:rFonts w:hint="default" w:ascii="Times New Roman" w:hAnsi="Times New Roman" w:eastAsia="宋体" w:cs="Times New Roman"/>
          <w:color w:val="auto"/>
          <w:sz w:val="24"/>
          <w:highlight w:val="none"/>
          <w:lang w:eastAsia="zh-CN"/>
        </w:rPr>
        <w:t>：</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drawing>
          <wp:inline distT="0" distB="0" distL="0" distR="0">
            <wp:extent cx="3855720" cy="571500"/>
            <wp:effectExtent l="0" t="0" r="0" b="0"/>
            <wp:docPr id="28"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4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a:xfrm>
                      <a:off x="0" y="0"/>
                      <a:ext cx="3855720" cy="571500"/>
                    </a:xfrm>
                    <a:prstGeom prst="rect">
                      <a:avLst/>
                    </a:prstGeom>
                    <a:noFill/>
                    <a:ln>
                      <a:noFill/>
                    </a:ln>
                  </pic:spPr>
                </pic:pic>
              </a:graphicData>
            </a:graphic>
          </wp:inline>
        </w:drawing>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式中</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T为计算等效声级的时间</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N为室外声源个数</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M为等效室外声源个数。</w:t>
      </w:r>
    </w:p>
    <w:p>
      <w:pPr>
        <w:pageBreakBefore w:val="0"/>
        <w:wordWrap/>
        <w:bidi w:val="0"/>
        <w:spacing w:line="360" w:lineRule="auto"/>
        <w:ind w:left="0" w:leftChars="0" w:right="0" w:rightChars="0" w:firstLine="480" w:firstLineChars="200"/>
        <w:outlineLvl w:val="0"/>
        <w:rPr>
          <w:rFonts w:hint="default" w:ascii="Times New Roman" w:hAnsi="Times New Roman" w:eastAsia="宋体" w:cs="Times New Roman"/>
          <w:color w:val="auto"/>
          <w:sz w:val="24"/>
          <w:highlight w:val="none"/>
        </w:rPr>
      </w:pPr>
      <w:bookmarkStart w:id="1047" w:name="_Toc7746"/>
      <w:bookmarkStart w:id="1048" w:name="_Toc18808"/>
      <w:r>
        <w:rPr>
          <w:rFonts w:hint="default" w:ascii="Times New Roman" w:hAnsi="Times New Roman" w:eastAsia="宋体" w:cs="Times New Roman"/>
          <w:color w:val="auto"/>
          <w:sz w:val="24"/>
          <w:highlight w:val="none"/>
        </w:rPr>
        <w:t>（2</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参数的确定</w:t>
      </w:r>
      <w:bookmarkEnd w:id="1047"/>
      <w:bookmarkEnd w:id="1048"/>
    </w:p>
    <w:p>
      <w:pPr>
        <w:pageBreakBefore w:val="0"/>
        <w:wordWrap/>
        <w:bidi w:val="0"/>
        <w:spacing w:line="360" w:lineRule="auto"/>
        <w:ind w:left="0" w:leftChars="0" w:right="0" w:rightChars="0" w:firstLine="480" w:firstLineChars="200"/>
        <w:outlineLvl w:val="1"/>
        <w:rPr>
          <w:rFonts w:hint="default" w:ascii="Times New Roman" w:hAnsi="Times New Roman" w:eastAsia="宋体" w:cs="Times New Roman"/>
          <w:color w:val="auto"/>
          <w:sz w:val="24"/>
          <w:highlight w:val="none"/>
          <w:lang w:eastAsia="zh-CN"/>
        </w:rPr>
      </w:pPr>
      <w:bookmarkStart w:id="1049" w:name="_Toc21231"/>
      <w:bookmarkStart w:id="1050" w:name="_Toc5787"/>
      <w:r>
        <w:rPr>
          <w:rFonts w:hint="default" w:ascii="Times New Roman" w:hAnsi="Times New Roman" w:eastAsia="宋体" w:cs="Times New Roman"/>
          <w:color w:val="auto"/>
          <w:sz w:val="24"/>
          <w:highlight w:val="none"/>
        </w:rPr>
        <w:t>①声波几何发散引起的A声级衰减量</w:t>
      </w:r>
      <w:r>
        <w:rPr>
          <w:rFonts w:hint="default" w:ascii="Times New Roman" w:hAnsi="Times New Roman" w:eastAsia="宋体" w:cs="Times New Roman"/>
          <w:color w:val="auto"/>
          <w:sz w:val="24"/>
          <w:highlight w:val="none"/>
          <w:lang w:eastAsia="zh-CN"/>
        </w:rPr>
        <w:t>：</w:t>
      </w:r>
      <w:bookmarkEnd w:id="1049"/>
      <w:bookmarkEnd w:id="1050"/>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A</w:t>
      </w:r>
      <w:r>
        <w:rPr>
          <w:rFonts w:hint="default" w:ascii="Times New Roman" w:hAnsi="Times New Roman" w:eastAsia="宋体" w:cs="Times New Roman"/>
          <w:color w:val="auto"/>
          <w:sz w:val="24"/>
          <w:highlight w:val="none"/>
          <w:vertAlign w:val="subscript"/>
        </w:rPr>
        <w:t>d</w:t>
      </w:r>
      <w:r>
        <w:rPr>
          <w:rFonts w:hint="default" w:ascii="Times New Roman" w:hAnsi="Times New Roman" w:eastAsia="宋体" w:cs="Times New Roman"/>
          <w:color w:val="auto"/>
          <w:sz w:val="24"/>
          <w:highlight w:val="none"/>
          <w:vertAlign w:val="subscript"/>
          <w:lang w:eastAsia="zh-CN"/>
        </w:rPr>
        <w:t>Ⅳ</w:t>
      </w:r>
      <w:r>
        <w:rPr>
          <w:rFonts w:hint="default" w:ascii="Times New Roman" w:hAnsi="Times New Roman" w:eastAsia="宋体" w:cs="Times New Roman"/>
          <w:color w:val="auto"/>
          <w:sz w:val="24"/>
          <w:highlight w:val="none"/>
        </w:rPr>
        <w:t>=20lg（r/r</w:t>
      </w:r>
      <w:r>
        <w:rPr>
          <w:rFonts w:hint="default" w:ascii="Times New Roman" w:hAnsi="Times New Roman" w:eastAsia="宋体" w:cs="Times New Roman"/>
          <w:color w:val="auto"/>
          <w:sz w:val="24"/>
          <w:highlight w:val="none"/>
          <w:vertAlign w:val="subscript"/>
        </w:rPr>
        <w:t>o</w:t>
      </w:r>
      <w:r>
        <w:rPr>
          <w:rFonts w:hint="default" w:ascii="Times New Roman" w:hAnsi="Times New Roman" w:eastAsia="宋体" w:cs="Times New Roman"/>
          <w:color w:val="auto"/>
          <w:sz w:val="24"/>
          <w:highlight w:val="none"/>
          <w:lang w:eastAsia="zh-CN"/>
        </w:rPr>
        <w:t>）</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式中</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r—预测点到噪声源距离</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m；</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r</w:t>
      </w:r>
      <w:r>
        <w:rPr>
          <w:rFonts w:hint="default" w:ascii="Times New Roman" w:hAnsi="Times New Roman" w:eastAsia="宋体" w:cs="Times New Roman"/>
          <w:color w:val="auto"/>
          <w:sz w:val="24"/>
          <w:highlight w:val="none"/>
          <w:vertAlign w:val="subscript"/>
        </w:rPr>
        <w:t>o</w:t>
      </w:r>
      <w:r>
        <w:rPr>
          <w:rFonts w:hint="default" w:ascii="Times New Roman" w:hAnsi="Times New Roman" w:eastAsia="宋体" w:cs="Times New Roman"/>
          <w:color w:val="auto"/>
          <w:sz w:val="24"/>
          <w:highlight w:val="none"/>
        </w:rPr>
        <w:t>—参考点到噪声源距离</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m。</w:t>
      </w:r>
    </w:p>
    <w:p>
      <w:pPr>
        <w:pageBreakBefore w:val="0"/>
        <w:wordWrap/>
        <w:bidi w:val="0"/>
        <w:spacing w:line="360" w:lineRule="auto"/>
        <w:ind w:left="0" w:leftChars="0" w:right="0" w:rightChars="0" w:firstLine="480" w:firstLineChars="200"/>
        <w:outlineLvl w:val="1"/>
        <w:rPr>
          <w:rFonts w:hint="default" w:ascii="Times New Roman" w:hAnsi="Times New Roman" w:eastAsia="宋体" w:cs="Times New Roman"/>
          <w:color w:val="auto"/>
          <w:sz w:val="24"/>
          <w:highlight w:val="none"/>
          <w:lang w:eastAsia="zh-CN"/>
        </w:rPr>
      </w:pPr>
      <w:bookmarkStart w:id="1051" w:name="_Toc7226"/>
      <w:bookmarkStart w:id="1052" w:name="_Toc23797"/>
      <w:r>
        <w:rPr>
          <w:rFonts w:hint="default" w:ascii="Times New Roman" w:hAnsi="Times New Roman" w:eastAsia="宋体" w:cs="Times New Roman"/>
          <w:color w:val="auto"/>
          <w:sz w:val="24"/>
          <w:highlight w:val="none"/>
        </w:rPr>
        <w:t>②有限长线声源（设线声源长为L</w:t>
      </w:r>
      <w:r>
        <w:rPr>
          <w:rFonts w:hint="default" w:ascii="Times New Roman" w:hAnsi="Times New Roman" w:eastAsia="宋体" w:cs="Times New Roman"/>
          <w:color w:val="auto"/>
          <w:sz w:val="24"/>
          <w:highlight w:val="none"/>
          <w:vertAlign w:val="subscript"/>
        </w:rPr>
        <w:t>o</w:t>
      </w:r>
      <w:r>
        <w:rPr>
          <w:rFonts w:hint="default" w:ascii="Times New Roman" w:hAnsi="Times New Roman" w:eastAsia="宋体" w:cs="Times New Roman"/>
          <w:color w:val="auto"/>
          <w:sz w:val="24"/>
          <w:highlight w:val="none"/>
          <w:lang w:eastAsia="zh-CN"/>
        </w:rPr>
        <w:t>）</w:t>
      </w:r>
      <w:bookmarkEnd w:id="1051"/>
      <w:bookmarkEnd w:id="1052"/>
    </w:p>
    <w:p>
      <w:pPr>
        <w:pageBreakBefore w:val="0"/>
        <w:wordWrap/>
        <w:bidi w:val="0"/>
        <w:spacing w:line="360" w:lineRule="auto"/>
        <w:ind w:left="0" w:leftChars="0" w:right="0" w:rightChars="0" w:firstLine="480" w:firstLineChars="200"/>
        <w:outlineLvl w:val="2"/>
        <w:rPr>
          <w:rFonts w:hint="default" w:ascii="Times New Roman" w:hAnsi="Times New Roman" w:eastAsia="宋体" w:cs="Times New Roman"/>
          <w:color w:val="auto"/>
          <w:sz w:val="24"/>
          <w:highlight w:val="none"/>
          <w:lang w:eastAsia="zh-CN"/>
        </w:rPr>
      </w:pPr>
      <w:bookmarkStart w:id="1053" w:name="_Toc26998"/>
      <w:bookmarkStart w:id="1054" w:name="_Toc3687"/>
      <w:r>
        <w:rPr>
          <w:rFonts w:hint="default" w:ascii="Times New Roman" w:hAnsi="Times New Roman" w:eastAsia="宋体" w:cs="Times New Roman"/>
          <w:color w:val="auto"/>
          <w:sz w:val="24"/>
          <w:highlight w:val="none"/>
        </w:rPr>
        <w:t>当r&gt;L</w:t>
      </w:r>
      <w:r>
        <w:rPr>
          <w:rFonts w:hint="default" w:ascii="Times New Roman" w:hAnsi="Times New Roman" w:eastAsia="宋体" w:cs="Times New Roman"/>
          <w:color w:val="auto"/>
          <w:sz w:val="24"/>
          <w:highlight w:val="none"/>
          <w:vertAlign w:val="subscript"/>
        </w:rPr>
        <w:t>o</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且r</w:t>
      </w:r>
      <w:r>
        <w:rPr>
          <w:rFonts w:hint="default" w:ascii="Times New Roman" w:hAnsi="Times New Roman" w:eastAsia="宋体" w:cs="Times New Roman"/>
          <w:color w:val="auto"/>
          <w:sz w:val="24"/>
          <w:highlight w:val="none"/>
          <w:vertAlign w:val="subscript"/>
        </w:rPr>
        <w:t>o</w:t>
      </w:r>
      <w:r>
        <w:rPr>
          <w:rFonts w:hint="default" w:ascii="Times New Roman" w:hAnsi="Times New Roman" w:eastAsia="宋体" w:cs="Times New Roman"/>
          <w:color w:val="auto"/>
          <w:sz w:val="24"/>
          <w:highlight w:val="none"/>
        </w:rPr>
        <w:t>&gt;L</w:t>
      </w:r>
      <w:r>
        <w:rPr>
          <w:rFonts w:hint="default" w:ascii="Times New Roman" w:hAnsi="Times New Roman" w:eastAsia="宋体" w:cs="Times New Roman"/>
          <w:color w:val="auto"/>
          <w:sz w:val="24"/>
          <w:highlight w:val="none"/>
          <w:vertAlign w:val="subscript"/>
        </w:rPr>
        <w:t>o</w:t>
      </w:r>
      <w:r>
        <w:rPr>
          <w:rFonts w:hint="default" w:ascii="Times New Roman" w:hAnsi="Times New Roman" w:eastAsia="宋体" w:cs="Times New Roman"/>
          <w:color w:val="auto"/>
          <w:sz w:val="24"/>
          <w:highlight w:val="none"/>
        </w:rPr>
        <w:t>时</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A</w:t>
      </w:r>
      <w:r>
        <w:rPr>
          <w:rFonts w:hint="default" w:ascii="Times New Roman" w:hAnsi="Times New Roman" w:eastAsia="宋体" w:cs="Times New Roman"/>
          <w:color w:val="auto"/>
          <w:sz w:val="24"/>
          <w:highlight w:val="none"/>
          <w:vertAlign w:val="subscript"/>
        </w:rPr>
        <w:t>d</w:t>
      </w:r>
      <w:r>
        <w:rPr>
          <w:rFonts w:hint="default" w:ascii="Times New Roman" w:hAnsi="Times New Roman" w:eastAsia="宋体" w:cs="Times New Roman"/>
          <w:color w:val="auto"/>
          <w:sz w:val="24"/>
          <w:highlight w:val="none"/>
          <w:vertAlign w:val="subscript"/>
          <w:lang w:eastAsia="zh-CN"/>
        </w:rPr>
        <w:t>Ⅳ</w:t>
      </w:r>
      <w:r>
        <w:rPr>
          <w:rFonts w:hint="default" w:ascii="Times New Roman" w:hAnsi="Times New Roman" w:eastAsia="宋体" w:cs="Times New Roman"/>
          <w:color w:val="auto"/>
          <w:sz w:val="24"/>
          <w:highlight w:val="none"/>
        </w:rPr>
        <w:t>=20lg（r/r</w:t>
      </w:r>
      <w:r>
        <w:rPr>
          <w:rFonts w:hint="default" w:ascii="Times New Roman" w:hAnsi="Times New Roman" w:eastAsia="宋体" w:cs="Times New Roman"/>
          <w:color w:val="auto"/>
          <w:sz w:val="24"/>
          <w:highlight w:val="none"/>
          <w:vertAlign w:val="subscript"/>
        </w:rPr>
        <w:t>o</w:t>
      </w:r>
      <w:r>
        <w:rPr>
          <w:rFonts w:hint="default" w:ascii="Times New Roman" w:hAnsi="Times New Roman" w:eastAsia="宋体" w:cs="Times New Roman"/>
          <w:color w:val="auto"/>
          <w:sz w:val="24"/>
          <w:highlight w:val="none"/>
          <w:lang w:eastAsia="zh-CN"/>
        </w:rPr>
        <w:t>）</w:t>
      </w:r>
      <w:bookmarkEnd w:id="1053"/>
      <w:bookmarkEnd w:id="1054"/>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当r&lt;L</w:t>
      </w:r>
      <w:r>
        <w:rPr>
          <w:rFonts w:hint="default" w:ascii="Times New Roman" w:hAnsi="Times New Roman" w:eastAsia="宋体" w:cs="Times New Roman"/>
          <w:color w:val="auto"/>
          <w:sz w:val="24"/>
          <w:highlight w:val="none"/>
          <w:vertAlign w:val="subscript"/>
        </w:rPr>
        <w:t>o</w:t>
      </w:r>
      <w:r>
        <w:rPr>
          <w:rFonts w:hint="default" w:ascii="Times New Roman" w:hAnsi="Times New Roman" w:eastAsia="宋体" w:cs="Times New Roman"/>
          <w:color w:val="auto"/>
          <w:sz w:val="24"/>
          <w:highlight w:val="none"/>
        </w:rPr>
        <w:t>/3</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且r</w:t>
      </w:r>
      <w:r>
        <w:rPr>
          <w:rFonts w:hint="default" w:ascii="Times New Roman" w:hAnsi="Times New Roman" w:eastAsia="宋体" w:cs="Times New Roman"/>
          <w:color w:val="auto"/>
          <w:sz w:val="24"/>
          <w:highlight w:val="none"/>
          <w:vertAlign w:val="subscript"/>
        </w:rPr>
        <w:t>o</w:t>
      </w:r>
      <w:r>
        <w:rPr>
          <w:rFonts w:hint="default" w:ascii="Times New Roman" w:hAnsi="Times New Roman" w:eastAsia="宋体" w:cs="Times New Roman"/>
          <w:color w:val="auto"/>
          <w:sz w:val="24"/>
          <w:highlight w:val="none"/>
        </w:rPr>
        <w:t>&lt;L</w:t>
      </w:r>
      <w:r>
        <w:rPr>
          <w:rFonts w:hint="default" w:ascii="Times New Roman" w:hAnsi="Times New Roman" w:eastAsia="宋体" w:cs="Times New Roman"/>
          <w:color w:val="auto"/>
          <w:sz w:val="24"/>
          <w:highlight w:val="none"/>
          <w:vertAlign w:val="subscript"/>
        </w:rPr>
        <w:t>o</w:t>
      </w:r>
      <w:r>
        <w:rPr>
          <w:rFonts w:hint="default" w:ascii="Times New Roman" w:hAnsi="Times New Roman" w:eastAsia="宋体" w:cs="Times New Roman"/>
          <w:color w:val="auto"/>
          <w:sz w:val="24"/>
          <w:highlight w:val="none"/>
        </w:rPr>
        <w:t>/3时</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A</w:t>
      </w:r>
      <w:r>
        <w:rPr>
          <w:rFonts w:hint="default" w:ascii="Times New Roman" w:hAnsi="Times New Roman" w:eastAsia="宋体" w:cs="Times New Roman"/>
          <w:color w:val="auto"/>
          <w:sz w:val="24"/>
          <w:highlight w:val="none"/>
          <w:vertAlign w:val="subscript"/>
        </w:rPr>
        <w:t>d</w:t>
      </w:r>
      <w:r>
        <w:rPr>
          <w:rFonts w:hint="default" w:ascii="Times New Roman" w:hAnsi="Times New Roman" w:eastAsia="宋体" w:cs="Times New Roman"/>
          <w:color w:val="auto"/>
          <w:sz w:val="24"/>
          <w:highlight w:val="none"/>
          <w:vertAlign w:val="subscript"/>
          <w:lang w:eastAsia="zh-CN"/>
        </w:rPr>
        <w:t>Ⅳ</w:t>
      </w:r>
      <w:r>
        <w:rPr>
          <w:rFonts w:hint="default" w:ascii="Times New Roman" w:hAnsi="Times New Roman" w:eastAsia="宋体" w:cs="Times New Roman"/>
          <w:color w:val="auto"/>
          <w:sz w:val="24"/>
          <w:highlight w:val="none"/>
        </w:rPr>
        <w:t>=10lg（r/r</w:t>
      </w:r>
      <w:r>
        <w:rPr>
          <w:rFonts w:hint="default" w:ascii="Times New Roman" w:hAnsi="Times New Roman" w:eastAsia="宋体" w:cs="Times New Roman"/>
          <w:color w:val="auto"/>
          <w:sz w:val="24"/>
          <w:highlight w:val="none"/>
          <w:vertAlign w:val="subscript"/>
        </w:rPr>
        <w:t>o</w:t>
      </w:r>
      <w:r>
        <w:rPr>
          <w:rFonts w:hint="default" w:ascii="Times New Roman" w:hAnsi="Times New Roman" w:eastAsia="宋体" w:cs="Times New Roman"/>
          <w:color w:val="auto"/>
          <w:sz w:val="24"/>
          <w:highlight w:val="none"/>
          <w:lang w:eastAsia="zh-CN"/>
        </w:rPr>
        <w:t>）</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当L</w:t>
      </w:r>
      <w:r>
        <w:rPr>
          <w:rFonts w:hint="default" w:ascii="Times New Roman" w:hAnsi="Times New Roman" w:eastAsia="宋体" w:cs="Times New Roman"/>
          <w:color w:val="auto"/>
          <w:sz w:val="24"/>
          <w:highlight w:val="none"/>
          <w:vertAlign w:val="subscript"/>
        </w:rPr>
        <w:t>o</w:t>
      </w:r>
      <w:r>
        <w:rPr>
          <w:rFonts w:hint="default" w:ascii="Times New Roman" w:hAnsi="Times New Roman" w:eastAsia="宋体" w:cs="Times New Roman"/>
          <w:color w:val="auto"/>
          <w:sz w:val="24"/>
          <w:highlight w:val="none"/>
        </w:rPr>
        <w:t>/3&lt;r&lt;L</w:t>
      </w:r>
      <w:r>
        <w:rPr>
          <w:rFonts w:hint="default" w:ascii="Times New Roman" w:hAnsi="Times New Roman" w:eastAsia="宋体" w:cs="Times New Roman"/>
          <w:color w:val="auto"/>
          <w:sz w:val="24"/>
          <w:highlight w:val="none"/>
          <w:vertAlign w:val="subscript"/>
        </w:rPr>
        <w:t>o</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且L</w:t>
      </w:r>
      <w:r>
        <w:rPr>
          <w:rFonts w:hint="default" w:ascii="Times New Roman" w:hAnsi="Times New Roman" w:eastAsia="宋体" w:cs="Times New Roman"/>
          <w:color w:val="auto"/>
          <w:sz w:val="24"/>
          <w:highlight w:val="none"/>
          <w:vertAlign w:val="subscript"/>
        </w:rPr>
        <w:t>o</w:t>
      </w:r>
      <w:r>
        <w:rPr>
          <w:rFonts w:hint="default" w:ascii="Times New Roman" w:hAnsi="Times New Roman" w:eastAsia="宋体" w:cs="Times New Roman"/>
          <w:color w:val="auto"/>
          <w:sz w:val="24"/>
          <w:highlight w:val="none"/>
        </w:rPr>
        <w:t>/3&lt;r</w:t>
      </w:r>
      <w:r>
        <w:rPr>
          <w:rFonts w:hint="default" w:ascii="Times New Roman" w:hAnsi="Times New Roman" w:eastAsia="宋体" w:cs="Times New Roman"/>
          <w:color w:val="auto"/>
          <w:sz w:val="24"/>
          <w:highlight w:val="none"/>
          <w:vertAlign w:val="subscript"/>
        </w:rPr>
        <w:t>o</w:t>
      </w:r>
      <w:r>
        <w:rPr>
          <w:rFonts w:hint="default" w:ascii="Times New Roman" w:hAnsi="Times New Roman" w:eastAsia="宋体" w:cs="Times New Roman"/>
          <w:color w:val="auto"/>
          <w:sz w:val="24"/>
          <w:highlight w:val="none"/>
        </w:rPr>
        <w:t>&lt;L</w:t>
      </w:r>
      <w:r>
        <w:rPr>
          <w:rFonts w:hint="default" w:ascii="Times New Roman" w:hAnsi="Times New Roman" w:eastAsia="宋体" w:cs="Times New Roman"/>
          <w:color w:val="auto"/>
          <w:sz w:val="24"/>
          <w:highlight w:val="none"/>
          <w:vertAlign w:val="subscript"/>
        </w:rPr>
        <w:t>o</w:t>
      </w:r>
      <w:r>
        <w:rPr>
          <w:rFonts w:hint="default" w:ascii="Times New Roman" w:hAnsi="Times New Roman" w:eastAsia="宋体" w:cs="Times New Roman"/>
          <w:color w:val="auto"/>
          <w:sz w:val="24"/>
          <w:highlight w:val="none"/>
        </w:rPr>
        <w:t>时</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A</w:t>
      </w:r>
      <w:r>
        <w:rPr>
          <w:rFonts w:hint="default" w:ascii="Times New Roman" w:hAnsi="Times New Roman" w:eastAsia="宋体" w:cs="Times New Roman"/>
          <w:color w:val="auto"/>
          <w:sz w:val="24"/>
          <w:highlight w:val="none"/>
          <w:vertAlign w:val="subscript"/>
        </w:rPr>
        <w:t>d</w:t>
      </w:r>
      <w:r>
        <w:rPr>
          <w:rFonts w:hint="default" w:ascii="Times New Roman" w:hAnsi="Times New Roman" w:eastAsia="宋体" w:cs="Times New Roman"/>
          <w:color w:val="auto"/>
          <w:sz w:val="24"/>
          <w:highlight w:val="none"/>
          <w:vertAlign w:val="subscript"/>
          <w:lang w:eastAsia="zh-CN"/>
        </w:rPr>
        <w:t>Ⅳ</w:t>
      </w:r>
      <w:r>
        <w:rPr>
          <w:rFonts w:hint="default" w:ascii="Times New Roman" w:hAnsi="Times New Roman" w:eastAsia="宋体" w:cs="Times New Roman"/>
          <w:color w:val="auto"/>
          <w:sz w:val="24"/>
          <w:highlight w:val="none"/>
        </w:rPr>
        <w:t>=15lg（r/r</w:t>
      </w:r>
      <w:r>
        <w:rPr>
          <w:rFonts w:hint="default" w:ascii="Times New Roman" w:hAnsi="Times New Roman" w:eastAsia="宋体" w:cs="Times New Roman"/>
          <w:color w:val="auto"/>
          <w:sz w:val="24"/>
          <w:highlight w:val="none"/>
          <w:vertAlign w:val="subscript"/>
        </w:rPr>
        <w:t>o</w:t>
      </w:r>
      <w:r>
        <w:rPr>
          <w:rFonts w:hint="default" w:ascii="Times New Roman" w:hAnsi="Times New Roman" w:eastAsia="宋体" w:cs="Times New Roman"/>
          <w:color w:val="auto"/>
          <w:sz w:val="24"/>
          <w:highlight w:val="none"/>
          <w:lang w:eastAsia="zh-CN"/>
        </w:rPr>
        <w:t>）</w:t>
      </w:r>
    </w:p>
    <w:p>
      <w:pPr>
        <w:pageBreakBefore w:val="0"/>
        <w:wordWrap/>
        <w:bidi w:val="0"/>
        <w:spacing w:line="360" w:lineRule="auto"/>
        <w:ind w:left="0" w:leftChars="0" w:right="0" w:rightChars="0" w:firstLine="480" w:firstLineChars="200"/>
        <w:outlineLvl w:val="1"/>
        <w:rPr>
          <w:rFonts w:hint="default" w:ascii="Times New Roman" w:hAnsi="Times New Roman" w:eastAsia="宋体" w:cs="Times New Roman"/>
          <w:color w:val="auto"/>
          <w:sz w:val="24"/>
          <w:highlight w:val="none"/>
          <w:lang w:eastAsia="zh-CN"/>
        </w:rPr>
      </w:pPr>
      <w:bookmarkStart w:id="1055" w:name="_Toc29821"/>
      <w:bookmarkStart w:id="1056" w:name="_Toc14296"/>
      <w:r>
        <w:rPr>
          <w:rFonts w:hint="default" w:ascii="Times New Roman" w:hAnsi="Times New Roman" w:eastAsia="宋体" w:cs="Times New Roman"/>
          <w:color w:val="auto"/>
          <w:sz w:val="24"/>
          <w:highlight w:val="none"/>
        </w:rPr>
        <w:t>③面声源（设面声源高度为a</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长度为b</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且a＜b</w:t>
      </w:r>
      <w:r>
        <w:rPr>
          <w:rFonts w:hint="default" w:ascii="Times New Roman" w:hAnsi="Times New Roman" w:eastAsia="宋体" w:cs="Times New Roman"/>
          <w:color w:val="auto"/>
          <w:sz w:val="24"/>
          <w:highlight w:val="none"/>
          <w:lang w:eastAsia="zh-CN"/>
        </w:rPr>
        <w:t>）</w:t>
      </w:r>
      <w:bookmarkEnd w:id="1055"/>
      <w:bookmarkEnd w:id="1056"/>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当r&lt;a/3时</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且r</w:t>
      </w:r>
      <w:r>
        <w:rPr>
          <w:rFonts w:hint="default" w:ascii="Times New Roman" w:hAnsi="Times New Roman" w:eastAsia="宋体" w:cs="Times New Roman"/>
          <w:color w:val="auto"/>
          <w:sz w:val="24"/>
          <w:highlight w:val="none"/>
          <w:vertAlign w:val="subscript"/>
        </w:rPr>
        <w:t>o</w:t>
      </w:r>
      <w:r>
        <w:rPr>
          <w:rFonts w:hint="default" w:ascii="Times New Roman" w:hAnsi="Times New Roman" w:eastAsia="宋体" w:cs="Times New Roman"/>
          <w:color w:val="auto"/>
          <w:sz w:val="24"/>
          <w:highlight w:val="none"/>
        </w:rPr>
        <w:t>&lt;a/3时</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A</w:t>
      </w:r>
      <w:r>
        <w:rPr>
          <w:rFonts w:hint="default" w:ascii="Times New Roman" w:hAnsi="Times New Roman" w:eastAsia="宋体" w:cs="Times New Roman"/>
          <w:color w:val="auto"/>
          <w:sz w:val="24"/>
          <w:highlight w:val="none"/>
          <w:vertAlign w:val="subscript"/>
        </w:rPr>
        <w:t>d</w:t>
      </w:r>
      <w:r>
        <w:rPr>
          <w:rFonts w:hint="default" w:ascii="Times New Roman" w:hAnsi="Times New Roman" w:eastAsia="宋体" w:cs="Times New Roman"/>
          <w:color w:val="auto"/>
          <w:sz w:val="24"/>
          <w:highlight w:val="none"/>
          <w:vertAlign w:val="subscript"/>
          <w:lang w:eastAsia="zh-CN"/>
        </w:rPr>
        <w:t>Ⅳ</w:t>
      </w:r>
      <w:r>
        <w:rPr>
          <w:rFonts w:hint="default" w:ascii="Times New Roman" w:hAnsi="Times New Roman" w:eastAsia="宋体" w:cs="Times New Roman"/>
          <w:color w:val="auto"/>
          <w:sz w:val="24"/>
          <w:highlight w:val="none"/>
        </w:rPr>
        <w:t>=0</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当a/3&lt;r&lt;b/3</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且a/3&lt;r</w:t>
      </w:r>
      <w:r>
        <w:rPr>
          <w:rFonts w:hint="default" w:ascii="Times New Roman" w:hAnsi="Times New Roman" w:eastAsia="宋体" w:cs="Times New Roman"/>
          <w:color w:val="auto"/>
          <w:sz w:val="24"/>
          <w:highlight w:val="none"/>
          <w:vertAlign w:val="subscript"/>
        </w:rPr>
        <w:t>o</w:t>
      </w:r>
      <w:r>
        <w:rPr>
          <w:rFonts w:hint="default" w:ascii="Times New Roman" w:hAnsi="Times New Roman" w:eastAsia="宋体" w:cs="Times New Roman"/>
          <w:color w:val="auto"/>
          <w:sz w:val="24"/>
          <w:highlight w:val="none"/>
        </w:rPr>
        <w:t>&lt;b/3时</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A</w:t>
      </w:r>
      <w:r>
        <w:rPr>
          <w:rFonts w:hint="default" w:ascii="Times New Roman" w:hAnsi="Times New Roman" w:eastAsia="宋体" w:cs="Times New Roman"/>
          <w:color w:val="auto"/>
          <w:sz w:val="24"/>
          <w:highlight w:val="none"/>
          <w:vertAlign w:val="subscript"/>
        </w:rPr>
        <w:t>d</w:t>
      </w:r>
      <w:r>
        <w:rPr>
          <w:rFonts w:hint="default" w:ascii="Times New Roman" w:hAnsi="Times New Roman" w:eastAsia="宋体" w:cs="Times New Roman"/>
          <w:color w:val="auto"/>
          <w:sz w:val="24"/>
          <w:highlight w:val="none"/>
          <w:vertAlign w:val="subscript"/>
          <w:lang w:eastAsia="zh-CN"/>
        </w:rPr>
        <w:t>Ⅳ</w:t>
      </w:r>
      <w:r>
        <w:rPr>
          <w:rFonts w:hint="default" w:ascii="Times New Roman" w:hAnsi="Times New Roman" w:eastAsia="宋体" w:cs="Times New Roman"/>
          <w:color w:val="auto"/>
          <w:sz w:val="24"/>
          <w:highlight w:val="none"/>
        </w:rPr>
        <w:t>=10lg（r/r</w:t>
      </w:r>
      <w:r>
        <w:rPr>
          <w:rFonts w:hint="default" w:ascii="Times New Roman" w:hAnsi="Times New Roman" w:eastAsia="宋体" w:cs="Times New Roman"/>
          <w:color w:val="auto"/>
          <w:sz w:val="24"/>
          <w:highlight w:val="none"/>
          <w:vertAlign w:val="subscript"/>
        </w:rPr>
        <w:t>o</w:t>
      </w:r>
      <w:r>
        <w:rPr>
          <w:rFonts w:hint="default" w:ascii="Times New Roman" w:hAnsi="Times New Roman" w:eastAsia="宋体" w:cs="Times New Roman"/>
          <w:color w:val="auto"/>
          <w:sz w:val="24"/>
          <w:highlight w:val="none"/>
          <w:lang w:eastAsia="zh-CN"/>
        </w:rPr>
        <w:t>）</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当b/3&lt;r&lt;b</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且b/3&lt;r</w:t>
      </w:r>
      <w:r>
        <w:rPr>
          <w:rFonts w:hint="default" w:ascii="Times New Roman" w:hAnsi="Times New Roman" w:eastAsia="宋体" w:cs="Times New Roman"/>
          <w:color w:val="auto"/>
          <w:sz w:val="24"/>
          <w:highlight w:val="none"/>
          <w:vertAlign w:val="subscript"/>
        </w:rPr>
        <w:t>o</w:t>
      </w:r>
      <w:r>
        <w:rPr>
          <w:rFonts w:hint="default" w:ascii="Times New Roman" w:hAnsi="Times New Roman" w:eastAsia="宋体" w:cs="Times New Roman"/>
          <w:color w:val="auto"/>
          <w:sz w:val="24"/>
          <w:highlight w:val="none"/>
        </w:rPr>
        <w:t>&lt;b时</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A</w:t>
      </w:r>
      <w:r>
        <w:rPr>
          <w:rFonts w:hint="default" w:ascii="Times New Roman" w:hAnsi="Times New Roman" w:eastAsia="宋体" w:cs="Times New Roman"/>
          <w:color w:val="auto"/>
          <w:sz w:val="24"/>
          <w:highlight w:val="none"/>
          <w:vertAlign w:val="subscript"/>
        </w:rPr>
        <w:t>d</w:t>
      </w:r>
      <w:r>
        <w:rPr>
          <w:rFonts w:hint="default" w:ascii="Times New Roman" w:hAnsi="Times New Roman" w:eastAsia="宋体" w:cs="Times New Roman"/>
          <w:color w:val="auto"/>
          <w:sz w:val="24"/>
          <w:highlight w:val="none"/>
          <w:vertAlign w:val="subscript"/>
          <w:lang w:eastAsia="zh-CN"/>
        </w:rPr>
        <w:t>Ⅳ</w:t>
      </w:r>
      <w:r>
        <w:rPr>
          <w:rFonts w:hint="default" w:ascii="Times New Roman" w:hAnsi="Times New Roman" w:eastAsia="宋体" w:cs="Times New Roman"/>
          <w:color w:val="auto"/>
          <w:sz w:val="24"/>
          <w:highlight w:val="none"/>
        </w:rPr>
        <w:t>=15lg（r/r</w:t>
      </w:r>
      <w:r>
        <w:rPr>
          <w:rFonts w:hint="default" w:ascii="Times New Roman" w:hAnsi="Times New Roman" w:eastAsia="宋体" w:cs="Times New Roman"/>
          <w:color w:val="auto"/>
          <w:sz w:val="24"/>
          <w:highlight w:val="none"/>
          <w:vertAlign w:val="subscript"/>
        </w:rPr>
        <w:t>o</w:t>
      </w:r>
      <w:r>
        <w:rPr>
          <w:rFonts w:hint="default" w:ascii="Times New Roman" w:hAnsi="Times New Roman" w:eastAsia="宋体" w:cs="Times New Roman"/>
          <w:color w:val="auto"/>
          <w:sz w:val="24"/>
          <w:highlight w:val="none"/>
          <w:lang w:eastAsia="zh-CN"/>
        </w:rPr>
        <w:t>）</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当b&lt;r时</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且b&lt;r</w:t>
      </w:r>
      <w:r>
        <w:rPr>
          <w:rFonts w:hint="default" w:ascii="Times New Roman" w:hAnsi="Times New Roman" w:eastAsia="宋体" w:cs="Times New Roman"/>
          <w:color w:val="auto"/>
          <w:sz w:val="24"/>
          <w:highlight w:val="none"/>
          <w:vertAlign w:val="subscript"/>
        </w:rPr>
        <w:t>o</w:t>
      </w:r>
      <w:r>
        <w:rPr>
          <w:rFonts w:hint="default" w:ascii="Times New Roman" w:hAnsi="Times New Roman" w:eastAsia="宋体" w:cs="Times New Roman"/>
          <w:color w:val="auto"/>
          <w:sz w:val="24"/>
          <w:highlight w:val="none"/>
        </w:rPr>
        <w:t>时</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A</w:t>
      </w:r>
      <w:r>
        <w:rPr>
          <w:rFonts w:hint="default" w:ascii="Times New Roman" w:hAnsi="Times New Roman" w:eastAsia="宋体" w:cs="Times New Roman"/>
          <w:color w:val="auto"/>
          <w:sz w:val="24"/>
          <w:highlight w:val="none"/>
          <w:vertAlign w:val="subscript"/>
        </w:rPr>
        <w:t>d</w:t>
      </w:r>
      <w:r>
        <w:rPr>
          <w:rFonts w:hint="default" w:ascii="Times New Roman" w:hAnsi="Times New Roman" w:eastAsia="宋体" w:cs="Times New Roman"/>
          <w:color w:val="auto"/>
          <w:sz w:val="24"/>
          <w:highlight w:val="none"/>
          <w:vertAlign w:val="subscript"/>
          <w:lang w:eastAsia="zh-CN"/>
        </w:rPr>
        <w:t>Ⅳ</w:t>
      </w:r>
      <w:r>
        <w:rPr>
          <w:rFonts w:hint="default" w:ascii="Times New Roman" w:hAnsi="Times New Roman" w:eastAsia="宋体" w:cs="Times New Roman"/>
          <w:color w:val="auto"/>
          <w:sz w:val="24"/>
          <w:highlight w:val="none"/>
        </w:rPr>
        <w:t>=20lg（r/r</w:t>
      </w:r>
      <w:r>
        <w:rPr>
          <w:rFonts w:hint="default" w:ascii="Times New Roman" w:hAnsi="Times New Roman" w:eastAsia="宋体" w:cs="Times New Roman"/>
          <w:color w:val="auto"/>
          <w:sz w:val="24"/>
          <w:highlight w:val="none"/>
          <w:vertAlign w:val="subscript"/>
        </w:rPr>
        <w:t>o</w:t>
      </w:r>
      <w:r>
        <w:rPr>
          <w:rFonts w:hint="default" w:ascii="Times New Roman" w:hAnsi="Times New Roman" w:eastAsia="宋体" w:cs="Times New Roman"/>
          <w:color w:val="auto"/>
          <w:sz w:val="24"/>
          <w:highlight w:val="none"/>
          <w:lang w:eastAsia="zh-CN"/>
        </w:rPr>
        <w:t>）</w:t>
      </w:r>
    </w:p>
    <w:p>
      <w:pPr>
        <w:pageBreakBefore w:val="0"/>
        <w:wordWrap/>
        <w:bidi w:val="0"/>
        <w:spacing w:line="360" w:lineRule="auto"/>
        <w:ind w:left="0" w:leftChars="0" w:right="0" w:rightChars="0" w:firstLine="480" w:firstLineChars="200"/>
        <w:outlineLvl w:val="1"/>
        <w:rPr>
          <w:rFonts w:hint="default" w:ascii="Times New Roman" w:hAnsi="Times New Roman" w:eastAsia="宋体" w:cs="Times New Roman"/>
          <w:color w:val="auto"/>
          <w:sz w:val="24"/>
          <w:highlight w:val="none"/>
        </w:rPr>
      </w:pPr>
      <w:bookmarkStart w:id="1057" w:name="_Toc31527"/>
      <w:bookmarkStart w:id="1058" w:name="_Toc22045"/>
      <w:r>
        <w:rPr>
          <w:rFonts w:hint="default" w:ascii="Times New Roman" w:hAnsi="Times New Roman" w:eastAsia="宋体" w:cs="Times New Roman"/>
          <w:color w:val="auto"/>
          <w:sz w:val="24"/>
          <w:highlight w:val="none"/>
        </w:rPr>
        <w:t>④空气吸收衰减量A</w:t>
      </w:r>
      <w:r>
        <w:rPr>
          <w:rFonts w:hint="default" w:ascii="Times New Roman" w:hAnsi="Times New Roman" w:eastAsia="宋体" w:cs="Times New Roman"/>
          <w:color w:val="auto"/>
          <w:sz w:val="24"/>
          <w:highlight w:val="none"/>
          <w:vertAlign w:val="subscript"/>
        </w:rPr>
        <w:t>atm</w:t>
      </w:r>
      <w:bookmarkEnd w:id="1057"/>
      <w:bookmarkEnd w:id="1058"/>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本项目噪声空气吸收性衰减很少</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预测时可忽略不计。</w:t>
      </w:r>
    </w:p>
    <w:p>
      <w:pPr>
        <w:pageBreakBefore w:val="0"/>
        <w:wordWrap/>
        <w:bidi w:val="0"/>
        <w:spacing w:line="360" w:lineRule="auto"/>
        <w:ind w:left="0" w:leftChars="0" w:right="0" w:rightChars="0" w:firstLine="480" w:firstLineChars="200"/>
        <w:outlineLvl w:val="1"/>
        <w:rPr>
          <w:rFonts w:hint="default" w:ascii="Times New Roman" w:hAnsi="Times New Roman" w:eastAsia="宋体" w:cs="Times New Roman"/>
          <w:color w:val="auto"/>
          <w:sz w:val="24"/>
          <w:highlight w:val="none"/>
        </w:rPr>
      </w:pPr>
      <w:bookmarkStart w:id="1059" w:name="_Toc983"/>
      <w:bookmarkStart w:id="1060" w:name="_Toc7168"/>
      <w:r>
        <w:rPr>
          <w:rFonts w:hint="default" w:ascii="Times New Roman" w:hAnsi="Times New Roman" w:eastAsia="宋体" w:cs="Times New Roman"/>
          <w:color w:val="auto"/>
          <w:sz w:val="24"/>
          <w:highlight w:val="none"/>
        </w:rPr>
        <w:t>⑤遮挡物引起的衰减量A</w:t>
      </w:r>
      <w:r>
        <w:rPr>
          <w:rFonts w:hint="default" w:ascii="Times New Roman" w:hAnsi="Times New Roman" w:eastAsia="宋体" w:cs="Times New Roman"/>
          <w:color w:val="auto"/>
          <w:sz w:val="24"/>
          <w:highlight w:val="none"/>
          <w:vertAlign w:val="subscript"/>
        </w:rPr>
        <w:t>bar</w:t>
      </w:r>
      <w:bookmarkEnd w:id="1059"/>
      <w:bookmarkEnd w:id="1060"/>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噪声在向外传播过程中将受到厂房</w:t>
      </w:r>
      <w:r>
        <w:rPr>
          <w:rFonts w:hint="default" w:ascii="Times New Roman" w:hAnsi="Times New Roman" w:eastAsia="宋体" w:cs="Times New Roman"/>
          <w:color w:val="auto"/>
          <w:sz w:val="24"/>
          <w:highlight w:val="none"/>
          <w:lang w:eastAsia="zh-CN"/>
        </w:rPr>
        <w:t>或其他</w:t>
      </w:r>
      <w:r>
        <w:rPr>
          <w:rFonts w:hint="default" w:ascii="Times New Roman" w:hAnsi="Times New Roman" w:eastAsia="宋体" w:cs="Times New Roman"/>
          <w:color w:val="auto"/>
          <w:sz w:val="24"/>
          <w:highlight w:val="none"/>
        </w:rPr>
        <w:t>车间的阻挡影响</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从而引起声能量的衰减</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具体衰减根据不同声级的传播途径而定</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本次评价取20dB</w:t>
      </w:r>
      <w:r>
        <w:rPr>
          <w:rFonts w:hint="default" w:ascii="Times New Roman" w:hAnsi="Times New Roman" w:eastAsia="宋体" w:cs="Times New Roman"/>
          <w:color w:val="auto"/>
          <w:sz w:val="24"/>
          <w:highlight w:val="none"/>
          <w:lang w:eastAsia="zh-CN"/>
        </w:rPr>
        <w:t>（A）</w:t>
      </w:r>
      <w:r>
        <w:rPr>
          <w:rFonts w:hint="default" w:ascii="Times New Roman" w:hAnsi="Times New Roman" w:eastAsia="宋体" w:cs="Times New Roman"/>
          <w:color w:val="auto"/>
          <w:sz w:val="24"/>
          <w:highlight w:val="none"/>
        </w:rPr>
        <w:t>。</w:t>
      </w:r>
    </w:p>
    <w:p>
      <w:pPr>
        <w:pageBreakBefore w:val="0"/>
        <w:wordWrap/>
        <w:bidi w:val="0"/>
        <w:spacing w:line="360" w:lineRule="auto"/>
        <w:ind w:left="0" w:leftChars="0" w:right="0" w:rightChars="0" w:firstLine="480" w:firstLineChars="200"/>
        <w:outlineLvl w:val="1"/>
        <w:rPr>
          <w:rFonts w:hint="default" w:ascii="Times New Roman" w:hAnsi="Times New Roman" w:eastAsia="宋体" w:cs="Times New Roman"/>
          <w:color w:val="auto"/>
          <w:sz w:val="24"/>
          <w:highlight w:val="none"/>
        </w:rPr>
      </w:pPr>
      <w:bookmarkStart w:id="1061" w:name="_Toc29045"/>
      <w:bookmarkStart w:id="1062" w:name="_Toc9722"/>
      <w:r>
        <w:rPr>
          <w:rFonts w:hint="default" w:ascii="Times New Roman" w:hAnsi="Times New Roman" w:eastAsia="宋体" w:cs="Times New Roman"/>
          <w:color w:val="auto"/>
          <w:sz w:val="24"/>
          <w:highlight w:val="none"/>
        </w:rPr>
        <w:t>⑥附加衰减量A</w:t>
      </w:r>
      <w:r>
        <w:rPr>
          <w:rFonts w:hint="default" w:ascii="Times New Roman" w:hAnsi="Times New Roman" w:eastAsia="宋体" w:cs="Times New Roman"/>
          <w:color w:val="auto"/>
          <w:sz w:val="24"/>
          <w:highlight w:val="none"/>
          <w:vertAlign w:val="subscript"/>
        </w:rPr>
        <w:t>exc</w:t>
      </w:r>
      <w:bookmarkEnd w:id="1061"/>
      <w:bookmarkEnd w:id="1062"/>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主要考虑地面效应引起的附加衰减量</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根据厂区布置和噪声源强及外环境状况</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可以忽略本项附加衰减量。</w:t>
      </w:r>
    </w:p>
    <w:p>
      <w:pPr>
        <w:pStyle w:val="5"/>
        <w:pageBreakBefore w:val="0"/>
        <w:numPr>
          <w:ilvl w:val="2"/>
          <w:numId w:val="0"/>
        </w:numPr>
        <w:wordWrap/>
        <w:bidi w:val="0"/>
        <w:ind w:left="0" w:leftChars="0" w:right="0" w:rightChars="0"/>
        <w:rPr>
          <w:rFonts w:hint="default" w:ascii="Times New Roman" w:hAnsi="Times New Roman" w:eastAsia="宋体" w:cs="Times New Roman"/>
          <w:b/>
          <w:bCs/>
          <w:color w:val="auto"/>
          <w:highlight w:val="none"/>
        </w:rPr>
      </w:pPr>
      <w:bookmarkStart w:id="1063" w:name="_Toc26830"/>
      <w:bookmarkStart w:id="1064" w:name="_Toc15152"/>
      <w:bookmarkStart w:id="1065" w:name="_Toc8235"/>
      <w:r>
        <w:rPr>
          <w:rFonts w:hint="default" w:ascii="Times New Roman" w:hAnsi="Times New Roman" w:eastAsia="宋体" w:cs="Times New Roman"/>
          <w:b/>
          <w:bCs/>
          <w:i w:val="0"/>
          <w:iCs w:val="0"/>
          <w:caps w:val="0"/>
          <w:smallCaps w:val="0"/>
          <w:strike w:val="0"/>
          <w:dstrike w:val="0"/>
          <w:vanish w:val="0"/>
          <w:color w:val="auto"/>
          <w:spacing w:val="0"/>
          <w:kern w:val="2"/>
          <w:position w:val="0"/>
          <w:sz w:val="24"/>
          <w:szCs w:val="24"/>
          <w:highlight w:val="none"/>
          <w:u w:val="none"/>
          <w:vertAlign w:val="baseline"/>
          <w:lang w:val="en-US" w:eastAsia="zh-CN" w:bidi="ar-SA"/>
          <w14:shadow w14:blurRad="0" w14:dist="0" w14:dir="0" w14:sx="0" w14:sy="0" w14:kx="0" w14:ky="0" w14:algn="none">
            <w14:srgbClr w14:val="000000"/>
          </w14:shadow>
        </w:rPr>
        <w:t>7.5.3</w:t>
      </w:r>
      <w:r>
        <w:rPr>
          <w:rFonts w:hint="default" w:ascii="Times New Roman" w:hAnsi="Times New Roman" w:eastAsia="宋体" w:cs="Times New Roman"/>
          <w:b/>
          <w:bCs/>
          <w:color w:val="auto"/>
          <w:highlight w:val="none"/>
        </w:rPr>
        <w:t>预测结果及影响分析</w:t>
      </w:r>
      <w:bookmarkEnd w:id="1063"/>
      <w:bookmarkEnd w:id="1064"/>
      <w:bookmarkEnd w:id="1065"/>
    </w:p>
    <w:p>
      <w:pPr>
        <w:pageBreakBefore w:val="0"/>
        <w:wordWrap/>
        <w:bidi w:val="0"/>
        <w:spacing w:line="360" w:lineRule="auto"/>
        <w:ind w:left="0" w:leftChars="0" w:right="0" w:rightChars="0" w:firstLine="488"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pacing w:val="2"/>
          <w:position w:val="-2"/>
          <w:sz w:val="24"/>
          <w:highlight w:val="none"/>
        </w:rPr>
        <w:t>根据本项目主要噪声源的声学参数、声源分布及声源防治措施</w:t>
      </w:r>
      <w:r>
        <w:rPr>
          <w:rFonts w:hint="default" w:ascii="Times New Roman" w:hAnsi="Times New Roman" w:eastAsia="宋体" w:cs="Times New Roman"/>
          <w:color w:val="auto"/>
          <w:spacing w:val="2"/>
          <w:position w:val="-2"/>
          <w:sz w:val="24"/>
          <w:highlight w:val="none"/>
          <w:lang w:eastAsia="zh-CN"/>
        </w:rPr>
        <w:t>，</w:t>
      </w:r>
      <w:r>
        <w:rPr>
          <w:rFonts w:hint="default" w:ascii="Times New Roman" w:hAnsi="Times New Roman" w:eastAsia="宋体" w:cs="Times New Roman"/>
          <w:color w:val="auto"/>
          <w:spacing w:val="2"/>
          <w:position w:val="-2"/>
          <w:sz w:val="24"/>
          <w:highlight w:val="none"/>
        </w:rPr>
        <w:t>对项目投产后的厂界噪声进行预测计算</w:t>
      </w:r>
      <w:r>
        <w:rPr>
          <w:rFonts w:hint="default" w:ascii="Times New Roman" w:hAnsi="Times New Roman" w:eastAsia="宋体" w:cs="Times New Roman"/>
          <w:color w:val="auto"/>
          <w:spacing w:val="2"/>
          <w:position w:val="-2"/>
          <w:sz w:val="24"/>
          <w:highlight w:val="none"/>
          <w:lang w:eastAsia="zh-CN"/>
        </w:rPr>
        <w:t>，</w:t>
      </w:r>
      <w:r>
        <w:rPr>
          <w:rFonts w:hint="default" w:ascii="Times New Roman" w:hAnsi="Times New Roman" w:eastAsia="宋体" w:cs="Times New Roman"/>
          <w:color w:val="auto"/>
          <w:spacing w:val="2"/>
          <w:position w:val="-2"/>
          <w:sz w:val="24"/>
          <w:highlight w:val="none"/>
        </w:rPr>
        <w:t>结果见表7-2</w:t>
      </w:r>
      <w:r>
        <w:rPr>
          <w:rFonts w:hint="default" w:ascii="Times New Roman" w:hAnsi="Times New Roman" w:eastAsia="宋体" w:cs="Times New Roman"/>
          <w:color w:val="auto"/>
          <w:spacing w:val="2"/>
          <w:position w:val="-2"/>
          <w:sz w:val="24"/>
          <w:highlight w:val="none"/>
          <w:lang w:val="en-US" w:eastAsia="zh-CN"/>
        </w:rPr>
        <w:t>0</w:t>
      </w:r>
      <w:r>
        <w:rPr>
          <w:rFonts w:hint="default" w:ascii="Times New Roman" w:hAnsi="Times New Roman" w:eastAsia="宋体" w:cs="Times New Roman"/>
          <w:color w:val="auto"/>
          <w:spacing w:val="2"/>
          <w:position w:val="-2"/>
          <w:sz w:val="24"/>
          <w:highlight w:val="none"/>
        </w:rPr>
        <w:t>。</w:t>
      </w:r>
    </w:p>
    <w:p>
      <w:pPr>
        <w:pageBreakBefore w:val="0"/>
        <w:tabs>
          <w:tab w:val="left" w:pos="3062"/>
        </w:tabs>
        <w:wordWrap/>
        <w:bidi w:val="0"/>
        <w:spacing w:line="360" w:lineRule="auto"/>
        <w:ind w:left="0" w:leftChars="0" w:right="0" w:rightChars="0"/>
        <w:jc w:val="center"/>
        <w:rPr>
          <w:rFonts w:hint="default" w:ascii="Times New Roman" w:hAnsi="Times New Roman" w:eastAsia="宋体" w:cs="Times New Roman"/>
          <w:b/>
          <w:bCs/>
          <w:color w:val="auto"/>
          <w:sz w:val="24"/>
          <w:highlight w:val="none"/>
          <w:lang w:eastAsia="zh-CN"/>
        </w:rPr>
      </w:pPr>
      <w:r>
        <w:rPr>
          <w:rFonts w:hint="default" w:ascii="Times New Roman" w:hAnsi="Times New Roman" w:eastAsia="宋体" w:cs="Times New Roman"/>
          <w:b/>
          <w:bCs/>
          <w:color w:val="auto"/>
          <w:sz w:val="24"/>
          <w:highlight w:val="none"/>
        </w:rPr>
        <w:t>表7-2</w:t>
      </w:r>
      <w:r>
        <w:rPr>
          <w:rFonts w:hint="default" w:ascii="Times New Roman" w:hAnsi="Times New Roman" w:eastAsia="宋体" w:cs="Times New Roman"/>
          <w:b/>
          <w:bCs/>
          <w:color w:val="auto"/>
          <w:sz w:val="24"/>
          <w:highlight w:val="none"/>
          <w:lang w:val="en-US" w:eastAsia="zh-CN"/>
        </w:rPr>
        <w:t>0</w:t>
      </w:r>
      <w:r>
        <w:rPr>
          <w:rFonts w:hint="default" w:ascii="Times New Roman" w:hAnsi="Times New Roman" w:eastAsia="宋体" w:cs="Times New Roman"/>
          <w:b/>
          <w:bCs/>
          <w:color w:val="auto"/>
          <w:sz w:val="24"/>
          <w:highlight w:val="none"/>
        </w:rPr>
        <w:t>设备噪声预测结果单位</w:t>
      </w:r>
      <w:r>
        <w:rPr>
          <w:rFonts w:hint="default" w:ascii="Times New Roman" w:hAnsi="Times New Roman" w:eastAsia="宋体" w:cs="Times New Roman"/>
          <w:b/>
          <w:bCs/>
          <w:color w:val="auto"/>
          <w:sz w:val="24"/>
          <w:highlight w:val="none"/>
          <w:lang w:eastAsia="zh-CN"/>
        </w:rPr>
        <w:t>：</w:t>
      </w:r>
      <w:r>
        <w:rPr>
          <w:rFonts w:hint="default" w:ascii="Times New Roman" w:hAnsi="Times New Roman" w:eastAsia="宋体" w:cs="Times New Roman"/>
          <w:b/>
          <w:bCs/>
          <w:color w:val="auto"/>
          <w:sz w:val="24"/>
          <w:highlight w:val="none"/>
        </w:rPr>
        <w:t>dB</w:t>
      </w:r>
      <w:r>
        <w:rPr>
          <w:rFonts w:hint="default" w:ascii="Times New Roman" w:hAnsi="Times New Roman" w:eastAsia="宋体" w:cs="Times New Roman"/>
          <w:b/>
          <w:bCs/>
          <w:color w:val="auto"/>
          <w:sz w:val="24"/>
          <w:highlight w:val="none"/>
          <w:lang w:eastAsia="zh-CN"/>
        </w:rPr>
        <w:t>（A）</w:t>
      </w:r>
    </w:p>
    <w:tbl>
      <w:tblPr>
        <w:tblStyle w:val="5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08"/>
        <w:gridCol w:w="1229"/>
        <w:gridCol w:w="1232"/>
        <w:gridCol w:w="925"/>
        <w:gridCol w:w="925"/>
        <w:gridCol w:w="999"/>
        <w:gridCol w:w="1000"/>
        <w:gridCol w:w="926"/>
        <w:gridCol w:w="7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019" w:type="pct"/>
            <w:gridSpan w:val="2"/>
            <w:vMerge w:val="restart"/>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预测点位</w:t>
            </w:r>
          </w:p>
        </w:tc>
        <w:tc>
          <w:tcPr>
            <w:tcW w:w="723" w:type="pct"/>
            <w:vMerge w:val="restart"/>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贡献值</w:t>
            </w:r>
          </w:p>
        </w:tc>
        <w:tc>
          <w:tcPr>
            <w:tcW w:w="1086" w:type="pct"/>
            <w:gridSpan w:val="2"/>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噪声现状值</w:t>
            </w:r>
          </w:p>
        </w:tc>
        <w:tc>
          <w:tcPr>
            <w:tcW w:w="1173" w:type="pct"/>
            <w:gridSpan w:val="2"/>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预测值</w:t>
            </w:r>
          </w:p>
        </w:tc>
        <w:tc>
          <w:tcPr>
            <w:tcW w:w="999" w:type="pct"/>
            <w:gridSpan w:val="2"/>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标准值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019" w:type="pct"/>
            <w:gridSpan w:val="2"/>
            <w:vMerge w:val="continue"/>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color w:val="auto"/>
                <w:sz w:val="21"/>
                <w:szCs w:val="21"/>
                <w:highlight w:val="none"/>
              </w:rPr>
            </w:pPr>
          </w:p>
        </w:tc>
        <w:tc>
          <w:tcPr>
            <w:tcW w:w="723" w:type="pct"/>
            <w:vMerge w:val="continue"/>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color w:val="auto"/>
                <w:sz w:val="21"/>
                <w:szCs w:val="21"/>
                <w:highlight w:val="none"/>
              </w:rPr>
            </w:pPr>
          </w:p>
        </w:tc>
        <w:tc>
          <w:tcPr>
            <w:tcW w:w="543"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昼间</w:t>
            </w:r>
          </w:p>
        </w:tc>
        <w:tc>
          <w:tcPr>
            <w:tcW w:w="543"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夜间</w:t>
            </w:r>
          </w:p>
        </w:tc>
        <w:tc>
          <w:tcPr>
            <w:tcW w:w="586"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昼间</w:t>
            </w:r>
          </w:p>
        </w:tc>
        <w:tc>
          <w:tcPr>
            <w:tcW w:w="587"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夜间</w:t>
            </w:r>
          </w:p>
        </w:tc>
        <w:tc>
          <w:tcPr>
            <w:tcW w:w="543"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昼间</w:t>
            </w:r>
          </w:p>
        </w:tc>
        <w:tc>
          <w:tcPr>
            <w:tcW w:w="455"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98"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721"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东边界</w:t>
            </w:r>
          </w:p>
        </w:tc>
        <w:tc>
          <w:tcPr>
            <w:tcW w:w="723"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29.8</w:t>
            </w:r>
          </w:p>
        </w:tc>
        <w:tc>
          <w:tcPr>
            <w:tcW w:w="543"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49.8</w:t>
            </w:r>
          </w:p>
        </w:tc>
        <w:tc>
          <w:tcPr>
            <w:tcW w:w="543"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47.2</w:t>
            </w:r>
          </w:p>
        </w:tc>
        <w:tc>
          <w:tcPr>
            <w:tcW w:w="586"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49.84</w:t>
            </w:r>
          </w:p>
        </w:tc>
        <w:tc>
          <w:tcPr>
            <w:tcW w:w="587"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47.28</w:t>
            </w:r>
          </w:p>
        </w:tc>
        <w:tc>
          <w:tcPr>
            <w:tcW w:w="543" w:type="pct"/>
            <w:vMerge w:val="restar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60</w:t>
            </w:r>
          </w:p>
        </w:tc>
        <w:tc>
          <w:tcPr>
            <w:tcW w:w="455" w:type="pct"/>
            <w:vMerge w:val="restar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98"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tc>
        <w:tc>
          <w:tcPr>
            <w:tcW w:w="721"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南边界</w:t>
            </w:r>
          </w:p>
        </w:tc>
        <w:tc>
          <w:tcPr>
            <w:tcW w:w="723"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39.3</w:t>
            </w:r>
          </w:p>
        </w:tc>
        <w:tc>
          <w:tcPr>
            <w:tcW w:w="543"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51.7</w:t>
            </w:r>
          </w:p>
        </w:tc>
        <w:tc>
          <w:tcPr>
            <w:tcW w:w="543"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43.9</w:t>
            </w:r>
          </w:p>
        </w:tc>
        <w:tc>
          <w:tcPr>
            <w:tcW w:w="586"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51.94</w:t>
            </w:r>
          </w:p>
        </w:tc>
        <w:tc>
          <w:tcPr>
            <w:tcW w:w="587"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45.15</w:t>
            </w:r>
          </w:p>
        </w:tc>
        <w:tc>
          <w:tcPr>
            <w:tcW w:w="543" w:type="pct"/>
            <w:vMerge w:val="continue"/>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455" w:type="pct"/>
            <w:vMerge w:val="continue"/>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98"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w:t>
            </w:r>
          </w:p>
        </w:tc>
        <w:tc>
          <w:tcPr>
            <w:tcW w:w="721"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西边界</w:t>
            </w:r>
          </w:p>
        </w:tc>
        <w:tc>
          <w:tcPr>
            <w:tcW w:w="723"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26.8</w:t>
            </w:r>
          </w:p>
        </w:tc>
        <w:tc>
          <w:tcPr>
            <w:tcW w:w="543"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51.8</w:t>
            </w:r>
          </w:p>
        </w:tc>
        <w:tc>
          <w:tcPr>
            <w:tcW w:w="543"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46.8</w:t>
            </w:r>
          </w:p>
        </w:tc>
        <w:tc>
          <w:tcPr>
            <w:tcW w:w="586"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51.81</w:t>
            </w:r>
          </w:p>
        </w:tc>
        <w:tc>
          <w:tcPr>
            <w:tcW w:w="587"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46.84</w:t>
            </w:r>
          </w:p>
        </w:tc>
        <w:tc>
          <w:tcPr>
            <w:tcW w:w="543" w:type="pct"/>
            <w:vMerge w:val="continue"/>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455" w:type="pct"/>
            <w:vMerge w:val="continue"/>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98"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w:t>
            </w:r>
          </w:p>
        </w:tc>
        <w:tc>
          <w:tcPr>
            <w:tcW w:w="721"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北边界</w:t>
            </w:r>
          </w:p>
        </w:tc>
        <w:tc>
          <w:tcPr>
            <w:tcW w:w="723"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12.0</w:t>
            </w:r>
          </w:p>
        </w:tc>
        <w:tc>
          <w:tcPr>
            <w:tcW w:w="543"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52.8</w:t>
            </w:r>
          </w:p>
        </w:tc>
        <w:tc>
          <w:tcPr>
            <w:tcW w:w="543"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44.6</w:t>
            </w:r>
          </w:p>
        </w:tc>
        <w:tc>
          <w:tcPr>
            <w:tcW w:w="586"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52.80</w:t>
            </w:r>
          </w:p>
        </w:tc>
        <w:tc>
          <w:tcPr>
            <w:tcW w:w="587"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44.60</w:t>
            </w:r>
          </w:p>
        </w:tc>
        <w:tc>
          <w:tcPr>
            <w:tcW w:w="543" w:type="pct"/>
            <w:vMerge w:val="continue"/>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455" w:type="pct"/>
            <w:vMerge w:val="continue"/>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r>
    </w:tbl>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由表7-2</w:t>
      </w:r>
      <w:r>
        <w:rPr>
          <w:rFonts w:hint="default" w:ascii="Times New Roman" w:hAnsi="Times New Roman" w:eastAsia="宋体" w:cs="Times New Roman"/>
          <w:color w:val="auto"/>
          <w:sz w:val="24"/>
          <w:highlight w:val="none"/>
          <w:lang w:val="en-US" w:eastAsia="zh-CN"/>
        </w:rPr>
        <w:t>0</w:t>
      </w:r>
      <w:r>
        <w:rPr>
          <w:rFonts w:hint="default" w:ascii="Times New Roman" w:hAnsi="Times New Roman" w:eastAsia="宋体" w:cs="Times New Roman"/>
          <w:color w:val="auto"/>
          <w:sz w:val="24"/>
          <w:highlight w:val="none"/>
        </w:rPr>
        <w:t>预测结果可知</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本项目投产后</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各类设备运行噪声达到项目边界噪声预测值均满足《工业企业厂界环境噪声排放标准》（GB12348-2008</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2类标准要求。</w:t>
      </w:r>
    </w:p>
    <w:p>
      <w:pPr>
        <w:pStyle w:val="4"/>
        <w:pageBreakBefore w:val="0"/>
        <w:numPr>
          <w:ilvl w:val="1"/>
          <w:numId w:val="0"/>
        </w:numPr>
        <w:wordWrap/>
        <w:bidi w:val="0"/>
        <w:ind w:left="0" w:leftChars="0" w:right="0" w:rightChars="0" w:firstLine="0" w:firstLineChars="0"/>
        <w:rPr>
          <w:rFonts w:hint="default" w:ascii="Times New Roman" w:hAnsi="Times New Roman" w:eastAsia="宋体" w:cs="Times New Roman"/>
          <w:b/>
          <w:bCs/>
          <w:color w:val="auto"/>
          <w:highlight w:val="none"/>
        </w:rPr>
      </w:pPr>
      <w:bookmarkStart w:id="1066" w:name="_Toc288306236"/>
      <w:bookmarkStart w:id="1067" w:name="_Toc25048"/>
      <w:bookmarkStart w:id="1068" w:name="_Toc260567940"/>
      <w:bookmarkStart w:id="1069" w:name="_Toc30000"/>
      <w:r>
        <w:rPr>
          <w:rFonts w:hint="default" w:ascii="Times New Roman" w:hAnsi="Times New Roman" w:eastAsia="宋体" w:cs="Times New Roman"/>
          <w:b/>
          <w:bCs/>
          <w:i w:val="0"/>
          <w:color w:val="auto"/>
          <w:kern w:val="2"/>
          <w:sz w:val="28"/>
          <w:szCs w:val="28"/>
          <w:highlight w:val="none"/>
          <w:lang w:val="en-US" w:eastAsia="zh-CN" w:bidi="ar-SA"/>
        </w:rPr>
        <w:t>7.6</w:t>
      </w:r>
      <w:r>
        <w:rPr>
          <w:rFonts w:hint="default" w:ascii="Times New Roman" w:hAnsi="Times New Roman" w:eastAsia="宋体" w:cs="Times New Roman"/>
          <w:b/>
          <w:bCs/>
          <w:color w:val="auto"/>
          <w:highlight w:val="none"/>
        </w:rPr>
        <w:t>固体废物影响分析</w:t>
      </w:r>
      <w:bookmarkEnd w:id="1041"/>
      <w:bookmarkEnd w:id="1066"/>
      <w:bookmarkEnd w:id="1067"/>
      <w:bookmarkEnd w:id="1068"/>
      <w:bookmarkEnd w:id="1069"/>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本项目为</w:t>
      </w:r>
      <w:r>
        <w:rPr>
          <w:rFonts w:hint="default" w:ascii="Times New Roman" w:hAnsi="Times New Roman" w:eastAsia="宋体" w:cs="Times New Roman"/>
          <w:color w:val="auto"/>
          <w:sz w:val="24"/>
          <w:highlight w:val="none"/>
          <w:lang w:eastAsia="zh-CN"/>
        </w:rPr>
        <w:t>尾矿库加高扩容</w:t>
      </w:r>
      <w:r>
        <w:rPr>
          <w:rFonts w:hint="default" w:ascii="Times New Roman" w:hAnsi="Times New Roman" w:eastAsia="宋体" w:cs="Times New Roman"/>
          <w:color w:val="auto"/>
          <w:sz w:val="24"/>
          <w:highlight w:val="none"/>
        </w:rPr>
        <w:t>项目</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项目本身为固体废物处置项目</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由于本项目不新增劳动人员</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无生活垃圾产生</w:t>
      </w:r>
      <w:r>
        <w:rPr>
          <w:rFonts w:hint="default" w:ascii="Times New Roman" w:hAnsi="Times New Roman" w:eastAsia="宋体" w:cs="Times New Roman"/>
          <w:color w:val="auto"/>
          <w:sz w:val="24"/>
          <w:highlight w:val="none"/>
          <w:lang w:eastAsia="zh-CN"/>
        </w:rPr>
        <w:t>。</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eastAsia="zh-CN"/>
        </w:rPr>
        <w:t>危险废物暂存</w:t>
      </w:r>
      <w:r>
        <w:rPr>
          <w:rFonts w:hint="default" w:ascii="Times New Roman" w:hAnsi="Times New Roman" w:eastAsia="宋体" w:cs="Times New Roman"/>
          <w:color w:val="auto"/>
          <w:sz w:val="24"/>
          <w:highlight w:val="none"/>
          <w:lang w:val="en-US" w:eastAsia="zh-CN"/>
        </w:rPr>
        <w:t>间</w:t>
      </w:r>
      <w:r>
        <w:rPr>
          <w:rFonts w:hint="default" w:ascii="Times New Roman" w:hAnsi="Times New Roman" w:eastAsia="宋体" w:cs="Times New Roman"/>
          <w:color w:val="auto"/>
          <w:sz w:val="24"/>
          <w:highlight w:val="none"/>
          <w:lang w:eastAsia="zh-CN"/>
        </w:rPr>
        <w:t>的设置应按《危险废物贮存污染控制》（GB18597-20</w:t>
      </w:r>
      <w:r>
        <w:rPr>
          <w:rFonts w:hint="default" w:ascii="Times New Roman" w:hAnsi="Times New Roman" w:eastAsia="宋体" w:cs="Times New Roman"/>
          <w:color w:val="auto"/>
          <w:sz w:val="24"/>
          <w:highlight w:val="none"/>
          <w:lang w:val="en-US" w:eastAsia="zh-CN"/>
        </w:rPr>
        <w:t>23</w:t>
      </w:r>
      <w:r>
        <w:rPr>
          <w:rFonts w:hint="default" w:ascii="Times New Roman" w:hAnsi="Times New Roman" w:eastAsia="宋体" w:cs="Times New Roman"/>
          <w:color w:val="auto"/>
          <w:sz w:val="24"/>
          <w:highlight w:val="none"/>
          <w:lang w:eastAsia="zh-CN"/>
        </w:rPr>
        <w:t>）要求设置，应做到防漏、防渗</w:t>
      </w:r>
      <w:r>
        <w:rPr>
          <w:rFonts w:hint="default" w:ascii="Times New Roman" w:hAnsi="Times New Roman" w:eastAsia="宋体" w:cs="Times New Roman"/>
          <w:color w:val="auto"/>
          <w:sz w:val="24"/>
          <w:highlight w:val="none"/>
        </w:rPr>
        <w:t>。</w:t>
      </w:r>
    </w:p>
    <w:p>
      <w:pPr>
        <w:pStyle w:val="4"/>
        <w:pageBreakBefore w:val="0"/>
        <w:numPr>
          <w:ilvl w:val="1"/>
          <w:numId w:val="0"/>
        </w:numPr>
        <w:wordWrap/>
        <w:bidi w:val="0"/>
        <w:ind w:left="0" w:leftChars="0" w:right="0" w:rightChars="0" w:firstLine="0" w:firstLineChars="0"/>
        <w:rPr>
          <w:rFonts w:hint="default" w:ascii="Times New Roman" w:hAnsi="Times New Roman" w:eastAsia="宋体" w:cs="Times New Roman"/>
          <w:b/>
          <w:bCs/>
          <w:color w:val="auto"/>
          <w:sz w:val="28"/>
          <w:szCs w:val="28"/>
          <w:highlight w:val="none"/>
        </w:rPr>
      </w:pPr>
      <w:bookmarkStart w:id="1070" w:name="_Toc16040"/>
      <w:bookmarkStart w:id="1071" w:name="_Toc18487"/>
      <w:r>
        <w:rPr>
          <w:rFonts w:hint="default" w:ascii="Times New Roman" w:hAnsi="Times New Roman" w:eastAsia="宋体" w:cs="Times New Roman"/>
          <w:b/>
          <w:bCs/>
          <w:i w:val="0"/>
          <w:color w:val="auto"/>
          <w:kern w:val="2"/>
          <w:sz w:val="28"/>
          <w:szCs w:val="28"/>
          <w:highlight w:val="none"/>
          <w:lang w:val="en-US" w:eastAsia="zh-CN" w:bidi="ar-SA"/>
        </w:rPr>
        <w:t>7.7</w:t>
      </w:r>
      <w:r>
        <w:rPr>
          <w:rFonts w:hint="default" w:ascii="Times New Roman" w:hAnsi="Times New Roman" w:eastAsia="宋体" w:cs="Times New Roman"/>
          <w:b/>
          <w:bCs/>
          <w:color w:val="auto"/>
          <w:sz w:val="28"/>
          <w:szCs w:val="28"/>
          <w:highlight w:val="none"/>
        </w:rPr>
        <w:t>土壤环境影响分析</w:t>
      </w:r>
      <w:bookmarkEnd w:id="1070"/>
      <w:bookmarkEnd w:id="1071"/>
    </w:p>
    <w:p>
      <w:pPr>
        <w:pStyle w:val="5"/>
        <w:pageBreakBefore w:val="0"/>
        <w:numPr>
          <w:ilvl w:val="2"/>
          <w:numId w:val="0"/>
        </w:numPr>
        <w:wordWrap/>
        <w:bidi w:val="0"/>
        <w:ind w:left="0" w:leftChars="0" w:right="0" w:rightChars="0"/>
        <w:rPr>
          <w:rFonts w:hint="default" w:ascii="Times New Roman" w:hAnsi="Times New Roman" w:eastAsia="宋体" w:cs="Times New Roman"/>
          <w:b/>
          <w:bCs/>
          <w:color w:val="auto"/>
          <w:highlight w:val="none"/>
        </w:rPr>
      </w:pPr>
      <w:bookmarkStart w:id="1072" w:name="_Toc17276"/>
      <w:bookmarkStart w:id="1073" w:name="_Toc16954"/>
      <w:bookmarkStart w:id="1074" w:name="_Toc4831"/>
      <w:r>
        <w:rPr>
          <w:rFonts w:hint="default" w:ascii="Times New Roman" w:hAnsi="Times New Roman" w:eastAsia="宋体" w:cs="Times New Roman"/>
          <w:b/>
          <w:bCs/>
          <w:i w:val="0"/>
          <w:iCs w:val="0"/>
          <w:caps w:val="0"/>
          <w:smallCaps w:val="0"/>
          <w:strike w:val="0"/>
          <w:dstrike w:val="0"/>
          <w:vanish w:val="0"/>
          <w:color w:val="auto"/>
          <w:spacing w:val="0"/>
          <w:kern w:val="2"/>
          <w:position w:val="0"/>
          <w:sz w:val="24"/>
          <w:szCs w:val="24"/>
          <w:highlight w:val="none"/>
          <w:u w:val="none"/>
          <w:vertAlign w:val="baseline"/>
          <w:lang w:val="en-US" w:eastAsia="zh-CN" w:bidi="ar-SA"/>
          <w14:shadow w14:blurRad="0" w14:dist="0" w14:dir="0" w14:sx="0" w14:sy="0" w14:kx="0" w14:ky="0" w14:algn="none">
            <w14:srgbClr w14:val="000000"/>
          </w14:shadow>
        </w:rPr>
        <w:t>7.7.1</w:t>
      </w:r>
      <w:r>
        <w:rPr>
          <w:rFonts w:hint="default" w:ascii="Times New Roman" w:hAnsi="Times New Roman" w:eastAsia="宋体" w:cs="Times New Roman"/>
          <w:b/>
          <w:bCs/>
          <w:color w:val="auto"/>
          <w:highlight w:val="none"/>
        </w:rPr>
        <w:t>土壤环境影响</w:t>
      </w:r>
      <w:bookmarkEnd w:id="1072"/>
      <w:bookmarkEnd w:id="1073"/>
      <w:bookmarkEnd w:id="1074"/>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项目施工期</w:t>
      </w:r>
      <w:r>
        <w:rPr>
          <w:rFonts w:hint="default" w:ascii="Times New Roman" w:hAnsi="Times New Roman" w:eastAsia="宋体" w:cs="Times New Roman"/>
          <w:color w:val="auto"/>
          <w:sz w:val="24"/>
          <w:highlight w:val="none"/>
          <w:lang w:eastAsia="zh-CN"/>
        </w:rPr>
        <w:t>属</w:t>
      </w:r>
      <w:r>
        <w:rPr>
          <w:rFonts w:hint="default" w:ascii="Times New Roman" w:hAnsi="Times New Roman" w:eastAsia="宋体" w:cs="Times New Roman"/>
          <w:color w:val="auto"/>
          <w:sz w:val="24"/>
          <w:highlight w:val="none"/>
        </w:rPr>
        <w:t>于短期局部影响</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待施工结束后</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对周围土壤环境的影响随之结束。对建设项目占地范围内及周边土壤影响较大的为运</w:t>
      </w:r>
      <w:r>
        <w:rPr>
          <w:rFonts w:hint="default" w:ascii="Times New Roman" w:hAnsi="Times New Roman" w:eastAsia="宋体" w:cs="Times New Roman"/>
          <w:color w:val="auto"/>
          <w:sz w:val="24"/>
          <w:highlight w:val="none"/>
          <w:lang w:eastAsia="zh-CN"/>
        </w:rPr>
        <w:t>营</w:t>
      </w:r>
      <w:r>
        <w:rPr>
          <w:rFonts w:hint="default" w:ascii="Times New Roman" w:hAnsi="Times New Roman" w:eastAsia="宋体" w:cs="Times New Roman"/>
          <w:color w:val="auto"/>
          <w:sz w:val="24"/>
          <w:highlight w:val="none"/>
        </w:rPr>
        <w:t>期</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项目运</w:t>
      </w:r>
      <w:r>
        <w:rPr>
          <w:rFonts w:hint="default" w:ascii="Times New Roman" w:hAnsi="Times New Roman" w:eastAsia="宋体" w:cs="Times New Roman"/>
          <w:color w:val="auto"/>
          <w:sz w:val="24"/>
          <w:highlight w:val="none"/>
          <w:lang w:eastAsia="zh-CN"/>
        </w:rPr>
        <w:t>营</w:t>
      </w:r>
      <w:r>
        <w:rPr>
          <w:rFonts w:hint="default" w:ascii="Times New Roman" w:hAnsi="Times New Roman" w:eastAsia="宋体" w:cs="Times New Roman"/>
          <w:color w:val="auto"/>
          <w:sz w:val="24"/>
          <w:highlight w:val="none"/>
        </w:rPr>
        <w:t>期对土壤环境影响主要包括尾矿库干滩面扬尘大气沉降以及尾矿浆输送管道发生破裂</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污水瞬时漫流到土壤</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对土壤造成影响。</w:t>
      </w:r>
    </w:p>
    <w:p>
      <w:pPr>
        <w:pStyle w:val="5"/>
        <w:pageBreakBefore w:val="0"/>
        <w:numPr>
          <w:ilvl w:val="2"/>
          <w:numId w:val="0"/>
        </w:numPr>
        <w:wordWrap/>
        <w:bidi w:val="0"/>
        <w:ind w:left="0" w:leftChars="0" w:right="0" w:rightChars="0"/>
        <w:rPr>
          <w:rFonts w:hint="default" w:ascii="Times New Roman" w:hAnsi="Times New Roman" w:eastAsia="宋体" w:cs="Times New Roman"/>
          <w:b/>
          <w:bCs/>
          <w:color w:val="auto"/>
          <w:highlight w:val="none"/>
        </w:rPr>
      </w:pPr>
      <w:bookmarkStart w:id="1075" w:name="_Toc20214"/>
      <w:bookmarkStart w:id="1076" w:name="_Toc27614"/>
      <w:bookmarkStart w:id="1077" w:name="_Toc22616"/>
      <w:r>
        <w:rPr>
          <w:rFonts w:hint="default" w:ascii="Times New Roman" w:hAnsi="Times New Roman" w:eastAsia="宋体" w:cs="Times New Roman"/>
          <w:b/>
          <w:bCs/>
          <w:i w:val="0"/>
          <w:iCs w:val="0"/>
          <w:caps w:val="0"/>
          <w:smallCaps w:val="0"/>
          <w:strike w:val="0"/>
          <w:dstrike w:val="0"/>
          <w:vanish w:val="0"/>
          <w:color w:val="auto"/>
          <w:spacing w:val="0"/>
          <w:kern w:val="2"/>
          <w:position w:val="0"/>
          <w:sz w:val="24"/>
          <w:szCs w:val="24"/>
          <w:highlight w:val="none"/>
          <w:u w:val="none"/>
          <w:vertAlign w:val="baseline"/>
          <w:lang w:val="en-US" w:eastAsia="zh-CN" w:bidi="ar-SA"/>
          <w14:shadow w14:blurRad="0" w14:dist="0" w14:dir="0" w14:sx="0" w14:sy="0" w14:kx="0" w14:ky="0" w14:algn="none">
            <w14:srgbClr w14:val="000000"/>
          </w14:shadow>
        </w:rPr>
        <w:t>7.7.2</w:t>
      </w:r>
      <w:r>
        <w:rPr>
          <w:rFonts w:hint="default" w:ascii="Times New Roman" w:hAnsi="Times New Roman" w:eastAsia="宋体" w:cs="Times New Roman"/>
          <w:b/>
          <w:bCs/>
          <w:color w:val="auto"/>
          <w:highlight w:val="none"/>
        </w:rPr>
        <w:t>保护措施与对策</w:t>
      </w:r>
      <w:bookmarkEnd w:id="1075"/>
      <w:bookmarkEnd w:id="1076"/>
      <w:bookmarkEnd w:id="1077"/>
    </w:p>
    <w:p>
      <w:pPr>
        <w:pageBreakBefore w:val="0"/>
        <w:widowControl/>
        <w:wordWrap/>
        <w:bidi w:val="0"/>
        <w:spacing w:line="360" w:lineRule="auto"/>
        <w:ind w:left="0" w:leftChars="0" w:right="0" w:rightChars="0" w:firstLine="480" w:firstLineChars="200"/>
        <w:jc w:val="left"/>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针对工程可能发生的土壤污染</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运</w:t>
      </w:r>
      <w:r>
        <w:rPr>
          <w:rFonts w:hint="default" w:ascii="Times New Roman" w:hAnsi="Times New Roman" w:eastAsia="宋体" w:cs="Times New Roman"/>
          <w:color w:val="auto"/>
          <w:sz w:val="24"/>
          <w:highlight w:val="none"/>
          <w:lang w:eastAsia="zh-CN"/>
        </w:rPr>
        <w:t>营</w:t>
      </w:r>
      <w:r>
        <w:rPr>
          <w:rFonts w:hint="default" w:ascii="Times New Roman" w:hAnsi="Times New Roman" w:eastAsia="宋体" w:cs="Times New Roman"/>
          <w:color w:val="auto"/>
          <w:sz w:val="24"/>
          <w:highlight w:val="none"/>
        </w:rPr>
        <w:t>期采取的主要措施有</w:t>
      </w:r>
      <w:r>
        <w:rPr>
          <w:rFonts w:hint="default" w:ascii="Times New Roman" w:hAnsi="Times New Roman" w:eastAsia="宋体" w:cs="Times New Roman"/>
          <w:color w:val="auto"/>
          <w:sz w:val="24"/>
          <w:highlight w:val="none"/>
          <w:lang w:eastAsia="zh-CN"/>
        </w:rPr>
        <w:t>：</w:t>
      </w:r>
    </w:p>
    <w:p>
      <w:pPr>
        <w:pageBreakBefore w:val="0"/>
        <w:widowControl/>
        <w:wordWrap/>
        <w:bidi w:val="0"/>
        <w:spacing w:line="360" w:lineRule="auto"/>
        <w:ind w:left="0" w:leftChars="0" w:right="0" w:rightChars="0" w:firstLine="480" w:firstLineChars="20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（1</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尾矿库区域下风向种植吸附力较强的植被</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减轻大气沉降对土壤的影响；</w:t>
      </w:r>
    </w:p>
    <w:p>
      <w:pPr>
        <w:pageBreakBefore w:val="0"/>
        <w:widowControl/>
        <w:wordWrap/>
        <w:bidi w:val="0"/>
        <w:spacing w:line="360" w:lineRule="auto"/>
        <w:ind w:left="0" w:leftChars="0" w:right="0" w:rightChars="0" w:firstLine="480" w:firstLineChars="20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（2</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尾矿库非操作区域及坝体四周遮盖纤维毯</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减少尾矿粉尘产生；</w:t>
      </w:r>
    </w:p>
    <w:p>
      <w:pPr>
        <w:pageBreakBefore w:val="0"/>
        <w:widowControl/>
        <w:wordWrap/>
        <w:bidi w:val="0"/>
        <w:spacing w:line="360" w:lineRule="auto"/>
        <w:ind w:left="0" w:leftChars="0" w:right="0" w:rightChars="0" w:firstLine="480" w:firstLineChars="20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（3</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封场后立即对尾矿库坝体及库区覆土恢复植被</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加强土壤稳定性；</w:t>
      </w:r>
    </w:p>
    <w:p>
      <w:pPr>
        <w:pageBreakBefore w:val="0"/>
        <w:widowControl/>
        <w:wordWrap/>
        <w:bidi w:val="0"/>
        <w:spacing w:line="360" w:lineRule="auto"/>
        <w:ind w:left="0" w:leftChars="0" w:right="0" w:rightChars="0" w:firstLine="480" w:firstLineChars="20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（4</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kern w:val="0"/>
          <w:sz w:val="24"/>
          <w:highlight w:val="none"/>
        </w:rPr>
        <w:t>同时对尾矿库下风向土壤污染监控点采取跟踪监测措施</w:t>
      </w:r>
      <w:r>
        <w:rPr>
          <w:rFonts w:hint="default" w:ascii="Times New Roman" w:hAnsi="Times New Roman" w:eastAsia="宋体" w:cs="Times New Roman"/>
          <w:color w:val="auto"/>
          <w:kern w:val="0"/>
          <w:sz w:val="24"/>
          <w:highlight w:val="none"/>
          <w:lang w:eastAsia="zh-CN"/>
        </w:rPr>
        <w:t>，</w:t>
      </w:r>
      <w:r>
        <w:rPr>
          <w:rFonts w:hint="default" w:ascii="Times New Roman" w:hAnsi="Times New Roman" w:eastAsia="宋体" w:cs="Times New Roman"/>
          <w:color w:val="auto"/>
          <w:kern w:val="0"/>
          <w:sz w:val="24"/>
          <w:highlight w:val="none"/>
        </w:rPr>
        <w:t>监测因子为</w:t>
      </w:r>
      <w:r>
        <w:rPr>
          <w:rFonts w:hint="default" w:ascii="Times New Roman" w:hAnsi="Times New Roman" w:eastAsia="宋体" w:cs="Times New Roman"/>
          <w:color w:val="auto"/>
          <w:sz w:val="24"/>
          <w:highlight w:val="none"/>
        </w:rPr>
        <w:t>pH、汞、镉、六价铬、铅、砷、铁</w:t>
      </w:r>
      <w:r>
        <w:rPr>
          <w:rFonts w:hint="default" w:ascii="Times New Roman" w:hAnsi="Times New Roman" w:eastAsia="宋体" w:cs="Times New Roman"/>
          <w:color w:val="auto"/>
          <w:sz w:val="24"/>
          <w:highlight w:val="none"/>
          <w:lang w:eastAsia="zh-CN"/>
        </w:rPr>
        <w:t>、钼，</w:t>
      </w:r>
      <w:r>
        <w:rPr>
          <w:rFonts w:hint="default" w:ascii="Times New Roman" w:hAnsi="Times New Roman" w:eastAsia="宋体" w:cs="Times New Roman"/>
          <w:color w:val="auto"/>
          <w:sz w:val="24"/>
          <w:highlight w:val="none"/>
        </w:rPr>
        <w:t>定期监测；</w:t>
      </w:r>
    </w:p>
    <w:p>
      <w:pPr>
        <w:pageBreakBefore w:val="0"/>
        <w:widowControl/>
        <w:wordWrap/>
        <w:bidi w:val="0"/>
        <w:spacing w:line="360" w:lineRule="auto"/>
        <w:ind w:left="0" w:leftChars="0" w:right="0" w:rightChars="0" w:firstLine="480" w:firstLineChars="20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（5</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加强管理</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定时巡逻</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保持运输管道的严密性</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最大限度</w:t>
      </w:r>
      <w:r>
        <w:rPr>
          <w:rFonts w:hint="default" w:ascii="Times New Roman" w:hAnsi="Times New Roman" w:eastAsia="宋体" w:cs="Times New Roman"/>
          <w:color w:val="auto"/>
          <w:sz w:val="24"/>
          <w:highlight w:val="none"/>
          <w:lang w:eastAsia="zh-CN"/>
        </w:rPr>
        <w:t>地</w:t>
      </w:r>
      <w:r>
        <w:rPr>
          <w:rFonts w:hint="default" w:ascii="Times New Roman" w:hAnsi="Times New Roman" w:eastAsia="宋体" w:cs="Times New Roman"/>
          <w:color w:val="auto"/>
          <w:sz w:val="24"/>
          <w:highlight w:val="none"/>
        </w:rPr>
        <w:t>减少跑、冒、滴漏的损失；</w:t>
      </w:r>
    </w:p>
    <w:p>
      <w:pPr>
        <w:pageBreakBefore w:val="0"/>
        <w:widowControl/>
        <w:wordWrap/>
        <w:bidi w:val="0"/>
        <w:spacing w:line="360" w:lineRule="auto"/>
        <w:ind w:left="0" w:leftChars="0" w:right="0" w:rightChars="0" w:firstLine="480" w:firstLineChars="20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（6</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一旦发现土壤污染事故</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立即启动应急预案、采取应急措施控制土壤污染</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并使污染得到治理。</w:t>
      </w:r>
    </w:p>
    <w:p>
      <w:pPr>
        <w:pageBreakBefore w:val="0"/>
        <w:widowControl/>
        <w:wordWrap/>
        <w:bidi w:val="0"/>
        <w:spacing w:line="360" w:lineRule="auto"/>
        <w:ind w:left="0" w:leftChars="0" w:right="0" w:rightChars="0" w:firstLine="480" w:firstLineChars="20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以上土壤污染防治措施</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均为常见成熟的污染防治技术方法。通过严格执行以上措施</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固体废物发生扩散的可能性较小</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对</w:t>
      </w:r>
      <w:r>
        <w:rPr>
          <w:rFonts w:hint="default" w:ascii="Times New Roman" w:hAnsi="Times New Roman" w:eastAsia="宋体" w:cs="Times New Roman"/>
          <w:color w:val="auto"/>
          <w:sz w:val="24"/>
          <w:highlight w:val="none"/>
          <w:lang w:eastAsia="zh-CN"/>
        </w:rPr>
        <w:t>周围</w:t>
      </w:r>
      <w:r>
        <w:rPr>
          <w:rFonts w:hint="default" w:ascii="Times New Roman" w:hAnsi="Times New Roman" w:eastAsia="宋体" w:cs="Times New Roman"/>
          <w:color w:val="auto"/>
          <w:sz w:val="24"/>
          <w:highlight w:val="none"/>
        </w:rPr>
        <w:t>土壤环境影响较小</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措施可行。</w:t>
      </w:r>
    </w:p>
    <w:p>
      <w:pPr>
        <w:pageBreakBefore w:val="0"/>
        <w:wordWrap/>
        <w:autoSpaceDE w:val="0"/>
        <w:bidi w:val="0"/>
        <w:adjustRightInd w:val="0"/>
        <w:spacing w:line="360" w:lineRule="auto"/>
        <w:ind w:left="0" w:leftChars="0" w:right="0" w:rightChars="0" w:firstLine="480" w:firstLineChars="200"/>
        <w:jc w:val="left"/>
        <w:textAlignment w:val="baseline"/>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项目土壤环境影响评价自查表见表7-2</w:t>
      </w:r>
      <w:r>
        <w:rPr>
          <w:rFonts w:hint="default" w:ascii="Times New Roman" w:hAnsi="Times New Roman" w:eastAsia="宋体" w:cs="Times New Roman"/>
          <w:color w:val="auto"/>
          <w:kern w:val="0"/>
          <w:sz w:val="24"/>
          <w:highlight w:val="none"/>
          <w:lang w:val="en-US" w:eastAsia="zh-CN"/>
        </w:rPr>
        <w:t>1</w:t>
      </w:r>
      <w:r>
        <w:rPr>
          <w:rFonts w:hint="default" w:ascii="Times New Roman" w:hAnsi="Times New Roman" w:eastAsia="宋体" w:cs="Times New Roman"/>
          <w:color w:val="auto"/>
          <w:kern w:val="0"/>
          <w:sz w:val="24"/>
          <w:highlight w:val="none"/>
        </w:rPr>
        <w:t>。</w:t>
      </w:r>
    </w:p>
    <w:p>
      <w:pPr>
        <w:pageBreakBefore w:val="0"/>
        <w:tabs>
          <w:tab w:val="left" w:pos="3062"/>
        </w:tabs>
        <w:wordWrap/>
        <w:bidi w:val="0"/>
        <w:spacing w:line="360" w:lineRule="auto"/>
        <w:ind w:left="0" w:leftChars="0" w:right="0" w:rightChars="0"/>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表7-2</w:t>
      </w:r>
      <w:r>
        <w:rPr>
          <w:rFonts w:hint="default" w:ascii="Times New Roman" w:hAnsi="Times New Roman" w:eastAsia="宋体" w:cs="Times New Roman"/>
          <w:b/>
          <w:bCs/>
          <w:color w:val="auto"/>
          <w:sz w:val="24"/>
          <w:highlight w:val="none"/>
          <w:lang w:val="en-US" w:eastAsia="zh-CN"/>
        </w:rPr>
        <w:t>1</w:t>
      </w:r>
      <w:r>
        <w:rPr>
          <w:rFonts w:hint="default" w:ascii="Times New Roman" w:hAnsi="Times New Roman" w:eastAsia="宋体" w:cs="Times New Roman"/>
          <w:b/>
          <w:bCs/>
          <w:color w:val="auto"/>
          <w:sz w:val="24"/>
          <w:highlight w:val="none"/>
        </w:rPr>
        <w:t>本项目土壤环境影响评价自查表</w:t>
      </w:r>
    </w:p>
    <w:tbl>
      <w:tblPr>
        <w:tblStyle w:val="54"/>
        <w:tblW w:w="4982" w:type="pct"/>
        <w:jc w:val="center"/>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Layout w:type="autofit"/>
        <w:tblCellMar>
          <w:top w:w="0" w:type="dxa"/>
          <w:left w:w="108" w:type="dxa"/>
          <w:bottom w:w="0" w:type="dxa"/>
          <w:right w:w="108" w:type="dxa"/>
        </w:tblCellMar>
      </w:tblPr>
      <w:tblGrid>
        <w:gridCol w:w="438"/>
        <w:gridCol w:w="1540"/>
        <w:gridCol w:w="1189"/>
        <w:gridCol w:w="543"/>
        <w:gridCol w:w="866"/>
        <w:gridCol w:w="572"/>
        <w:gridCol w:w="635"/>
        <w:gridCol w:w="1393"/>
        <w:gridCol w:w="1315"/>
      </w:tblGrid>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340" w:hRule="atLeast"/>
          <w:jc w:val="center"/>
        </w:trPr>
        <w:tc>
          <w:tcPr>
            <w:tcW w:w="1165" w:type="pct"/>
            <w:gridSpan w:val="2"/>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b/>
                <w:color w:val="auto"/>
                <w:kern w:val="0"/>
                <w:szCs w:val="21"/>
                <w:highlight w:val="none"/>
                <w:lang w:bidi="mn-Mong-CN"/>
              </w:rPr>
            </w:pPr>
            <w:r>
              <w:rPr>
                <w:rFonts w:hint="default" w:ascii="Times New Roman" w:hAnsi="Times New Roman" w:eastAsia="宋体" w:cs="Times New Roman"/>
                <w:b/>
                <w:color w:val="auto"/>
                <w:kern w:val="0"/>
                <w:szCs w:val="21"/>
                <w:highlight w:val="none"/>
                <w:lang w:bidi="mn-Mong-CN"/>
              </w:rPr>
              <w:t>工作内容</w:t>
            </w:r>
          </w:p>
        </w:tc>
        <w:tc>
          <w:tcPr>
            <w:tcW w:w="3060" w:type="pct"/>
            <w:gridSpan w:val="6"/>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b/>
                <w:color w:val="auto"/>
                <w:kern w:val="0"/>
                <w:szCs w:val="21"/>
                <w:highlight w:val="none"/>
                <w:lang w:bidi="mn-Mong-CN"/>
              </w:rPr>
            </w:pPr>
            <w:r>
              <w:rPr>
                <w:rFonts w:hint="default" w:ascii="Times New Roman" w:hAnsi="Times New Roman" w:eastAsia="宋体" w:cs="Times New Roman"/>
                <w:b/>
                <w:color w:val="auto"/>
                <w:kern w:val="0"/>
                <w:szCs w:val="21"/>
                <w:highlight w:val="none"/>
                <w:lang w:bidi="mn-Mong-CN"/>
              </w:rPr>
              <w:t>完成情况</w:t>
            </w:r>
          </w:p>
        </w:tc>
        <w:tc>
          <w:tcPr>
            <w:tcW w:w="774" w:type="pct"/>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rPr>
                <w:rFonts w:hint="default" w:ascii="Times New Roman" w:hAnsi="Times New Roman" w:eastAsia="宋体" w:cs="Times New Roman"/>
                <w:b/>
                <w:color w:val="auto"/>
                <w:kern w:val="0"/>
                <w:szCs w:val="21"/>
                <w:highlight w:val="none"/>
                <w:lang w:bidi="mn-Mong-CN"/>
              </w:rPr>
            </w:pPr>
            <w:r>
              <w:rPr>
                <w:rFonts w:hint="default" w:ascii="Times New Roman" w:hAnsi="Times New Roman" w:eastAsia="宋体" w:cs="Times New Roman"/>
                <w:b/>
                <w:color w:val="auto"/>
                <w:kern w:val="0"/>
                <w:szCs w:val="21"/>
                <w:highlight w:val="none"/>
                <w:lang w:bidi="mn-Mong-CN"/>
              </w:rPr>
              <w:t>备注</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340" w:hRule="atLeast"/>
          <w:jc w:val="center"/>
        </w:trPr>
        <w:tc>
          <w:tcPr>
            <w:tcW w:w="258" w:type="pct"/>
            <w:vMerge w:val="restart"/>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color w:val="auto"/>
                <w:kern w:val="0"/>
                <w:szCs w:val="21"/>
                <w:highlight w:val="none"/>
                <w:lang w:bidi="mn-Mong-CN"/>
              </w:rPr>
            </w:pPr>
            <w:r>
              <w:rPr>
                <w:rFonts w:hint="default" w:ascii="Times New Roman" w:hAnsi="Times New Roman" w:eastAsia="宋体" w:cs="Times New Roman"/>
                <w:color w:val="auto"/>
                <w:kern w:val="0"/>
                <w:szCs w:val="21"/>
                <w:highlight w:val="none"/>
                <w:lang w:bidi="mn-Mong-CN"/>
              </w:rPr>
              <w:t>影响识别</w:t>
            </w:r>
          </w:p>
        </w:tc>
        <w:tc>
          <w:tcPr>
            <w:tcW w:w="907" w:type="pct"/>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color w:val="auto"/>
                <w:kern w:val="0"/>
                <w:szCs w:val="21"/>
                <w:highlight w:val="none"/>
                <w:lang w:bidi="mn-Mong-CN"/>
              </w:rPr>
            </w:pPr>
            <w:r>
              <w:rPr>
                <w:rFonts w:hint="default" w:ascii="Times New Roman" w:hAnsi="Times New Roman" w:eastAsia="宋体" w:cs="Times New Roman"/>
                <w:color w:val="auto"/>
                <w:kern w:val="0"/>
                <w:szCs w:val="21"/>
                <w:highlight w:val="none"/>
                <w:lang w:bidi="mn-Mong-CN"/>
              </w:rPr>
              <w:t>影响类型</w:t>
            </w:r>
          </w:p>
        </w:tc>
        <w:tc>
          <w:tcPr>
            <w:tcW w:w="3060" w:type="pct"/>
            <w:gridSpan w:val="6"/>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color w:val="auto"/>
                <w:kern w:val="0"/>
                <w:szCs w:val="21"/>
                <w:highlight w:val="none"/>
                <w:lang w:bidi="mn-Mong-CN"/>
              </w:rPr>
            </w:pPr>
            <w:r>
              <w:rPr>
                <w:rFonts w:hint="default" w:ascii="Times New Roman" w:hAnsi="Times New Roman" w:eastAsia="宋体" w:cs="Times New Roman"/>
                <w:color w:val="auto"/>
                <w:kern w:val="0"/>
                <w:szCs w:val="21"/>
                <w:highlight w:val="none"/>
                <w:lang w:bidi="mn-Mong-CN"/>
              </w:rPr>
              <w:t>污染影响型☑；生态影响型□；两种兼有□</w:t>
            </w:r>
          </w:p>
        </w:tc>
        <w:tc>
          <w:tcPr>
            <w:tcW w:w="774" w:type="pct"/>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color w:val="auto"/>
                <w:kern w:val="0"/>
                <w:szCs w:val="21"/>
                <w:highlight w:val="none"/>
                <w:lang w:bidi="mn-Mong-CN"/>
              </w:rPr>
            </w:pP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340" w:hRule="atLeast"/>
          <w:jc w:val="center"/>
        </w:trPr>
        <w:tc>
          <w:tcPr>
            <w:tcW w:w="258" w:type="pct"/>
            <w:vMerge w:val="continue"/>
            <w:tcBorders>
              <w:top w:val="single" w:color="auto" w:sz="4" w:space="0"/>
              <w:left w:val="single" w:color="auto" w:sz="4" w:space="0"/>
              <w:bottom w:val="single" w:color="auto" w:sz="4" w:space="0"/>
              <w:right w:val="single" w:color="auto" w:sz="4" w:space="0"/>
            </w:tcBorders>
            <w:vAlign w:val="center"/>
          </w:tcPr>
          <w:p>
            <w:pPr>
              <w:pageBreakBefore w:val="0"/>
              <w:widowControl/>
              <w:wordWrap/>
              <w:bidi w:val="0"/>
              <w:ind w:left="0" w:leftChars="0" w:right="0" w:rightChars="0"/>
              <w:jc w:val="center"/>
              <w:rPr>
                <w:rFonts w:hint="default" w:ascii="Times New Roman" w:hAnsi="Times New Roman" w:eastAsia="宋体" w:cs="Times New Roman"/>
                <w:color w:val="auto"/>
                <w:kern w:val="0"/>
                <w:szCs w:val="21"/>
                <w:highlight w:val="none"/>
                <w:lang w:bidi="mn-Mong-CN"/>
              </w:rPr>
            </w:pPr>
          </w:p>
        </w:tc>
        <w:tc>
          <w:tcPr>
            <w:tcW w:w="907" w:type="pct"/>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color w:val="auto"/>
                <w:kern w:val="0"/>
                <w:szCs w:val="21"/>
                <w:highlight w:val="none"/>
                <w:lang w:bidi="mn-Mong-CN"/>
              </w:rPr>
            </w:pPr>
            <w:r>
              <w:rPr>
                <w:rFonts w:hint="default" w:ascii="Times New Roman" w:hAnsi="Times New Roman" w:eastAsia="宋体" w:cs="Times New Roman"/>
                <w:color w:val="auto"/>
                <w:kern w:val="0"/>
                <w:szCs w:val="21"/>
                <w:highlight w:val="none"/>
                <w:lang w:bidi="mn-Mong-CN"/>
              </w:rPr>
              <w:t>土地利用类型</w:t>
            </w:r>
          </w:p>
        </w:tc>
        <w:tc>
          <w:tcPr>
            <w:tcW w:w="3060" w:type="pct"/>
            <w:gridSpan w:val="6"/>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color w:val="auto"/>
                <w:kern w:val="0"/>
                <w:szCs w:val="21"/>
                <w:highlight w:val="none"/>
                <w:lang w:bidi="mn-Mong-CN"/>
              </w:rPr>
            </w:pPr>
            <w:r>
              <w:rPr>
                <w:rFonts w:hint="default" w:ascii="Times New Roman" w:hAnsi="Times New Roman" w:eastAsia="宋体" w:cs="Times New Roman"/>
                <w:color w:val="auto"/>
                <w:kern w:val="0"/>
                <w:szCs w:val="21"/>
                <w:highlight w:val="none"/>
                <w:lang w:bidi="mn-Mong-CN"/>
              </w:rPr>
              <w:t>建设用地☑；农用地□；未利用地□</w:t>
            </w:r>
          </w:p>
        </w:tc>
        <w:tc>
          <w:tcPr>
            <w:tcW w:w="774" w:type="pct"/>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color w:val="auto"/>
                <w:kern w:val="0"/>
                <w:szCs w:val="21"/>
                <w:highlight w:val="none"/>
                <w:lang w:bidi="mn-Mong-CN"/>
              </w:rPr>
            </w:pPr>
            <w:r>
              <w:rPr>
                <w:rFonts w:hint="default" w:ascii="Times New Roman" w:hAnsi="Times New Roman" w:eastAsia="宋体" w:cs="Times New Roman"/>
                <w:color w:val="auto"/>
                <w:kern w:val="0"/>
                <w:szCs w:val="21"/>
                <w:highlight w:val="none"/>
                <w:lang w:bidi="mn-Mong-CN"/>
              </w:rPr>
              <w:t>土地利用类型图</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340" w:hRule="atLeast"/>
          <w:jc w:val="center"/>
        </w:trPr>
        <w:tc>
          <w:tcPr>
            <w:tcW w:w="258" w:type="pct"/>
            <w:vMerge w:val="continue"/>
            <w:tcBorders>
              <w:top w:val="single" w:color="auto" w:sz="4" w:space="0"/>
              <w:left w:val="single" w:color="auto" w:sz="4" w:space="0"/>
              <w:bottom w:val="single" w:color="auto" w:sz="4" w:space="0"/>
              <w:right w:val="single" w:color="auto" w:sz="4" w:space="0"/>
            </w:tcBorders>
            <w:vAlign w:val="center"/>
          </w:tcPr>
          <w:p>
            <w:pPr>
              <w:pageBreakBefore w:val="0"/>
              <w:widowControl/>
              <w:wordWrap/>
              <w:bidi w:val="0"/>
              <w:ind w:left="0" w:leftChars="0" w:right="0" w:rightChars="0"/>
              <w:jc w:val="center"/>
              <w:rPr>
                <w:rFonts w:hint="default" w:ascii="Times New Roman" w:hAnsi="Times New Roman" w:eastAsia="宋体" w:cs="Times New Roman"/>
                <w:color w:val="auto"/>
                <w:kern w:val="0"/>
                <w:szCs w:val="21"/>
                <w:highlight w:val="none"/>
                <w:lang w:bidi="mn-Mong-CN"/>
              </w:rPr>
            </w:pPr>
          </w:p>
        </w:tc>
        <w:tc>
          <w:tcPr>
            <w:tcW w:w="907" w:type="pct"/>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color w:val="auto"/>
                <w:kern w:val="0"/>
                <w:szCs w:val="21"/>
                <w:highlight w:val="none"/>
                <w:lang w:bidi="mn-Mong-CN"/>
              </w:rPr>
            </w:pPr>
            <w:r>
              <w:rPr>
                <w:rFonts w:hint="default" w:ascii="Times New Roman" w:hAnsi="Times New Roman" w:eastAsia="宋体" w:cs="Times New Roman"/>
                <w:color w:val="auto"/>
                <w:kern w:val="0"/>
                <w:szCs w:val="21"/>
                <w:highlight w:val="none"/>
                <w:lang w:bidi="mn-Mong-CN"/>
              </w:rPr>
              <w:t>占地规模</w:t>
            </w:r>
          </w:p>
        </w:tc>
        <w:tc>
          <w:tcPr>
            <w:tcW w:w="3060" w:type="pct"/>
            <w:gridSpan w:val="6"/>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color w:val="auto"/>
                <w:kern w:val="0"/>
                <w:szCs w:val="21"/>
                <w:highlight w:val="none"/>
                <w:lang w:bidi="mn-Mong-CN"/>
              </w:rPr>
            </w:pPr>
            <w:r>
              <w:rPr>
                <w:rFonts w:hint="default" w:ascii="Times New Roman" w:hAnsi="Times New Roman" w:eastAsia="宋体" w:cs="Times New Roman"/>
                <w:color w:val="auto"/>
                <w:kern w:val="0"/>
                <w:szCs w:val="21"/>
                <w:highlight w:val="none"/>
                <w:lang w:bidi="mn-Mong-CN"/>
              </w:rPr>
              <w:t>（0.</w:t>
            </w:r>
            <w:r>
              <w:rPr>
                <w:rFonts w:hint="default" w:ascii="Times New Roman" w:hAnsi="Times New Roman" w:eastAsia="宋体" w:cs="Times New Roman"/>
                <w:color w:val="auto"/>
                <w:kern w:val="0"/>
                <w:szCs w:val="21"/>
                <w:highlight w:val="none"/>
                <w:lang w:val="en-US" w:eastAsia="zh-CN" w:bidi="mn-Mong-CN"/>
              </w:rPr>
              <w:t>5918</w:t>
            </w:r>
            <w:r>
              <w:rPr>
                <w:rFonts w:hint="default" w:ascii="Times New Roman" w:hAnsi="Times New Roman" w:eastAsia="宋体" w:cs="Times New Roman"/>
                <w:color w:val="auto"/>
                <w:kern w:val="0"/>
                <w:szCs w:val="21"/>
                <w:highlight w:val="none"/>
                <w:lang w:eastAsia="zh-CN" w:bidi="mn-Mong-CN"/>
              </w:rPr>
              <w:t>）</w:t>
            </w:r>
            <w:r>
              <w:rPr>
                <w:rFonts w:hint="default" w:ascii="Times New Roman" w:hAnsi="Times New Roman" w:eastAsia="宋体" w:cs="Times New Roman"/>
                <w:color w:val="auto"/>
                <w:kern w:val="0"/>
                <w:szCs w:val="21"/>
                <w:highlight w:val="none"/>
                <w:lang w:bidi="mn-Mong-CN"/>
              </w:rPr>
              <w:t>km</w:t>
            </w:r>
            <w:r>
              <w:rPr>
                <w:rFonts w:hint="default" w:ascii="Times New Roman" w:hAnsi="Times New Roman" w:eastAsia="宋体" w:cs="Times New Roman"/>
                <w:color w:val="auto"/>
                <w:kern w:val="0"/>
                <w:szCs w:val="21"/>
                <w:highlight w:val="none"/>
                <w:vertAlign w:val="superscript"/>
                <w:lang w:bidi="mn-Mong-CN"/>
              </w:rPr>
              <w:t>2</w:t>
            </w:r>
          </w:p>
        </w:tc>
        <w:tc>
          <w:tcPr>
            <w:tcW w:w="774" w:type="pct"/>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color w:val="auto"/>
                <w:kern w:val="0"/>
                <w:szCs w:val="21"/>
                <w:highlight w:val="none"/>
                <w:lang w:bidi="mn-Mong-CN"/>
              </w:rPr>
            </w:pP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340" w:hRule="atLeast"/>
          <w:jc w:val="center"/>
        </w:trPr>
        <w:tc>
          <w:tcPr>
            <w:tcW w:w="258" w:type="pct"/>
            <w:vMerge w:val="continue"/>
            <w:tcBorders>
              <w:top w:val="single" w:color="auto" w:sz="4" w:space="0"/>
              <w:left w:val="single" w:color="auto" w:sz="4" w:space="0"/>
              <w:bottom w:val="single" w:color="auto" w:sz="4" w:space="0"/>
              <w:right w:val="single" w:color="auto" w:sz="4" w:space="0"/>
            </w:tcBorders>
            <w:vAlign w:val="center"/>
          </w:tcPr>
          <w:p>
            <w:pPr>
              <w:pageBreakBefore w:val="0"/>
              <w:widowControl/>
              <w:wordWrap/>
              <w:bidi w:val="0"/>
              <w:ind w:left="0" w:leftChars="0" w:right="0" w:rightChars="0"/>
              <w:jc w:val="center"/>
              <w:rPr>
                <w:rFonts w:hint="default" w:ascii="Times New Roman" w:hAnsi="Times New Roman" w:eastAsia="宋体" w:cs="Times New Roman"/>
                <w:color w:val="auto"/>
                <w:kern w:val="0"/>
                <w:szCs w:val="21"/>
                <w:highlight w:val="none"/>
                <w:lang w:bidi="mn-Mong-CN"/>
              </w:rPr>
            </w:pPr>
          </w:p>
        </w:tc>
        <w:tc>
          <w:tcPr>
            <w:tcW w:w="907" w:type="pct"/>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color w:val="auto"/>
                <w:kern w:val="0"/>
                <w:szCs w:val="21"/>
                <w:highlight w:val="none"/>
                <w:lang w:bidi="mn-Mong-CN"/>
              </w:rPr>
            </w:pPr>
            <w:r>
              <w:rPr>
                <w:rFonts w:hint="default" w:ascii="Times New Roman" w:hAnsi="Times New Roman" w:eastAsia="宋体" w:cs="Times New Roman"/>
                <w:color w:val="auto"/>
                <w:kern w:val="0"/>
                <w:szCs w:val="21"/>
                <w:highlight w:val="none"/>
                <w:lang w:bidi="mn-Mong-CN"/>
              </w:rPr>
              <w:t>敏感目标信息</w:t>
            </w:r>
          </w:p>
        </w:tc>
        <w:tc>
          <w:tcPr>
            <w:tcW w:w="3060" w:type="pct"/>
            <w:gridSpan w:val="6"/>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color w:val="auto"/>
                <w:kern w:val="0"/>
                <w:szCs w:val="21"/>
                <w:highlight w:val="none"/>
                <w:lang w:eastAsia="zh-CN" w:bidi="mn-Mong-CN"/>
              </w:rPr>
            </w:pPr>
            <w:r>
              <w:rPr>
                <w:rFonts w:hint="default" w:ascii="Times New Roman" w:hAnsi="Times New Roman" w:eastAsia="宋体" w:cs="Times New Roman"/>
                <w:color w:val="auto"/>
                <w:kern w:val="0"/>
                <w:szCs w:val="21"/>
                <w:highlight w:val="none"/>
                <w:lang w:bidi="mn-Mong-CN"/>
              </w:rPr>
              <w:t>敏感目标（</w:t>
            </w:r>
            <w:r>
              <w:rPr>
                <w:rFonts w:hint="default" w:ascii="Times New Roman" w:hAnsi="Times New Roman" w:eastAsia="宋体" w:cs="Times New Roman"/>
                <w:color w:val="auto"/>
                <w:kern w:val="0"/>
                <w:szCs w:val="21"/>
                <w:highlight w:val="none"/>
                <w:lang w:eastAsia="zh-CN" w:bidi="mn-Mong-CN"/>
              </w:rPr>
              <w:t>）</w:t>
            </w:r>
            <w:r>
              <w:rPr>
                <w:rFonts w:hint="default" w:ascii="Times New Roman" w:hAnsi="Times New Roman" w:eastAsia="宋体" w:cs="Times New Roman"/>
                <w:color w:val="auto"/>
                <w:kern w:val="0"/>
                <w:szCs w:val="21"/>
                <w:highlight w:val="none"/>
                <w:lang w:bidi="mn-Mong-CN"/>
              </w:rPr>
              <w:t>、方位（</w:t>
            </w:r>
            <w:r>
              <w:rPr>
                <w:rFonts w:hint="default" w:ascii="Times New Roman" w:hAnsi="Times New Roman" w:eastAsia="宋体" w:cs="Times New Roman"/>
                <w:color w:val="auto"/>
                <w:kern w:val="0"/>
                <w:szCs w:val="21"/>
                <w:highlight w:val="none"/>
                <w:lang w:eastAsia="zh-CN" w:bidi="mn-Mong-CN"/>
              </w:rPr>
              <w:t>）</w:t>
            </w:r>
            <w:r>
              <w:rPr>
                <w:rFonts w:hint="default" w:ascii="Times New Roman" w:hAnsi="Times New Roman" w:eastAsia="宋体" w:cs="Times New Roman"/>
                <w:color w:val="auto"/>
                <w:kern w:val="0"/>
                <w:szCs w:val="21"/>
                <w:highlight w:val="none"/>
                <w:lang w:bidi="mn-Mong-CN"/>
              </w:rPr>
              <w:t>、距离（</w:t>
            </w:r>
            <w:r>
              <w:rPr>
                <w:rFonts w:hint="default" w:ascii="Times New Roman" w:hAnsi="Times New Roman" w:eastAsia="宋体" w:cs="Times New Roman"/>
                <w:color w:val="auto"/>
                <w:kern w:val="0"/>
                <w:szCs w:val="21"/>
                <w:highlight w:val="none"/>
                <w:lang w:eastAsia="zh-CN" w:bidi="mn-Mong-CN"/>
              </w:rPr>
              <w:t>）</w:t>
            </w:r>
          </w:p>
        </w:tc>
        <w:tc>
          <w:tcPr>
            <w:tcW w:w="774" w:type="pct"/>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color w:val="auto"/>
                <w:kern w:val="0"/>
                <w:szCs w:val="21"/>
                <w:highlight w:val="none"/>
                <w:lang w:bidi="mn-Mong-CN"/>
              </w:rPr>
            </w:pP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340" w:hRule="atLeast"/>
          <w:jc w:val="center"/>
        </w:trPr>
        <w:tc>
          <w:tcPr>
            <w:tcW w:w="258" w:type="pct"/>
            <w:vMerge w:val="continue"/>
            <w:tcBorders>
              <w:top w:val="single" w:color="auto" w:sz="4" w:space="0"/>
              <w:left w:val="single" w:color="auto" w:sz="4" w:space="0"/>
              <w:bottom w:val="single" w:color="auto" w:sz="4" w:space="0"/>
              <w:right w:val="single" w:color="auto" w:sz="4" w:space="0"/>
            </w:tcBorders>
            <w:vAlign w:val="center"/>
          </w:tcPr>
          <w:p>
            <w:pPr>
              <w:pageBreakBefore w:val="0"/>
              <w:widowControl/>
              <w:wordWrap/>
              <w:bidi w:val="0"/>
              <w:ind w:left="0" w:leftChars="0" w:right="0" w:rightChars="0"/>
              <w:jc w:val="center"/>
              <w:rPr>
                <w:rFonts w:hint="default" w:ascii="Times New Roman" w:hAnsi="Times New Roman" w:eastAsia="宋体" w:cs="Times New Roman"/>
                <w:color w:val="auto"/>
                <w:kern w:val="0"/>
                <w:szCs w:val="21"/>
                <w:highlight w:val="none"/>
                <w:lang w:bidi="mn-Mong-CN"/>
              </w:rPr>
            </w:pPr>
          </w:p>
        </w:tc>
        <w:tc>
          <w:tcPr>
            <w:tcW w:w="907" w:type="pct"/>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color w:val="auto"/>
                <w:kern w:val="0"/>
                <w:szCs w:val="21"/>
                <w:highlight w:val="none"/>
                <w:lang w:bidi="mn-Mong-CN"/>
              </w:rPr>
            </w:pPr>
            <w:r>
              <w:rPr>
                <w:rFonts w:hint="default" w:ascii="Times New Roman" w:hAnsi="Times New Roman" w:eastAsia="宋体" w:cs="Times New Roman"/>
                <w:color w:val="auto"/>
                <w:kern w:val="0"/>
                <w:szCs w:val="21"/>
                <w:highlight w:val="none"/>
                <w:lang w:bidi="mn-Mong-CN"/>
              </w:rPr>
              <w:t>影响途径</w:t>
            </w:r>
          </w:p>
        </w:tc>
        <w:tc>
          <w:tcPr>
            <w:tcW w:w="3060" w:type="pct"/>
            <w:gridSpan w:val="6"/>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color w:val="auto"/>
                <w:kern w:val="0"/>
                <w:szCs w:val="21"/>
                <w:highlight w:val="none"/>
                <w:lang w:eastAsia="zh-CN" w:bidi="mn-Mong-CN"/>
              </w:rPr>
            </w:pPr>
            <w:r>
              <w:rPr>
                <w:rFonts w:hint="default" w:ascii="Times New Roman" w:hAnsi="Times New Roman" w:eastAsia="宋体" w:cs="Times New Roman"/>
                <w:color w:val="auto"/>
                <w:kern w:val="0"/>
                <w:szCs w:val="21"/>
                <w:highlight w:val="none"/>
                <w:lang w:bidi="mn-Mong-CN"/>
              </w:rPr>
              <w:t>大气沉降☑；地面漫流☑；垂直入渗☑；地下水位□；其他（</w:t>
            </w:r>
            <w:r>
              <w:rPr>
                <w:rFonts w:hint="default" w:ascii="Times New Roman" w:hAnsi="Times New Roman" w:eastAsia="宋体" w:cs="Times New Roman"/>
                <w:color w:val="auto"/>
                <w:kern w:val="0"/>
                <w:szCs w:val="21"/>
                <w:highlight w:val="none"/>
                <w:lang w:eastAsia="zh-CN" w:bidi="mn-Mong-CN"/>
              </w:rPr>
              <w:t>）</w:t>
            </w:r>
          </w:p>
        </w:tc>
        <w:tc>
          <w:tcPr>
            <w:tcW w:w="774" w:type="pct"/>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color w:val="auto"/>
                <w:kern w:val="0"/>
                <w:szCs w:val="21"/>
                <w:highlight w:val="none"/>
                <w:lang w:bidi="mn-Mong-CN"/>
              </w:rPr>
            </w:pP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340" w:hRule="atLeast"/>
          <w:jc w:val="center"/>
        </w:trPr>
        <w:tc>
          <w:tcPr>
            <w:tcW w:w="258" w:type="pct"/>
            <w:vMerge w:val="continue"/>
            <w:tcBorders>
              <w:top w:val="single" w:color="auto" w:sz="4" w:space="0"/>
              <w:left w:val="single" w:color="auto" w:sz="4" w:space="0"/>
              <w:bottom w:val="single" w:color="auto" w:sz="4" w:space="0"/>
              <w:right w:val="single" w:color="auto" w:sz="4" w:space="0"/>
            </w:tcBorders>
            <w:vAlign w:val="center"/>
          </w:tcPr>
          <w:p>
            <w:pPr>
              <w:pageBreakBefore w:val="0"/>
              <w:widowControl/>
              <w:wordWrap/>
              <w:bidi w:val="0"/>
              <w:ind w:left="0" w:leftChars="0" w:right="0" w:rightChars="0"/>
              <w:jc w:val="center"/>
              <w:rPr>
                <w:rFonts w:hint="default" w:ascii="Times New Roman" w:hAnsi="Times New Roman" w:eastAsia="宋体" w:cs="Times New Roman"/>
                <w:color w:val="auto"/>
                <w:kern w:val="0"/>
                <w:szCs w:val="21"/>
                <w:highlight w:val="none"/>
                <w:lang w:bidi="mn-Mong-CN"/>
              </w:rPr>
            </w:pPr>
          </w:p>
        </w:tc>
        <w:tc>
          <w:tcPr>
            <w:tcW w:w="907" w:type="pct"/>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color w:val="auto"/>
                <w:kern w:val="0"/>
                <w:szCs w:val="21"/>
                <w:highlight w:val="none"/>
                <w:lang w:bidi="mn-Mong-CN"/>
              </w:rPr>
            </w:pPr>
            <w:r>
              <w:rPr>
                <w:rFonts w:hint="default" w:ascii="Times New Roman" w:hAnsi="Times New Roman" w:eastAsia="宋体" w:cs="Times New Roman"/>
                <w:color w:val="auto"/>
                <w:kern w:val="0"/>
                <w:szCs w:val="21"/>
                <w:highlight w:val="none"/>
                <w:lang w:bidi="mn-Mong-CN"/>
              </w:rPr>
              <w:t>全部污染物</w:t>
            </w:r>
          </w:p>
        </w:tc>
        <w:tc>
          <w:tcPr>
            <w:tcW w:w="3060" w:type="pct"/>
            <w:gridSpan w:val="6"/>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color w:val="auto"/>
                <w:kern w:val="0"/>
                <w:szCs w:val="21"/>
                <w:highlight w:val="none"/>
                <w:lang w:bidi="mn-Mong-CN"/>
              </w:rPr>
            </w:pPr>
            <w:r>
              <w:rPr>
                <w:rFonts w:hint="default" w:ascii="Times New Roman" w:hAnsi="Times New Roman" w:eastAsia="宋体" w:cs="Times New Roman"/>
                <w:color w:val="auto"/>
                <w:kern w:val="0"/>
                <w:szCs w:val="21"/>
                <w:highlight w:val="none"/>
                <w:lang w:bidi="mn-Mong-CN"/>
              </w:rPr>
              <w:t>/</w:t>
            </w:r>
          </w:p>
        </w:tc>
        <w:tc>
          <w:tcPr>
            <w:tcW w:w="774" w:type="pct"/>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color w:val="auto"/>
                <w:kern w:val="0"/>
                <w:szCs w:val="21"/>
                <w:highlight w:val="none"/>
                <w:lang w:bidi="mn-Mong-CN"/>
              </w:rPr>
            </w:pP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340" w:hRule="atLeast"/>
          <w:jc w:val="center"/>
        </w:trPr>
        <w:tc>
          <w:tcPr>
            <w:tcW w:w="258" w:type="pct"/>
            <w:vMerge w:val="continue"/>
            <w:tcBorders>
              <w:top w:val="single" w:color="auto" w:sz="4" w:space="0"/>
              <w:left w:val="single" w:color="auto" w:sz="4" w:space="0"/>
              <w:bottom w:val="single" w:color="auto" w:sz="4" w:space="0"/>
              <w:right w:val="single" w:color="auto" w:sz="4" w:space="0"/>
            </w:tcBorders>
            <w:vAlign w:val="center"/>
          </w:tcPr>
          <w:p>
            <w:pPr>
              <w:pageBreakBefore w:val="0"/>
              <w:widowControl/>
              <w:wordWrap/>
              <w:bidi w:val="0"/>
              <w:ind w:left="0" w:leftChars="0" w:right="0" w:rightChars="0"/>
              <w:jc w:val="center"/>
              <w:rPr>
                <w:rFonts w:hint="default" w:ascii="Times New Roman" w:hAnsi="Times New Roman" w:eastAsia="宋体" w:cs="Times New Roman"/>
                <w:color w:val="auto"/>
                <w:kern w:val="0"/>
                <w:szCs w:val="21"/>
                <w:highlight w:val="none"/>
                <w:lang w:bidi="mn-Mong-CN"/>
              </w:rPr>
            </w:pPr>
          </w:p>
        </w:tc>
        <w:tc>
          <w:tcPr>
            <w:tcW w:w="907" w:type="pct"/>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color w:val="auto"/>
                <w:kern w:val="0"/>
                <w:szCs w:val="21"/>
                <w:highlight w:val="none"/>
                <w:lang w:bidi="mn-Mong-CN"/>
              </w:rPr>
            </w:pPr>
            <w:r>
              <w:rPr>
                <w:rFonts w:hint="default" w:ascii="Times New Roman" w:hAnsi="Times New Roman" w:eastAsia="宋体" w:cs="Times New Roman"/>
                <w:color w:val="auto"/>
                <w:kern w:val="0"/>
                <w:szCs w:val="21"/>
                <w:highlight w:val="none"/>
                <w:lang w:bidi="mn-Mong-CN"/>
              </w:rPr>
              <w:t>特征因子</w:t>
            </w:r>
          </w:p>
        </w:tc>
        <w:tc>
          <w:tcPr>
            <w:tcW w:w="3060" w:type="pct"/>
            <w:gridSpan w:val="6"/>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color w:val="auto"/>
                <w:kern w:val="0"/>
                <w:szCs w:val="21"/>
                <w:highlight w:val="none"/>
                <w:lang w:bidi="mn-Mong-CN"/>
              </w:rPr>
            </w:pPr>
            <w:r>
              <w:rPr>
                <w:rFonts w:hint="default" w:ascii="Times New Roman" w:hAnsi="Times New Roman" w:eastAsia="宋体" w:cs="Times New Roman"/>
                <w:color w:val="auto"/>
                <w:kern w:val="0"/>
                <w:szCs w:val="21"/>
                <w:highlight w:val="none"/>
                <w:lang w:bidi="mn-Mong-CN"/>
              </w:rPr>
              <w:t>/</w:t>
            </w:r>
          </w:p>
        </w:tc>
        <w:tc>
          <w:tcPr>
            <w:tcW w:w="774" w:type="pct"/>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color w:val="auto"/>
                <w:kern w:val="0"/>
                <w:szCs w:val="21"/>
                <w:highlight w:val="none"/>
                <w:lang w:bidi="mn-Mong-CN"/>
              </w:rPr>
            </w:pP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340" w:hRule="atLeast"/>
          <w:jc w:val="center"/>
        </w:trPr>
        <w:tc>
          <w:tcPr>
            <w:tcW w:w="258" w:type="pct"/>
            <w:vMerge w:val="continue"/>
            <w:tcBorders>
              <w:top w:val="single" w:color="auto" w:sz="4" w:space="0"/>
              <w:left w:val="single" w:color="auto" w:sz="4" w:space="0"/>
              <w:bottom w:val="single" w:color="auto" w:sz="4" w:space="0"/>
              <w:right w:val="single" w:color="auto" w:sz="4" w:space="0"/>
            </w:tcBorders>
            <w:vAlign w:val="center"/>
          </w:tcPr>
          <w:p>
            <w:pPr>
              <w:pageBreakBefore w:val="0"/>
              <w:widowControl/>
              <w:wordWrap/>
              <w:bidi w:val="0"/>
              <w:ind w:left="0" w:leftChars="0" w:right="0" w:rightChars="0"/>
              <w:jc w:val="center"/>
              <w:rPr>
                <w:rFonts w:hint="default" w:ascii="Times New Roman" w:hAnsi="Times New Roman" w:eastAsia="宋体" w:cs="Times New Roman"/>
                <w:color w:val="auto"/>
                <w:kern w:val="0"/>
                <w:szCs w:val="21"/>
                <w:highlight w:val="none"/>
                <w:lang w:bidi="mn-Mong-CN"/>
              </w:rPr>
            </w:pPr>
          </w:p>
        </w:tc>
        <w:tc>
          <w:tcPr>
            <w:tcW w:w="907" w:type="pct"/>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color w:val="auto"/>
                <w:kern w:val="0"/>
                <w:szCs w:val="21"/>
                <w:highlight w:val="none"/>
                <w:lang w:bidi="mn-Mong-CN"/>
              </w:rPr>
            </w:pPr>
            <w:r>
              <w:rPr>
                <w:rFonts w:hint="default" w:ascii="Times New Roman" w:hAnsi="Times New Roman" w:eastAsia="宋体" w:cs="Times New Roman"/>
                <w:color w:val="auto"/>
                <w:kern w:val="0"/>
                <w:szCs w:val="21"/>
                <w:highlight w:val="none"/>
                <w:lang w:bidi="mn-Mong-CN"/>
              </w:rPr>
              <w:t>所</w:t>
            </w:r>
            <w:r>
              <w:rPr>
                <w:rFonts w:hint="default" w:ascii="Times New Roman" w:hAnsi="Times New Roman" w:eastAsia="宋体" w:cs="Times New Roman"/>
                <w:color w:val="auto"/>
                <w:kern w:val="0"/>
                <w:szCs w:val="21"/>
                <w:highlight w:val="none"/>
                <w:lang w:eastAsia="zh-CN" w:bidi="mn-Mong-CN"/>
              </w:rPr>
              <w:t>属</w:t>
            </w:r>
            <w:r>
              <w:rPr>
                <w:rFonts w:hint="default" w:ascii="Times New Roman" w:hAnsi="Times New Roman" w:eastAsia="宋体" w:cs="Times New Roman"/>
                <w:color w:val="auto"/>
                <w:kern w:val="0"/>
                <w:szCs w:val="21"/>
                <w:highlight w:val="none"/>
                <w:lang w:bidi="mn-Mong-CN"/>
              </w:rPr>
              <w:t>污染环境影响评价项目类别</w:t>
            </w:r>
          </w:p>
        </w:tc>
        <w:tc>
          <w:tcPr>
            <w:tcW w:w="3060" w:type="pct"/>
            <w:gridSpan w:val="6"/>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color w:val="auto"/>
                <w:kern w:val="0"/>
                <w:szCs w:val="21"/>
                <w:highlight w:val="none"/>
                <w:lang w:bidi="mn-Mong-CN"/>
              </w:rPr>
            </w:pPr>
            <w:r>
              <w:rPr>
                <w:rFonts w:hint="default" w:ascii="Times New Roman" w:hAnsi="Times New Roman" w:eastAsia="宋体" w:cs="Times New Roman"/>
                <w:color w:val="auto"/>
                <w:kern w:val="0"/>
                <w:szCs w:val="21"/>
                <w:highlight w:val="none"/>
                <w:lang w:bidi="mn-Mong-CN"/>
              </w:rPr>
              <w:t>I类□；</w:t>
            </w:r>
            <w:r>
              <w:rPr>
                <w:rFonts w:hint="default" w:ascii="Times New Roman" w:hAnsi="Times New Roman" w:eastAsia="宋体" w:cs="Times New Roman"/>
                <w:color w:val="auto"/>
                <w:kern w:val="0"/>
                <w:szCs w:val="21"/>
                <w:highlight w:val="none"/>
                <w:lang w:eastAsia="zh-CN" w:bidi="mn-Mong-CN"/>
              </w:rPr>
              <w:t>Ⅱ类</w:t>
            </w:r>
            <w:r>
              <w:rPr>
                <w:rFonts w:hint="default" w:ascii="Times New Roman" w:hAnsi="Times New Roman" w:eastAsia="宋体" w:cs="Times New Roman"/>
                <w:color w:val="auto"/>
                <w:kern w:val="0"/>
                <w:szCs w:val="21"/>
                <w:highlight w:val="none"/>
                <w:lang w:bidi="mn-Mong-CN"/>
              </w:rPr>
              <w:t>□；</w:t>
            </w:r>
            <w:r>
              <w:rPr>
                <w:rFonts w:hint="default" w:ascii="Times New Roman" w:hAnsi="Times New Roman" w:eastAsia="宋体" w:cs="Times New Roman"/>
                <w:color w:val="auto"/>
                <w:kern w:val="0"/>
                <w:szCs w:val="21"/>
                <w:highlight w:val="none"/>
                <w:lang w:eastAsia="zh-CN" w:bidi="mn-Mong-CN"/>
              </w:rPr>
              <w:t>Ⅲ</w:t>
            </w:r>
            <w:r>
              <w:rPr>
                <w:rFonts w:hint="default" w:ascii="Times New Roman" w:hAnsi="Times New Roman" w:eastAsia="宋体" w:cs="Times New Roman"/>
                <w:color w:val="auto"/>
                <w:kern w:val="0"/>
                <w:szCs w:val="21"/>
                <w:highlight w:val="none"/>
                <w:lang w:bidi="mn-Mong-CN"/>
              </w:rPr>
              <w:t>类☑；</w:t>
            </w:r>
            <w:r>
              <w:rPr>
                <w:rFonts w:hint="default" w:ascii="Times New Roman" w:hAnsi="Times New Roman" w:eastAsia="宋体" w:cs="Times New Roman"/>
                <w:color w:val="auto"/>
                <w:kern w:val="0"/>
                <w:szCs w:val="21"/>
                <w:highlight w:val="none"/>
                <w:lang w:eastAsia="zh-CN" w:bidi="mn-Mong-CN"/>
              </w:rPr>
              <w:t>Ⅳ类</w:t>
            </w:r>
            <w:r>
              <w:rPr>
                <w:rFonts w:hint="default" w:ascii="Times New Roman" w:hAnsi="Times New Roman" w:eastAsia="宋体" w:cs="Times New Roman"/>
                <w:color w:val="auto"/>
                <w:kern w:val="0"/>
                <w:szCs w:val="21"/>
                <w:highlight w:val="none"/>
                <w:lang w:bidi="mn-Mong-CN"/>
              </w:rPr>
              <w:t>□</w:t>
            </w:r>
          </w:p>
        </w:tc>
        <w:tc>
          <w:tcPr>
            <w:tcW w:w="774" w:type="pct"/>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color w:val="auto"/>
                <w:kern w:val="0"/>
                <w:szCs w:val="21"/>
                <w:highlight w:val="none"/>
                <w:lang w:bidi="mn-Mong-CN"/>
              </w:rPr>
            </w:pP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340" w:hRule="atLeast"/>
          <w:jc w:val="center"/>
        </w:trPr>
        <w:tc>
          <w:tcPr>
            <w:tcW w:w="258" w:type="pct"/>
            <w:vMerge w:val="continue"/>
            <w:tcBorders>
              <w:top w:val="single" w:color="auto" w:sz="4" w:space="0"/>
              <w:left w:val="single" w:color="auto" w:sz="4" w:space="0"/>
              <w:bottom w:val="single" w:color="auto" w:sz="4" w:space="0"/>
              <w:right w:val="single" w:color="auto" w:sz="4" w:space="0"/>
            </w:tcBorders>
            <w:vAlign w:val="center"/>
          </w:tcPr>
          <w:p>
            <w:pPr>
              <w:pageBreakBefore w:val="0"/>
              <w:widowControl/>
              <w:wordWrap/>
              <w:bidi w:val="0"/>
              <w:ind w:left="0" w:leftChars="0" w:right="0" w:rightChars="0"/>
              <w:jc w:val="center"/>
              <w:rPr>
                <w:rFonts w:hint="default" w:ascii="Times New Roman" w:hAnsi="Times New Roman" w:eastAsia="宋体" w:cs="Times New Roman"/>
                <w:color w:val="auto"/>
                <w:kern w:val="0"/>
                <w:szCs w:val="21"/>
                <w:highlight w:val="none"/>
                <w:lang w:bidi="mn-Mong-CN"/>
              </w:rPr>
            </w:pPr>
          </w:p>
        </w:tc>
        <w:tc>
          <w:tcPr>
            <w:tcW w:w="907" w:type="pct"/>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color w:val="auto"/>
                <w:kern w:val="0"/>
                <w:szCs w:val="21"/>
                <w:highlight w:val="none"/>
                <w:lang w:bidi="mn-Mong-CN"/>
              </w:rPr>
            </w:pPr>
            <w:r>
              <w:rPr>
                <w:rFonts w:hint="default" w:ascii="Times New Roman" w:hAnsi="Times New Roman" w:eastAsia="宋体" w:cs="Times New Roman"/>
                <w:color w:val="auto"/>
                <w:kern w:val="0"/>
                <w:szCs w:val="21"/>
                <w:highlight w:val="none"/>
                <w:lang w:bidi="mn-Mong-CN"/>
              </w:rPr>
              <w:t>敏感程度</w:t>
            </w:r>
          </w:p>
        </w:tc>
        <w:tc>
          <w:tcPr>
            <w:tcW w:w="3060" w:type="pct"/>
            <w:gridSpan w:val="6"/>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color w:val="auto"/>
                <w:kern w:val="0"/>
                <w:szCs w:val="21"/>
                <w:highlight w:val="none"/>
                <w:lang w:bidi="mn-Mong-CN"/>
              </w:rPr>
            </w:pPr>
            <w:r>
              <w:rPr>
                <w:rFonts w:hint="default" w:ascii="Times New Roman" w:hAnsi="Times New Roman" w:eastAsia="宋体" w:cs="Times New Roman"/>
                <w:color w:val="auto"/>
                <w:kern w:val="0"/>
                <w:szCs w:val="21"/>
                <w:highlight w:val="none"/>
                <w:lang w:bidi="mn-Mong-CN"/>
              </w:rPr>
              <w:t>敏感☑；较敏感□；不敏感□</w:t>
            </w:r>
          </w:p>
        </w:tc>
        <w:tc>
          <w:tcPr>
            <w:tcW w:w="774" w:type="pct"/>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color w:val="auto"/>
                <w:kern w:val="0"/>
                <w:szCs w:val="21"/>
                <w:highlight w:val="none"/>
                <w:lang w:bidi="mn-Mong-CN"/>
              </w:rPr>
            </w:pP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340" w:hRule="atLeast"/>
          <w:jc w:val="center"/>
        </w:trPr>
        <w:tc>
          <w:tcPr>
            <w:tcW w:w="1165" w:type="pct"/>
            <w:gridSpan w:val="2"/>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color w:val="auto"/>
                <w:kern w:val="0"/>
                <w:szCs w:val="21"/>
                <w:highlight w:val="none"/>
                <w:lang w:bidi="mn-Mong-CN"/>
              </w:rPr>
            </w:pPr>
            <w:r>
              <w:rPr>
                <w:rFonts w:hint="default" w:ascii="Times New Roman" w:hAnsi="Times New Roman" w:eastAsia="宋体" w:cs="Times New Roman"/>
                <w:color w:val="auto"/>
                <w:kern w:val="0"/>
                <w:szCs w:val="21"/>
                <w:highlight w:val="none"/>
                <w:lang w:bidi="mn-Mong-CN"/>
              </w:rPr>
              <w:t>评价工作等级</w:t>
            </w:r>
          </w:p>
        </w:tc>
        <w:tc>
          <w:tcPr>
            <w:tcW w:w="3060" w:type="pct"/>
            <w:gridSpan w:val="6"/>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color w:val="auto"/>
                <w:kern w:val="0"/>
                <w:szCs w:val="21"/>
                <w:highlight w:val="none"/>
                <w:lang w:bidi="mn-Mong-CN"/>
              </w:rPr>
            </w:pPr>
            <w:r>
              <w:rPr>
                <w:rFonts w:hint="default" w:ascii="Times New Roman" w:hAnsi="Times New Roman" w:eastAsia="宋体" w:cs="Times New Roman"/>
                <w:color w:val="auto"/>
                <w:kern w:val="0"/>
                <w:szCs w:val="21"/>
                <w:highlight w:val="none"/>
                <w:lang w:bidi="mn-Mong-CN"/>
              </w:rPr>
              <w:t>一级□；二级□；三级☑</w:t>
            </w:r>
          </w:p>
        </w:tc>
        <w:tc>
          <w:tcPr>
            <w:tcW w:w="774" w:type="pct"/>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color w:val="auto"/>
                <w:kern w:val="0"/>
                <w:szCs w:val="21"/>
                <w:highlight w:val="none"/>
                <w:lang w:bidi="mn-Mong-CN"/>
              </w:rPr>
            </w:pP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340" w:hRule="atLeast"/>
          <w:jc w:val="center"/>
        </w:trPr>
        <w:tc>
          <w:tcPr>
            <w:tcW w:w="258" w:type="pct"/>
            <w:vMerge w:val="restart"/>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color w:val="auto"/>
                <w:kern w:val="0"/>
                <w:szCs w:val="21"/>
                <w:highlight w:val="none"/>
                <w:lang w:bidi="mn-Mong-CN"/>
              </w:rPr>
            </w:pPr>
            <w:r>
              <w:rPr>
                <w:rFonts w:hint="default" w:ascii="Times New Roman" w:hAnsi="Times New Roman" w:eastAsia="宋体" w:cs="Times New Roman"/>
                <w:color w:val="auto"/>
                <w:kern w:val="0"/>
                <w:szCs w:val="21"/>
                <w:highlight w:val="none"/>
                <w:lang w:bidi="mn-Mong-CN"/>
              </w:rPr>
              <w:t>现状调查内容</w:t>
            </w:r>
          </w:p>
        </w:tc>
        <w:tc>
          <w:tcPr>
            <w:tcW w:w="907" w:type="pct"/>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color w:val="auto"/>
                <w:kern w:val="0"/>
                <w:szCs w:val="21"/>
                <w:highlight w:val="none"/>
                <w:lang w:bidi="mn-Mong-CN"/>
              </w:rPr>
            </w:pPr>
            <w:r>
              <w:rPr>
                <w:rFonts w:hint="default" w:ascii="Times New Roman" w:hAnsi="Times New Roman" w:eastAsia="宋体" w:cs="Times New Roman"/>
                <w:color w:val="auto"/>
                <w:kern w:val="0"/>
                <w:szCs w:val="21"/>
                <w:highlight w:val="none"/>
                <w:lang w:bidi="mn-Mong-CN"/>
              </w:rPr>
              <w:t>资料收集</w:t>
            </w:r>
          </w:p>
        </w:tc>
        <w:tc>
          <w:tcPr>
            <w:tcW w:w="3060" w:type="pct"/>
            <w:gridSpan w:val="6"/>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color w:val="auto"/>
                <w:kern w:val="0"/>
                <w:szCs w:val="21"/>
                <w:highlight w:val="none"/>
                <w:lang w:bidi="mn-Mong-CN"/>
              </w:rPr>
            </w:pPr>
            <w:r>
              <w:rPr>
                <w:rFonts w:hint="default" w:ascii="Times New Roman" w:hAnsi="Times New Roman" w:eastAsia="宋体" w:cs="Times New Roman"/>
                <w:color w:val="auto"/>
                <w:kern w:val="0"/>
                <w:szCs w:val="21"/>
                <w:highlight w:val="none"/>
                <w:lang w:bidi="mn-Mong-CN"/>
              </w:rPr>
              <w:t>a</w:t>
            </w:r>
            <w:r>
              <w:rPr>
                <w:rFonts w:hint="default" w:ascii="Times New Roman" w:hAnsi="Times New Roman" w:eastAsia="宋体" w:cs="Times New Roman"/>
                <w:color w:val="auto"/>
                <w:kern w:val="0"/>
                <w:szCs w:val="21"/>
                <w:highlight w:val="none"/>
                <w:lang w:eastAsia="zh-CN" w:bidi="mn-Mong-CN"/>
              </w:rPr>
              <w:t>）</w:t>
            </w:r>
            <w:r>
              <w:rPr>
                <w:rFonts w:hint="default" w:ascii="Times New Roman" w:hAnsi="Times New Roman" w:eastAsia="宋体" w:cs="Times New Roman"/>
                <w:color w:val="auto"/>
                <w:kern w:val="0"/>
                <w:szCs w:val="21"/>
                <w:highlight w:val="none"/>
                <w:lang w:bidi="mn-Mong-CN"/>
              </w:rPr>
              <w:t>☑；b</w:t>
            </w:r>
            <w:r>
              <w:rPr>
                <w:rFonts w:hint="default" w:ascii="Times New Roman" w:hAnsi="Times New Roman" w:eastAsia="宋体" w:cs="Times New Roman"/>
                <w:color w:val="auto"/>
                <w:kern w:val="0"/>
                <w:szCs w:val="21"/>
                <w:highlight w:val="none"/>
                <w:lang w:eastAsia="zh-CN" w:bidi="mn-Mong-CN"/>
              </w:rPr>
              <w:t>）</w:t>
            </w:r>
            <w:r>
              <w:rPr>
                <w:rFonts w:hint="default" w:ascii="Times New Roman" w:hAnsi="Times New Roman" w:eastAsia="宋体" w:cs="Times New Roman"/>
                <w:color w:val="auto"/>
                <w:kern w:val="0"/>
                <w:szCs w:val="21"/>
                <w:highlight w:val="none"/>
                <w:lang w:bidi="mn-Mong-CN"/>
              </w:rPr>
              <w:t>☑；c</w:t>
            </w:r>
            <w:r>
              <w:rPr>
                <w:rFonts w:hint="default" w:ascii="Times New Roman" w:hAnsi="Times New Roman" w:eastAsia="宋体" w:cs="Times New Roman"/>
                <w:color w:val="auto"/>
                <w:kern w:val="0"/>
                <w:szCs w:val="21"/>
                <w:highlight w:val="none"/>
                <w:lang w:eastAsia="zh-CN" w:bidi="mn-Mong-CN"/>
              </w:rPr>
              <w:t>）</w:t>
            </w:r>
            <w:r>
              <w:rPr>
                <w:rFonts w:hint="default" w:ascii="Times New Roman" w:hAnsi="Times New Roman" w:eastAsia="宋体" w:cs="Times New Roman"/>
                <w:color w:val="auto"/>
                <w:kern w:val="0"/>
                <w:szCs w:val="21"/>
                <w:highlight w:val="none"/>
                <w:lang w:bidi="mn-Mong-CN"/>
              </w:rPr>
              <w:t>☑；d</w:t>
            </w:r>
            <w:r>
              <w:rPr>
                <w:rFonts w:hint="default" w:ascii="Times New Roman" w:hAnsi="Times New Roman" w:eastAsia="宋体" w:cs="Times New Roman"/>
                <w:color w:val="auto"/>
                <w:kern w:val="0"/>
                <w:szCs w:val="21"/>
                <w:highlight w:val="none"/>
                <w:lang w:eastAsia="zh-CN" w:bidi="mn-Mong-CN"/>
              </w:rPr>
              <w:t>）</w:t>
            </w:r>
            <w:r>
              <w:rPr>
                <w:rFonts w:hint="default" w:ascii="Times New Roman" w:hAnsi="Times New Roman" w:eastAsia="宋体" w:cs="Times New Roman"/>
                <w:color w:val="auto"/>
                <w:kern w:val="0"/>
                <w:szCs w:val="21"/>
                <w:highlight w:val="none"/>
                <w:lang w:bidi="mn-Mong-CN"/>
              </w:rPr>
              <w:t>□</w:t>
            </w:r>
          </w:p>
        </w:tc>
        <w:tc>
          <w:tcPr>
            <w:tcW w:w="774" w:type="pct"/>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color w:val="auto"/>
                <w:kern w:val="0"/>
                <w:szCs w:val="21"/>
                <w:highlight w:val="none"/>
                <w:lang w:bidi="mn-Mong-CN"/>
              </w:rPr>
            </w:pP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340" w:hRule="atLeast"/>
          <w:jc w:val="center"/>
        </w:trPr>
        <w:tc>
          <w:tcPr>
            <w:tcW w:w="258" w:type="pct"/>
            <w:vMerge w:val="continue"/>
            <w:tcBorders>
              <w:top w:val="single" w:color="auto" w:sz="4" w:space="0"/>
              <w:left w:val="single" w:color="auto" w:sz="4" w:space="0"/>
              <w:bottom w:val="single" w:color="auto" w:sz="4" w:space="0"/>
              <w:right w:val="single" w:color="auto" w:sz="4" w:space="0"/>
            </w:tcBorders>
            <w:vAlign w:val="center"/>
          </w:tcPr>
          <w:p>
            <w:pPr>
              <w:pageBreakBefore w:val="0"/>
              <w:widowControl/>
              <w:wordWrap/>
              <w:bidi w:val="0"/>
              <w:ind w:left="0" w:leftChars="0" w:right="0" w:rightChars="0"/>
              <w:jc w:val="center"/>
              <w:rPr>
                <w:rFonts w:hint="default" w:ascii="Times New Roman" w:hAnsi="Times New Roman" w:eastAsia="宋体" w:cs="Times New Roman"/>
                <w:color w:val="auto"/>
                <w:kern w:val="0"/>
                <w:szCs w:val="21"/>
                <w:highlight w:val="none"/>
                <w:lang w:bidi="mn-Mong-CN"/>
              </w:rPr>
            </w:pPr>
          </w:p>
        </w:tc>
        <w:tc>
          <w:tcPr>
            <w:tcW w:w="907" w:type="pct"/>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color w:val="auto"/>
                <w:kern w:val="0"/>
                <w:szCs w:val="21"/>
                <w:highlight w:val="none"/>
                <w:lang w:bidi="mn-Mong-CN"/>
              </w:rPr>
            </w:pPr>
            <w:r>
              <w:rPr>
                <w:rFonts w:hint="default" w:ascii="Times New Roman" w:hAnsi="Times New Roman" w:eastAsia="宋体" w:cs="Times New Roman"/>
                <w:color w:val="auto"/>
                <w:kern w:val="0"/>
                <w:szCs w:val="21"/>
                <w:highlight w:val="none"/>
                <w:lang w:bidi="mn-Mong-CN"/>
              </w:rPr>
              <w:t>理化性质</w:t>
            </w:r>
          </w:p>
        </w:tc>
        <w:tc>
          <w:tcPr>
            <w:tcW w:w="3060" w:type="pct"/>
            <w:gridSpan w:val="6"/>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color w:val="auto"/>
                <w:kern w:val="0"/>
                <w:szCs w:val="21"/>
                <w:highlight w:val="none"/>
                <w:lang w:bidi="mn-Mong-CN"/>
              </w:rPr>
            </w:pPr>
            <w:r>
              <w:rPr>
                <w:rFonts w:hint="default" w:ascii="Times New Roman" w:hAnsi="Times New Roman" w:eastAsia="宋体" w:cs="Times New Roman"/>
                <w:color w:val="auto"/>
                <w:kern w:val="0"/>
                <w:szCs w:val="21"/>
                <w:highlight w:val="none"/>
                <w:lang w:bidi="mn-Mong-CN"/>
              </w:rPr>
              <w:t>颜色</w:t>
            </w:r>
            <w:r>
              <w:rPr>
                <w:rFonts w:hint="default" w:ascii="Times New Roman" w:hAnsi="Times New Roman" w:eastAsia="宋体" w:cs="Times New Roman"/>
                <w:color w:val="auto"/>
                <w:kern w:val="0"/>
                <w:szCs w:val="21"/>
                <w:highlight w:val="none"/>
                <w:lang w:eastAsia="zh-CN" w:bidi="mn-Mong-CN"/>
              </w:rPr>
              <w:t>：</w:t>
            </w:r>
            <w:r>
              <w:rPr>
                <w:rFonts w:hint="default" w:ascii="Times New Roman" w:hAnsi="Times New Roman" w:eastAsia="宋体" w:cs="Times New Roman"/>
                <w:color w:val="auto"/>
                <w:kern w:val="0"/>
                <w:szCs w:val="21"/>
                <w:highlight w:val="none"/>
                <w:lang w:bidi="mn-Mong-CN"/>
              </w:rPr>
              <w:t>栗色；结构</w:t>
            </w:r>
            <w:r>
              <w:rPr>
                <w:rFonts w:hint="default" w:ascii="Times New Roman" w:hAnsi="Times New Roman" w:eastAsia="宋体" w:cs="Times New Roman"/>
                <w:color w:val="auto"/>
                <w:kern w:val="0"/>
                <w:szCs w:val="21"/>
                <w:highlight w:val="none"/>
                <w:lang w:eastAsia="zh-CN" w:bidi="mn-Mong-CN"/>
              </w:rPr>
              <w:t>：</w:t>
            </w:r>
            <w:r>
              <w:rPr>
                <w:rFonts w:hint="default" w:ascii="Times New Roman" w:hAnsi="Times New Roman" w:eastAsia="宋体" w:cs="Times New Roman"/>
                <w:bCs/>
                <w:color w:val="auto"/>
                <w:szCs w:val="21"/>
                <w:highlight w:val="none"/>
              </w:rPr>
              <w:t>屑</w:t>
            </w:r>
            <w:r>
              <w:rPr>
                <w:rFonts w:hint="default" w:ascii="Times New Roman" w:hAnsi="Times New Roman" w:eastAsia="宋体" w:cs="Times New Roman"/>
                <w:color w:val="auto"/>
                <w:kern w:val="0"/>
                <w:szCs w:val="21"/>
                <w:highlight w:val="none"/>
                <w:lang w:bidi="mn-Mong-CN"/>
              </w:rPr>
              <w:t>状；质地</w:t>
            </w:r>
            <w:r>
              <w:rPr>
                <w:rFonts w:hint="default" w:ascii="Times New Roman" w:hAnsi="Times New Roman" w:eastAsia="宋体" w:cs="Times New Roman"/>
                <w:color w:val="auto"/>
                <w:kern w:val="0"/>
                <w:szCs w:val="21"/>
                <w:highlight w:val="none"/>
                <w:lang w:eastAsia="zh-CN" w:bidi="mn-Mong-CN"/>
              </w:rPr>
              <w:t>：</w:t>
            </w:r>
            <w:r>
              <w:rPr>
                <w:rFonts w:hint="default" w:ascii="Times New Roman" w:hAnsi="Times New Roman" w:eastAsia="宋体" w:cs="Times New Roman"/>
                <w:bCs/>
                <w:color w:val="auto"/>
                <w:kern w:val="0"/>
                <w:szCs w:val="21"/>
                <w:highlight w:val="none"/>
                <w:lang w:bidi="mn-Mong-CN"/>
              </w:rPr>
              <w:t>轻壤土</w:t>
            </w:r>
            <w:r>
              <w:rPr>
                <w:rFonts w:hint="default" w:ascii="Times New Roman" w:hAnsi="Times New Roman" w:eastAsia="宋体" w:cs="Times New Roman"/>
                <w:color w:val="auto"/>
                <w:kern w:val="0"/>
                <w:szCs w:val="21"/>
                <w:highlight w:val="none"/>
                <w:lang w:bidi="mn-Mong-CN"/>
              </w:rPr>
              <w:t>；其他异物</w:t>
            </w:r>
            <w:r>
              <w:rPr>
                <w:rFonts w:hint="default" w:ascii="Times New Roman" w:hAnsi="Times New Roman" w:eastAsia="宋体" w:cs="Times New Roman"/>
                <w:color w:val="auto"/>
                <w:kern w:val="0"/>
                <w:szCs w:val="21"/>
                <w:highlight w:val="none"/>
                <w:lang w:eastAsia="zh-CN" w:bidi="mn-Mong-CN"/>
              </w:rPr>
              <w:t>：</w:t>
            </w:r>
            <w:r>
              <w:rPr>
                <w:rFonts w:hint="default" w:ascii="Times New Roman" w:hAnsi="Times New Roman" w:eastAsia="宋体" w:cs="Times New Roman"/>
                <w:color w:val="auto"/>
                <w:kern w:val="0"/>
                <w:szCs w:val="21"/>
                <w:highlight w:val="none"/>
                <w:lang w:bidi="mn-Mong-CN"/>
              </w:rPr>
              <w:t>无；pH</w:t>
            </w:r>
            <w:r>
              <w:rPr>
                <w:rFonts w:hint="default" w:ascii="Times New Roman" w:hAnsi="Times New Roman" w:eastAsia="宋体" w:cs="Times New Roman"/>
                <w:color w:val="auto"/>
                <w:kern w:val="0"/>
                <w:szCs w:val="21"/>
                <w:highlight w:val="none"/>
                <w:lang w:eastAsia="zh-CN" w:bidi="mn-Mong-CN"/>
              </w:rPr>
              <w:t>：</w:t>
            </w:r>
            <w:r>
              <w:rPr>
                <w:rFonts w:hint="default" w:ascii="Times New Roman" w:hAnsi="Times New Roman" w:eastAsia="宋体" w:cs="Times New Roman"/>
                <w:color w:val="auto"/>
                <w:kern w:val="0"/>
                <w:szCs w:val="21"/>
                <w:highlight w:val="none"/>
                <w:lang w:bidi="mn-Mong-CN"/>
              </w:rPr>
              <w:t>8.58；阳离子交换量</w:t>
            </w:r>
            <w:r>
              <w:rPr>
                <w:rFonts w:hint="default" w:ascii="Times New Roman" w:hAnsi="Times New Roman" w:eastAsia="宋体" w:cs="Times New Roman"/>
                <w:color w:val="auto"/>
                <w:kern w:val="0"/>
                <w:szCs w:val="21"/>
                <w:highlight w:val="none"/>
                <w:lang w:eastAsia="zh-CN" w:bidi="mn-Mong-CN"/>
              </w:rPr>
              <w:t>：</w:t>
            </w:r>
            <w:r>
              <w:rPr>
                <w:rFonts w:hint="default" w:ascii="Times New Roman" w:hAnsi="Times New Roman" w:eastAsia="宋体" w:cs="Times New Roman"/>
                <w:color w:val="auto"/>
                <w:kern w:val="0"/>
                <w:szCs w:val="21"/>
                <w:highlight w:val="none"/>
                <w:lang w:bidi="mn-Mong-CN"/>
              </w:rPr>
              <w:t>15.5</w:t>
            </w:r>
            <w:r>
              <w:rPr>
                <w:rFonts w:hint="default" w:ascii="Times New Roman" w:hAnsi="Times New Roman" w:eastAsia="宋体" w:cs="Times New Roman"/>
                <w:color w:val="auto"/>
                <w:szCs w:val="21"/>
                <w:highlight w:val="none"/>
              </w:rPr>
              <w:t>cmol</w:t>
            </w:r>
            <w:r>
              <w:rPr>
                <w:rFonts w:hint="default" w:ascii="Times New Roman" w:hAnsi="Times New Roman" w:eastAsia="宋体" w:cs="Times New Roman"/>
                <w:color w:val="auto"/>
                <w:szCs w:val="21"/>
                <w:highlight w:val="none"/>
                <w:vertAlign w:val="superscript"/>
              </w:rPr>
              <w:t>+</w:t>
            </w:r>
            <w:r>
              <w:rPr>
                <w:rFonts w:hint="default" w:ascii="Times New Roman" w:hAnsi="Times New Roman" w:eastAsia="宋体" w:cs="Times New Roman"/>
                <w:color w:val="auto"/>
                <w:szCs w:val="21"/>
                <w:highlight w:val="none"/>
              </w:rPr>
              <w:t>/kg；土壤容量</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1.30</w:t>
            </w:r>
            <w:r>
              <w:rPr>
                <w:rFonts w:hint="default" w:ascii="Times New Roman" w:hAnsi="Times New Roman" w:eastAsia="宋体" w:cs="Times New Roman"/>
                <w:bCs/>
                <w:color w:val="auto"/>
                <w:szCs w:val="21"/>
                <w:highlight w:val="none"/>
              </w:rPr>
              <w:t>g/cm</w:t>
            </w:r>
            <w:r>
              <w:rPr>
                <w:rFonts w:hint="default" w:ascii="Times New Roman" w:hAnsi="Times New Roman" w:eastAsia="宋体" w:cs="Times New Roman"/>
                <w:bCs/>
                <w:color w:val="auto"/>
                <w:szCs w:val="21"/>
                <w:highlight w:val="none"/>
                <w:vertAlign w:val="superscript"/>
              </w:rPr>
              <w:t>3</w:t>
            </w:r>
          </w:p>
        </w:tc>
        <w:tc>
          <w:tcPr>
            <w:tcW w:w="774" w:type="pct"/>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color w:val="auto"/>
                <w:kern w:val="0"/>
                <w:szCs w:val="21"/>
                <w:highlight w:val="none"/>
                <w:lang w:bidi="mn-Mong-CN"/>
              </w:rPr>
            </w:pPr>
            <w:r>
              <w:rPr>
                <w:rFonts w:hint="default" w:ascii="Times New Roman" w:hAnsi="Times New Roman" w:eastAsia="宋体" w:cs="Times New Roman"/>
                <w:color w:val="auto"/>
                <w:kern w:val="0"/>
                <w:szCs w:val="21"/>
                <w:highlight w:val="none"/>
                <w:lang w:bidi="mn-Mong-CN"/>
              </w:rPr>
              <w:t>同附录C</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340" w:hRule="atLeast"/>
          <w:jc w:val="center"/>
        </w:trPr>
        <w:tc>
          <w:tcPr>
            <w:tcW w:w="258" w:type="pct"/>
            <w:vMerge w:val="continue"/>
            <w:tcBorders>
              <w:top w:val="single" w:color="auto" w:sz="4" w:space="0"/>
              <w:left w:val="single" w:color="auto" w:sz="4" w:space="0"/>
              <w:bottom w:val="single" w:color="auto" w:sz="4" w:space="0"/>
              <w:right w:val="single" w:color="auto" w:sz="4" w:space="0"/>
            </w:tcBorders>
            <w:vAlign w:val="center"/>
          </w:tcPr>
          <w:p>
            <w:pPr>
              <w:pageBreakBefore w:val="0"/>
              <w:widowControl/>
              <w:wordWrap/>
              <w:bidi w:val="0"/>
              <w:ind w:left="0" w:leftChars="0" w:right="0" w:rightChars="0"/>
              <w:jc w:val="center"/>
              <w:rPr>
                <w:rFonts w:hint="default" w:ascii="Times New Roman" w:hAnsi="Times New Roman" w:eastAsia="宋体" w:cs="Times New Roman"/>
                <w:color w:val="auto"/>
                <w:kern w:val="0"/>
                <w:szCs w:val="21"/>
                <w:highlight w:val="none"/>
                <w:lang w:bidi="mn-Mong-CN"/>
              </w:rPr>
            </w:pPr>
          </w:p>
        </w:tc>
        <w:tc>
          <w:tcPr>
            <w:tcW w:w="907" w:type="pct"/>
            <w:vMerge w:val="restart"/>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color w:val="auto"/>
                <w:kern w:val="0"/>
                <w:szCs w:val="21"/>
                <w:highlight w:val="none"/>
                <w:lang w:bidi="mn-Mong-CN"/>
              </w:rPr>
            </w:pPr>
            <w:r>
              <w:rPr>
                <w:rFonts w:hint="default" w:ascii="Times New Roman" w:hAnsi="Times New Roman" w:eastAsia="宋体" w:cs="Times New Roman"/>
                <w:color w:val="auto"/>
                <w:kern w:val="0"/>
                <w:szCs w:val="21"/>
                <w:highlight w:val="none"/>
                <w:lang w:bidi="mn-Mong-CN"/>
              </w:rPr>
              <w:t>现状监测点位</w:t>
            </w:r>
          </w:p>
        </w:tc>
        <w:tc>
          <w:tcPr>
            <w:tcW w:w="700" w:type="pct"/>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color w:val="auto"/>
                <w:kern w:val="0"/>
                <w:szCs w:val="21"/>
                <w:highlight w:val="none"/>
                <w:lang w:bidi="mn-Mong-CN"/>
              </w:rPr>
            </w:pPr>
          </w:p>
        </w:tc>
        <w:tc>
          <w:tcPr>
            <w:tcW w:w="830" w:type="pct"/>
            <w:gridSpan w:val="2"/>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color w:val="auto"/>
                <w:kern w:val="0"/>
                <w:szCs w:val="21"/>
                <w:highlight w:val="none"/>
                <w:lang w:bidi="mn-Mong-CN"/>
              </w:rPr>
            </w:pPr>
            <w:r>
              <w:rPr>
                <w:rFonts w:hint="default" w:ascii="Times New Roman" w:hAnsi="Times New Roman" w:eastAsia="宋体" w:cs="Times New Roman"/>
                <w:color w:val="auto"/>
                <w:kern w:val="0"/>
                <w:szCs w:val="21"/>
                <w:highlight w:val="none"/>
                <w:lang w:bidi="mn-Mong-CN"/>
              </w:rPr>
              <w:t>占地范围内</w:t>
            </w:r>
          </w:p>
        </w:tc>
        <w:tc>
          <w:tcPr>
            <w:tcW w:w="711" w:type="pct"/>
            <w:gridSpan w:val="2"/>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color w:val="auto"/>
                <w:kern w:val="0"/>
                <w:szCs w:val="21"/>
                <w:highlight w:val="none"/>
                <w:lang w:bidi="mn-Mong-CN"/>
              </w:rPr>
            </w:pPr>
            <w:r>
              <w:rPr>
                <w:rFonts w:hint="default" w:ascii="Times New Roman" w:hAnsi="Times New Roman" w:eastAsia="宋体" w:cs="Times New Roman"/>
                <w:color w:val="auto"/>
                <w:kern w:val="0"/>
                <w:szCs w:val="21"/>
                <w:highlight w:val="none"/>
                <w:lang w:bidi="mn-Mong-CN"/>
              </w:rPr>
              <w:t>占地范围外</w:t>
            </w:r>
          </w:p>
        </w:tc>
        <w:tc>
          <w:tcPr>
            <w:tcW w:w="820" w:type="pct"/>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color w:val="auto"/>
                <w:kern w:val="0"/>
                <w:szCs w:val="21"/>
                <w:highlight w:val="none"/>
                <w:lang w:bidi="mn-Mong-CN"/>
              </w:rPr>
            </w:pPr>
            <w:r>
              <w:rPr>
                <w:rFonts w:hint="default" w:ascii="Times New Roman" w:hAnsi="Times New Roman" w:eastAsia="宋体" w:cs="Times New Roman"/>
                <w:color w:val="auto"/>
                <w:kern w:val="0"/>
                <w:szCs w:val="21"/>
                <w:highlight w:val="none"/>
                <w:lang w:bidi="mn-Mong-CN"/>
              </w:rPr>
              <w:t>深度</w:t>
            </w:r>
          </w:p>
        </w:tc>
        <w:tc>
          <w:tcPr>
            <w:tcW w:w="774" w:type="pct"/>
            <w:vMerge w:val="restart"/>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color w:val="auto"/>
                <w:kern w:val="0"/>
                <w:szCs w:val="21"/>
                <w:highlight w:val="none"/>
                <w:lang w:bidi="mn-Mong-CN"/>
              </w:rPr>
            </w:pPr>
            <w:r>
              <w:rPr>
                <w:rFonts w:hint="default" w:ascii="Times New Roman" w:hAnsi="Times New Roman" w:eastAsia="宋体" w:cs="Times New Roman"/>
                <w:color w:val="auto"/>
                <w:kern w:val="0"/>
                <w:szCs w:val="21"/>
                <w:highlight w:val="none"/>
                <w:lang w:bidi="mn-Mong-CN"/>
              </w:rPr>
              <w:t>点位布置图</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340" w:hRule="atLeast"/>
          <w:jc w:val="center"/>
        </w:trPr>
        <w:tc>
          <w:tcPr>
            <w:tcW w:w="258" w:type="pct"/>
            <w:vMerge w:val="continue"/>
            <w:tcBorders>
              <w:top w:val="single" w:color="auto" w:sz="4" w:space="0"/>
              <w:left w:val="single" w:color="auto" w:sz="4" w:space="0"/>
              <w:bottom w:val="single" w:color="auto" w:sz="4" w:space="0"/>
              <w:right w:val="single" w:color="auto" w:sz="4" w:space="0"/>
            </w:tcBorders>
            <w:vAlign w:val="center"/>
          </w:tcPr>
          <w:p>
            <w:pPr>
              <w:pageBreakBefore w:val="0"/>
              <w:widowControl/>
              <w:wordWrap/>
              <w:bidi w:val="0"/>
              <w:ind w:left="0" w:leftChars="0" w:right="0" w:rightChars="0"/>
              <w:jc w:val="center"/>
              <w:rPr>
                <w:rFonts w:hint="default" w:ascii="Times New Roman" w:hAnsi="Times New Roman" w:eastAsia="宋体" w:cs="Times New Roman"/>
                <w:color w:val="auto"/>
                <w:kern w:val="0"/>
                <w:szCs w:val="21"/>
                <w:highlight w:val="none"/>
                <w:lang w:bidi="mn-Mong-CN"/>
              </w:rPr>
            </w:pPr>
          </w:p>
        </w:tc>
        <w:tc>
          <w:tcPr>
            <w:tcW w:w="907" w:type="pct"/>
            <w:vMerge w:val="continue"/>
            <w:tcBorders>
              <w:top w:val="single" w:color="auto" w:sz="4" w:space="0"/>
              <w:left w:val="single" w:color="auto" w:sz="4" w:space="0"/>
              <w:bottom w:val="single" w:color="auto" w:sz="4" w:space="0"/>
              <w:right w:val="single" w:color="auto" w:sz="4" w:space="0"/>
            </w:tcBorders>
            <w:vAlign w:val="center"/>
          </w:tcPr>
          <w:p>
            <w:pPr>
              <w:pageBreakBefore w:val="0"/>
              <w:widowControl/>
              <w:wordWrap/>
              <w:bidi w:val="0"/>
              <w:ind w:left="0" w:leftChars="0" w:right="0" w:rightChars="0"/>
              <w:jc w:val="center"/>
              <w:rPr>
                <w:rFonts w:hint="default" w:ascii="Times New Roman" w:hAnsi="Times New Roman" w:eastAsia="宋体" w:cs="Times New Roman"/>
                <w:color w:val="auto"/>
                <w:kern w:val="0"/>
                <w:szCs w:val="21"/>
                <w:highlight w:val="none"/>
                <w:lang w:bidi="mn-Mong-CN"/>
              </w:rPr>
            </w:pPr>
          </w:p>
        </w:tc>
        <w:tc>
          <w:tcPr>
            <w:tcW w:w="700" w:type="pct"/>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color w:val="auto"/>
                <w:kern w:val="0"/>
                <w:szCs w:val="21"/>
                <w:highlight w:val="none"/>
                <w:lang w:bidi="mn-Mong-CN"/>
              </w:rPr>
            </w:pPr>
            <w:r>
              <w:rPr>
                <w:rFonts w:hint="default" w:ascii="Times New Roman" w:hAnsi="Times New Roman" w:eastAsia="宋体" w:cs="Times New Roman"/>
                <w:color w:val="auto"/>
                <w:kern w:val="0"/>
                <w:szCs w:val="21"/>
                <w:highlight w:val="none"/>
                <w:lang w:bidi="mn-Mong-CN"/>
              </w:rPr>
              <w:t>表层样点数</w:t>
            </w:r>
          </w:p>
        </w:tc>
        <w:tc>
          <w:tcPr>
            <w:tcW w:w="830" w:type="pct"/>
            <w:gridSpan w:val="2"/>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color w:val="auto"/>
                <w:kern w:val="0"/>
                <w:szCs w:val="21"/>
                <w:highlight w:val="none"/>
                <w:lang w:bidi="mn-Mong-CN"/>
              </w:rPr>
            </w:pPr>
            <w:r>
              <w:rPr>
                <w:rFonts w:hint="default" w:ascii="Times New Roman" w:hAnsi="Times New Roman" w:eastAsia="宋体" w:cs="Times New Roman"/>
                <w:color w:val="auto"/>
                <w:kern w:val="0"/>
                <w:szCs w:val="21"/>
                <w:highlight w:val="none"/>
                <w:lang w:bidi="mn-Mong-CN"/>
              </w:rPr>
              <w:t>3</w:t>
            </w:r>
          </w:p>
        </w:tc>
        <w:tc>
          <w:tcPr>
            <w:tcW w:w="711" w:type="pct"/>
            <w:gridSpan w:val="2"/>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color w:val="auto"/>
                <w:kern w:val="0"/>
                <w:szCs w:val="21"/>
                <w:highlight w:val="none"/>
                <w:lang w:bidi="mn-Mong-CN"/>
              </w:rPr>
            </w:pPr>
            <w:r>
              <w:rPr>
                <w:rFonts w:hint="default" w:ascii="Times New Roman" w:hAnsi="Times New Roman" w:eastAsia="宋体" w:cs="Times New Roman"/>
                <w:color w:val="auto"/>
                <w:kern w:val="0"/>
                <w:szCs w:val="21"/>
                <w:highlight w:val="none"/>
                <w:lang w:bidi="mn-Mong-CN"/>
              </w:rPr>
              <w:t>1</w:t>
            </w:r>
          </w:p>
        </w:tc>
        <w:tc>
          <w:tcPr>
            <w:tcW w:w="820" w:type="pct"/>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color w:val="auto"/>
                <w:kern w:val="0"/>
                <w:szCs w:val="21"/>
                <w:highlight w:val="none"/>
                <w:lang w:bidi="mn-Mong-CN"/>
              </w:rPr>
            </w:pPr>
            <w:r>
              <w:rPr>
                <w:rFonts w:hint="default" w:ascii="Times New Roman" w:hAnsi="Times New Roman" w:eastAsia="宋体" w:cs="Times New Roman"/>
                <w:color w:val="auto"/>
                <w:kern w:val="0"/>
                <w:szCs w:val="21"/>
                <w:highlight w:val="none"/>
                <w:lang w:bidi="mn-Mong-CN"/>
              </w:rPr>
              <w:t>0~20cm</w:t>
            </w:r>
          </w:p>
        </w:tc>
        <w:tc>
          <w:tcPr>
            <w:tcW w:w="774" w:type="pct"/>
            <w:vMerge w:val="continue"/>
            <w:tcBorders>
              <w:top w:val="single" w:color="auto" w:sz="4" w:space="0"/>
              <w:left w:val="single" w:color="auto" w:sz="4" w:space="0"/>
              <w:bottom w:val="single" w:color="auto" w:sz="4" w:space="0"/>
              <w:right w:val="single" w:color="auto" w:sz="4" w:space="0"/>
            </w:tcBorders>
            <w:vAlign w:val="center"/>
          </w:tcPr>
          <w:p>
            <w:pPr>
              <w:pageBreakBefore w:val="0"/>
              <w:widowControl/>
              <w:wordWrap/>
              <w:bidi w:val="0"/>
              <w:ind w:left="0" w:leftChars="0" w:right="0" w:rightChars="0"/>
              <w:jc w:val="center"/>
              <w:rPr>
                <w:rFonts w:hint="default" w:ascii="Times New Roman" w:hAnsi="Times New Roman" w:eastAsia="宋体" w:cs="Times New Roman"/>
                <w:color w:val="auto"/>
                <w:kern w:val="0"/>
                <w:szCs w:val="21"/>
                <w:highlight w:val="none"/>
                <w:lang w:bidi="mn-Mong-CN"/>
              </w:rPr>
            </w:pP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340" w:hRule="atLeast"/>
          <w:jc w:val="center"/>
        </w:trPr>
        <w:tc>
          <w:tcPr>
            <w:tcW w:w="258" w:type="pct"/>
            <w:vMerge w:val="continue"/>
            <w:tcBorders>
              <w:top w:val="single" w:color="auto" w:sz="4" w:space="0"/>
              <w:left w:val="single" w:color="auto" w:sz="4" w:space="0"/>
              <w:bottom w:val="single" w:color="auto" w:sz="4" w:space="0"/>
              <w:right w:val="single" w:color="auto" w:sz="4" w:space="0"/>
            </w:tcBorders>
            <w:vAlign w:val="center"/>
          </w:tcPr>
          <w:p>
            <w:pPr>
              <w:pageBreakBefore w:val="0"/>
              <w:widowControl/>
              <w:wordWrap/>
              <w:bidi w:val="0"/>
              <w:ind w:left="0" w:leftChars="0" w:right="0" w:rightChars="0"/>
              <w:jc w:val="center"/>
              <w:rPr>
                <w:rFonts w:hint="default" w:ascii="Times New Roman" w:hAnsi="Times New Roman" w:eastAsia="宋体" w:cs="Times New Roman"/>
                <w:color w:val="auto"/>
                <w:kern w:val="0"/>
                <w:szCs w:val="21"/>
                <w:highlight w:val="none"/>
                <w:lang w:bidi="mn-Mong-CN"/>
              </w:rPr>
            </w:pPr>
          </w:p>
        </w:tc>
        <w:tc>
          <w:tcPr>
            <w:tcW w:w="907" w:type="pct"/>
            <w:vMerge w:val="continue"/>
            <w:tcBorders>
              <w:top w:val="single" w:color="auto" w:sz="4" w:space="0"/>
              <w:left w:val="single" w:color="auto" w:sz="4" w:space="0"/>
              <w:bottom w:val="single" w:color="auto" w:sz="4" w:space="0"/>
              <w:right w:val="single" w:color="auto" w:sz="4" w:space="0"/>
            </w:tcBorders>
            <w:vAlign w:val="center"/>
          </w:tcPr>
          <w:p>
            <w:pPr>
              <w:pageBreakBefore w:val="0"/>
              <w:widowControl/>
              <w:wordWrap/>
              <w:bidi w:val="0"/>
              <w:ind w:left="0" w:leftChars="0" w:right="0" w:rightChars="0"/>
              <w:jc w:val="center"/>
              <w:rPr>
                <w:rFonts w:hint="default" w:ascii="Times New Roman" w:hAnsi="Times New Roman" w:eastAsia="宋体" w:cs="Times New Roman"/>
                <w:color w:val="auto"/>
                <w:kern w:val="0"/>
                <w:szCs w:val="21"/>
                <w:highlight w:val="none"/>
                <w:lang w:bidi="mn-Mong-CN"/>
              </w:rPr>
            </w:pPr>
          </w:p>
        </w:tc>
        <w:tc>
          <w:tcPr>
            <w:tcW w:w="700" w:type="pct"/>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color w:val="auto"/>
                <w:kern w:val="0"/>
                <w:szCs w:val="21"/>
                <w:highlight w:val="none"/>
                <w:lang w:bidi="mn-Mong-CN"/>
              </w:rPr>
            </w:pPr>
            <w:r>
              <w:rPr>
                <w:rFonts w:hint="default" w:ascii="Times New Roman" w:hAnsi="Times New Roman" w:eastAsia="宋体" w:cs="Times New Roman"/>
                <w:color w:val="auto"/>
                <w:kern w:val="0"/>
                <w:szCs w:val="21"/>
                <w:highlight w:val="none"/>
                <w:lang w:bidi="mn-Mong-CN"/>
              </w:rPr>
              <w:t>柱状样点数</w:t>
            </w:r>
          </w:p>
        </w:tc>
        <w:tc>
          <w:tcPr>
            <w:tcW w:w="830" w:type="pct"/>
            <w:gridSpan w:val="2"/>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color w:val="auto"/>
                <w:kern w:val="0"/>
                <w:szCs w:val="21"/>
                <w:highlight w:val="none"/>
                <w:lang w:bidi="mn-Mong-CN"/>
              </w:rPr>
            </w:pPr>
          </w:p>
        </w:tc>
        <w:tc>
          <w:tcPr>
            <w:tcW w:w="711" w:type="pct"/>
            <w:gridSpan w:val="2"/>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color w:val="auto"/>
                <w:kern w:val="0"/>
                <w:szCs w:val="21"/>
                <w:highlight w:val="none"/>
                <w:lang w:bidi="mn-Mong-CN"/>
              </w:rPr>
            </w:pPr>
          </w:p>
        </w:tc>
        <w:tc>
          <w:tcPr>
            <w:tcW w:w="820" w:type="pct"/>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color w:val="auto"/>
                <w:kern w:val="0"/>
                <w:szCs w:val="21"/>
                <w:highlight w:val="none"/>
                <w:lang w:bidi="mn-Mong-CN"/>
              </w:rPr>
            </w:pPr>
          </w:p>
        </w:tc>
        <w:tc>
          <w:tcPr>
            <w:tcW w:w="774" w:type="pct"/>
            <w:vMerge w:val="continue"/>
            <w:tcBorders>
              <w:top w:val="single" w:color="auto" w:sz="4" w:space="0"/>
              <w:left w:val="single" w:color="auto" w:sz="4" w:space="0"/>
              <w:bottom w:val="single" w:color="auto" w:sz="4" w:space="0"/>
              <w:right w:val="single" w:color="auto" w:sz="4" w:space="0"/>
            </w:tcBorders>
            <w:vAlign w:val="center"/>
          </w:tcPr>
          <w:p>
            <w:pPr>
              <w:pageBreakBefore w:val="0"/>
              <w:widowControl/>
              <w:wordWrap/>
              <w:bidi w:val="0"/>
              <w:ind w:left="0" w:leftChars="0" w:right="0" w:rightChars="0"/>
              <w:jc w:val="center"/>
              <w:rPr>
                <w:rFonts w:hint="default" w:ascii="Times New Roman" w:hAnsi="Times New Roman" w:eastAsia="宋体" w:cs="Times New Roman"/>
                <w:color w:val="auto"/>
                <w:kern w:val="0"/>
                <w:szCs w:val="21"/>
                <w:highlight w:val="none"/>
                <w:lang w:bidi="mn-Mong-CN"/>
              </w:rPr>
            </w:pP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340" w:hRule="atLeast"/>
          <w:jc w:val="center"/>
        </w:trPr>
        <w:tc>
          <w:tcPr>
            <w:tcW w:w="258" w:type="pct"/>
            <w:vMerge w:val="continue"/>
            <w:tcBorders>
              <w:top w:val="single" w:color="auto" w:sz="4" w:space="0"/>
              <w:left w:val="single" w:color="auto" w:sz="4" w:space="0"/>
              <w:bottom w:val="single" w:color="auto" w:sz="4" w:space="0"/>
              <w:right w:val="single" w:color="auto" w:sz="4" w:space="0"/>
            </w:tcBorders>
            <w:vAlign w:val="center"/>
          </w:tcPr>
          <w:p>
            <w:pPr>
              <w:pageBreakBefore w:val="0"/>
              <w:widowControl/>
              <w:wordWrap/>
              <w:bidi w:val="0"/>
              <w:ind w:left="0" w:leftChars="0" w:right="0" w:rightChars="0"/>
              <w:jc w:val="center"/>
              <w:rPr>
                <w:rFonts w:hint="default" w:ascii="Times New Roman" w:hAnsi="Times New Roman" w:eastAsia="宋体" w:cs="Times New Roman"/>
                <w:color w:val="auto"/>
                <w:kern w:val="0"/>
                <w:szCs w:val="21"/>
                <w:highlight w:val="none"/>
                <w:lang w:bidi="mn-Mong-CN"/>
              </w:rPr>
            </w:pPr>
          </w:p>
        </w:tc>
        <w:tc>
          <w:tcPr>
            <w:tcW w:w="907" w:type="pct"/>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color w:val="auto"/>
                <w:kern w:val="0"/>
                <w:szCs w:val="21"/>
                <w:highlight w:val="none"/>
                <w:lang w:bidi="mn-Mong-CN"/>
              </w:rPr>
            </w:pPr>
            <w:r>
              <w:rPr>
                <w:rFonts w:hint="default" w:ascii="Times New Roman" w:hAnsi="Times New Roman" w:eastAsia="宋体" w:cs="Times New Roman"/>
                <w:color w:val="auto"/>
                <w:kern w:val="0"/>
                <w:szCs w:val="21"/>
                <w:highlight w:val="none"/>
                <w:lang w:bidi="mn-Mong-CN"/>
              </w:rPr>
              <w:t>现状监测因子</w:t>
            </w:r>
          </w:p>
        </w:tc>
        <w:tc>
          <w:tcPr>
            <w:tcW w:w="3060" w:type="pct"/>
            <w:gridSpan w:val="6"/>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color w:val="auto"/>
                <w:kern w:val="0"/>
                <w:szCs w:val="21"/>
                <w:highlight w:val="none"/>
                <w:lang w:bidi="mn-Mong-CN"/>
              </w:rPr>
            </w:pPr>
            <w:r>
              <w:rPr>
                <w:rFonts w:hint="default" w:ascii="Times New Roman" w:hAnsi="Times New Roman" w:eastAsia="宋体" w:cs="Times New Roman"/>
                <w:color w:val="auto"/>
                <w:kern w:val="0"/>
                <w:szCs w:val="21"/>
                <w:highlight w:val="none"/>
                <w:lang w:bidi="mn-Mong-CN"/>
              </w:rPr>
              <w:t>建设用地</w:t>
            </w:r>
            <w:r>
              <w:rPr>
                <w:rFonts w:hint="default" w:ascii="Times New Roman" w:hAnsi="Times New Roman" w:eastAsia="宋体" w:cs="Times New Roman"/>
                <w:color w:val="auto"/>
                <w:kern w:val="0"/>
                <w:szCs w:val="21"/>
                <w:highlight w:val="none"/>
                <w:lang w:eastAsia="zh-CN" w:bidi="mn-Mong-CN"/>
              </w:rPr>
              <w:t>：</w:t>
            </w:r>
            <w:r>
              <w:rPr>
                <w:rFonts w:hint="default" w:ascii="Times New Roman" w:hAnsi="Times New Roman" w:eastAsia="宋体" w:cs="Times New Roman"/>
                <w:color w:val="auto"/>
                <w:kern w:val="0"/>
                <w:szCs w:val="21"/>
                <w:highlight w:val="none"/>
                <w:lang w:bidi="mn-Mong-CN"/>
              </w:rPr>
              <w:t>砷、汞、六价铬、镉、铅、铜、镍、pH、2-氯酚、硝基苯、萘、苯并</w:t>
            </w:r>
            <w:r>
              <w:rPr>
                <w:rFonts w:hint="default" w:ascii="Times New Roman" w:hAnsi="Times New Roman" w:eastAsia="宋体" w:cs="Times New Roman"/>
                <w:color w:val="auto"/>
                <w:kern w:val="0"/>
                <w:szCs w:val="21"/>
                <w:highlight w:val="none"/>
                <w:lang w:eastAsia="zh-CN" w:bidi="mn-Mong-CN"/>
              </w:rPr>
              <w:t>（A）</w:t>
            </w:r>
            <w:r>
              <w:rPr>
                <w:rFonts w:hint="default" w:ascii="Times New Roman" w:hAnsi="Times New Roman" w:eastAsia="宋体" w:cs="Times New Roman"/>
                <w:color w:val="auto"/>
                <w:kern w:val="0"/>
                <w:szCs w:val="21"/>
                <w:highlight w:val="none"/>
                <w:lang w:bidi="mn-Mong-CN"/>
              </w:rPr>
              <w:t>蒽、䓛、苯并（b</w:t>
            </w:r>
            <w:r>
              <w:rPr>
                <w:rFonts w:hint="default" w:ascii="Times New Roman" w:hAnsi="Times New Roman" w:eastAsia="宋体" w:cs="Times New Roman"/>
                <w:color w:val="auto"/>
                <w:kern w:val="0"/>
                <w:szCs w:val="21"/>
                <w:highlight w:val="none"/>
                <w:lang w:eastAsia="zh-CN" w:bidi="mn-Mong-CN"/>
              </w:rPr>
              <w:t>）</w:t>
            </w:r>
            <w:r>
              <w:rPr>
                <w:rFonts w:hint="default" w:ascii="Times New Roman" w:hAnsi="Times New Roman" w:eastAsia="宋体" w:cs="Times New Roman"/>
                <w:color w:val="auto"/>
                <w:kern w:val="0"/>
                <w:szCs w:val="21"/>
                <w:highlight w:val="none"/>
                <w:lang w:bidi="mn-Mong-CN"/>
              </w:rPr>
              <w:t>荧蒽、苯并（k</w:t>
            </w:r>
            <w:r>
              <w:rPr>
                <w:rFonts w:hint="default" w:ascii="Times New Roman" w:hAnsi="Times New Roman" w:eastAsia="宋体" w:cs="Times New Roman"/>
                <w:color w:val="auto"/>
                <w:kern w:val="0"/>
                <w:szCs w:val="21"/>
                <w:highlight w:val="none"/>
                <w:lang w:eastAsia="zh-CN" w:bidi="mn-Mong-CN"/>
              </w:rPr>
              <w:t>）</w:t>
            </w:r>
            <w:r>
              <w:rPr>
                <w:rFonts w:hint="default" w:ascii="Times New Roman" w:hAnsi="Times New Roman" w:eastAsia="宋体" w:cs="Times New Roman"/>
                <w:color w:val="auto"/>
                <w:kern w:val="0"/>
                <w:szCs w:val="21"/>
                <w:highlight w:val="none"/>
                <w:lang w:bidi="mn-Mong-CN"/>
              </w:rPr>
              <w:t>荧蒽、苯并</w:t>
            </w:r>
            <w:r>
              <w:rPr>
                <w:rFonts w:hint="default" w:ascii="Times New Roman" w:hAnsi="Times New Roman" w:eastAsia="宋体" w:cs="Times New Roman"/>
                <w:color w:val="auto"/>
                <w:kern w:val="0"/>
                <w:szCs w:val="21"/>
                <w:highlight w:val="none"/>
                <w:lang w:eastAsia="zh-CN" w:bidi="mn-Mong-CN"/>
              </w:rPr>
              <w:t>（A）</w:t>
            </w:r>
            <w:r>
              <w:rPr>
                <w:rFonts w:hint="default" w:ascii="Times New Roman" w:hAnsi="Times New Roman" w:eastAsia="宋体" w:cs="Times New Roman"/>
                <w:color w:val="auto"/>
                <w:kern w:val="0"/>
                <w:szCs w:val="21"/>
                <w:highlight w:val="none"/>
                <w:lang w:bidi="mn-Mong-CN"/>
              </w:rPr>
              <w:t>芘、茚并（1</w:t>
            </w:r>
            <w:r>
              <w:rPr>
                <w:rFonts w:hint="default" w:ascii="Times New Roman" w:hAnsi="Times New Roman" w:eastAsia="宋体" w:cs="Times New Roman"/>
                <w:color w:val="auto"/>
                <w:kern w:val="0"/>
                <w:szCs w:val="21"/>
                <w:highlight w:val="none"/>
                <w:lang w:eastAsia="zh-CN" w:bidi="mn-Mong-CN"/>
              </w:rPr>
              <w:t>，</w:t>
            </w:r>
            <w:r>
              <w:rPr>
                <w:rFonts w:hint="default" w:ascii="Times New Roman" w:hAnsi="Times New Roman" w:eastAsia="宋体" w:cs="Times New Roman"/>
                <w:color w:val="auto"/>
                <w:kern w:val="0"/>
                <w:szCs w:val="21"/>
                <w:highlight w:val="none"/>
                <w:lang w:bidi="mn-Mong-CN"/>
              </w:rPr>
              <w:t>2</w:t>
            </w:r>
            <w:r>
              <w:rPr>
                <w:rFonts w:hint="default" w:ascii="Times New Roman" w:hAnsi="Times New Roman" w:eastAsia="宋体" w:cs="Times New Roman"/>
                <w:color w:val="auto"/>
                <w:kern w:val="0"/>
                <w:szCs w:val="21"/>
                <w:highlight w:val="none"/>
                <w:lang w:eastAsia="zh-CN" w:bidi="mn-Mong-CN"/>
              </w:rPr>
              <w:t>，</w:t>
            </w:r>
            <w:r>
              <w:rPr>
                <w:rFonts w:hint="default" w:ascii="Times New Roman" w:hAnsi="Times New Roman" w:eastAsia="宋体" w:cs="Times New Roman"/>
                <w:color w:val="auto"/>
                <w:kern w:val="0"/>
                <w:szCs w:val="21"/>
                <w:highlight w:val="none"/>
                <w:lang w:bidi="mn-Mong-CN"/>
              </w:rPr>
              <w:t>3-cd</w:t>
            </w:r>
            <w:r>
              <w:rPr>
                <w:rFonts w:hint="default" w:ascii="Times New Roman" w:hAnsi="Times New Roman" w:eastAsia="宋体" w:cs="Times New Roman"/>
                <w:color w:val="auto"/>
                <w:kern w:val="0"/>
                <w:szCs w:val="21"/>
                <w:highlight w:val="none"/>
                <w:lang w:eastAsia="zh-CN" w:bidi="mn-Mong-CN"/>
              </w:rPr>
              <w:t>）</w:t>
            </w:r>
            <w:r>
              <w:rPr>
                <w:rFonts w:hint="default" w:ascii="Times New Roman" w:hAnsi="Times New Roman" w:eastAsia="宋体" w:cs="Times New Roman"/>
                <w:color w:val="auto"/>
                <w:kern w:val="0"/>
                <w:szCs w:val="21"/>
                <w:highlight w:val="none"/>
                <w:lang w:bidi="mn-Mong-CN"/>
              </w:rPr>
              <w:t>芘、二苯并（a</w:t>
            </w:r>
            <w:r>
              <w:rPr>
                <w:rFonts w:hint="default" w:ascii="Times New Roman" w:hAnsi="Times New Roman" w:eastAsia="宋体" w:cs="Times New Roman"/>
                <w:color w:val="auto"/>
                <w:kern w:val="0"/>
                <w:szCs w:val="21"/>
                <w:highlight w:val="none"/>
                <w:lang w:eastAsia="zh-CN" w:bidi="mn-Mong-CN"/>
              </w:rPr>
              <w:t>，</w:t>
            </w:r>
            <w:r>
              <w:rPr>
                <w:rFonts w:hint="default" w:ascii="Times New Roman" w:hAnsi="Times New Roman" w:eastAsia="宋体" w:cs="Times New Roman"/>
                <w:color w:val="auto"/>
                <w:kern w:val="0"/>
                <w:szCs w:val="21"/>
                <w:highlight w:val="none"/>
                <w:lang w:bidi="mn-Mong-CN"/>
              </w:rPr>
              <w:t>h</w:t>
            </w:r>
            <w:r>
              <w:rPr>
                <w:rFonts w:hint="default" w:ascii="Times New Roman" w:hAnsi="Times New Roman" w:eastAsia="宋体" w:cs="Times New Roman"/>
                <w:color w:val="auto"/>
                <w:kern w:val="0"/>
                <w:szCs w:val="21"/>
                <w:highlight w:val="none"/>
                <w:lang w:eastAsia="zh-CN" w:bidi="mn-Mong-CN"/>
              </w:rPr>
              <w:t>）</w:t>
            </w:r>
            <w:r>
              <w:rPr>
                <w:rFonts w:hint="default" w:ascii="Times New Roman" w:hAnsi="Times New Roman" w:eastAsia="宋体" w:cs="Times New Roman"/>
                <w:color w:val="auto"/>
                <w:kern w:val="0"/>
                <w:szCs w:val="21"/>
                <w:highlight w:val="none"/>
                <w:lang w:bidi="mn-Mong-CN"/>
              </w:rPr>
              <w:t>蒽、苯胺、氯乙烯、1</w:t>
            </w:r>
            <w:r>
              <w:rPr>
                <w:rFonts w:hint="default" w:ascii="Times New Roman" w:hAnsi="Times New Roman" w:eastAsia="宋体" w:cs="Times New Roman"/>
                <w:color w:val="auto"/>
                <w:kern w:val="0"/>
                <w:szCs w:val="21"/>
                <w:highlight w:val="none"/>
                <w:lang w:eastAsia="zh-CN" w:bidi="mn-Mong-CN"/>
              </w:rPr>
              <w:t>，</w:t>
            </w:r>
            <w:r>
              <w:rPr>
                <w:rFonts w:hint="default" w:ascii="Times New Roman" w:hAnsi="Times New Roman" w:eastAsia="宋体" w:cs="Times New Roman"/>
                <w:color w:val="auto"/>
                <w:kern w:val="0"/>
                <w:szCs w:val="21"/>
                <w:highlight w:val="none"/>
                <w:lang w:bidi="mn-Mong-CN"/>
              </w:rPr>
              <w:t>1-二氯乙烯、二氯甲烷、反式1</w:t>
            </w:r>
            <w:r>
              <w:rPr>
                <w:rFonts w:hint="default" w:ascii="Times New Roman" w:hAnsi="Times New Roman" w:eastAsia="宋体" w:cs="Times New Roman"/>
                <w:color w:val="auto"/>
                <w:kern w:val="0"/>
                <w:szCs w:val="21"/>
                <w:highlight w:val="none"/>
                <w:lang w:eastAsia="zh-CN" w:bidi="mn-Mong-CN"/>
              </w:rPr>
              <w:t>，</w:t>
            </w:r>
            <w:r>
              <w:rPr>
                <w:rFonts w:hint="default" w:ascii="Times New Roman" w:hAnsi="Times New Roman" w:eastAsia="宋体" w:cs="Times New Roman"/>
                <w:color w:val="auto"/>
                <w:kern w:val="0"/>
                <w:szCs w:val="21"/>
                <w:highlight w:val="none"/>
                <w:lang w:bidi="mn-Mong-CN"/>
              </w:rPr>
              <w:t>2-二氯乙烯、1</w:t>
            </w:r>
            <w:r>
              <w:rPr>
                <w:rFonts w:hint="default" w:ascii="Times New Roman" w:hAnsi="Times New Roman" w:eastAsia="宋体" w:cs="Times New Roman"/>
                <w:color w:val="auto"/>
                <w:kern w:val="0"/>
                <w:szCs w:val="21"/>
                <w:highlight w:val="none"/>
                <w:lang w:eastAsia="zh-CN" w:bidi="mn-Mong-CN"/>
              </w:rPr>
              <w:t>，</w:t>
            </w:r>
            <w:r>
              <w:rPr>
                <w:rFonts w:hint="default" w:ascii="Times New Roman" w:hAnsi="Times New Roman" w:eastAsia="宋体" w:cs="Times New Roman"/>
                <w:color w:val="auto"/>
                <w:kern w:val="0"/>
                <w:szCs w:val="21"/>
                <w:highlight w:val="none"/>
                <w:lang w:bidi="mn-Mong-CN"/>
              </w:rPr>
              <w:t>1-二氯乙烷、顺式1</w:t>
            </w:r>
            <w:r>
              <w:rPr>
                <w:rFonts w:hint="default" w:ascii="Times New Roman" w:hAnsi="Times New Roman" w:eastAsia="宋体" w:cs="Times New Roman"/>
                <w:color w:val="auto"/>
                <w:kern w:val="0"/>
                <w:szCs w:val="21"/>
                <w:highlight w:val="none"/>
                <w:lang w:eastAsia="zh-CN" w:bidi="mn-Mong-CN"/>
              </w:rPr>
              <w:t>，</w:t>
            </w:r>
            <w:r>
              <w:rPr>
                <w:rFonts w:hint="default" w:ascii="Times New Roman" w:hAnsi="Times New Roman" w:eastAsia="宋体" w:cs="Times New Roman"/>
                <w:color w:val="auto"/>
                <w:kern w:val="0"/>
                <w:szCs w:val="21"/>
                <w:highlight w:val="none"/>
                <w:lang w:bidi="mn-Mong-CN"/>
              </w:rPr>
              <w:t>2-二氯乙烯、氯仿、1</w:t>
            </w:r>
            <w:r>
              <w:rPr>
                <w:rFonts w:hint="default" w:ascii="Times New Roman" w:hAnsi="Times New Roman" w:eastAsia="宋体" w:cs="Times New Roman"/>
                <w:color w:val="auto"/>
                <w:kern w:val="0"/>
                <w:szCs w:val="21"/>
                <w:highlight w:val="none"/>
                <w:lang w:eastAsia="zh-CN" w:bidi="mn-Mong-CN"/>
              </w:rPr>
              <w:t>，</w:t>
            </w:r>
            <w:r>
              <w:rPr>
                <w:rFonts w:hint="default" w:ascii="Times New Roman" w:hAnsi="Times New Roman" w:eastAsia="宋体" w:cs="Times New Roman"/>
                <w:color w:val="auto"/>
                <w:kern w:val="0"/>
                <w:szCs w:val="21"/>
                <w:highlight w:val="none"/>
                <w:lang w:bidi="mn-Mong-CN"/>
              </w:rPr>
              <w:t>1</w:t>
            </w:r>
            <w:r>
              <w:rPr>
                <w:rFonts w:hint="default" w:ascii="Times New Roman" w:hAnsi="Times New Roman" w:eastAsia="宋体" w:cs="Times New Roman"/>
                <w:color w:val="auto"/>
                <w:kern w:val="0"/>
                <w:szCs w:val="21"/>
                <w:highlight w:val="none"/>
                <w:lang w:eastAsia="zh-CN" w:bidi="mn-Mong-CN"/>
              </w:rPr>
              <w:t>，</w:t>
            </w:r>
            <w:r>
              <w:rPr>
                <w:rFonts w:hint="default" w:ascii="Times New Roman" w:hAnsi="Times New Roman" w:eastAsia="宋体" w:cs="Times New Roman"/>
                <w:color w:val="auto"/>
                <w:kern w:val="0"/>
                <w:szCs w:val="21"/>
                <w:highlight w:val="none"/>
                <w:lang w:bidi="mn-Mong-CN"/>
              </w:rPr>
              <w:t>1-三氯乙烷、四氯化碳、氯甲烷、苯、1</w:t>
            </w:r>
            <w:r>
              <w:rPr>
                <w:rFonts w:hint="default" w:ascii="Times New Roman" w:hAnsi="Times New Roman" w:eastAsia="宋体" w:cs="Times New Roman"/>
                <w:color w:val="auto"/>
                <w:kern w:val="0"/>
                <w:szCs w:val="21"/>
                <w:highlight w:val="none"/>
                <w:lang w:eastAsia="zh-CN" w:bidi="mn-Mong-CN"/>
              </w:rPr>
              <w:t>，</w:t>
            </w:r>
            <w:r>
              <w:rPr>
                <w:rFonts w:hint="default" w:ascii="Times New Roman" w:hAnsi="Times New Roman" w:eastAsia="宋体" w:cs="Times New Roman"/>
                <w:color w:val="auto"/>
                <w:kern w:val="0"/>
                <w:szCs w:val="21"/>
                <w:highlight w:val="none"/>
                <w:lang w:bidi="mn-Mong-CN"/>
              </w:rPr>
              <w:t>2-二氯乙烷、三氯乙烯、1</w:t>
            </w:r>
            <w:r>
              <w:rPr>
                <w:rFonts w:hint="default" w:ascii="Times New Roman" w:hAnsi="Times New Roman" w:eastAsia="宋体" w:cs="Times New Roman"/>
                <w:color w:val="auto"/>
                <w:kern w:val="0"/>
                <w:szCs w:val="21"/>
                <w:highlight w:val="none"/>
                <w:lang w:eastAsia="zh-CN" w:bidi="mn-Mong-CN"/>
              </w:rPr>
              <w:t>，</w:t>
            </w:r>
            <w:r>
              <w:rPr>
                <w:rFonts w:hint="default" w:ascii="Times New Roman" w:hAnsi="Times New Roman" w:eastAsia="宋体" w:cs="Times New Roman"/>
                <w:color w:val="auto"/>
                <w:kern w:val="0"/>
                <w:szCs w:val="21"/>
                <w:highlight w:val="none"/>
                <w:lang w:bidi="mn-Mong-CN"/>
              </w:rPr>
              <w:t>2-二氯丙烷、甲苯、1</w:t>
            </w:r>
            <w:r>
              <w:rPr>
                <w:rFonts w:hint="default" w:ascii="Times New Roman" w:hAnsi="Times New Roman" w:eastAsia="宋体" w:cs="Times New Roman"/>
                <w:color w:val="auto"/>
                <w:kern w:val="0"/>
                <w:szCs w:val="21"/>
                <w:highlight w:val="none"/>
                <w:lang w:eastAsia="zh-CN" w:bidi="mn-Mong-CN"/>
              </w:rPr>
              <w:t>，</w:t>
            </w:r>
            <w:r>
              <w:rPr>
                <w:rFonts w:hint="default" w:ascii="Times New Roman" w:hAnsi="Times New Roman" w:eastAsia="宋体" w:cs="Times New Roman"/>
                <w:color w:val="auto"/>
                <w:kern w:val="0"/>
                <w:szCs w:val="21"/>
                <w:highlight w:val="none"/>
                <w:lang w:bidi="mn-Mong-CN"/>
              </w:rPr>
              <w:t>1</w:t>
            </w:r>
            <w:r>
              <w:rPr>
                <w:rFonts w:hint="default" w:ascii="Times New Roman" w:hAnsi="Times New Roman" w:eastAsia="宋体" w:cs="Times New Roman"/>
                <w:color w:val="auto"/>
                <w:kern w:val="0"/>
                <w:szCs w:val="21"/>
                <w:highlight w:val="none"/>
                <w:lang w:eastAsia="zh-CN" w:bidi="mn-Mong-CN"/>
              </w:rPr>
              <w:t>，</w:t>
            </w:r>
            <w:r>
              <w:rPr>
                <w:rFonts w:hint="default" w:ascii="Times New Roman" w:hAnsi="Times New Roman" w:eastAsia="宋体" w:cs="Times New Roman"/>
                <w:color w:val="auto"/>
                <w:kern w:val="0"/>
                <w:szCs w:val="21"/>
                <w:highlight w:val="none"/>
                <w:lang w:bidi="mn-Mong-CN"/>
              </w:rPr>
              <w:t>2-三氯乙烷、四氯乙烯、氯苯、乙苯、1</w:t>
            </w:r>
            <w:r>
              <w:rPr>
                <w:rFonts w:hint="default" w:ascii="Times New Roman" w:hAnsi="Times New Roman" w:eastAsia="宋体" w:cs="Times New Roman"/>
                <w:color w:val="auto"/>
                <w:kern w:val="0"/>
                <w:szCs w:val="21"/>
                <w:highlight w:val="none"/>
                <w:lang w:eastAsia="zh-CN" w:bidi="mn-Mong-CN"/>
              </w:rPr>
              <w:t>，</w:t>
            </w:r>
            <w:r>
              <w:rPr>
                <w:rFonts w:hint="default" w:ascii="Times New Roman" w:hAnsi="Times New Roman" w:eastAsia="宋体" w:cs="Times New Roman"/>
                <w:color w:val="auto"/>
                <w:kern w:val="0"/>
                <w:szCs w:val="21"/>
                <w:highlight w:val="none"/>
                <w:lang w:bidi="mn-Mong-CN"/>
              </w:rPr>
              <w:t>1</w:t>
            </w:r>
            <w:r>
              <w:rPr>
                <w:rFonts w:hint="default" w:ascii="Times New Roman" w:hAnsi="Times New Roman" w:eastAsia="宋体" w:cs="Times New Roman"/>
                <w:color w:val="auto"/>
                <w:kern w:val="0"/>
                <w:szCs w:val="21"/>
                <w:highlight w:val="none"/>
                <w:lang w:eastAsia="zh-CN" w:bidi="mn-Mong-CN"/>
              </w:rPr>
              <w:t>，</w:t>
            </w:r>
            <w:r>
              <w:rPr>
                <w:rFonts w:hint="default" w:ascii="Times New Roman" w:hAnsi="Times New Roman" w:eastAsia="宋体" w:cs="Times New Roman"/>
                <w:color w:val="auto"/>
                <w:kern w:val="0"/>
                <w:szCs w:val="21"/>
                <w:highlight w:val="none"/>
                <w:lang w:bidi="mn-Mong-CN"/>
              </w:rPr>
              <w:t>1</w:t>
            </w:r>
            <w:r>
              <w:rPr>
                <w:rFonts w:hint="default" w:ascii="Times New Roman" w:hAnsi="Times New Roman" w:eastAsia="宋体" w:cs="Times New Roman"/>
                <w:color w:val="auto"/>
                <w:kern w:val="0"/>
                <w:szCs w:val="21"/>
                <w:highlight w:val="none"/>
                <w:lang w:eastAsia="zh-CN" w:bidi="mn-Mong-CN"/>
              </w:rPr>
              <w:t>，</w:t>
            </w:r>
            <w:r>
              <w:rPr>
                <w:rFonts w:hint="default" w:ascii="Times New Roman" w:hAnsi="Times New Roman" w:eastAsia="宋体" w:cs="Times New Roman"/>
                <w:color w:val="auto"/>
                <w:kern w:val="0"/>
                <w:szCs w:val="21"/>
                <w:highlight w:val="none"/>
                <w:lang w:bidi="mn-Mong-CN"/>
              </w:rPr>
              <w:t>2-四氯乙烷、间/对二甲苯、邻二甲苯、苯乙烯、1</w:t>
            </w:r>
            <w:r>
              <w:rPr>
                <w:rFonts w:hint="default" w:ascii="Times New Roman" w:hAnsi="Times New Roman" w:eastAsia="宋体" w:cs="Times New Roman"/>
                <w:color w:val="auto"/>
                <w:kern w:val="0"/>
                <w:szCs w:val="21"/>
                <w:highlight w:val="none"/>
                <w:lang w:eastAsia="zh-CN" w:bidi="mn-Mong-CN"/>
              </w:rPr>
              <w:t>，</w:t>
            </w:r>
            <w:r>
              <w:rPr>
                <w:rFonts w:hint="default" w:ascii="Times New Roman" w:hAnsi="Times New Roman" w:eastAsia="宋体" w:cs="Times New Roman"/>
                <w:color w:val="auto"/>
                <w:kern w:val="0"/>
                <w:szCs w:val="21"/>
                <w:highlight w:val="none"/>
                <w:lang w:bidi="mn-Mong-CN"/>
              </w:rPr>
              <w:t>1</w:t>
            </w:r>
            <w:r>
              <w:rPr>
                <w:rFonts w:hint="default" w:ascii="Times New Roman" w:hAnsi="Times New Roman" w:eastAsia="宋体" w:cs="Times New Roman"/>
                <w:color w:val="auto"/>
                <w:kern w:val="0"/>
                <w:szCs w:val="21"/>
                <w:highlight w:val="none"/>
                <w:lang w:eastAsia="zh-CN" w:bidi="mn-Mong-CN"/>
              </w:rPr>
              <w:t>，</w:t>
            </w:r>
            <w:r>
              <w:rPr>
                <w:rFonts w:hint="default" w:ascii="Times New Roman" w:hAnsi="Times New Roman" w:eastAsia="宋体" w:cs="Times New Roman"/>
                <w:color w:val="auto"/>
                <w:kern w:val="0"/>
                <w:szCs w:val="21"/>
                <w:highlight w:val="none"/>
                <w:lang w:bidi="mn-Mong-CN"/>
              </w:rPr>
              <w:t>2</w:t>
            </w:r>
            <w:r>
              <w:rPr>
                <w:rFonts w:hint="default" w:ascii="Times New Roman" w:hAnsi="Times New Roman" w:eastAsia="宋体" w:cs="Times New Roman"/>
                <w:color w:val="auto"/>
                <w:kern w:val="0"/>
                <w:szCs w:val="21"/>
                <w:highlight w:val="none"/>
                <w:lang w:eastAsia="zh-CN" w:bidi="mn-Mong-CN"/>
              </w:rPr>
              <w:t>，</w:t>
            </w:r>
            <w:r>
              <w:rPr>
                <w:rFonts w:hint="default" w:ascii="Times New Roman" w:hAnsi="Times New Roman" w:eastAsia="宋体" w:cs="Times New Roman"/>
                <w:color w:val="auto"/>
                <w:kern w:val="0"/>
                <w:szCs w:val="21"/>
                <w:highlight w:val="none"/>
                <w:lang w:bidi="mn-Mong-CN"/>
              </w:rPr>
              <w:t>2-四氯乙烷、1</w:t>
            </w:r>
            <w:r>
              <w:rPr>
                <w:rFonts w:hint="default" w:ascii="Times New Roman" w:hAnsi="Times New Roman" w:eastAsia="宋体" w:cs="Times New Roman"/>
                <w:color w:val="auto"/>
                <w:kern w:val="0"/>
                <w:szCs w:val="21"/>
                <w:highlight w:val="none"/>
                <w:lang w:eastAsia="zh-CN" w:bidi="mn-Mong-CN"/>
              </w:rPr>
              <w:t>，</w:t>
            </w:r>
            <w:r>
              <w:rPr>
                <w:rFonts w:hint="default" w:ascii="Times New Roman" w:hAnsi="Times New Roman" w:eastAsia="宋体" w:cs="Times New Roman"/>
                <w:color w:val="auto"/>
                <w:kern w:val="0"/>
                <w:szCs w:val="21"/>
                <w:highlight w:val="none"/>
                <w:lang w:bidi="mn-Mong-CN"/>
              </w:rPr>
              <w:t>2</w:t>
            </w:r>
            <w:r>
              <w:rPr>
                <w:rFonts w:hint="default" w:ascii="Times New Roman" w:hAnsi="Times New Roman" w:eastAsia="宋体" w:cs="Times New Roman"/>
                <w:color w:val="auto"/>
                <w:kern w:val="0"/>
                <w:szCs w:val="21"/>
                <w:highlight w:val="none"/>
                <w:lang w:eastAsia="zh-CN" w:bidi="mn-Mong-CN"/>
              </w:rPr>
              <w:t>，</w:t>
            </w:r>
            <w:r>
              <w:rPr>
                <w:rFonts w:hint="default" w:ascii="Times New Roman" w:hAnsi="Times New Roman" w:eastAsia="宋体" w:cs="Times New Roman"/>
                <w:color w:val="auto"/>
                <w:kern w:val="0"/>
                <w:szCs w:val="21"/>
                <w:highlight w:val="none"/>
                <w:lang w:bidi="mn-Mong-CN"/>
              </w:rPr>
              <w:t>3-三氯丙烷、1</w:t>
            </w:r>
            <w:r>
              <w:rPr>
                <w:rFonts w:hint="default" w:ascii="Times New Roman" w:hAnsi="Times New Roman" w:eastAsia="宋体" w:cs="Times New Roman"/>
                <w:color w:val="auto"/>
                <w:kern w:val="0"/>
                <w:szCs w:val="21"/>
                <w:highlight w:val="none"/>
                <w:lang w:eastAsia="zh-CN" w:bidi="mn-Mong-CN"/>
              </w:rPr>
              <w:t>，</w:t>
            </w:r>
            <w:r>
              <w:rPr>
                <w:rFonts w:hint="default" w:ascii="Times New Roman" w:hAnsi="Times New Roman" w:eastAsia="宋体" w:cs="Times New Roman"/>
                <w:color w:val="auto"/>
                <w:kern w:val="0"/>
                <w:szCs w:val="21"/>
                <w:highlight w:val="none"/>
                <w:lang w:bidi="mn-Mong-CN"/>
              </w:rPr>
              <w:t>4-二氯苯、1</w:t>
            </w:r>
            <w:r>
              <w:rPr>
                <w:rFonts w:hint="default" w:ascii="Times New Roman" w:hAnsi="Times New Roman" w:eastAsia="宋体" w:cs="Times New Roman"/>
                <w:color w:val="auto"/>
                <w:kern w:val="0"/>
                <w:szCs w:val="21"/>
                <w:highlight w:val="none"/>
                <w:lang w:eastAsia="zh-CN" w:bidi="mn-Mong-CN"/>
              </w:rPr>
              <w:t>，</w:t>
            </w:r>
            <w:r>
              <w:rPr>
                <w:rFonts w:hint="default" w:ascii="Times New Roman" w:hAnsi="Times New Roman" w:eastAsia="宋体" w:cs="Times New Roman"/>
                <w:color w:val="auto"/>
                <w:kern w:val="0"/>
                <w:szCs w:val="21"/>
                <w:highlight w:val="none"/>
                <w:lang w:bidi="mn-Mong-CN"/>
              </w:rPr>
              <w:t>2-二氯苯、钼</w:t>
            </w:r>
          </w:p>
        </w:tc>
        <w:tc>
          <w:tcPr>
            <w:tcW w:w="774" w:type="pct"/>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color w:val="auto"/>
                <w:kern w:val="0"/>
                <w:szCs w:val="21"/>
                <w:highlight w:val="none"/>
                <w:lang w:bidi="mn-Mong-CN"/>
              </w:rPr>
            </w:pP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340" w:hRule="atLeast"/>
          <w:jc w:val="center"/>
        </w:trPr>
        <w:tc>
          <w:tcPr>
            <w:tcW w:w="258" w:type="pct"/>
            <w:vMerge w:val="restart"/>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color w:val="auto"/>
                <w:kern w:val="0"/>
                <w:szCs w:val="21"/>
                <w:highlight w:val="none"/>
                <w:lang w:bidi="mn-Mong-CN"/>
              </w:rPr>
            </w:pPr>
            <w:r>
              <w:rPr>
                <w:rFonts w:hint="default" w:ascii="Times New Roman" w:hAnsi="Times New Roman" w:eastAsia="宋体" w:cs="Times New Roman"/>
                <w:color w:val="auto"/>
                <w:kern w:val="0"/>
                <w:szCs w:val="21"/>
                <w:highlight w:val="none"/>
                <w:lang w:bidi="mn-Mong-CN"/>
              </w:rPr>
              <w:t>现状评价</w:t>
            </w:r>
          </w:p>
        </w:tc>
        <w:tc>
          <w:tcPr>
            <w:tcW w:w="907" w:type="pct"/>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color w:val="auto"/>
                <w:kern w:val="0"/>
                <w:szCs w:val="21"/>
                <w:highlight w:val="none"/>
                <w:lang w:bidi="mn-Mong-CN"/>
              </w:rPr>
            </w:pPr>
            <w:r>
              <w:rPr>
                <w:rFonts w:hint="default" w:ascii="Times New Roman" w:hAnsi="Times New Roman" w:eastAsia="宋体" w:cs="Times New Roman"/>
                <w:color w:val="auto"/>
                <w:kern w:val="0"/>
                <w:szCs w:val="21"/>
                <w:highlight w:val="none"/>
                <w:lang w:bidi="mn-Mong-CN"/>
              </w:rPr>
              <w:t>评价因子</w:t>
            </w:r>
          </w:p>
        </w:tc>
        <w:tc>
          <w:tcPr>
            <w:tcW w:w="3060" w:type="pct"/>
            <w:gridSpan w:val="6"/>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color w:val="auto"/>
                <w:kern w:val="0"/>
                <w:szCs w:val="21"/>
                <w:highlight w:val="none"/>
                <w:lang w:bidi="mn-Mong-CN"/>
              </w:rPr>
            </w:pPr>
            <w:r>
              <w:rPr>
                <w:rFonts w:hint="default" w:ascii="Times New Roman" w:hAnsi="Times New Roman" w:eastAsia="宋体" w:cs="Times New Roman"/>
                <w:color w:val="auto"/>
                <w:kern w:val="0"/>
                <w:szCs w:val="21"/>
                <w:highlight w:val="none"/>
                <w:lang w:bidi="mn-Mong-CN"/>
              </w:rPr>
              <w:t>建设用地</w:t>
            </w:r>
            <w:r>
              <w:rPr>
                <w:rFonts w:hint="default" w:ascii="Times New Roman" w:hAnsi="Times New Roman" w:eastAsia="宋体" w:cs="Times New Roman"/>
                <w:color w:val="auto"/>
                <w:kern w:val="0"/>
                <w:szCs w:val="21"/>
                <w:highlight w:val="none"/>
                <w:lang w:eastAsia="zh-CN" w:bidi="mn-Mong-CN"/>
              </w:rPr>
              <w:t>：</w:t>
            </w:r>
            <w:r>
              <w:rPr>
                <w:rFonts w:hint="default" w:ascii="Times New Roman" w:hAnsi="Times New Roman" w:eastAsia="宋体" w:cs="Times New Roman"/>
                <w:color w:val="auto"/>
                <w:kern w:val="0"/>
                <w:szCs w:val="21"/>
                <w:highlight w:val="none"/>
                <w:lang w:bidi="mn-Mong-CN"/>
              </w:rPr>
              <w:t>砷、汞、六价铬、镉、铅、铜、镍、pH、2-氯酚、硝基苯、萘、苯并</w:t>
            </w:r>
            <w:r>
              <w:rPr>
                <w:rFonts w:hint="default" w:ascii="Times New Roman" w:hAnsi="Times New Roman" w:eastAsia="宋体" w:cs="Times New Roman"/>
                <w:color w:val="auto"/>
                <w:kern w:val="0"/>
                <w:szCs w:val="21"/>
                <w:highlight w:val="none"/>
                <w:lang w:eastAsia="zh-CN" w:bidi="mn-Mong-CN"/>
              </w:rPr>
              <w:t>（A）</w:t>
            </w:r>
            <w:r>
              <w:rPr>
                <w:rFonts w:hint="default" w:ascii="Times New Roman" w:hAnsi="Times New Roman" w:eastAsia="宋体" w:cs="Times New Roman"/>
                <w:color w:val="auto"/>
                <w:kern w:val="0"/>
                <w:szCs w:val="21"/>
                <w:highlight w:val="none"/>
                <w:lang w:bidi="mn-Mong-CN"/>
              </w:rPr>
              <w:t>蒽、䓛、苯并（b</w:t>
            </w:r>
            <w:r>
              <w:rPr>
                <w:rFonts w:hint="default" w:ascii="Times New Roman" w:hAnsi="Times New Roman" w:eastAsia="宋体" w:cs="Times New Roman"/>
                <w:color w:val="auto"/>
                <w:kern w:val="0"/>
                <w:szCs w:val="21"/>
                <w:highlight w:val="none"/>
                <w:lang w:eastAsia="zh-CN" w:bidi="mn-Mong-CN"/>
              </w:rPr>
              <w:t>）</w:t>
            </w:r>
            <w:r>
              <w:rPr>
                <w:rFonts w:hint="default" w:ascii="Times New Roman" w:hAnsi="Times New Roman" w:eastAsia="宋体" w:cs="Times New Roman"/>
                <w:color w:val="auto"/>
                <w:kern w:val="0"/>
                <w:szCs w:val="21"/>
                <w:highlight w:val="none"/>
                <w:lang w:bidi="mn-Mong-CN"/>
              </w:rPr>
              <w:t>荧蒽、苯并（k</w:t>
            </w:r>
            <w:r>
              <w:rPr>
                <w:rFonts w:hint="default" w:ascii="Times New Roman" w:hAnsi="Times New Roman" w:eastAsia="宋体" w:cs="Times New Roman"/>
                <w:color w:val="auto"/>
                <w:kern w:val="0"/>
                <w:szCs w:val="21"/>
                <w:highlight w:val="none"/>
                <w:lang w:eastAsia="zh-CN" w:bidi="mn-Mong-CN"/>
              </w:rPr>
              <w:t>）</w:t>
            </w:r>
            <w:r>
              <w:rPr>
                <w:rFonts w:hint="default" w:ascii="Times New Roman" w:hAnsi="Times New Roman" w:eastAsia="宋体" w:cs="Times New Roman"/>
                <w:color w:val="auto"/>
                <w:kern w:val="0"/>
                <w:szCs w:val="21"/>
                <w:highlight w:val="none"/>
                <w:lang w:bidi="mn-Mong-CN"/>
              </w:rPr>
              <w:t>荧蒽、苯并</w:t>
            </w:r>
            <w:r>
              <w:rPr>
                <w:rFonts w:hint="default" w:ascii="Times New Roman" w:hAnsi="Times New Roman" w:eastAsia="宋体" w:cs="Times New Roman"/>
                <w:color w:val="auto"/>
                <w:kern w:val="0"/>
                <w:szCs w:val="21"/>
                <w:highlight w:val="none"/>
                <w:lang w:eastAsia="zh-CN" w:bidi="mn-Mong-CN"/>
              </w:rPr>
              <w:t>（A）</w:t>
            </w:r>
            <w:r>
              <w:rPr>
                <w:rFonts w:hint="default" w:ascii="Times New Roman" w:hAnsi="Times New Roman" w:eastAsia="宋体" w:cs="Times New Roman"/>
                <w:color w:val="auto"/>
                <w:kern w:val="0"/>
                <w:szCs w:val="21"/>
                <w:highlight w:val="none"/>
                <w:lang w:bidi="mn-Mong-CN"/>
              </w:rPr>
              <w:t>芘、茚并（1</w:t>
            </w:r>
            <w:r>
              <w:rPr>
                <w:rFonts w:hint="default" w:ascii="Times New Roman" w:hAnsi="Times New Roman" w:eastAsia="宋体" w:cs="Times New Roman"/>
                <w:color w:val="auto"/>
                <w:kern w:val="0"/>
                <w:szCs w:val="21"/>
                <w:highlight w:val="none"/>
                <w:lang w:eastAsia="zh-CN" w:bidi="mn-Mong-CN"/>
              </w:rPr>
              <w:t>，</w:t>
            </w:r>
            <w:r>
              <w:rPr>
                <w:rFonts w:hint="default" w:ascii="Times New Roman" w:hAnsi="Times New Roman" w:eastAsia="宋体" w:cs="Times New Roman"/>
                <w:color w:val="auto"/>
                <w:kern w:val="0"/>
                <w:szCs w:val="21"/>
                <w:highlight w:val="none"/>
                <w:lang w:bidi="mn-Mong-CN"/>
              </w:rPr>
              <w:t>2</w:t>
            </w:r>
            <w:r>
              <w:rPr>
                <w:rFonts w:hint="default" w:ascii="Times New Roman" w:hAnsi="Times New Roman" w:eastAsia="宋体" w:cs="Times New Roman"/>
                <w:color w:val="auto"/>
                <w:kern w:val="0"/>
                <w:szCs w:val="21"/>
                <w:highlight w:val="none"/>
                <w:lang w:eastAsia="zh-CN" w:bidi="mn-Mong-CN"/>
              </w:rPr>
              <w:t>，</w:t>
            </w:r>
            <w:r>
              <w:rPr>
                <w:rFonts w:hint="default" w:ascii="Times New Roman" w:hAnsi="Times New Roman" w:eastAsia="宋体" w:cs="Times New Roman"/>
                <w:color w:val="auto"/>
                <w:kern w:val="0"/>
                <w:szCs w:val="21"/>
                <w:highlight w:val="none"/>
                <w:lang w:bidi="mn-Mong-CN"/>
              </w:rPr>
              <w:t>3-cd</w:t>
            </w:r>
            <w:r>
              <w:rPr>
                <w:rFonts w:hint="default" w:ascii="Times New Roman" w:hAnsi="Times New Roman" w:eastAsia="宋体" w:cs="Times New Roman"/>
                <w:color w:val="auto"/>
                <w:kern w:val="0"/>
                <w:szCs w:val="21"/>
                <w:highlight w:val="none"/>
                <w:lang w:eastAsia="zh-CN" w:bidi="mn-Mong-CN"/>
              </w:rPr>
              <w:t>）</w:t>
            </w:r>
            <w:r>
              <w:rPr>
                <w:rFonts w:hint="default" w:ascii="Times New Roman" w:hAnsi="Times New Roman" w:eastAsia="宋体" w:cs="Times New Roman"/>
                <w:color w:val="auto"/>
                <w:kern w:val="0"/>
                <w:szCs w:val="21"/>
                <w:highlight w:val="none"/>
                <w:lang w:bidi="mn-Mong-CN"/>
              </w:rPr>
              <w:t>芘、二苯并（a</w:t>
            </w:r>
            <w:r>
              <w:rPr>
                <w:rFonts w:hint="default" w:ascii="Times New Roman" w:hAnsi="Times New Roman" w:eastAsia="宋体" w:cs="Times New Roman"/>
                <w:color w:val="auto"/>
                <w:kern w:val="0"/>
                <w:szCs w:val="21"/>
                <w:highlight w:val="none"/>
                <w:lang w:eastAsia="zh-CN" w:bidi="mn-Mong-CN"/>
              </w:rPr>
              <w:t>，</w:t>
            </w:r>
            <w:r>
              <w:rPr>
                <w:rFonts w:hint="default" w:ascii="Times New Roman" w:hAnsi="Times New Roman" w:eastAsia="宋体" w:cs="Times New Roman"/>
                <w:color w:val="auto"/>
                <w:kern w:val="0"/>
                <w:szCs w:val="21"/>
                <w:highlight w:val="none"/>
                <w:lang w:bidi="mn-Mong-CN"/>
              </w:rPr>
              <w:t>h</w:t>
            </w:r>
            <w:r>
              <w:rPr>
                <w:rFonts w:hint="default" w:ascii="Times New Roman" w:hAnsi="Times New Roman" w:eastAsia="宋体" w:cs="Times New Roman"/>
                <w:color w:val="auto"/>
                <w:kern w:val="0"/>
                <w:szCs w:val="21"/>
                <w:highlight w:val="none"/>
                <w:lang w:eastAsia="zh-CN" w:bidi="mn-Mong-CN"/>
              </w:rPr>
              <w:t>）</w:t>
            </w:r>
            <w:r>
              <w:rPr>
                <w:rFonts w:hint="default" w:ascii="Times New Roman" w:hAnsi="Times New Roman" w:eastAsia="宋体" w:cs="Times New Roman"/>
                <w:color w:val="auto"/>
                <w:kern w:val="0"/>
                <w:szCs w:val="21"/>
                <w:highlight w:val="none"/>
                <w:lang w:bidi="mn-Mong-CN"/>
              </w:rPr>
              <w:t>蒽、苯胺、氯乙烯、1</w:t>
            </w:r>
            <w:r>
              <w:rPr>
                <w:rFonts w:hint="default" w:ascii="Times New Roman" w:hAnsi="Times New Roman" w:eastAsia="宋体" w:cs="Times New Roman"/>
                <w:color w:val="auto"/>
                <w:kern w:val="0"/>
                <w:szCs w:val="21"/>
                <w:highlight w:val="none"/>
                <w:lang w:eastAsia="zh-CN" w:bidi="mn-Mong-CN"/>
              </w:rPr>
              <w:t>，</w:t>
            </w:r>
            <w:r>
              <w:rPr>
                <w:rFonts w:hint="default" w:ascii="Times New Roman" w:hAnsi="Times New Roman" w:eastAsia="宋体" w:cs="Times New Roman"/>
                <w:color w:val="auto"/>
                <w:kern w:val="0"/>
                <w:szCs w:val="21"/>
                <w:highlight w:val="none"/>
                <w:lang w:bidi="mn-Mong-CN"/>
              </w:rPr>
              <w:t>1-二氯乙烯、二氯甲烷、反式1</w:t>
            </w:r>
            <w:r>
              <w:rPr>
                <w:rFonts w:hint="default" w:ascii="Times New Roman" w:hAnsi="Times New Roman" w:eastAsia="宋体" w:cs="Times New Roman"/>
                <w:color w:val="auto"/>
                <w:kern w:val="0"/>
                <w:szCs w:val="21"/>
                <w:highlight w:val="none"/>
                <w:lang w:eastAsia="zh-CN" w:bidi="mn-Mong-CN"/>
              </w:rPr>
              <w:t>，</w:t>
            </w:r>
            <w:r>
              <w:rPr>
                <w:rFonts w:hint="default" w:ascii="Times New Roman" w:hAnsi="Times New Roman" w:eastAsia="宋体" w:cs="Times New Roman"/>
                <w:color w:val="auto"/>
                <w:kern w:val="0"/>
                <w:szCs w:val="21"/>
                <w:highlight w:val="none"/>
                <w:lang w:bidi="mn-Mong-CN"/>
              </w:rPr>
              <w:t>2-二氯乙烯、1</w:t>
            </w:r>
            <w:r>
              <w:rPr>
                <w:rFonts w:hint="default" w:ascii="Times New Roman" w:hAnsi="Times New Roman" w:eastAsia="宋体" w:cs="Times New Roman"/>
                <w:color w:val="auto"/>
                <w:kern w:val="0"/>
                <w:szCs w:val="21"/>
                <w:highlight w:val="none"/>
                <w:lang w:eastAsia="zh-CN" w:bidi="mn-Mong-CN"/>
              </w:rPr>
              <w:t>，</w:t>
            </w:r>
            <w:r>
              <w:rPr>
                <w:rFonts w:hint="default" w:ascii="Times New Roman" w:hAnsi="Times New Roman" w:eastAsia="宋体" w:cs="Times New Roman"/>
                <w:color w:val="auto"/>
                <w:kern w:val="0"/>
                <w:szCs w:val="21"/>
                <w:highlight w:val="none"/>
                <w:lang w:bidi="mn-Mong-CN"/>
              </w:rPr>
              <w:t>1-二氯乙烷、顺式1</w:t>
            </w:r>
            <w:r>
              <w:rPr>
                <w:rFonts w:hint="default" w:ascii="Times New Roman" w:hAnsi="Times New Roman" w:eastAsia="宋体" w:cs="Times New Roman"/>
                <w:color w:val="auto"/>
                <w:kern w:val="0"/>
                <w:szCs w:val="21"/>
                <w:highlight w:val="none"/>
                <w:lang w:eastAsia="zh-CN" w:bidi="mn-Mong-CN"/>
              </w:rPr>
              <w:t>，</w:t>
            </w:r>
            <w:r>
              <w:rPr>
                <w:rFonts w:hint="default" w:ascii="Times New Roman" w:hAnsi="Times New Roman" w:eastAsia="宋体" w:cs="Times New Roman"/>
                <w:color w:val="auto"/>
                <w:kern w:val="0"/>
                <w:szCs w:val="21"/>
                <w:highlight w:val="none"/>
                <w:lang w:bidi="mn-Mong-CN"/>
              </w:rPr>
              <w:t>2-二氯乙烯、氯仿、1</w:t>
            </w:r>
            <w:r>
              <w:rPr>
                <w:rFonts w:hint="default" w:ascii="Times New Roman" w:hAnsi="Times New Roman" w:eastAsia="宋体" w:cs="Times New Roman"/>
                <w:color w:val="auto"/>
                <w:kern w:val="0"/>
                <w:szCs w:val="21"/>
                <w:highlight w:val="none"/>
                <w:lang w:eastAsia="zh-CN" w:bidi="mn-Mong-CN"/>
              </w:rPr>
              <w:t>，</w:t>
            </w:r>
            <w:r>
              <w:rPr>
                <w:rFonts w:hint="default" w:ascii="Times New Roman" w:hAnsi="Times New Roman" w:eastAsia="宋体" w:cs="Times New Roman"/>
                <w:color w:val="auto"/>
                <w:kern w:val="0"/>
                <w:szCs w:val="21"/>
                <w:highlight w:val="none"/>
                <w:lang w:bidi="mn-Mong-CN"/>
              </w:rPr>
              <w:t>1</w:t>
            </w:r>
            <w:r>
              <w:rPr>
                <w:rFonts w:hint="default" w:ascii="Times New Roman" w:hAnsi="Times New Roman" w:eastAsia="宋体" w:cs="Times New Roman"/>
                <w:color w:val="auto"/>
                <w:kern w:val="0"/>
                <w:szCs w:val="21"/>
                <w:highlight w:val="none"/>
                <w:lang w:eastAsia="zh-CN" w:bidi="mn-Mong-CN"/>
              </w:rPr>
              <w:t>，</w:t>
            </w:r>
            <w:r>
              <w:rPr>
                <w:rFonts w:hint="default" w:ascii="Times New Roman" w:hAnsi="Times New Roman" w:eastAsia="宋体" w:cs="Times New Roman"/>
                <w:color w:val="auto"/>
                <w:kern w:val="0"/>
                <w:szCs w:val="21"/>
                <w:highlight w:val="none"/>
                <w:lang w:bidi="mn-Mong-CN"/>
              </w:rPr>
              <w:t>1-三氯乙烷、四氯化碳、氯甲烷、苯、1</w:t>
            </w:r>
            <w:r>
              <w:rPr>
                <w:rFonts w:hint="default" w:ascii="Times New Roman" w:hAnsi="Times New Roman" w:eastAsia="宋体" w:cs="Times New Roman"/>
                <w:color w:val="auto"/>
                <w:kern w:val="0"/>
                <w:szCs w:val="21"/>
                <w:highlight w:val="none"/>
                <w:lang w:eastAsia="zh-CN" w:bidi="mn-Mong-CN"/>
              </w:rPr>
              <w:t>，</w:t>
            </w:r>
            <w:r>
              <w:rPr>
                <w:rFonts w:hint="default" w:ascii="Times New Roman" w:hAnsi="Times New Roman" w:eastAsia="宋体" w:cs="Times New Roman"/>
                <w:color w:val="auto"/>
                <w:kern w:val="0"/>
                <w:szCs w:val="21"/>
                <w:highlight w:val="none"/>
                <w:lang w:bidi="mn-Mong-CN"/>
              </w:rPr>
              <w:t>2-二氯乙烷、三氯乙烯、1</w:t>
            </w:r>
            <w:r>
              <w:rPr>
                <w:rFonts w:hint="default" w:ascii="Times New Roman" w:hAnsi="Times New Roman" w:eastAsia="宋体" w:cs="Times New Roman"/>
                <w:color w:val="auto"/>
                <w:kern w:val="0"/>
                <w:szCs w:val="21"/>
                <w:highlight w:val="none"/>
                <w:lang w:eastAsia="zh-CN" w:bidi="mn-Mong-CN"/>
              </w:rPr>
              <w:t>，</w:t>
            </w:r>
            <w:r>
              <w:rPr>
                <w:rFonts w:hint="default" w:ascii="Times New Roman" w:hAnsi="Times New Roman" w:eastAsia="宋体" w:cs="Times New Roman"/>
                <w:color w:val="auto"/>
                <w:kern w:val="0"/>
                <w:szCs w:val="21"/>
                <w:highlight w:val="none"/>
                <w:lang w:bidi="mn-Mong-CN"/>
              </w:rPr>
              <w:t>2-二氯丙烷、甲苯、1</w:t>
            </w:r>
            <w:r>
              <w:rPr>
                <w:rFonts w:hint="default" w:ascii="Times New Roman" w:hAnsi="Times New Roman" w:eastAsia="宋体" w:cs="Times New Roman"/>
                <w:color w:val="auto"/>
                <w:kern w:val="0"/>
                <w:szCs w:val="21"/>
                <w:highlight w:val="none"/>
                <w:lang w:eastAsia="zh-CN" w:bidi="mn-Mong-CN"/>
              </w:rPr>
              <w:t>，</w:t>
            </w:r>
            <w:r>
              <w:rPr>
                <w:rFonts w:hint="default" w:ascii="Times New Roman" w:hAnsi="Times New Roman" w:eastAsia="宋体" w:cs="Times New Roman"/>
                <w:color w:val="auto"/>
                <w:kern w:val="0"/>
                <w:szCs w:val="21"/>
                <w:highlight w:val="none"/>
                <w:lang w:bidi="mn-Mong-CN"/>
              </w:rPr>
              <w:t>1</w:t>
            </w:r>
            <w:r>
              <w:rPr>
                <w:rFonts w:hint="default" w:ascii="Times New Roman" w:hAnsi="Times New Roman" w:eastAsia="宋体" w:cs="Times New Roman"/>
                <w:color w:val="auto"/>
                <w:kern w:val="0"/>
                <w:szCs w:val="21"/>
                <w:highlight w:val="none"/>
                <w:lang w:eastAsia="zh-CN" w:bidi="mn-Mong-CN"/>
              </w:rPr>
              <w:t>，</w:t>
            </w:r>
            <w:r>
              <w:rPr>
                <w:rFonts w:hint="default" w:ascii="Times New Roman" w:hAnsi="Times New Roman" w:eastAsia="宋体" w:cs="Times New Roman"/>
                <w:color w:val="auto"/>
                <w:kern w:val="0"/>
                <w:szCs w:val="21"/>
                <w:highlight w:val="none"/>
                <w:lang w:bidi="mn-Mong-CN"/>
              </w:rPr>
              <w:t>2-三氯乙烷、四氯乙烯、氯苯、乙苯、1</w:t>
            </w:r>
            <w:r>
              <w:rPr>
                <w:rFonts w:hint="default" w:ascii="Times New Roman" w:hAnsi="Times New Roman" w:eastAsia="宋体" w:cs="Times New Roman"/>
                <w:color w:val="auto"/>
                <w:kern w:val="0"/>
                <w:szCs w:val="21"/>
                <w:highlight w:val="none"/>
                <w:lang w:eastAsia="zh-CN" w:bidi="mn-Mong-CN"/>
              </w:rPr>
              <w:t>，</w:t>
            </w:r>
            <w:r>
              <w:rPr>
                <w:rFonts w:hint="default" w:ascii="Times New Roman" w:hAnsi="Times New Roman" w:eastAsia="宋体" w:cs="Times New Roman"/>
                <w:color w:val="auto"/>
                <w:kern w:val="0"/>
                <w:szCs w:val="21"/>
                <w:highlight w:val="none"/>
                <w:lang w:bidi="mn-Mong-CN"/>
              </w:rPr>
              <w:t>1</w:t>
            </w:r>
            <w:r>
              <w:rPr>
                <w:rFonts w:hint="default" w:ascii="Times New Roman" w:hAnsi="Times New Roman" w:eastAsia="宋体" w:cs="Times New Roman"/>
                <w:color w:val="auto"/>
                <w:kern w:val="0"/>
                <w:szCs w:val="21"/>
                <w:highlight w:val="none"/>
                <w:lang w:eastAsia="zh-CN" w:bidi="mn-Mong-CN"/>
              </w:rPr>
              <w:t>，</w:t>
            </w:r>
            <w:r>
              <w:rPr>
                <w:rFonts w:hint="default" w:ascii="Times New Roman" w:hAnsi="Times New Roman" w:eastAsia="宋体" w:cs="Times New Roman"/>
                <w:color w:val="auto"/>
                <w:kern w:val="0"/>
                <w:szCs w:val="21"/>
                <w:highlight w:val="none"/>
                <w:lang w:bidi="mn-Mong-CN"/>
              </w:rPr>
              <w:t>1</w:t>
            </w:r>
            <w:r>
              <w:rPr>
                <w:rFonts w:hint="default" w:ascii="Times New Roman" w:hAnsi="Times New Roman" w:eastAsia="宋体" w:cs="Times New Roman"/>
                <w:color w:val="auto"/>
                <w:kern w:val="0"/>
                <w:szCs w:val="21"/>
                <w:highlight w:val="none"/>
                <w:lang w:eastAsia="zh-CN" w:bidi="mn-Mong-CN"/>
              </w:rPr>
              <w:t>，</w:t>
            </w:r>
            <w:r>
              <w:rPr>
                <w:rFonts w:hint="default" w:ascii="Times New Roman" w:hAnsi="Times New Roman" w:eastAsia="宋体" w:cs="Times New Roman"/>
                <w:color w:val="auto"/>
                <w:kern w:val="0"/>
                <w:szCs w:val="21"/>
                <w:highlight w:val="none"/>
                <w:lang w:bidi="mn-Mong-CN"/>
              </w:rPr>
              <w:t>2-四氯乙烷、间/对二甲苯、邻二甲苯、苯乙烯、1</w:t>
            </w:r>
            <w:r>
              <w:rPr>
                <w:rFonts w:hint="default" w:ascii="Times New Roman" w:hAnsi="Times New Roman" w:eastAsia="宋体" w:cs="Times New Roman"/>
                <w:color w:val="auto"/>
                <w:kern w:val="0"/>
                <w:szCs w:val="21"/>
                <w:highlight w:val="none"/>
                <w:lang w:eastAsia="zh-CN" w:bidi="mn-Mong-CN"/>
              </w:rPr>
              <w:t>，</w:t>
            </w:r>
            <w:r>
              <w:rPr>
                <w:rFonts w:hint="default" w:ascii="Times New Roman" w:hAnsi="Times New Roman" w:eastAsia="宋体" w:cs="Times New Roman"/>
                <w:color w:val="auto"/>
                <w:kern w:val="0"/>
                <w:szCs w:val="21"/>
                <w:highlight w:val="none"/>
                <w:lang w:bidi="mn-Mong-CN"/>
              </w:rPr>
              <w:t>1</w:t>
            </w:r>
            <w:r>
              <w:rPr>
                <w:rFonts w:hint="default" w:ascii="Times New Roman" w:hAnsi="Times New Roman" w:eastAsia="宋体" w:cs="Times New Roman"/>
                <w:color w:val="auto"/>
                <w:kern w:val="0"/>
                <w:szCs w:val="21"/>
                <w:highlight w:val="none"/>
                <w:lang w:eastAsia="zh-CN" w:bidi="mn-Mong-CN"/>
              </w:rPr>
              <w:t>，</w:t>
            </w:r>
            <w:r>
              <w:rPr>
                <w:rFonts w:hint="default" w:ascii="Times New Roman" w:hAnsi="Times New Roman" w:eastAsia="宋体" w:cs="Times New Roman"/>
                <w:color w:val="auto"/>
                <w:kern w:val="0"/>
                <w:szCs w:val="21"/>
                <w:highlight w:val="none"/>
                <w:lang w:bidi="mn-Mong-CN"/>
              </w:rPr>
              <w:t>2</w:t>
            </w:r>
            <w:r>
              <w:rPr>
                <w:rFonts w:hint="default" w:ascii="Times New Roman" w:hAnsi="Times New Roman" w:eastAsia="宋体" w:cs="Times New Roman"/>
                <w:color w:val="auto"/>
                <w:kern w:val="0"/>
                <w:szCs w:val="21"/>
                <w:highlight w:val="none"/>
                <w:lang w:eastAsia="zh-CN" w:bidi="mn-Mong-CN"/>
              </w:rPr>
              <w:t>，</w:t>
            </w:r>
            <w:r>
              <w:rPr>
                <w:rFonts w:hint="default" w:ascii="Times New Roman" w:hAnsi="Times New Roman" w:eastAsia="宋体" w:cs="Times New Roman"/>
                <w:color w:val="auto"/>
                <w:kern w:val="0"/>
                <w:szCs w:val="21"/>
                <w:highlight w:val="none"/>
                <w:lang w:bidi="mn-Mong-CN"/>
              </w:rPr>
              <w:t>2-四氯乙烷、1</w:t>
            </w:r>
            <w:r>
              <w:rPr>
                <w:rFonts w:hint="default" w:ascii="Times New Roman" w:hAnsi="Times New Roman" w:eastAsia="宋体" w:cs="Times New Roman"/>
                <w:color w:val="auto"/>
                <w:kern w:val="0"/>
                <w:szCs w:val="21"/>
                <w:highlight w:val="none"/>
                <w:lang w:eastAsia="zh-CN" w:bidi="mn-Mong-CN"/>
              </w:rPr>
              <w:t>，</w:t>
            </w:r>
            <w:r>
              <w:rPr>
                <w:rFonts w:hint="default" w:ascii="Times New Roman" w:hAnsi="Times New Roman" w:eastAsia="宋体" w:cs="Times New Roman"/>
                <w:color w:val="auto"/>
                <w:kern w:val="0"/>
                <w:szCs w:val="21"/>
                <w:highlight w:val="none"/>
                <w:lang w:bidi="mn-Mong-CN"/>
              </w:rPr>
              <w:t>2</w:t>
            </w:r>
            <w:r>
              <w:rPr>
                <w:rFonts w:hint="default" w:ascii="Times New Roman" w:hAnsi="Times New Roman" w:eastAsia="宋体" w:cs="Times New Roman"/>
                <w:color w:val="auto"/>
                <w:kern w:val="0"/>
                <w:szCs w:val="21"/>
                <w:highlight w:val="none"/>
                <w:lang w:eastAsia="zh-CN" w:bidi="mn-Mong-CN"/>
              </w:rPr>
              <w:t>，</w:t>
            </w:r>
            <w:r>
              <w:rPr>
                <w:rFonts w:hint="default" w:ascii="Times New Roman" w:hAnsi="Times New Roman" w:eastAsia="宋体" w:cs="Times New Roman"/>
                <w:color w:val="auto"/>
                <w:kern w:val="0"/>
                <w:szCs w:val="21"/>
                <w:highlight w:val="none"/>
                <w:lang w:bidi="mn-Mong-CN"/>
              </w:rPr>
              <w:t>3-三氯丙烷、1</w:t>
            </w:r>
            <w:r>
              <w:rPr>
                <w:rFonts w:hint="default" w:ascii="Times New Roman" w:hAnsi="Times New Roman" w:eastAsia="宋体" w:cs="Times New Roman"/>
                <w:color w:val="auto"/>
                <w:kern w:val="0"/>
                <w:szCs w:val="21"/>
                <w:highlight w:val="none"/>
                <w:lang w:eastAsia="zh-CN" w:bidi="mn-Mong-CN"/>
              </w:rPr>
              <w:t>，</w:t>
            </w:r>
            <w:r>
              <w:rPr>
                <w:rFonts w:hint="default" w:ascii="Times New Roman" w:hAnsi="Times New Roman" w:eastAsia="宋体" w:cs="Times New Roman"/>
                <w:color w:val="auto"/>
                <w:kern w:val="0"/>
                <w:szCs w:val="21"/>
                <w:highlight w:val="none"/>
                <w:lang w:bidi="mn-Mong-CN"/>
              </w:rPr>
              <w:t>4-二氯苯、1</w:t>
            </w:r>
            <w:r>
              <w:rPr>
                <w:rFonts w:hint="default" w:ascii="Times New Roman" w:hAnsi="Times New Roman" w:eastAsia="宋体" w:cs="Times New Roman"/>
                <w:color w:val="auto"/>
                <w:kern w:val="0"/>
                <w:szCs w:val="21"/>
                <w:highlight w:val="none"/>
                <w:lang w:eastAsia="zh-CN" w:bidi="mn-Mong-CN"/>
              </w:rPr>
              <w:t>，</w:t>
            </w:r>
            <w:r>
              <w:rPr>
                <w:rFonts w:hint="default" w:ascii="Times New Roman" w:hAnsi="Times New Roman" w:eastAsia="宋体" w:cs="Times New Roman"/>
                <w:color w:val="auto"/>
                <w:kern w:val="0"/>
                <w:szCs w:val="21"/>
                <w:highlight w:val="none"/>
                <w:lang w:bidi="mn-Mong-CN"/>
              </w:rPr>
              <w:t>2-二氯苯、钼</w:t>
            </w:r>
          </w:p>
        </w:tc>
        <w:tc>
          <w:tcPr>
            <w:tcW w:w="774" w:type="pct"/>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color w:val="auto"/>
                <w:kern w:val="0"/>
                <w:szCs w:val="21"/>
                <w:highlight w:val="none"/>
                <w:lang w:bidi="mn-Mong-CN"/>
              </w:rPr>
            </w:pP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340" w:hRule="atLeast"/>
          <w:jc w:val="center"/>
        </w:trPr>
        <w:tc>
          <w:tcPr>
            <w:tcW w:w="258" w:type="pct"/>
            <w:vMerge w:val="continue"/>
            <w:tcBorders>
              <w:top w:val="single" w:color="auto" w:sz="4" w:space="0"/>
              <w:left w:val="single" w:color="auto" w:sz="4" w:space="0"/>
              <w:bottom w:val="single" w:color="auto" w:sz="4" w:space="0"/>
              <w:right w:val="single" w:color="auto" w:sz="4" w:space="0"/>
            </w:tcBorders>
            <w:vAlign w:val="center"/>
          </w:tcPr>
          <w:p>
            <w:pPr>
              <w:pageBreakBefore w:val="0"/>
              <w:widowControl/>
              <w:wordWrap/>
              <w:bidi w:val="0"/>
              <w:ind w:left="0" w:leftChars="0" w:right="0" w:rightChars="0"/>
              <w:jc w:val="center"/>
              <w:rPr>
                <w:rFonts w:hint="default" w:ascii="Times New Roman" w:hAnsi="Times New Roman" w:eastAsia="宋体" w:cs="Times New Roman"/>
                <w:color w:val="auto"/>
                <w:kern w:val="0"/>
                <w:szCs w:val="21"/>
                <w:highlight w:val="none"/>
                <w:lang w:bidi="mn-Mong-CN"/>
              </w:rPr>
            </w:pPr>
          </w:p>
        </w:tc>
        <w:tc>
          <w:tcPr>
            <w:tcW w:w="907" w:type="pct"/>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color w:val="auto"/>
                <w:kern w:val="0"/>
                <w:szCs w:val="21"/>
                <w:highlight w:val="none"/>
                <w:lang w:bidi="mn-Mong-CN"/>
              </w:rPr>
            </w:pPr>
            <w:r>
              <w:rPr>
                <w:rFonts w:hint="default" w:ascii="Times New Roman" w:hAnsi="Times New Roman" w:eastAsia="宋体" w:cs="Times New Roman"/>
                <w:color w:val="auto"/>
                <w:kern w:val="0"/>
                <w:szCs w:val="21"/>
                <w:highlight w:val="none"/>
                <w:lang w:bidi="mn-Mong-CN"/>
              </w:rPr>
              <w:t>评价标准</w:t>
            </w:r>
          </w:p>
        </w:tc>
        <w:tc>
          <w:tcPr>
            <w:tcW w:w="3060" w:type="pct"/>
            <w:gridSpan w:val="6"/>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color w:val="auto"/>
                <w:kern w:val="0"/>
                <w:szCs w:val="21"/>
                <w:highlight w:val="none"/>
                <w:lang w:eastAsia="zh-CN" w:bidi="mn-Mong-CN"/>
              </w:rPr>
            </w:pPr>
            <w:r>
              <w:rPr>
                <w:rFonts w:hint="default" w:ascii="Times New Roman" w:hAnsi="Times New Roman" w:eastAsia="宋体" w:cs="Times New Roman"/>
                <w:color w:val="auto"/>
                <w:kern w:val="0"/>
                <w:szCs w:val="21"/>
                <w:highlight w:val="none"/>
                <w:lang w:bidi="mn-Mong-CN"/>
              </w:rPr>
              <w:t>GB15618□；GB36600</w:t>
            </w:r>
            <w:r>
              <w:rPr>
                <w:rFonts w:hint="default" w:ascii="Times New Roman" w:hAnsi="Times New Roman" w:eastAsia="宋体" w:cs="Times New Roman"/>
                <w:color w:val="auto"/>
                <w:kern w:val="0"/>
                <w:szCs w:val="21"/>
                <w:highlight w:val="none"/>
                <w:lang w:eastAsia="zh-CN" w:bidi="mn-Mong-CN"/>
              </w:rPr>
              <w:t>☑</w:t>
            </w:r>
            <w:r>
              <w:rPr>
                <w:rFonts w:hint="default" w:ascii="Times New Roman" w:hAnsi="Times New Roman" w:eastAsia="宋体" w:cs="Times New Roman"/>
                <w:color w:val="auto"/>
                <w:kern w:val="0"/>
                <w:szCs w:val="21"/>
                <w:highlight w:val="none"/>
                <w:lang w:bidi="mn-Mong-CN"/>
              </w:rPr>
              <w:t>；表D.1□；表D.2□；其他（</w:t>
            </w:r>
            <w:r>
              <w:rPr>
                <w:rFonts w:hint="default" w:ascii="Times New Roman" w:hAnsi="Times New Roman" w:eastAsia="宋体" w:cs="Times New Roman"/>
                <w:color w:val="auto"/>
                <w:kern w:val="0"/>
                <w:szCs w:val="21"/>
                <w:highlight w:val="none"/>
                <w:lang w:eastAsia="zh-CN" w:bidi="mn-Mong-CN"/>
              </w:rPr>
              <w:t>）</w:t>
            </w:r>
          </w:p>
        </w:tc>
        <w:tc>
          <w:tcPr>
            <w:tcW w:w="774" w:type="pct"/>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color w:val="auto"/>
                <w:kern w:val="0"/>
                <w:szCs w:val="21"/>
                <w:highlight w:val="none"/>
                <w:lang w:bidi="mn-Mong-CN"/>
              </w:rPr>
            </w:pP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340" w:hRule="atLeast"/>
          <w:jc w:val="center"/>
        </w:trPr>
        <w:tc>
          <w:tcPr>
            <w:tcW w:w="258" w:type="pct"/>
            <w:vMerge w:val="continue"/>
            <w:tcBorders>
              <w:top w:val="single" w:color="auto" w:sz="4" w:space="0"/>
              <w:left w:val="single" w:color="auto" w:sz="4" w:space="0"/>
              <w:bottom w:val="single" w:color="auto" w:sz="4" w:space="0"/>
              <w:right w:val="single" w:color="auto" w:sz="4" w:space="0"/>
            </w:tcBorders>
            <w:vAlign w:val="center"/>
          </w:tcPr>
          <w:p>
            <w:pPr>
              <w:pageBreakBefore w:val="0"/>
              <w:widowControl/>
              <w:wordWrap/>
              <w:bidi w:val="0"/>
              <w:ind w:left="0" w:leftChars="0" w:right="0" w:rightChars="0"/>
              <w:jc w:val="center"/>
              <w:rPr>
                <w:rFonts w:hint="default" w:ascii="Times New Roman" w:hAnsi="Times New Roman" w:eastAsia="宋体" w:cs="Times New Roman"/>
                <w:color w:val="auto"/>
                <w:kern w:val="0"/>
                <w:szCs w:val="21"/>
                <w:highlight w:val="none"/>
                <w:lang w:bidi="mn-Mong-CN"/>
              </w:rPr>
            </w:pPr>
          </w:p>
        </w:tc>
        <w:tc>
          <w:tcPr>
            <w:tcW w:w="907" w:type="pct"/>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color w:val="auto"/>
                <w:kern w:val="0"/>
                <w:szCs w:val="21"/>
                <w:highlight w:val="none"/>
                <w:lang w:bidi="mn-Mong-CN"/>
              </w:rPr>
            </w:pPr>
            <w:r>
              <w:rPr>
                <w:rFonts w:hint="default" w:ascii="Times New Roman" w:hAnsi="Times New Roman" w:eastAsia="宋体" w:cs="Times New Roman"/>
                <w:color w:val="auto"/>
                <w:kern w:val="0"/>
                <w:szCs w:val="21"/>
                <w:highlight w:val="none"/>
                <w:lang w:bidi="mn-Mong-CN"/>
              </w:rPr>
              <w:t>现状评价结论</w:t>
            </w:r>
          </w:p>
        </w:tc>
        <w:tc>
          <w:tcPr>
            <w:tcW w:w="3060" w:type="pct"/>
            <w:gridSpan w:val="6"/>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color w:val="auto"/>
                <w:kern w:val="0"/>
                <w:szCs w:val="21"/>
                <w:highlight w:val="none"/>
                <w:lang w:bidi="mn-Mong-CN"/>
              </w:rPr>
            </w:pPr>
            <w:r>
              <w:rPr>
                <w:rFonts w:hint="default" w:ascii="Times New Roman" w:hAnsi="Times New Roman" w:eastAsia="宋体" w:cs="Times New Roman"/>
                <w:color w:val="auto"/>
                <w:kern w:val="0"/>
                <w:szCs w:val="21"/>
                <w:highlight w:val="none"/>
                <w:lang w:bidi="mn-Mong-CN"/>
              </w:rPr>
              <w:t>项目区内监测因子满足《土壤环境质量建设用地土壤污染风险管控标准》（GB36600-2018</w:t>
            </w:r>
            <w:r>
              <w:rPr>
                <w:rFonts w:hint="default" w:ascii="Times New Roman" w:hAnsi="Times New Roman" w:eastAsia="宋体" w:cs="Times New Roman"/>
                <w:color w:val="auto"/>
                <w:kern w:val="0"/>
                <w:szCs w:val="21"/>
                <w:highlight w:val="none"/>
                <w:lang w:eastAsia="zh-CN" w:bidi="mn-Mong-CN"/>
              </w:rPr>
              <w:t>）</w:t>
            </w:r>
            <w:r>
              <w:rPr>
                <w:rFonts w:hint="default" w:ascii="Times New Roman" w:hAnsi="Times New Roman" w:eastAsia="宋体" w:cs="Times New Roman"/>
                <w:color w:val="auto"/>
                <w:kern w:val="0"/>
                <w:szCs w:val="21"/>
                <w:highlight w:val="none"/>
                <w:lang w:bidi="mn-Mong-CN"/>
              </w:rPr>
              <w:t>第二类用地筛选值标准要求</w:t>
            </w:r>
          </w:p>
        </w:tc>
        <w:tc>
          <w:tcPr>
            <w:tcW w:w="774" w:type="pct"/>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color w:val="auto"/>
                <w:kern w:val="0"/>
                <w:szCs w:val="21"/>
                <w:highlight w:val="none"/>
                <w:lang w:bidi="mn-Mong-CN"/>
              </w:rPr>
            </w:pP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340" w:hRule="atLeast"/>
          <w:jc w:val="center"/>
        </w:trPr>
        <w:tc>
          <w:tcPr>
            <w:tcW w:w="258" w:type="pct"/>
            <w:vMerge w:val="restart"/>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color w:val="auto"/>
                <w:kern w:val="0"/>
                <w:szCs w:val="21"/>
                <w:highlight w:val="none"/>
                <w:lang w:bidi="mn-Mong-CN"/>
              </w:rPr>
            </w:pPr>
            <w:r>
              <w:rPr>
                <w:rFonts w:hint="default" w:ascii="Times New Roman" w:hAnsi="Times New Roman" w:eastAsia="宋体" w:cs="Times New Roman"/>
                <w:color w:val="auto"/>
                <w:kern w:val="0"/>
                <w:szCs w:val="21"/>
                <w:highlight w:val="none"/>
                <w:lang w:bidi="mn-Mong-CN"/>
              </w:rPr>
              <w:t>影响预测</w:t>
            </w:r>
          </w:p>
        </w:tc>
        <w:tc>
          <w:tcPr>
            <w:tcW w:w="907" w:type="pct"/>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color w:val="auto"/>
                <w:kern w:val="0"/>
                <w:szCs w:val="21"/>
                <w:highlight w:val="none"/>
                <w:lang w:bidi="mn-Mong-CN"/>
              </w:rPr>
            </w:pPr>
            <w:r>
              <w:rPr>
                <w:rFonts w:hint="default" w:ascii="Times New Roman" w:hAnsi="Times New Roman" w:eastAsia="宋体" w:cs="Times New Roman"/>
                <w:color w:val="auto"/>
                <w:kern w:val="0"/>
                <w:szCs w:val="21"/>
                <w:highlight w:val="none"/>
                <w:lang w:bidi="mn-Mong-CN"/>
              </w:rPr>
              <w:t>预测因子</w:t>
            </w:r>
          </w:p>
        </w:tc>
        <w:tc>
          <w:tcPr>
            <w:tcW w:w="3060" w:type="pct"/>
            <w:gridSpan w:val="6"/>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color w:val="auto"/>
                <w:kern w:val="0"/>
                <w:szCs w:val="21"/>
                <w:highlight w:val="none"/>
                <w:lang w:bidi="mn-Mong-CN"/>
              </w:rPr>
            </w:pPr>
          </w:p>
        </w:tc>
        <w:tc>
          <w:tcPr>
            <w:tcW w:w="774" w:type="pct"/>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color w:val="auto"/>
                <w:kern w:val="0"/>
                <w:szCs w:val="21"/>
                <w:highlight w:val="none"/>
                <w:lang w:bidi="mn-Mong-CN"/>
              </w:rPr>
            </w:pP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340" w:hRule="atLeast"/>
          <w:jc w:val="center"/>
        </w:trPr>
        <w:tc>
          <w:tcPr>
            <w:tcW w:w="258" w:type="pct"/>
            <w:vMerge w:val="continue"/>
            <w:tcBorders>
              <w:top w:val="single" w:color="auto" w:sz="4" w:space="0"/>
              <w:left w:val="single" w:color="auto" w:sz="4" w:space="0"/>
              <w:bottom w:val="single" w:color="auto" w:sz="4" w:space="0"/>
              <w:right w:val="single" w:color="auto" w:sz="4" w:space="0"/>
            </w:tcBorders>
            <w:vAlign w:val="center"/>
          </w:tcPr>
          <w:p>
            <w:pPr>
              <w:pageBreakBefore w:val="0"/>
              <w:widowControl/>
              <w:wordWrap/>
              <w:bidi w:val="0"/>
              <w:ind w:left="0" w:leftChars="0" w:right="0" w:rightChars="0"/>
              <w:jc w:val="center"/>
              <w:rPr>
                <w:rFonts w:hint="default" w:ascii="Times New Roman" w:hAnsi="Times New Roman" w:eastAsia="宋体" w:cs="Times New Roman"/>
                <w:color w:val="auto"/>
                <w:kern w:val="0"/>
                <w:szCs w:val="21"/>
                <w:highlight w:val="none"/>
                <w:lang w:bidi="mn-Mong-CN"/>
              </w:rPr>
            </w:pPr>
          </w:p>
        </w:tc>
        <w:tc>
          <w:tcPr>
            <w:tcW w:w="907" w:type="pct"/>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color w:val="auto"/>
                <w:kern w:val="0"/>
                <w:szCs w:val="21"/>
                <w:highlight w:val="none"/>
                <w:lang w:bidi="mn-Mong-CN"/>
              </w:rPr>
            </w:pPr>
            <w:r>
              <w:rPr>
                <w:rFonts w:hint="default" w:ascii="Times New Roman" w:hAnsi="Times New Roman" w:eastAsia="宋体" w:cs="Times New Roman"/>
                <w:color w:val="auto"/>
                <w:kern w:val="0"/>
                <w:szCs w:val="21"/>
                <w:highlight w:val="none"/>
                <w:lang w:bidi="mn-Mong-CN"/>
              </w:rPr>
              <w:t>预测方法</w:t>
            </w:r>
          </w:p>
        </w:tc>
        <w:tc>
          <w:tcPr>
            <w:tcW w:w="3060" w:type="pct"/>
            <w:gridSpan w:val="6"/>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color w:val="auto"/>
                <w:kern w:val="0"/>
                <w:szCs w:val="21"/>
                <w:highlight w:val="none"/>
                <w:lang w:eastAsia="zh-CN" w:bidi="mn-Mong-CN"/>
              </w:rPr>
            </w:pPr>
            <w:r>
              <w:rPr>
                <w:rFonts w:hint="default" w:ascii="Times New Roman" w:hAnsi="Times New Roman" w:eastAsia="宋体" w:cs="Times New Roman"/>
                <w:color w:val="auto"/>
                <w:kern w:val="0"/>
                <w:szCs w:val="21"/>
                <w:highlight w:val="none"/>
                <w:lang w:bidi="mn-Mong-CN"/>
              </w:rPr>
              <w:t>附录E□；附录F□；其他（定性描述</w:t>
            </w:r>
            <w:r>
              <w:rPr>
                <w:rFonts w:hint="default" w:ascii="Times New Roman" w:hAnsi="Times New Roman" w:eastAsia="宋体" w:cs="Times New Roman"/>
                <w:color w:val="auto"/>
                <w:kern w:val="0"/>
                <w:szCs w:val="21"/>
                <w:highlight w:val="none"/>
                <w:lang w:eastAsia="zh-CN" w:bidi="mn-Mong-CN"/>
              </w:rPr>
              <w:t>）</w:t>
            </w:r>
          </w:p>
        </w:tc>
        <w:tc>
          <w:tcPr>
            <w:tcW w:w="774" w:type="pct"/>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color w:val="auto"/>
                <w:kern w:val="0"/>
                <w:szCs w:val="21"/>
                <w:highlight w:val="none"/>
                <w:lang w:bidi="mn-Mong-CN"/>
              </w:rPr>
            </w:pP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340" w:hRule="atLeast"/>
          <w:jc w:val="center"/>
        </w:trPr>
        <w:tc>
          <w:tcPr>
            <w:tcW w:w="258" w:type="pct"/>
            <w:vMerge w:val="continue"/>
            <w:tcBorders>
              <w:top w:val="single" w:color="auto" w:sz="4" w:space="0"/>
              <w:left w:val="single" w:color="auto" w:sz="4" w:space="0"/>
              <w:bottom w:val="single" w:color="auto" w:sz="4" w:space="0"/>
              <w:right w:val="single" w:color="auto" w:sz="4" w:space="0"/>
            </w:tcBorders>
            <w:vAlign w:val="center"/>
          </w:tcPr>
          <w:p>
            <w:pPr>
              <w:pageBreakBefore w:val="0"/>
              <w:widowControl/>
              <w:wordWrap/>
              <w:bidi w:val="0"/>
              <w:ind w:left="0" w:leftChars="0" w:right="0" w:rightChars="0"/>
              <w:jc w:val="center"/>
              <w:rPr>
                <w:rFonts w:hint="default" w:ascii="Times New Roman" w:hAnsi="Times New Roman" w:eastAsia="宋体" w:cs="Times New Roman"/>
                <w:color w:val="auto"/>
                <w:kern w:val="0"/>
                <w:szCs w:val="21"/>
                <w:highlight w:val="none"/>
                <w:lang w:bidi="mn-Mong-CN"/>
              </w:rPr>
            </w:pPr>
          </w:p>
        </w:tc>
        <w:tc>
          <w:tcPr>
            <w:tcW w:w="907" w:type="pct"/>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color w:val="auto"/>
                <w:kern w:val="0"/>
                <w:szCs w:val="21"/>
                <w:highlight w:val="none"/>
                <w:lang w:bidi="mn-Mong-CN"/>
              </w:rPr>
            </w:pPr>
            <w:r>
              <w:rPr>
                <w:rFonts w:hint="default" w:ascii="Times New Roman" w:hAnsi="Times New Roman" w:eastAsia="宋体" w:cs="Times New Roman"/>
                <w:color w:val="auto"/>
                <w:kern w:val="0"/>
                <w:szCs w:val="21"/>
                <w:highlight w:val="none"/>
                <w:lang w:bidi="mn-Mong-CN"/>
              </w:rPr>
              <w:t>预测分析内容</w:t>
            </w:r>
          </w:p>
        </w:tc>
        <w:tc>
          <w:tcPr>
            <w:tcW w:w="3060" w:type="pct"/>
            <w:gridSpan w:val="6"/>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color w:val="auto"/>
                <w:kern w:val="0"/>
                <w:szCs w:val="21"/>
                <w:highlight w:val="none"/>
                <w:lang w:eastAsia="zh-CN" w:bidi="mn-Mong-CN"/>
              </w:rPr>
            </w:pPr>
            <w:r>
              <w:rPr>
                <w:rFonts w:hint="default" w:ascii="Times New Roman" w:hAnsi="Times New Roman" w:eastAsia="宋体" w:cs="Times New Roman"/>
                <w:color w:val="auto"/>
                <w:kern w:val="0"/>
                <w:szCs w:val="21"/>
                <w:highlight w:val="none"/>
                <w:lang w:bidi="mn-Mong-CN"/>
              </w:rPr>
              <w:t>影响范围（</w:t>
            </w:r>
            <w:r>
              <w:rPr>
                <w:rFonts w:hint="default" w:ascii="Times New Roman" w:hAnsi="Times New Roman" w:eastAsia="宋体" w:cs="Times New Roman"/>
                <w:color w:val="auto"/>
                <w:kern w:val="0"/>
                <w:szCs w:val="21"/>
                <w:highlight w:val="none"/>
                <w:lang w:eastAsia="zh-CN" w:bidi="mn-Mong-CN"/>
              </w:rPr>
              <w:t>）</w:t>
            </w:r>
          </w:p>
          <w:p>
            <w:pPr>
              <w:pageBreakBefore w:val="0"/>
              <w:wordWrap/>
              <w:autoSpaceDE w:val="0"/>
              <w:bidi w:val="0"/>
              <w:ind w:left="0" w:leftChars="0" w:right="0" w:rightChars="0"/>
              <w:jc w:val="center"/>
              <w:rPr>
                <w:rFonts w:hint="default" w:ascii="Times New Roman" w:hAnsi="Times New Roman" w:eastAsia="宋体" w:cs="Times New Roman"/>
                <w:color w:val="auto"/>
                <w:kern w:val="0"/>
                <w:szCs w:val="21"/>
                <w:highlight w:val="none"/>
                <w:lang w:eastAsia="zh-CN" w:bidi="mn-Mong-CN"/>
              </w:rPr>
            </w:pPr>
            <w:r>
              <w:rPr>
                <w:rFonts w:hint="default" w:ascii="Times New Roman" w:hAnsi="Times New Roman" w:eastAsia="宋体" w:cs="Times New Roman"/>
                <w:color w:val="auto"/>
                <w:kern w:val="0"/>
                <w:szCs w:val="21"/>
                <w:highlight w:val="none"/>
                <w:lang w:bidi="mn-Mong-CN"/>
              </w:rPr>
              <w:t>影响程度（</w:t>
            </w:r>
            <w:r>
              <w:rPr>
                <w:rFonts w:hint="default" w:ascii="Times New Roman" w:hAnsi="Times New Roman" w:eastAsia="宋体" w:cs="Times New Roman"/>
                <w:color w:val="auto"/>
                <w:kern w:val="0"/>
                <w:szCs w:val="21"/>
                <w:highlight w:val="none"/>
                <w:lang w:eastAsia="zh-CN" w:bidi="mn-Mong-CN"/>
              </w:rPr>
              <w:t>）</w:t>
            </w:r>
          </w:p>
        </w:tc>
        <w:tc>
          <w:tcPr>
            <w:tcW w:w="774" w:type="pct"/>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color w:val="auto"/>
                <w:kern w:val="0"/>
                <w:szCs w:val="21"/>
                <w:highlight w:val="none"/>
                <w:lang w:bidi="mn-Mong-CN"/>
              </w:rPr>
            </w:pP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340" w:hRule="atLeast"/>
          <w:jc w:val="center"/>
        </w:trPr>
        <w:tc>
          <w:tcPr>
            <w:tcW w:w="258" w:type="pct"/>
            <w:vMerge w:val="continue"/>
            <w:tcBorders>
              <w:top w:val="single" w:color="auto" w:sz="4" w:space="0"/>
              <w:left w:val="single" w:color="auto" w:sz="4" w:space="0"/>
              <w:bottom w:val="single" w:color="auto" w:sz="4" w:space="0"/>
              <w:right w:val="single" w:color="auto" w:sz="4" w:space="0"/>
            </w:tcBorders>
            <w:vAlign w:val="center"/>
          </w:tcPr>
          <w:p>
            <w:pPr>
              <w:pageBreakBefore w:val="0"/>
              <w:widowControl/>
              <w:wordWrap/>
              <w:bidi w:val="0"/>
              <w:ind w:left="0" w:leftChars="0" w:right="0" w:rightChars="0"/>
              <w:jc w:val="center"/>
              <w:rPr>
                <w:rFonts w:hint="default" w:ascii="Times New Roman" w:hAnsi="Times New Roman" w:eastAsia="宋体" w:cs="Times New Roman"/>
                <w:color w:val="auto"/>
                <w:kern w:val="0"/>
                <w:szCs w:val="21"/>
                <w:highlight w:val="none"/>
                <w:lang w:bidi="mn-Mong-CN"/>
              </w:rPr>
            </w:pPr>
          </w:p>
        </w:tc>
        <w:tc>
          <w:tcPr>
            <w:tcW w:w="907" w:type="pct"/>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color w:val="auto"/>
                <w:kern w:val="0"/>
                <w:szCs w:val="21"/>
                <w:highlight w:val="none"/>
                <w:lang w:bidi="mn-Mong-CN"/>
              </w:rPr>
            </w:pPr>
            <w:r>
              <w:rPr>
                <w:rFonts w:hint="default" w:ascii="Times New Roman" w:hAnsi="Times New Roman" w:eastAsia="宋体" w:cs="Times New Roman"/>
                <w:color w:val="auto"/>
                <w:kern w:val="0"/>
                <w:szCs w:val="21"/>
                <w:highlight w:val="none"/>
                <w:lang w:bidi="mn-Mong-CN"/>
              </w:rPr>
              <w:t>预测结论</w:t>
            </w:r>
          </w:p>
        </w:tc>
        <w:tc>
          <w:tcPr>
            <w:tcW w:w="3060" w:type="pct"/>
            <w:gridSpan w:val="6"/>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color w:val="auto"/>
                <w:kern w:val="0"/>
                <w:szCs w:val="21"/>
                <w:highlight w:val="none"/>
                <w:lang w:bidi="mn-Mong-CN"/>
              </w:rPr>
            </w:pPr>
            <w:r>
              <w:rPr>
                <w:rFonts w:hint="default" w:ascii="Times New Roman" w:hAnsi="Times New Roman" w:eastAsia="宋体" w:cs="Times New Roman"/>
                <w:color w:val="auto"/>
                <w:kern w:val="0"/>
                <w:szCs w:val="21"/>
                <w:highlight w:val="none"/>
                <w:lang w:bidi="mn-Mong-CN"/>
              </w:rPr>
              <w:t>达标结论</w:t>
            </w:r>
            <w:r>
              <w:rPr>
                <w:rFonts w:hint="default" w:ascii="Times New Roman" w:hAnsi="Times New Roman" w:eastAsia="宋体" w:cs="Times New Roman"/>
                <w:color w:val="auto"/>
                <w:kern w:val="0"/>
                <w:szCs w:val="21"/>
                <w:highlight w:val="none"/>
                <w:lang w:eastAsia="zh-CN" w:bidi="mn-Mong-CN"/>
              </w:rPr>
              <w:t>：</w:t>
            </w:r>
            <w:r>
              <w:rPr>
                <w:rFonts w:hint="default" w:ascii="Times New Roman" w:hAnsi="Times New Roman" w:eastAsia="宋体" w:cs="Times New Roman"/>
                <w:color w:val="auto"/>
                <w:kern w:val="0"/>
                <w:szCs w:val="21"/>
                <w:highlight w:val="none"/>
                <w:lang w:bidi="mn-Mong-CN"/>
              </w:rPr>
              <w:t>a</w:t>
            </w:r>
            <w:r>
              <w:rPr>
                <w:rFonts w:hint="default" w:ascii="Times New Roman" w:hAnsi="Times New Roman" w:eastAsia="宋体" w:cs="Times New Roman"/>
                <w:color w:val="auto"/>
                <w:kern w:val="0"/>
                <w:szCs w:val="21"/>
                <w:highlight w:val="none"/>
                <w:lang w:eastAsia="zh-CN" w:bidi="mn-Mong-CN"/>
              </w:rPr>
              <w:t>）</w:t>
            </w:r>
            <w:r>
              <w:rPr>
                <w:rFonts w:hint="default" w:ascii="Times New Roman" w:hAnsi="Times New Roman" w:eastAsia="宋体" w:cs="Times New Roman"/>
                <w:color w:val="auto"/>
                <w:kern w:val="0"/>
                <w:szCs w:val="21"/>
                <w:highlight w:val="none"/>
                <w:lang w:bidi="mn-Mong-CN"/>
              </w:rPr>
              <w:t>□；b</w:t>
            </w:r>
            <w:r>
              <w:rPr>
                <w:rFonts w:hint="default" w:ascii="Times New Roman" w:hAnsi="Times New Roman" w:eastAsia="宋体" w:cs="Times New Roman"/>
                <w:color w:val="auto"/>
                <w:kern w:val="0"/>
                <w:szCs w:val="21"/>
                <w:highlight w:val="none"/>
                <w:lang w:eastAsia="zh-CN" w:bidi="mn-Mong-CN"/>
              </w:rPr>
              <w:t>）</w:t>
            </w:r>
            <w:r>
              <w:rPr>
                <w:rFonts w:hint="default" w:ascii="Times New Roman" w:hAnsi="Times New Roman" w:eastAsia="宋体" w:cs="Times New Roman"/>
                <w:color w:val="auto"/>
                <w:kern w:val="0"/>
                <w:szCs w:val="21"/>
                <w:highlight w:val="none"/>
                <w:lang w:bidi="mn-Mong-CN"/>
              </w:rPr>
              <w:t>□；c</w:t>
            </w:r>
            <w:r>
              <w:rPr>
                <w:rFonts w:hint="default" w:ascii="Times New Roman" w:hAnsi="Times New Roman" w:eastAsia="宋体" w:cs="Times New Roman"/>
                <w:color w:val="auto"/>
                <w:kern w:val="0"/>
                <w:szCs w:val="21"/>
                <w:highlight w:val="none"/>
                <w:lang w:eastAsia="zh-CN" w:bidi="mn-Mong-CN"/>
              </w:rPr>
              <w:t>）</w:t>
            </w:r>
            <w:r>
              <w:rPr>
                <w:rFonts w:hint="default" w:ascii="Times New Roman" w:hAnsi="Times New Roman" w:eastAsia="宋体" w:cs="Times New Roman"/>
                <w:color w:val="auto"/>
                <w:kern w:val="0"/>
                <w:szCs w:val="21"/>
                <w:highlight w:val="none"/>
                <w:lang w:bidi="mn-Mong-CN"/>
              </w:rPr>
              <w:t>□</w:t>
            </w:r>
          </w:p>
          <w:p>
            <w:pPr>
              <w:pageBreakBefore w:val="0"/>
              <w:wordWrap/>
              <w:autoSpaceDE w:val="0"/>
              <w:bidi w:val="0"/>
              <w:ind w:left="0" w:leftChars="0" w:right="0" w:rightChars="0"/>
              <w:jc w:val="center"/>
              <w:rPr>
                <w:rFonts w:hint="default" w:ascii="Times New Roman" w:hAnsi="Times New Roman" w:eastAsia="宋体" w:cs="Times New Roman"/>
                <w:color w:val="auto"/>
                <w:kern w:val="0"/>
                <w:szCs w:val="21"/>
                <w:highlight w:val="none"/>
                <w:lang w:bidi="mn-Mong-CN"/>
              </w:rPr>
            </w:pPr>
            <w:r>
              <w:rPr>
                <w:rFonts w:hint="default" w:ascii="Times New Roman" w:hAnsi="Times New Roman" w:eastAsia="宋体" w:cs="Times New Roman"/>
                <w:color w:val="auto"/>
                <w:kern w:val="0"/>
                <w:szCs w:val="21"/>
                <w:highlight w:val="none"/>
                <w:lang w:bidi="mn-Mong-CN"/>
              </w:rPr>
              <w:t>不达标结论</w:t>
            </w:r>
            <w:r>
              <w:rPr>
                <w:rFonts w:hint="default" w:ascii="Times New Roman" w:hAnsi="Times New Roman" w:eastAsia="宋体" w:cs="Times New Roman"/>
                <w:color w:val="auto"/>
                <w:kern w:val="0"/>
                <w:szCs w:val="21"/>
                <w:highlight w:val="none"/>
                <w:lang w:eastAsia="zh-CN" w:bidi="mn-Mong-CN"/>
              </w:rPr>
              <w:t>：</w:t>
            </w:r>
            <w:r>
              <w:rPr>
                <w:rFonts w:hint="default" w:ascii="Times New Roman" w:hAnsi="Times New Roman" w:eastAsia="宋体" w:cs="Times New Roman"/>
                <w:color w:val="auto"/>
                <w:kern w:val="0"/>
                <w:szCs w:val="21"/>
                <w:highlight w:val="none"/>
                <w:lang w:bidi="mn-Mong-CN"/>
              </w:rPr>
              <w:t>a</w:t>
            </w:r>
            <w:r>
              <w:rPr>
                <w:rFonts w:hint="default" w:ascii="Times New Roman" w:hAnsi="Times New Roman" w:eastAsia="宋体" w:cs="Times New Roman"/>
                <w:color w:val="auto"/>
                <w:kern w:val="0"/>
                <w:szCs w:val="21"/>
                <w:highlight w:val="none"/>
                <w:lang w:eastAsia="zh-CN" w:bidi="mn-Mong-CN"/>
              </w:rPr>
              <w:t>）</w:t>
            </w:r>
            <w:r>
              <w:rPr>
                <w:rFonts w:hint="default" w:ascii="Times New Roman" w:hAnsi="Times New Roman" w:eastAsia="宋体" w:cs="Times New Roman"/>
                <w:color w:val="auto"/>
                <w:kern w:val="0"/>
                <w:szCs w:val="21"/>
                <w:highlight w:val="none"/>
                <w:lang w:bidi="mn-Mong-CN"/>
              </w:rPr>
              <w:t>□；b</w:t>
            </w:r>
            <w:r>
              <w:rPr>
                <w:rFonts w:hint="default" w:ascii="Times New Roman" w:hAnsi="Times New Roman" w:eastAsia="宋体" w:cs="Times New Roman"/>
                <w:color w:val="auto"/>
                <w:kern w:val="0"/>
                <w:szCs w:val="21"/>
                <w:highlight w:val="none"/>
                <w:lang w:eastAsia="zh-CN" w:bidi="mn-Mong-CN"/>
              </w:rPr>
              <w:t>）</w:t>
            </w:r>
            <w:r>
              <w:rPr>
                <w:rFonts w:hint="default" w:ascii="Times New Roman" w:hAnsi="Times New Roman" w:eastAsia="宋体" w:cs="Times New Roman"/>
                <w:color w:val="auto"/>
                <w:kern w:val="0"/>
                <w:szCs w:val="21"/>
                <w:highlight w:val="none"/>
                <w:lang w:bidi="mn-Mong-CN"/>
              </w:rPr>
              <w:t>□</w:t>
            </w:r>
          </w:p>
        </w:tc>
        <w:tc>
          <w:tcPr>
            <w:tcW w:w="774" w:type="pct"/>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color w:val="auto"/>
                <w:kern w:val="0"/>
                <w:szCs w:val="21"/>
                <w:highlight w:val="none"/>
                <w:lang w:bidi="mn-Mong-CN"/>
              </w:rPr>
            </w:pP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340" w:hRule="atLeast"/>
          <w:jc w:val="center"/>
        </w:trPr>
        <w:tc>
          <w:tcPr>
            <w:tcW w:w="258" w:type="pct"/>
            <w:vMerge w:val="restart"/>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color w:val="auto"/>
                <w:kern w:val="0"/>
                <w:szCs w:val="21"/>
                <w:highlight w:val="none"/>
                <w:lang w:bidi="mn-Mong-CN"/>
              </w:rPr>
            </w:pPr>
            <w:r>
              <w:rPr>
                <w:rFonts w:hint="default" w:ascii="Times New Roman" w:hAnsi="Times New Roman" w:eastAsia="宋体" w:cs="Times New Roman"/>
                <w:color w:val="auto"/>
                <w:kern w:val="0"/>
                <w:szCs w:val="21"/>
                <w:highlight w:val="none"/>
                <w:lang w:bidi="mn-Mong-CN"/>
              </w:rPr>
              <w:t>防治措施</w:t>
            </w:r>
          </w:p>
        </w:tc>
        <w:tc>
          <w:tcPr>
            <w:tcW w:w="907" w:type="pct"/>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color w:val="auto"/>
                <w:kern w:val="0"/>
                <w:szCs w:val="21"/>
                <w:highlight w:val="none"/>
                <w:lang w:bidi="mn-Mong-CN"/>
              </w:rPr>
            </w:pPr>
            <w:r>
              <w:rPr>
                <w:rFonts w:hint="default" w:ascii="Times New Roman" w:hAnsi="Times New Roman" w:eastAsia="宋体" w:cs="Times New Roman"/>
                <w:color w:val="auto"/>
                <w:kern w:val="0"/>
                <w:szCs w:val="21"/>
                <w:highlight w:val="none"/>
                <w:lang w:bidi="mn-Mong-CN"/>
              </w:rPr>
              <w:t>防控措施</w:t>
            </w:r>
          </w:p>
        </w:tc>
        <w:tc>
          <w:tcPr>
            <w:tcW w:w="3060" w:type="pct"/>
            <w:gridSpan w:val="6"/>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color w:val="auto"/>
                <w:kern w:val="0"/>
                <w:szCs w:val="21"/>
                <w:highlight w:val="none"/>
                <w:lang w:eastAsia="zh-CN" w:bidi="mn-Mong-CN"/>
              </w:rPr>
            </w:pPr>
            <w:r>
              <w:rPr>
                <w:rFonts w:hint="default" w:ascii="Times New Roman" w:hAnsi="Times New Roman" w:eastAsia="宋体" w:cs="Times New Roman"/>
                <w:color w:val="auto"/>
                <w:kern w:val="0"/>
                <w:szCs w:val="21"/>
                <w:highlight w:val="none"/>
                <w:lang w:bidi="mn-Mong-CN"/>
              </w:rPr>
              <w:t>土壤环境质量现状保障☑；源头控制☑；过程防控☑；其他（</w:t>
            </w:r>
            <w:r>
              <w:rPr>
                <w:rFonts w:hint="default" w:ascii="Times New Roman" w:hAnsi="Times New Roman" w:eastAsia="宋体" w:cs="Times New Roman"/>
                <w:color w:val="auto"/>
                <w:kern w:val="0"/>
                <w:szCs w:val="21"/>
                <w:highlight w:val="none"/>
                <w:lang w:eastAsia="zh-CN" w:bidi="mn-Mong-CN"/>
              </w:rPr>
              <w:t>）</w:t>
            </w:r>
          </w:p>
        </w:tc>
        <w:tc>
          <w:tcPr>
            <w:tcW w:w="774" w:type="pct"/>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color w:val="auto"/>
                <w:kern w:val="0"/>
                <w:szCs w:val="21"/>
                <w:highlight w:val="none"/>
                <w:lang w:bidi="mn-Mong-CN"/>
              </w:rPr>
            </w:pP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340" w:hRule="atLeast"/>
          <w:jc w:val="center"/>
        </w:trPr>
        <w:tc>
          <w:tcPr>
            <w:tcW w:w="258" w:type="pct"/>
            <w:vMerge w:val="continue"/>
            <w:tcBorders>
              <w:top w:val="single" w:color="auto" w:sz="4" w:space="0"/>
              <w:left w:val="single" w:color="auto" w:sz="4" w:space="0"/>
              <w:bottom w:val="single" w:color="auto" w:sz="4" w:space="0"/>
              <w:right w:val="single" w:color="auto" w:sz="4" w:space="0"/>
            </w:tcBorders>
            <w:vAlign w:val="center"/>
          </w:tcPr>
          <w:p>
            <w:pPr>
              <w:pageBreakBefore w:val="0"/>
              <w:widowControl/>
              <w:wordWrap/>
              <w:bidi w:val="0"/>
              <w:ind w:left="0" w:leftChars="0" w:right="0" w:rightChars="0"/>
              <w:jc w:val="center"/>
              <w:rPr>
                <w:rFonts w:hint="default" w:ascii="Times New Roman" w:hAnsi="Times New Roman" w:eastAsia="宋体" w:cs="Times New Roman"/>
                <w:color w:val="auto"/>
                <w:kern w:val="0"/>
                <w:szCs w:val="21"/>
                <w:highlight w:val="none"/>
                <w:lang w:bidi="mn-Mong-CN"/>
              </w:rPr>
            </w:pPr>
          </w:p>
        </w:tc>
        <w:tc>
          <w:tcPr>
            <w:tcW w:w="907" w:type="pct"/>
            <w:vMerge w:val="restart"/>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color w:val="auto"/>
                <w:kern w:val="0"/>
                <w:szCs w:val="21"/>
                <w:highlight w:val="none"/>
                <w:lang w:bidi="mn-Mong-CN"/>
              </w:rPr>
            </w:pPr>
            <w:r>
              <w:rPr>
                <w:rFonts w:hint="default" w:ascii="Times New Roman" w:hAnsi="Times New Roman" w:eastAsia="宋体" w:cs="Times New Roman"/>
                <w:color w:val="auto"/>
                <w:kern w:val="0"/>
                <w:szCs w:val="21"/>
                <w:highlight w:val="none"/>
                <w:lang w:bidi="mn-Mong-CN"/>
              </w:rPr>
              <w:t>跟踪监测</w:t>
            </w:r>
          </w:p>
        </w:tc>
        <w:tc>
          <w:tcPr>
            <w:tcW w:w="1020" w:type="pct"/>
            <w:gridSpan w:val="2"/>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color w:val="auto"/>
                <w:kern w:val="0"/>
                <w:szCs w:val="21"/>
                <w:highlight w:val="none"/>
                <w:lang w:bidi="mn-Mong-CN"/>
              </w:rPr>
            </w:pPr>
            <w:r>
              <w:rPr>
                <w:rFonts w:hint="default" w:ascii="Times New Roman" w:hAnsi="Times New Roman" w:eastAsia="宋体" w:cs="Times New Roman"/>
                <w:color w:val="auto"/>
                <w:kern w:val="0"/>
                <w:szCs w:val="21"/>
                <w:highlight w:val="none"/>
                <w:lang w:bidi="mn-Mong-CN"/>
              </w:rPr>
              <w:t>监测点数</w:t>
            </w:r>
          </w:p>
        </w:tc>
        <w:tc>
          <w:tcPr>
            <w:tcW w:w="847" w:type="pct"/>
            <w:gridSpan w:val="2"/>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color w:val="auto"/>
                <w:kern w:val="0"/>
                <w:szCs w:val="21"/>
                <w:highlight w:val="none"/>
                <w:lang w:bidi="mn-Mong-CN"/>
              </w:rPr>
            </w:pPr>
            <w:r>
              <w:rPr>
                <w:rFonts w:hint="default" w:ascii="Times New Roman" w:hAnsi="Times New Roman" w:eastAsia="宋体" w:cs="Times New Roman"/>
                <w:color w:val="auto"/>
                <w:kern w:val="0"/>
                <w:szCs w:val="21"/>
                <w:highlight w:val="none"/>
                <w:lang w:bidi="mn-Mong-CN"/>
              </w:rPr>
              <w:t>监测指标</w:t>
            </w:r>
          </w:p>
        </w:tc>
        <w:tc>
          <w:tcPr>
            <w:tcW w:w="1194" w:type="pct"/>
            <w:gridSpan w:val="2"/>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color w:val="auto"/>
                <w:kern w:val="0"/>
                <w:szCs w:val="21"/>
                <w:highlight w:val="none"/>
                <w:lang w:bidi="mn-Mong-CN"/>
              </w:rPr>
            </w:pPr>
            <w:r>
              <w:rPr>
                <w:rFonts w:hint="default" w:ascii="Times New Roman" w:hAnsi="Times New Roman" w:eastAsia="宋体" w:cs="Times New Roman"/>
                <w:color w:val="auto"/>
                <w:kern w:val="0"/>
                <w:szCs w:val="21"/>
                <w:highlight w:val="none"/>
                <w:lang w:bidi="mn-Mong-CN"/>
              </w:rPr>
              <w:t>监测频次</w:t>
            </w:r>
          </w:p>
        </w:tc>
        <w:tc>
          <w:tcPr>
            <w:tcW w:w="774" w:type="pct"/>
            <w:vMerge w:val="restart"/>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color w:val="auto"/>
                <w:kern w:val="0"/>
                <w:szCs w:val="21"/>
                <w:highlight w:val="none"/>
                <w:lang w:bidi="mn-Mong-CN"/>
              </w:rPr>
            </w:pP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340" w:hRule="atLeast"/>
          <w:jc w:val="center"/>
        </w:trPr>
        <w:tc>
          <w:tcPr>
            <w:tcW w:w="258" w:type="pct"/>
            <w:vMerge w:val="continue"/>
            <w:tcBorders>
              <w:top w:val="single" w:color="auto" w:sz="4" w:space="0"/>
              <w:left w:val="single" w:color="auto" w:sz="4" w:space="0"/>
              <w:bottom w:val="single" w:color="auto" w:sz="4" w:space="0"/>
              <w:right w:val="single" w:color="auto" w:sz="4" w:space="0"/>
            </w:tcBorders>
            <w:vAlign w:val="center"/>
          </w:tcPr>
          <w:p>
            <w:pPr>
              <w:pageBreakBefore w:val="0"/>
              <w:widowControl/>
              <w:wordWrap/>
              <w:bidi w:val="0"/>
              <w:ind w:left="0" w:leftChars="0" w:right="0" w:rightChars="0"/>
              <w:jc w:val="center"/>
              <w:rPr>
                <w:rFonts w:hint="default" w:ascii="Times New Roman" w:hAnsi="Times New Roman" w:eastAsia="宋体" w:cs="Times New Roman"/>
                <w:color w:val="auto"/>
                <w:kern w:val="0"/>
                <w:szCs w:val="21"/>
                <w:highlight w:val="none"/>
                <w:lang w:bidi="mn-Mong-CN"/>
              </w:rPr>
            </w:pPr>
          </w:p>
        </w:tc>
        <w:tc>
          <w:tcPr>
            <w:tcW w:w="907" w:type="pct"/>
            <w:vMerge w:val="continue"/>
            <w:tcBorders>
              <w:top w:val="single" w:color="auto" w:sz="4" w:space="0"/>
              <w:left w:val="single" w:color="auto" w:sz="4" w:space="0"/>
              <w:bottom w:val="single" w:color="auto" w:sz="4" w:space="0"/>
              <w:right w:val="single" w:color="auto" w:sz="4" w:space="0"/>
            </w:tcBorders>
            <w:vAlign w:val="center"/>
          </w:tcPr>
          <w:p>
            <w:pPr>
              <w:pageBreakBefore w:val="0"/>
              <w:widowControl/>
              <w:wordWrap/>
              <w:bidi w:val="0"/>
              <w:ind w:left="0" w:leftChars="0" w:right="0" w:rightChars="0"/>
              <w:jc w:val="center"/>
              <w:rPr>
                <w:rFonts w:hint="default" w:ascii="Times New Roman" w:hAnsi="Times New Roman" w:eastAsia="宋体" w:cs="Times New Roman"/>
                <w:color w:val="auto"/>
                <w:kern w:val="0"/>
                <w:szCs w:val="21"/>
                <w:highlight w:val="none"/>
                <w:lang w:bidi="mn-Mong-CN"/>
              </w:rPr>
            </w:pPr>
          </w:p>
        </w:tc>
        <w:tc>
          <w:tcPr>
            <w:tcW w:w="1020" w:type="pct"/>
            <w:gridSpan w:val="2"/>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color w:val="auto"/>
                <w:kern w:val="0"/>
                <w:szCs w:val="21"/>
                <w:highlight w:val="none"/>
                <w:lang w:bidi="mn-Mong-CN"/>
              </w:rPr>
            </w:pPr>
          </w:p>
        </w:tc>
        <w:tc>
          <w:tcPr>
            <w:tcW w:w="847" w:type="pct"/>
            <w:gridSpan w:val="2"/>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color w:val="auto"/>
                <w:kern w:val="0"/>
                <w:szCs w:val="21"/>
                <w:highlight w:val="none"/>
                <w:lang w:bidi="mn-Mong-CN"/>
              </w:rPr>
            </w:pPr>
          </w:p>
        </w:tc>
        <w:tc>
          <w:tcPr>
            <w:tcW w:w="1194" w:type="pct"/>
            <w:gridSpan w:val="2"/>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color w:val="auto"/>
                <w:kern w:val="0"/>
                <w:szCs w:val="21"/>
                <w:highlight w:val="none"/>
                <w:lang w:bidi="mn-Mong-CN"/>
              </w:rPr>
            </w:pPr>
            <w:r>
              <w:rPr>
                <w:rFonts w:hint="default" w:ascii="Times New Roman" w:hAnsi="Times New Roman" w:eastAsia="宋体" w:cs="Times New Roman"/>
                <w:color w:val="auto"/>
                <w:kern w:val="0"/>
                <w:szCs w:val="21"/>
                <w:highlight w:val="none"/>
                <w:lang w:bidi="mn-Mong-CN"/>
              </w:rPr>
              <w:t>必要时</w:t>
            </w:r>
          </w:p>
        </w:tc>
        <w:tc>
          <w:tcPr>
            <w:tcW w:w="774" w:type="pct"/>
            <w:vMerge w:val="continue"/>
            <w:tcBorders>
              <w:top w:val="single" w:color="auto" w:sz="4" w:space="0"/>
              <w:left w:val="single" w:color="auto" w:sz="4" w:space="0"/>
              <w:bottom w:val="single" w:color="auto" w:sz="4" w:space="0"/>
              <w:right w:val="single" w:color="auto" w:sz="4" w:space="0"/>
            </w:tcBorders>
            <w:vAlign w:val="center"/>
          </w:tcPr>
          <w:p>
            <w:pPr>
              <w:pageBreakBefore w:val="0"/>
              <w:widowControl/>
              <w:wordWrap/>
              <w:bidi w:val="0"/>
              <w:ind w:left="0" w:leftChars="0" w:right="0" w:rightChars="0"/>
              <w:jc w:val="center"/>
              <w:rPr>
                <w:rFonts w:hint="default" w:ascii="Times New Roman" w:hAnsi="Times New Roman" w:eastAsia="宋体" w:cs="Times New Roman"/>
                <w:color w:val="auto"/>
                <w:kern w:val="0"/>
                <w:szCs w:val="21"/>
                <w:highlight w:val="none"/>
                <w:lang w:bidi="mn-Mong-CN"/>
              </w:rPr>
            </w:pP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340" w:hRule="atLeast"/>
          <w:jc w:val="center"/>
        </w:trPr>
        <w:tc>
          <w:tcPr>
            <w:tcW w:w="258" w:type="pct"/>
            <w:vMerge w:val="continue"/>
            <w:tcBorders>
              <w:top w:val="single" w:color="auto" w:sz="4" w:space="0"/>
              <w:left w:val="single" w:color="auto" w:sz="4" w:space="0"/>
              <w:bottom w:val="single" w:color="auto" w:sz="4" w:space="0"/>
              <w:right w:val="single" w:color="auto" w:sz="4" w:space="0"/>
            </w:tcBorders>
            <w:vAlign w:val="center"/>
          </w:tcPr>
          <w:p>
            <w:pPr>
              <w:pageBreakBefore w:val="0"/>
              <w:widowControl/>
              <w:wordWrap/>
              <w:bidi w:val="0"/>
              <w:ind w:left="0" w:leftChars="0" w:right="0" w:rightChars="0"/>
              <w:jc w:val="center"/>
              <w:rPr>
                <w:rFonts w:hint="default" w:ascii="Times New Roman" w:hAnsi="Times New Roman" w:eastAsia="宋体" w:cs="Times New Roman"/>
                <w:color w:val="auto"/>
                <w:kern w:val="0"/>
                <w:szCs w:val="21"/>
                <w:highlight w:val="none"/>
                <w:lang w:bidi="mn-Mong-CN"/>
              </w:rPr>
            </w:pPr>
          </w:p>
        </w:tc>
        <w:tc>
          <w:tcPr>
            <w:tcW w:w="907" w:type="pct"/>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color w:val="auto"/>
                <w:kern w:val="0"/>
                <w:szCs w:val="21"/>
                <w:highlight w:val="none"/>
                <w:lang w:bidi="mn-Mong-CN"/>
              </w:rPr>
            </w:pPr>
            <w:r>
              <w:rPr>
                <w:rFonts w:hint="default" w:ascii="Times New Roman" w:hAnsi="Times New Roman" w:eastAsia="宋体" w:cs="Times New Roman"/>
                <w:color w:val="auto"/>
                <w:kern w:val="0"/>
                <w:szCs w:val="21"/>
                <w:highlight w:val="none"/>
                <w:lang w:bidi="mn-Mong-CN"/>
              </w:rPr>
              <w:t>信息公开指标</w:t>
            </w:r>
          </w:p>
        </w:tc>
        <w:tc>
          <w:tcPr>
            <w:tcW w:w="3060" w:type="pct"/>
            <w:gridSpan w:val="6"/>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color w:val="auto"/>
                <w:kern w:val="0"/>
                <w:szCs w:val="21"/>
                <w:highlight w:val="none"/>
                <w:lang w:bidi="mn-Mong-CN"/>
              </w:rPr>
            </w:pPr>
            <w:r>
              <w:rPr>
                <w:rFonts w:hint="default" w:ascii="Times New Roman" w:hAnsi="Times New Roman" w:eastAsia="宋体" w:cs="Times New Roman"/>
                <w:color w:val="auto"/>
                <w:kern w:val="0"/>
                <w:szCs w:val="21"/>
                <w:highlight w:val="none"/>
                <w:lang w:bidi="mn-Mong-CN"/>
              </w:rPr>
              <w:t>监测点位信息、监测项目、监测结果</w:t>
            </w:r>
          </w:p>
        </w:tc>
        <w:tc>
          <w:tcPr>
            <w:tcW w:w="774" w:type="pct"/>
            <w:vMerge w:val="continue"/>
            <w:tcBorders>
              <w:top w:val="single" w:color="auto" w:sz="4" w:space="0"/>
              <w:left w:val="single" w:color="auto" w:sz="4" w:space="0"/>
              <w:bottom w:val="single" w:color="auto" w:sz="4" w:space="0"/>
              <w:right w:val="single" w:color="auto" w:sz="4" w:space="0"/>
            </w:tcBorders>
            <w:vAlign w:val="center"/>
          </w:tcPr>
          <w:p>
            <w:pPr>
              <w:pageBreakBefore w:val="0"/>
              <w:widowControl/>
              <w:wordWrap/>
              <w:bidi w:val="0"/>
              <w:ind w:left="0" w:leftChars="0" w:right="0" w:rightChars="0"/>
              <w:jc w:val="center"/>
              <w:rPr>
                <w:rFonts w:hint="default" w:ascii="Times New Roman" w:hAnsi="Times New Roman" w:eastAsia="宋体" w:cs="Times New Roman"/>
                <w:color w:val="auto"/>
                <w:kern w:val="0"/>
                <w:szCs w:val="21"/>
                <w:highlight w:val="none"/>
                <w:lang w:bidi="mn-Mong-CN"/>
              </w:rPr>
            </w:pP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340" w:hRule="atLeast"/>
          <w:jc w:val="center"/>
        </w:trPr>
        <w:tc>
          <w:tcPr>
            <w:tcW w:w="1165" w:type="pct"/>
            <w:gridSpan w:val="2"/>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color w:val="auto"/>
                <w:kern w:val="0"/>
                <w:szCs w:val="21"/>
                <w:highlight w:val="none"/>
                <w:lang w:bidi="mn-Mong-CN"/>
              </w:rPr>
            </w:pPr>
            <w:r>
              <w:rPr>
                <w:rFonts w:hint="default" w:ascii="Times New Roman" w:hAnsi="Times New Roman" w:eastAsia="宋体" w:cs="Times New Roman"/>
                <w:color w:val="auto"/>
                <w:kern w:val="0"/>
                <w:szCs w:val="21"/>
                <w:highlight w:val="none"/>
                <w:lang w:bidi="mn-Mong-CN"/>
              </w:rPr>
              <w:t>评价结论</w:t>
            </w:r>
          </w:p>
        </w:tc>
        <w:tc>
          <w:tcPr>
            <w:tcW w:w="3060" w:type="pct"/>
            <w:gridSpan w:val="6"/>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color w:val="auto"/>
                <w:kern w:val="0"/>
                <w:szCs w:val="21"/>
                <w:highlight w:val="none"/>
                <w:lang w:bidi="mn-Mong-CN"/>
              </w:rPr>
            </w:pPr>
            <w:r>
              <w:rPr>
                <w:rFonts w:hint="default" w:ascii="Times New Roman" w:hAnsi="Times New Roman" w:eastAsia="宋体" w:cs="Times New Roman"/>
                <w:color w:val="auto"/>
                <w:kern w:val="0"/>
                <w:szCs w:val="21"/>
                <w:highlight w:val="none"/>
                <w:lang w:bidi="mn-Mong-CN"/>
              </w:rPr>
              <w:t>采取环评提出的措施</w:t>
            </w:r>
            <w:r>
              <w:rPr>
                <w:rFonts w:hint="default" w:ascii="Times New Roman" w:hAnsi="Times New Roman" w:eastAsia="宋体" w:cs="Times New Roman"/>
                <w:color w:val="auto"/>
                <w:kern w:val="0"/>
                <w:szCs w:val="21"/>
                <w:highlight w:val="none"/>
                <w:lang w:eastAsia="zh-CN" w:bidi="mn-Mong-CN"/>
              </w:rPr>
              <w:t>，</w:t>
            </w:r>
            <w:r>
              <w:rPr>
                <w:rFonts w:hint="default" w:ascii="Times New Roman" w:hAnsi="Times New Roman" w:eastAsia="宋体" w:cs="Times New Roman"/>
                <w:color w:val="auto"/>
                <w:kern w:val="0"/>
                <w:szCs w:val="21"/>
                <w:highlight w:val="none"/>
                <w:lang w:bidi="mn-Mong-CN"/>
              </w:rPr>
              <w:t>影响可接受</w:t>
            </w:r>
          </w:p>
        </w:tc>
        <w:tc>
          <w:tcPr>
            <w:tcW w:w="774" w:type="pct"/>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color w:val="auto"/>
                <w:kern w:val="0"/>
                <w:szCs w:val="21"/>
                <w:highlight w:val="none"/>
                <w:lang w:bidi="mn-Mong-CN"/>
              </w:rPr>
            </w:pP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340" w:hRule="atLeast"/>
          <w:jc w:val="center"/>
        </w:trPr>
        <w:tc>
          <w:tcPr>
            <w:tcW w:w="5000" w:type="pct"/>
            <w:gridSpan w:val="9"/>
            <w:tcBorders>
              <w:top w:val="single" w:color="auto" w:sz="4" w:space="0"/>
              <w:left w:val="single" w:color="auto" w:sz="4" w:space="0"/>
              <w:bottom w:val="single" w:color="auto" w:sz="4" w:space="0"/>
              <w:right w:val="single" w:color="auto" w:sz="4" w:space="0"/>
            </w:tcBorders>
            <w:vAlign w:val="center"/>
          </w:tcPr>
          <w:p>
            <w:pPr>
              <w:pageBreakBefore w:val="0"/>
              <w:wordWrap/>
              <w:autoSpaceDE w:val="0"/>
              <w:bidi w:val="0"/>
              <w:ind w:left="0" w:leftChars="0" w:right="0" w:rightChars="0"/>
              <w:jc w:val="center"/>
              <w:rPr>
                <w:rFonts w:hint="default" w:ascii="Times New Roman" w:hAnsi="Times New Roman" w:eastAsia="宋体" w:cs="Times New Roman"/>
                <w:color w:val="auto"/>
                <w:kern w:val="0"/>
                <w:szCs w:val="21"/>
                <w:highlight w:val="none"/>
                <w:lang w:bidi="mn-Mong-CN"/>
              </w:rPr>
            </w:pPr>
            <w:r>
              <w:rPr>
                <w:rFonts w:hint="default" w:ascii="Times New Roman" w:hAnsi="Times New Roman" w:eastAsia="宋体" w:cs="Times New Roman"/>
                <w:color w:val="auto"/>
                <w:kern w:val="0"/>
                <w:szCs w:val="21"/>
                <w:highlight w:val="none"/>
                <w:lang w:bidi="mn-Mong-CN"/>
              </w:rPr>
              <w:t>注1</w:t>
            </w:r>
            <w:r>
              <w:rPr>
                <w:rFonts w:hint="default" w:ascii="Times New Roman" w:hAnsi="Times New Roman" w:eastAsia="宋体" w:cs="Times New Roman"/>
                <w:color w:val="auto"/>
                <w:kern w:val="0"/>
                <w:szCs w:val="21"/>
                <w:highlight w:val="none"/>
                <w:lang w:eastAsia="zh-CN" w:bidi="mn-Mong-CN"/>
              </w:rPr>
              <w:t>：</w:t>
            </w:r>
            <w:r>
              <w:rPr>
                <w:rFonts w:hint="default" w:ascii="Times New Roman" w:hAnsi="Times New Roman" w:eastAsia="宋体" w:cs="Times New Roman"/>
                <w:color w:val="auto"/>
                <w:kern w:val="0"/>
                <w:szCs w:val="21"/>
                <w:highlight w:val="none"/>
                <w:lang w:bidi="mn-Mong-CN"/>
              </w:rPr>
              <w:t>“□”为勾选项</w:t>
            </w:r>
            <w:r>
              <w:rPr>
                <w:rFonts w:hint="default" w:ascii="Times New Roman" w:hAnsi="Times New Roman" w:eastAsia="宋体" w:cs="Times New Roman"/>
                <w:color w:val="auto"/>
                <w:kern w:val="0"/>
                <w:szCs w:val="21"/>
                <w:highlight w:val="none"/>
                <w:lang w:eastAsia="zh-CN" w:bidi="mn-Mong-CN"/>
              </w:rPr>
              <w:t>，</w:t>
            </w:r>
            <w:r>
              <w:rPr>
                <w:rFonts w:hint="default" w:ascii="Times New Roman" w:hAnsi="Times New Roman" w:eastAsia="宋体" w:cs="Times New Roman"/>
                <w:color w:val="auto"/>
                <w:kern w:val="0"/>
                <w:szCs w:val="21"/>
                <w:highlight w:val="none"/>
                <w:lang w:bidi="mn-Mong-CN"/>
              </w:rPr>
              <w:t>可√；“（</w:t>
            </w:r>
            <w:r>
              <w:rPr>
                <w:rFonts w:hint="default" w:ascii="Times New Roman" w:hAnsi="Times New Roman" w:eastAsia="宋体" w:cs="Times New Roman"/>
                <w:color w:val="auto"/>
                <w:kern w:val="0"/>
                <w:szCs w:val="21"/>
                <w:highlight w:val="none"/>
                <w:lang w:eastAsia="zh-CN" w:bidi="mn-Mong-CN"/>
              </w:rPr>
              <w:t>）</w:t>
            </w:r>
            <w:r>
              <w:rPr>
                <w:rFonts w:hint="default" w:ascii="Times New Roman" w:hAnsi="Times New Roman" w:eastAsia="宋体" w:cs="Times New Roman"/>
                <w:color w:val="auto"/>
                <w:kern w:val="0"/>
                <w:szCs w:val="21"/>
                <w:highlight w:val="none"/>
                <w:lang w:bidi="mn-Mong-CN"/>
              </w:rPr>
              <w:t>”为内容填写项；“备注”为其他补充内容。</w:t>
            </w:r>
          </w:p>
          <w:p>
            <w:pPr>
              <w:pageBreakBefore w:val="0"/>
              <w:wordWrap/>
              <w:autoSpaceDE w:val="0"/>
              <w:bidi w:val="0"/>
              <w:ind w:left="0" w:leftChars="0" w:right="0" w:rightChars="0"/>
              <w:jc w:val="center"/>
              <w:rPr>
                <w:rFonts w:hint="default" w:ascii="Times New Roman" w:hAnsi="Times New Roman" w:eastAsia="宋体" w:cs="Times New Roman"/>
                <w:color w:val="auto"/>
                <w:kern w:val="0"/>
                <w:szCs w:val="21"/>
                <w:highlight w:val="none"/>
                <w:lang w:bidi="mn-Mong-CN"/>
              </w:rPr>
            </w:pPr>
            <w:r>
              <w:rPr>
                <w:rFonts w:hint="default" w:ascii="Times New Roman" w:hAnsi="Times New Roman" w:eastAsia="宋体" w:cs="Times New Roman"/>
                <w:color w:val="auto"/>
                <w:kern w:val="0"/>
                <w:szCs w:val="21"/>
                <w:highlight w:val="none"/>
                <w:lang w:bidi="mn-Mong-CN"/>
              </w:rPr>
              <w:t>注2</w:t>
            </w:r>
            <w:r>
              <w:rPr>
                <w:rFonts w:hint="default" w:ascii="Times New Roman" w:hAnsi="Times New Roman" w:eastAsia="宋体" w:cs="Times New Roman"/>
                <w:color w:val="auto"/>
                <w:kern w:val="0"/>
                <w:szCs w:val="21"/>
                <w:highlight w:val="none"/>
                <w:lang w:eastAsia="zh-CN" w:bidi="mn-Mong-CN"/>
              </w:rPr>
              <w:t>：</w:t>
            </w:r>
            <w:r>
              <w:rPr>
                <w:rFonts w:hint="default" w:ascii="Times New Roman" w:hAnsi="Times New Roman" w:eastAsia="宋体" w:cs="Times New Roman"/>
                <w:color w:val="auto"/>
                <w:kern w:val="0"/>
                <w:szCs w:val="21"/>
                <w:highlight w:val="none"/>
                <w:lang w:bidi="mn-Mong-CN"/>
              </w:rPr>
              <w:t>需要分别开展土壤</w:t>
            </w:r>
            <w:r>
              <w:rPr>
                <w:rFonts w:hint="default" w:ascii="Times New Roman" w:hAnsi="Times New Roman" w:eastAsia="宋体" w:cs="Times New Roman"/>
                <w:color w:val="auto"/>
                <w:kern w:val="0"/>
                <w:szCs w:val="21"/>
                <w:highlight w:val="none"/>
                <w:lang w:eastAsia="zh-CN" w:bidi="mn-Mong-CN"/>
              </w:rPr>
              <w:t>环境影响评价</w:t>
            </w:r>
            <w:r>
              <w:rPr>
                <w:rFonts w:hint="default" w:ascii="Times New Roman" w:hAnsi="Times New Roman" w:eastAsia="宋体" w:cs="Times New Roman"/>
                <w:color w:val="auto"/>
                <w:kern w:val="0"/>
                <w:szCs w:val="21"/>
                <w:highlight w:val="none"/>
                <w:lang w:bidi="mn-Mong-CN"/>
              </w:rPr>
              <w:t>工作的</w:t>
            </w:r>
            <w:r>
              <w:rPr>
                <w:rFonts w:hint="default" w:ascii="Times New Roman" w:hAnsi="Times New Roman" w:eastAsia="宋体" w:cs="Times New Roman"/>
                <w:color w:val="auto"/>
                <w:kern w:val="0"/>
                <w:szCs w:val="21"/>
                <w:highlight w:val="none"/>
                <w:lang w:eastAsia="zh-CN" w:bidi="mn-Mong-CN"/>
              </w:rPr>
              <w:t>，</w:t>
            </w:r>
            <w:r>
              <w:rPr>
                <w:rFonts w:hint="default" w:ascii="Times New Roman" w:hAnsi="Times New Roman" w:eastAsia="宋体" w:cs="Times New Roman"/>
                <w:color w:val="auto"/>
                <w:kern w:val="0"/>
                <w:szCs w:val="21"/>
                <w:highlight w:val="none"/>
                <w:lang w:bidi="mn-Mong-CN"/>
              </w:rPr>
              <w:t>分别填写自查表。</w:t>
            </w:r>
          </w:p>
        </w:tc>
      </w:tr>
    </w:tbl>
    <w:p>
      <w:pPr>
        <w:pStyle w:val="4"/>
        <w:pageBreakBefore w:val="0"/>
        <w:numPr>
          <w:ilvl w:val="1"/>
          <w:numId w:val="0"/>
        </w:numPr>
        <w:wordWrap/>
        <w:bidi w:val="0"/>
        <w:adjustRightInd w:val="0"/>
        <w:snapToGrid w:val="0"/>
        <w:ind w:left="0" w:leftChars="0" w:right="0" w:rightChars="0" w:firstLine="0" w:firstLineChars="0"/>
        <w:rPr>
          <w:rFonts w:hint="default" w:ascii="Times New Roman" w:hAnsi="Times New Roman" w:eastAsia="宋体" w:cs="Times New Roman"/>
          <w:b/>
          <w:bCs w:val="0"/>
          <w:color w:val="auto"/>
          <w:sz w:val="24"/>
          <w:szCs w:val="24"/>
          <w:highlight w:val="none"/>
        </w:rPr>
      </w:pPr>
      <w:bookmarkStart w:id="1078" w:name="_Toc12603"/>
      <w:bookmarkStart w:id="1079" w:name="_Toc18027"/>
      <w:r>
        <w:rPr>
          <w:rFonts w:hint="default" w:ascii="Times New Roman" w:hAnsi="Times New Roman" w:eastAsia="宋体" w:cs="Times New Roman"/>
          <w:b w:val="0"/>
          <w:bCs w:val="0"/>
          <w:i w:val="0"/>
          <w:color w:val="auto"/>
          <w:kern w:val="2"/>
          <w:sz w:val="28"/>
          <w:szCs w:val="28"/>
          <w:highlight w:val="none"/>
          <w:lang w:val="en-US" w:eastAsia="zh-CN" w:bidi="ar-SA"/>
        </w:rPr>
        <w:t>7.8</w:t>
      </w:r>
      <w:r>
        <w:rPr>
          <w:rFonts w:hint="default" w:ascii="Times New Roman" w:hAnsi="Times New Roman" w:eastAsia="宋体" w:cs="Times New Roman"/>
          <w:b/>
          <w:bCs w:val="0"/>
          <w:color w:val="auto"/>
          <w:sz w:val="24"/>
          <w:szCs w:val="24"/>
          <w:highlight w:val="none"/>
        </w:rPr>
        <w:t>生态环境影响分析</w:t>
      </w:r>
      <w:bookmarkEnd w:id="1078"/>
      <w:bookmarkEnd w:id="1079"/>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本项目尾矿库的建设运</w:t>
      </w:r>
      <w:r>
        <w:rPr>
          <w:rFonts w:hint="default" w:ascii="Times New Roman" w:hAnsi="Times New Roman" w:eastAsia="宋体" w:cs="Times New Roman"/>
          <w:color w:val="auto"/>
          <w:sz w:val="24"/>
          <w:highlight w:val="none"/>
          <w:lang w:eastAsia="zh-CN"/>
        </w:rPr>
        <w:t>营</w:t>
      </w:r>
      <w:r>
        <w:rPr>
          <w:rFonts w:hint="default" w:ascii="Times New Roman" w:hAnsi="Times New Roman" w:eastAsia="宋体" w:cs="Times New Roman"/>
          <w:color w:val="auto"/>
          <w:sz w:val="24"/>
          <w:highlight w:val="none"/>
        </w:rPr>
        <w:t>对区域内生态环境的影响为工程占地影响</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地表剥离造成尾矿库范围内植被全部丧失</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项目的建设扰动野生生物的生存环境</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打破了已建立的相对稳定的生态系统平衡。</w:t>
      </w:r>
    </w:p>
    <w:p>
      <w:pPr>
        <w:pageBreakBefore w:val="0"/>
        <w:wordWrap/>
        <w:bidi w:val="0"/>
        <w:spacing w:line="360" w:lineRule="auto"/>
        <w:ind w:left="0" w:leftChars="0" w:right="0" w:rightChars="0" w:firstLine="480" w:firstLineChars="200"/>
        <w:outlineLvl w:val="0"/>
        <w:rPr>
          <w:rFonts w:hint="default" w:ascii="Times New Roman" w:hAnsi="Times New Roman" w:eastAsia="宋体" w:cs="Times New Roman"/>
          <w:color w:val="auto"/>
          <w:sz w:val="24"/>
          <w:highlight w:val="none"/>
        </w:rPr>
      </w:pPr>
      <w:bookmarkStart w:id="1080" w:name="_Toc7627"/>
      <w:bookmarkStart w:id="1081" w:name="_Toc825"/>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1</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工程占地</w:t>
      </w:r>
      <w:r>
        <w:rPr>
          <w:rFonts w:hint="default" w:ascii="Times New Roman" w:hAnsi="Times New Roman" w:eastAsia="宋体" w:cs="Times New Roman"/>
          <w:color w:val="auto"/>
          <w:sz w:val="24"/>
          <w:highlight w:val="none"/>
          <w:lang w:eastAsia="zh-CN"/>
        </w:rPr>
        <w:t>的影响</w:t>
      </w:r>
      <w:bookmarkEnd w:id="1080"/>
      <w:bookmarkEnd w:id="1081"/>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本项目尾矿库为山谷型尾矿库</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用地类型主要为</w:t>
      </w:r>
      <w:r>
        <w:rPr>
          <w:rFonts w:hint="default" w:ascii="Times New Roman" w:hAnsi="Times New Roman" w:eastAsia="宋体" w:cs="Times New Roman"/>
          <w:color w:val="auto"/>
          <w:sz w:val="24"/>
          <w:szCs w:val="24"/>
          <w:highlight w:val="none"/>
          <w:lang w:val="en-US" w:eastAsia="zh-CN"/>
        </w:rPr>
        <w:t>其他草原</w:t>
      </w:r>
      <w:r>
        <w:rPr>
          <w:rFonts w:hint="default" w:ascii="Times New Roman" w:hAnsi="Times New Roman" w:eastAsia="宋体" w:cs="Times New Roman"/>
          <w:color w:val="auto"/>
          <w:sz w:val="24"/>
          <w:highlight w:val="none"/>
        </w:rPr>
        <w:t>。不占用基本农田和耕地</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占地不在城市规划区范围之内。本项目建设对土地利用的影响主要是尾矿库占地将彻底改变用地范围内原有土地利用性质。这部分土地由原自然用地变为</w:t>
      </w:r>
      <w:r>
        <w:rPr>
          <w:rFonts w:hint="default" w:ascii="Times New Roman" w:hAnsi="Times New Roman" w:eastAsia="宋体" w:cs="Times New Roman"/>
          <w:color w:val="auto"/>
          <w:sz w:val="24"/>
          <w:highlight w:val="none"/>
          <w:lang w:eastAsia="zh-CN"/>
        </w:rPr>
        <w:t>工矿用地，</w:t>
      </w:r>
      <w:r>
        <w:rPr>
          <w:rFonts w:hint="default" w:ascii="Times New Roman" w:hAnsi="Times New Roman" w:eastAsia="宋体" w:cs="Times New Roman"/>
          <w:color w:val="auto"/>
          <w:sz w:val="24"/>
          <w:highlight w:val="none"/>
        </w:rPr>
        <w:t>土地利用性质发生了改变</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原有生态服务功能消失</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但同时土地利用价值也得到了提高。</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项目服务期结束后</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通过绿化等生态恢复措施</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可使用地恢复至原来的生态使用功能</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对周围环境的影响可得到有效</w:t>
      </w:r>
      <w:r>
        <w:rPr>
          <w:rFonts w:hint="default" w:ascii="Times New Roman" w:hAnsi="Times New Roman" w:eastAsia="宋体" w:cs="Times New Roman"/>
          <w:color w:val="auto"/>
          <w:sz w:val="24"/>
          <w:highlight w:val="none"/>
          <w:lang w:eastAsia="zh-CN"/>
        </w:rPr>
        <w:t>地</w:t>
      </w:r>
      <w:r>
        <w:rPr>
          <w:rFonts w:hint="default" w:ascii="Times New Roman" w:hAnsi="Times New Roman" w:eastAsia="宋体" w:cs="Times New Roman"/>
          <w:color w:val="auto"/>
          <w:sz w:val="24"/>
          <w:highlight w:val="none"/>
        </w:rPr>
        <w:t>控制。</w:t>
      </w:r>
    </w:p>
    <w:p>
      <w:pPr>
        <w:pageBreakBefore w:val="0"/>
        <w:wordWrap/>
        <w:bidi w:val="0"/>
        <w:spacing w:line="360" w:lineRule="auto"/>
        <w:ind w:left="0" w:leftChars="0" w:right="0" w:rightChars="0" w:firstLine="480" w:firstLineChars="200"/>
        <w:outlineLvl w:val="0"/>
        <w:rPr>
          <w:rFonts w:hint="default" w:ascii="Times New Roman" w:hAnsi="Times New Roman" w:eastAsia="宋体" w:cs="Times New Roman"/>
          <w:color w:val="auto"/>
          <w:sz w:val="24"/>
          <w:highlight w:val="none"/>
        </w:rPr>
      </w:pPr>
      <w:bookmarkStart w:id="1082" w:name="_Toc31489"/>
      <w:bookmarkStart w:id="1083" w:name="_Toc22436"/>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2</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对植物的影响</w:t>
      </w:r>
      <w:bookmarkEnd w:id="1082"/>
      <w:bookmarkEnd w:id="1083"/>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项目区内部及周围无重点保护的植被</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皆为适宜当地生长的植被</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该项目运</w:t>
      </w:r>
      <w:r>
        <w:rPr>
          <w:rFonts w:hint="default" w:ascii="Times New Roman" w:hAnsi="Times New Roman" w:eastAsia="宋体" w:cs="Times New Roman"/>
          <w:color w:val="auto"/>
          <w:sz w:val="24"/>
          <w:highlight w:val="none"/>
          <w:lang w:eastAsia="zh-CN"/>
        </w:rPr>
        <w:t>营</w:t>
      </w:r>
      <w:r>
        <w:rPr>
          <w:rFonts w:hint="default" w:ascii="Times New Roman" w:hAnsi="Times New Roman" w:eastAsia="宋体" w:cs="Times New Roman"/>
          <w:color w:val="auto"/>
          <w:sz w:val="24"/>
          <w:highlight w:val="none"/>
        </w:rPr>
        <w:t>对当地植被所造成的影响主要有：</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①尾矿砂的堆存过程中产生的扬尘</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悬浮微粒等自然沉降在周围植物的叶片上</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阻塞气孔</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影响植物呼吸和光合作用</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有碍植物生长。扬尘吹至下风向土壤中</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常年累积会改变土壤理化性质</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从而对植被的生长产生影响。</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②项目在运</w:t>
      </w:r>
      <w:r>
        <w:rPr>
          <w:rFonts w:hint="default" w:ascii="Times New Roman" w:hAnsi="Times New Roman" w:eastAsia="宋体" w:cs="Times New Roman"/>
          <w:color w:val="auto"/>
          <w:sz w:val="24"/>
          <w:highlight w:val="none"/>
          <w:lang w:eastAsia="zh-CN"/>
        </w:rPr>
        <w:t>营</w:t>
      </w:r>
      <w:r>
        <w:rPr>
          <w:rFonts w:hint="default" w:ascii="Times New Roman" w:hAnsi="Times New Roman" w:eastAsia="宋体" w:cs="Times New Roman"/>
          <w:color w:val="auto"/>
          <w:sz w:val="24"/>
          <w:highlight w:val="none"/>
        </w:rPr>
        <w:t>期如果缺乏规范和约束</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过往车辆和工作人员会对项目区周围、道路两侧植被造成碾压和践踏。</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本项目区及周边无珍稀濒危的保护植被</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多数为适宜当地气候的植被</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在运行过程中以水封抑尘为主</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采用多管分散放矿</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干滩采用喷淋设施喷淋洒水抑尘</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使滩面处于湿润状态</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减少扬尘的排放量</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对过往车辆和工作人员进行约束</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减少对两侧植被造成碾压和践踏</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减轻对项目区及周边植被的影响。</w:t>
      </w:r>
    </w:p>
    <w:p>
      <w:pPr>
        <w:pageBreakBefore w:val="0"/>
        <w:wordWrap/>
        <w:bidi w:val="0"/>
        <w:spacing w:line="360" w:lineRule="auto"/>
        <w:ind w:left="0" w:leftChars="0" w:right="0" w:rightChars="0" w:firstLine="480" w:firstLineChars="200"/>
        <w:outlineLvl w:val="0"/>
        <w:rPr>
          <w:rFonts w:hint="default" w:ascii="Times New Roman" w:hAnsi="Times New Roman" w:eastAsia="宋体" w:cs="Times New Roman"/>
          <w:color w:val="auto"/>
          <w:sz w:val="24"/>
          <w:highlight w:val="none"/>
        </w:rPr>
      </w:pPr>
      <w:bookmarkStart w:id="1084" w:name="_Toc3677"/>
      <w:bookmarkStart w:id="1085" w:name="_Toc15342"/>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3</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对动物的影响</w:t>
      </w:r>
      <w:bookmarkEnd w:id="1084"/>
      <w:bookmarkEnd w:id="1085"/>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评价区内野生动物主要以鸟类、爬行类动物为主。由于尾矿库的建设将破坏地表植被</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必将对野生动物的生存与繁衍产生不利影响</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使其栖息地的植被群落分布和数量发生变化。本尾矿库在施工期短时间内是无法较好</w:t>
      </w:r>
      <w:r>
        <w:rPr>
          <w:rFonts w:hint="default" w:ascii="Times New Roman" w:hAnsi="Times New Roman" w:eastAsia="宋体" w:cs="Times New Roman"/>
          <w:color w:val="auto"/>
          <w:sz w:val="24"/>
          <w:highlight w:val="none"/>
          <w:lang w:eastAsia="zh-CN"/>
        </w:rPr>
        <w:t>地</w:t>
      </w:r>
      <w:r>
        <w:rPr>
          <w:rFonts w:hint="default" w:ascii="Times New Roman" w:hAnsi="Times New Roman" w:eastAsia="宋体" w:cs="Times New Roman"/>
          <w:color w:val="auto"/>
          <w:sz w:val="24"/>
          <w:highlight w:val="none"/>
        </w:rPr>
        <w:t>完成人工诱导自然恢复作用的</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因此这种影响在施工期内是无法完全避免的。</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此外</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各类机械产生的噪声和人为活动干扰</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会使野生动物如啮齿类动物和一些鸟类向外迁移</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使局部地区动物的密度相应增加。另外</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施工人员滥捕滥猎等现象的出现</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将直接影响到这一地区的广布种野生动物种群的数量。这种影响可通过加强对施工人员的宣传教育和管理得到缓解。</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对于评价区野生动物种类多为一些常见的鸟类、啮齿类及昆虫等</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这些动物在受到人为影响时将迁入周边地区继续生存繁衍</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因此项目施工期不会使评价区野生动物物种数量发生变化</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其种群数量也不会发生明显变化。只要加强对施工人员的管理</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本尾矿库对区域野生动物资源不会造成较大影响。</w:t>
      </w:r>
    </w:p>
    <w:p>
      <w:pPr>
        <w:pageBreakBefore w:val="0"/>
        <w:wordWrap/>
        <w:bidi w:val="0"/>
        <w:spacing w:line="360" w:lineRule="auto"/>
        <w:ind w:left="0" w:leftChars="0" w:right="0" w:rightChars="0" w:firstLine="480" w:firstLineChars="200"/>
        <w:outlineLvl w:val="0"/>
        <w:rPr>
          <w:rFonts w:hint="default" w:ascii="Times New Roman" w:hAnsi="Times New Roman" w:eastAsia="宋体" w:cs="Times New Roman"/>
          <w:color w:val="auto"/>
          <w:sz w:val="24"/>
          <w:highlight w:val="none"/>
        </w:rPr>
      </w:pPr>
      <w:bookmarkStart w:id="1086" w:name="_Toc26692"/>
      <w:bookmarkStart w:id="1087" w:name="_Toc5342"/>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4</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对生态系统完整性的影响</w:t>
      </w:r>
      <w:bookmarkEnd w:id="1086"/>
      <w:bookmarkEnd w:id="1087"/>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生态系统完整性影响主要是通过改变区域空间结构现状</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阻断区域物流、能流和物种流；最终</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项目建成运</w:t>
      </w:r>
      <w:r>
        <w:rPr>
          <w:rFonts w:hint="default" w:ascii="Times New Roman" w:hAnsi="Times New Roman" w:eastAsia="宋体" w:cs="Times New Roman"/>
          <w:color w:val="auto"/>
          <w:sz w:val="24"/>
          <w:highlight w:val="none"/>
          <w:lang w:eastAsia="zh-CN"/>
        </w:rPr>
        <w:t>营</w:t>
      </w:r>
      <w:r>
        <w:rPr>
          <w:rFonts w:hint="default" w:ascii="Times New Roman" w:hAnsi="Times New Roman" w:eastAsia="宋体" w:cs="Times New Roman"/>
          <w:color w:val="auto"/>
          <w:sz w:val="24"/>
          <w:highlight w:val="none"/>
        </w:rPr>
        <w:t>后对景观生态体系的产生一定的分割影响</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使其破碎化和趋于岛屿化。运</w:t>
      </w:r>
      <w:r>
        <w:rPr>
          <w:rFonts w:hint="default" w:ascii="Times New Roman" w:hAnsi="Times New Roman" w:eastAsia="宋体" w:cs="Times New Roman"/>
          <w:color w:val="auto"/>
          <w:sz w:val="24"/>
          <w:highlight w:val="none"/>
          <w:lang w:eastAsia="zh-CN"/>
        </w:rPr>
        <w:t>营</w:t>
      </w:r>
      <w:r>
        <w:rPr>
          <w:rFonts w:hint="default" w:ascii="Times New Roman" w:hAnsi="Times New Roman" w:eastAsia="宋体" w:cs="Times New Roman"/>
          <w:color w:val="auto"/>
          <w:sz w:val="24"/>
          <w:highlight w:val="none"/>
        </w:rPr>
        <w:t>期生态系统的影响多是局部的</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这一影响主要表现在将生境一分为二</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使整体区域内的物流、能流、物种流被迫发生改变</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一些敏感的栖息环境要求较高的野生动物受到的影响会更严重</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工程使地表形态的改变</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从而使受影响区域的植被生长受到影响。</w:t>
      </w:r>
    </w:p>
    <w:p>
      <w:pPr>
        <w:pageBreakBefore w:val="0"/>
        <w:wordWrap/>
        <w:bidi w:val="0"/>
        <w:spacing w:line="360" w:lineRule="auto"/>
        <w:ind w:left="0" w:leftChars="0" w:right="0" w:rightChars="0" w:firstLine="480" w:firstLineChars="200"/>
        <w:outlineLvl w:val="0"/>
        <w:rPr>
          <w:rFonts w:hint="default" w:ascii="Times New Roman" w:hAnsi="Times New Roman" w:eastAsia="宋体" w:cs="Times New Roman"/>
          <w:color w:val="auto"/>
          <w:sz w:val="24"/>
          <w:highlight w:val="none"/>
        </w:rPr>
      </w:pPr>
      <w:bookmarkStart w:id="1088" w:name="_Toc27540"/>
      <w:bookmarkStart w:id="1089" w:name="_Toc28050"/>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5</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生态环境影响评价结论</w:t>
      </w:r>
      <w:bookmarkEnd w:id="1088"/>
      <w:bookmarkEnd w:id="1089"/>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总体来看</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工程不会影响评价区范围内的整体土地利用格局</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对土地利用的影响程度在可接受范围。运</w:t>
      </w:r>
      <w:r>
        <w:rPr>
          <w:rFonts w:hint="default" w:ascii="Times New Roman" w:hAnsi="Times New Roman" w:eastAsia="宋体" w:cs="Times New Roman"/>
          <w:color w:val="auto"/>
          <w:sz w:val="24"/>
          <w:highlight w:val="none"/>
          <w:lang w:eastAsia="zh-CN"/>
        </w:rPr>
        <w:t>营</w:t>
      </w:r>
      <w:r>
        <w:rPr>
          <w:rFonts w:hint="default" w:ascii="Times New Roman" w:hAnsi="Times New Roman" w:eastAsia="宋体" w:cs="Times New Roman"/>
          <w:color w:val="auto"/>
          <w:sz w:val="24"/>
          <w:highlight w:val="none"/>
        </w:rPr>
        <w:t>期作业场地被破坏或影响的植物均为广布种和常见种</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且分布也较均匀。因此</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尽管会使原有植被遭到局部损失</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但不会使整个评价区植物群落的种类组成发生变化</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也不会造成某一物种在评价区范围内的消失。</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同时项目推进土地复垦、绿化等生态恢复工作的逐步开展能够补偿建设导致的生物量损失。区域内基本形成的人工强烈干扰的生态环境</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存在大型野生动物及其栖息地的可能性很小</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不会对野生动物构成影响。复垦和绿化将会恢复部分小型野生动物的生境</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在服役期满后</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评价区的部分野生动物种群将会有较大程度的恢复。</w:t>
      </w:r>
    </w:p>
    <w:p>
      <w:pPr>
        <w:pageBreakBefore w:val="0"/>
        <w:wordWrap/>
        <w:bidi w:val="0"/>
        <w:spacing w:line="360" w:lineRule="auto"/>
        <w:ind w:left="0" w:leftChars="0" w:right="0" w:rightChars="0" w:firstLine="480" w:firstLineChars="200"/>
        <w:outlineLvl w:val="1"/>
        <w:rPr>
          <w:rFonts w:hint="default" w:ascii="Times New Roman" w:hAnsi="Times New Roman" w:eastAsia="宋体" w:cs="Times New Roman"/>
          <w:color w:val="auto"/>
          <w:sz w:val="24"/>
          <w:highlight w:val="none"/>
        </w:rPr>
      </w:pPr>
      <w:bookmarkStart w:id="1090" w:name="_Toc19675"/>
      <w:bookmarkStart w:id="1091" w:name="_Toc21758"/>
      <w:r>
        <w:rPr>
          <w:rFonts w:hint="default" w:ascii="Times New Roman" w:hAnsi="Times New Roman" w:eastAsia="宋体" w:cs="Times New Roman"/>
          <w:color w:val="auto"/>
          <w:sz w:val="24"/>
          <w:highlight w:val="none"/>
        </w:rPr>
        <w:t>总体而言</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工程对周围区域的生态环境将产生一定影响</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但影响程度相对较</w:t>
      </w:r>
      <w:bookmarkEnd w:id="1090"/>
      <w:bookmarkEnd w:id="1091"/>
    </w:p>
    <w:p>
      <w:pPr>
        <w:pageBreakBefore w:val="0"/>
        <w:wordWrap/>
        <w:bidi w:val="0"/>
        <w:spacing w:line="360" w:lineRule="auto"/>
        <w:ind w:left="0" w:leftChars="0" w:right="0" w:rightChars="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轻</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在评价区生态环境系统承受范围内</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且随着复垦、绿化等生态环境保护措施的实施</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区域生态环境将趋于恢复。</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lang w:val="en-US" w:eastAsia="zh-CN"/>
        </w:rPr>
      </w:pP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lang w:val="en-US" w:eastAsia="zh-CN"/>
        </w:rPr>
      </w:pP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lang w:val="en-US" w:eastAsia="zh-CN"/>
        </w:rPr>
      </w:pP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sectPr>
          <w:pgSz w:w="11906" w:h="16838"/>
          <w:pgMar w:top="1440" w:right="1800" w:bottom="1440" w:left="1800" w:header="851" w:footer="851" w:gutter="0"/>
          <w:pgNumType w:fmt="decimal"/>
          <w:cols w:space="720" w:num="1"/>
          <w:docGrid w:linePitch="312" w:charSpace="0"/>
        </w:sectPr>
      </w:pPr>
    </w:p>
    <w:p>
      <w:pPr>
        <w:pStyle w:val="3"/>
        <w:pageBreakBefore w:val="0"/>
        <w:numPr>
          <w:ilvl w:val="0"/>
          <w:numId w:val="0"/>
        </w:numPr>
        <w:wordWrap/>
        <w:bidi w:val="0"/>
        <w:ind w:left="0" w:leftChars="0" w:right="0" w:rightChars="0" w:firstLine="0" w:firstLineChars="0"/>
        <w:outlineLvl w:val="1"/>
        <w:rPr>
          <w:rFonts w:hint="default" w:ascii="Times New Roman" w:hAnsi="Times New Roman" w:eastAsia="宋体" w:cs="Times New Roman"/>
          <w:b/>
          <w:bCs/>
          <w:color w:val="auto"/>
          <w:sz w:val="32"/>
          <w:szCs w:val="32"/>
          <w:highlight w:val="none"/>
        </w:rPr>
      </w:pPr>
      <w:bookmarkStart w:id="1092" w:name="_Toc6868"/>
      <w:bookmarkStart w:id="1093" w:name="_Toc6928"/>
      <w:r>
        <w:rPr>
          <w:rFonts w:hint="default" w:ascii="Times New Roman" w:hAnsi="Times New Roman" w:eastAsia="宋体" w:cs="Times New Roman"/>
          <w:b/>
          <w:bCs/>
          <w:i w:val="0"/>
          <w:color w:val="auto"/>
          <w:kern w:val="44"/>
          <w:sz w:val="32"/>
          <w:szCs w:val="32"/>
          <w:highlight w:val="none"/>
          <w:lang w:val="en-US" w:eastAsia="zh-CN" w:bidi="ar-SA"/>
        </w:rPr>
        <w:t>8</w:t>
      </w:r>
      <w:r>
        <w:rPr>
          <w:rFonts w:hint="default" w:ascii="Times New Roman" w:hAnsi="Times New Roman" w:eastAsia="宋体" w:cs="Times New Roman"/>
          <w:b/>
          <w:bCs/>
          <w:color w:val="auto"/>
          <w:sz w:val="32"/>
          <w:szCs w:val="32"/>
          <w:highlight w:val="none"/>
        </w:rPr>
        <w:t>环境风险影响分析</w:t>
      </w:r>
      <w:bookmarkEnd w:id="1092"/>
      <w:bookmarkEnd w:id="1093"/>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根据项目特点</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通过调查及资料调查的方法</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对建设项目各个环节的环境风险性进行详细分析</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了解建设项目存在的风险及发生风险事故后所产生的事故后果</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并提出相应的措施和计划以避免风险或减少风险发生后的事故损失。</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szCs w:val="24"/>
          <w:highlight w:val="none"/>
        </w:rPr>
        <w:t>根据《建设项目环境风险评价技术导则》（HJ169-2018</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附录B和《危险化学品重大危险源辨识》（GB18218-2018</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判断</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建设项目生产、使用、储存过程中涉及的有毒有害、易燃易爆物质为废润滑油</w:t>
      </w:r>
      <w:r>
        <w:rPr>
          <w:rFonts w:hint="default" w:ascii="Times New Roman" w:hAnsi="Times New Roman" w:eastAsia="宋体" w:cs="Times New Roman"/>
          <w:color w:val="auto"/>
          <w:sz w:val="24"/>
          <w:szCs w:val="24"/>
          <w:highlight w:val="none"/>
          <w:lang w:eastAsia="zh-CN"/>
        </w:rPr>
        <w:t>。</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根据《尾矿库环境风险评估技术导则（试行</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》（HJ740-2015</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的要求及本项目特点</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本次评价主要针对风险识别、最大可信事故及源项分析、风险管理及减缓风险措施等进行评价几个方面进行分析。</w:t>
      </w:r>
    </w:p>
    <w:p>
      <w:pPr>
        <w:pStyle w:val="4"/>
        <w:pageBreakBefore w:val="0"/>
        <w:numPr>
          <w:ilvl w:val="1"/>
          <w:numId w:val="0"/>
        </w:numPr>
        <w:wordWrap/>
        <w:bidi w:val="0"/>
        <w:ind w:left="0" w:leftChars="0" w:right="0" w:rightChars="0" w:firstLine="0" w:firstLineChars="0"/>
        <w:outlineLvl w:val="2"/>
        <w:rPr>
          <w:rFonts w:hint="default" w:ascii="Times New Roman" w:hAnsi="Times New Roman" w:eastAsia="宋体" w:cs="Times New Roman"/>
          <w:b/>
          <w:bCs/>
          <w:color w:val="auto"/>
          <w:highlight w:val="none"/>
        </w:rPr>
      </w:pPr>
      <w:bookmarkStart w:id="1094" w:name="_Toc304"/>
      <w:bookmarkStart w:id="1095" w:name="_Toc29063"/>
      <w:r>
        <w:rPr>
          <w:rFonts w:hint="default" w:ascii="Times New Roman" w:hAnsi="Times New Roman" w:eastAsia="宋体" w:cs="Times New Roman"/>
          <w:b/>
          <w:bCs/>
          <w:i w:val="0"/>
          <w:color w:val="auto"/>
          <w:kern w:val="2"/>
          <w:sz w:val="28"/>
          <w:szCs w:val="28"/>
          <w:highlight w:val="none"/>
          <w:lang w:val="en-US" w:eastAsia="zh-CN" w:bidi="ar-SA"/>
        </w:rPr>
        <w:t>8.1</w:t>
      </w:r>
      <w:r>
        <w:rPr>
          <w:rFonts w:hint="default" w:ascii="Times New Roman" w:hAnsi="Times New Roman" w:eastAsia="宋体" w:cs="Times New Roman"/>
          <w:b/>
          <w:bCs/>
          <w:color w:val="auto"/>
          <w:highlight w:val="none"/>
        </w:rPr>
        <w:t>资料准备与环境风险识别</w:t>
      </w:r>
      <w:bookmarkEnd w:id="1094"/>
      <w:bookmarkEnd w:id="1095"/>
    </w:p>
    <w:p>
      <w:pPr>
        <w:pageBreakBefore w:val="0"/>
        <w:wordWrap/>
        <w:bidi w:val="0"/>
        <w:spacing w:line="360" w:lineRule="auto"/>
        <w:ind w:left="0" w:leftChars="0" w:right="0" w:rightChars="0" w:firstLine="480" w:firstLineChars="200"/>
        <w:outlineLvl w:val="1"/>
        <w:rPr>
          <w:rFonts w:hint="default" w:ascii="Times New Roman" w:hAnsi="Times New Roman" w:eastAsia="宋体" w:cs="Times New Roman"/>
          <w:color w:val="auto"/>
          <w:sz w:val="24"/>
          <w:szCs w:val="24"/>
          <w:highlight w:val="none"/>
          <w:shd w:val="clear" w:color="auto" w:fill="auto"/>
          <w:lang w:val="en-US" w:eastAsia="zh-CN"/>
        </w:rPr>
      </w:pPr>
      <w:bookmarkStart w:id="1096" w:name="_Toc11319"/>
      <w:bookmarkStart w:id="1097" w:name="_Toc7689"/>
      <w:r>
        <w:rPr>
          <w:rFonts w:hint="default" w:ascii="Times New Roman" w:hAnsi="Times New Roman" w:eastAsia="宋体" w:cs="Times New Roman"/>
          <w:color w:val="auto"/>
          <w:sz w:val="24"/>
          <w:szCs w:val="24"/>
          <w:highlight w:val="none"/>
          <w:shd w:val="clear" w:color="auto" w:fill="auto"/>
          <w:lang w:val="en-US" w:eastAsia="zh-CN"/>
        </w:rPr>
        <w:t>1、危废暂存间</w:t>
      </w:r>
      <w:bookmarkEnd w:id="1096"/>
      <w:bookmarkEnd w:id="1097"/>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szCs w:val="24"/>
          <w:highlight w:val="none"/>
          <w:shd w:val="clear" w:color="auto" w:fill="auto"/>
        </w:rPr>
        <w:t>根据调查及建设单位提供资料</w:t>
      </w:r>
      <w:r>
        <w:rPr>
          <w:rFonts w:hint="default" w:ascii="Times New Roman" w:hAnsi="Times New Roman" w:eastAsia="宋体" w:cs="Times New Roman"/>
          <w:color w:val="auto"/>
          <w:sz w:val="24"/>
          <w:szCs w:val="24"/>
          <w:highlight w:val="none"/>
          <w:shd w:val="clear" w:color="auto" w:fill="auto"/>
          <w:lang w:eastAsia="zh-CN"/>
        </w:rPr>
        <w:t>，</w:t>
      </w:r>
      <w:r>
        <w:rPr>
          <w:rFonts w:hint="default" w:ascii="Times New Roman" w:hAnsi="Times New Roman" w:eastAsia="宋体" w:cs="Times New Roman"/>
          <w:color w:val="auto"/>
          <w:sz w:val="24"/>
          <w:szCs w:val="24"/>
          <w:highlight w:val="none"/>
          <w:shd w:val="clear" w:color="auto" w:fill="auto"/>
        </w:rPr>
        <w:t>对照《建设项目环境风险评价技术导则》（</w:t>
      </w:r>
      <w:r>
        <w:rPr>
          <w:rFonts w:hint="default" w:ascii="Times New Roman" w:hAnsi="Times New Roman" w:eastAsia="宋体" w:cs="Times New Roman"/>
          <w:color w:val="auto"/>
          <w:sz w:val="24"/>
          <w:szCs w:val="24"/>
          <w:highlight w:val="none"/>
          <w:shd w:val="clear" w:color="auto" w:fill="auto"/>
          <w:lang w:eastAsia="zh-CN"/>
        </w:rPr>
        <w:t>HJ</w:t>
      </w:r>
      <w:r>
        <w:rPr>
          <w:rFonts w:hint="default" w:ascii="Times New Roman" w:hAnsi="Times New Roman" w:eastAsia="宋体" w:cs="Times New Roman"/>
          <w:color w:val="auto"/>
          <w:sz w:val="24"/>
          <w:szCs w:val="24"/>
          <w:highlight w:val="none"/>
          <w:shd w:val="clear" w:color="auto" w:fill="auto"/>
        </w:rPr>
        <w:t>169-2018）附录B《重点关注的危险物质及临界量》</w:t>
      </w:r>
      <w:r>
        <w:rPr>
          <w:rFonts w:hint="default" w:ascii="Times New Roman" w:hAnsi="Times New Roman" w:eastAsia="宋体" w:cs="Times New Roman"/>
          <w:color w:val="auto"/>
          <w:sz w:val="24"/>
          <w:szCs w:val="24"/>
          <w:highlight w:val="none"/>
          <w:shd w:val="clear" w:color="auto" w:fill="auto"/>
          <w:lang w:eastAsia="zh-CN"/>
        </w:rPr>
        <w:t>，</w:t>
      </w:r>
      <w:r>
        <w:rPr>
          <w:rFonts w:hint="default" w:ascii="Times New Roman" w:hAnsi="Times New Roman" w:eastAsia="宋体" w:cs="Times New Roman"/>
          <w:color w:val="auto"/>
          <w:sz w:val="24"/>
          <w:szCs w:val="24"/>
          <w:highlight w:val="none"/>
          <w:shd w:val="clear" w:color="auto" w:fill="auto"/>
        </w:rPr>
        <w:t>本项目涉及的危险物质为</w:t>
      </w:r>
      <w:r>
        <w:rPr>
          <w:rFonts w:hint="default" w:ascii="Times New Roman" w:hAnsi="Times New Roman" w:eastAsia="宋体" w:cs="Times New Roman"/>
          <w:color w:val="auto"/>
          <w:sz w:val="24"/>
          <w:szCs w:val="24"/>
          <w:highlight w:val="none"/>
          <w:shd w:val="clear" w:color="auto" w:fill="auto"/>
          <w:lang w:eastAsia="zh-CN"/>
        </w:rPr>
        <w:t>废矿物油，</w:t>
      </w:r>
      <w:r>
        <w:rPr>
          <w:rFonts w:hint="default" w:ascii="Times New Roman" w:hAnsi="Times New Roman" w:eastAsia="宋体" w:cs="Times New Roman"/>
          <w:color w:val="auto"/>
          <w:sz w:val="24"/>
          <w:szCs w:val="24"/>
          <w:highlight w:val="none"/>
          <w:shd w:val="clear" w:color="auto" w:fill="auto"/>
        </w:rPr>
        <w:t>参照目录中“381、油类物质”</w:t>
      </w:r>
      <w:r>
        <w:rPr>
          <w:rFonts w:hint="default" w:ascii="Times New Roman" w:hAnsi="Times New Roman" w:eastAsia="宋体" w:cs="Times New Roman"/>
          <w:color w:val="auto"/>
          <w:sz w:val="24"/>
          <w:szCs w:val="24"/>
          <w:highlight w:val="none"/>
          <w:shd w:val="clear" w:color="auto" w:fill="auto"/>
          <w:lang w:eastAsia="zh-CN"/>
        </w:rPr>
        <w:t>，</w:t>
      </w:r>
      <w:r>
        <w:rPr>
          <w:rFonts w:hint="default" w:ascii="Times New Roman" w:hAnsi="Times New Roman" w:eastAsia="宋体" w:cs="Times New Roman"/>
          <w:color w:val="auto"/>
          <w:sz w:val="24"/>
          <w:szCs w:val="24"/>
          <w:highlight w:val="none"/>
          <w:shd w:val="clear" w:color="auto" w:fill="auto"/>
        </w:rPr>
        <w:t>项目最大存在量为</w:t>
      </w:r>
      <w:r>
        <w:rPr>
          <w:rFonts w:hint="default" w:ascii="Times New Roman" w:hAnsi="Times New Roman" w:eastAsia="宋体" w:cs="Times New Roman"/>
          <w:color w:val="auto"/>
          <w:sz w:val="24"/>
          <w:szCs w:val="24"/>
          <w:highlight w:val="none"/>
          <w:shd w:val="clear" w:color="auto" w:fill="auto"/>
          <w:lang w:val="en-US" w:eastAsia="zh-CN"/>
        </w:rPr>
        <w:t>10</w:t>
      </w:r>
      <w:r>
        <w:rPr>
          <w:rFonts w:hint="default" w:ascii="Times New Roman" w:hAnsi="Times New Roman" w:eastAsia="宋体" w:cs="Times New Roman"/>
          <w:color w:val="auto"/>
          <w:sz w:val="24"/>
          <w:szCs w:val="24"/>
          <w:highlight w:val="none"/>
          <w:shd w:val="clear" w:color="auto" w:fill="auto"/>
        </w:rPr>
        <w:t>t</w:t>
      </w:r>
      <w:r>
        <w:rPr>
          <w:rFonts w:hint="default" w:ascii="Times New Roman" w:hAnsi="Times New Roman" w:eastAsia="宋体" w:cs="Times New Roman"/>
          <w:color w:val="auto"/>
          <w:sz w:val="24"/>
          <w:szCs w:val="24"/>
          <w:highlight w:val="none"/>
          <w:shd w:val="clear" w:color="auto" w:fill="auto"/>
          <w:lang w:eastAsia="zh-CN"/>
        </w:rPr>
        <w:t>（包括西沙德盖钼业公司采场、选厂产生的危废），</w:t>
      </w:r>
      <w:r>
        <w:rPr>
          <w:rFonts w:hint="default" w:ascii="Times New Roman" w:hAnsi="Times New Roman" w:eastAsia="宋体" w:cs="Times New Roman"/>
          <w:color w:val="auto"/>
          <w:sz w:val="24"/>
          <w:szCs w:val="24"/>
          <w:highlight w:val="none"/>
          <w:shd w:val="clear" w:color="auto" w:fill="auto"/>
        </w:rPr>
        <w:t>暂存于废油桶后集中放置在危废暂存间</w:t>
      </w:r>
      <w:r>
        <w:rPr>
          <w:rFonts w:hint="default" w:ascii="Times New Roman" w:hAnsi="Times New Roman" w:eastAsia="宋体" w:cs="Times New Roman"/>
          <w:color w:val="auto"/>
          <w:sz w:val="24"/>
          <w:szCs w:val="24"/>
          <w:highlight w:val="none"/>
          <w:shd w:val="clear" w:color="auto" w:fill="auto"/>
          <w:lang w:eastAsia="zh-CN"/>
        </w:rPr>
        <w:t>。</w:t>
      </w:r>
    </w:p>
    <w:p>
      <w:pPr>
        <w:pageBreakBefore w:val="0"/>
        <w:wordWrap/>
        <w:bidi w:val="0"/>
        <w:spacing w:line="360" w:lineRule="auto"/>
        <w:ind w:left="0" w:leftChars="0" w:right="0" w:rightChars="0"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按照《建设项目环境风险评价技术导则》（HJ169-2018</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附录C计算危险物质数量与临界量比值（Q</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w:t>
      </w:r>
    </w:p>
    <w:p>
      <w:pPr>
        <w:pageBreakBefore w:val="0"/>
        <w:wordWrap/>
        <w:bidi w:val="0"/>
        <w:spacing w:line="360" w:lineRule="auto"/>
        <w:ind w:left="0" w:leftChars="0" w:right="0" w:rightChars="0" w:firstLine="480"/>
        <w:jc w:val="center"/>
        <w:rPr>
          <w:rFonts w:hint="default" w:ascii="Times New Roman" w:hAnsi="Times New Roman" w:eastAsia="宋体" w:cs="Times New Roman"/>
          <w:bCs/>
          <w:color w:val="auto"/>
          <w:sz w:val="24"/>
          <w:szCs w:val="24"/>
          <w:highlight w:val="none"/>
        </w:rPr>
      </w:pPr>
      <w:r>
        <w:rPr>
          <w:rFonts w:hint="default" w:ascii="Times New Roman" w:hAnsi="Times New Roman" w:eastAsia="宋体" w:cs="Times New Roman"/>
          <w:bCs/>
          <w:color w:val="auto"/>
          <w:sz w:val="24"/>
          <w:szCs w:val="24"/>
          <w:highlight w:val="none"/>
        </w:rPr>
        <w:t>Q=q</w:t>
      </w:r>
      <w:r>
        <w:rPr>
          <w:rFonts w:hint="default" w:ascii="Times New Roman" w:hAnsi="Times New Roman" w:eastAsia="宋体" w:cs="Times New Roman"/>
          <w:bCs/>
          <w:color w:val="auto"/>
          <w:sz w:val="24"/>
          <w:szCs w:val="24"/>
          <w:highlight w:val="none"/>
          <w:vertAlign w:val="subscript"/>
        </w:rPr>
        <w:t>1</w:t>
      </w:r>
      <w:r>
        <w:rPr>
          <w:rFonts w:hint="default" w:ascii="Times New Roman" w:hAnsi="Times New Roman" w:eastAsia="宋体" w:cs="Times New Roman"/>
          <w:bCs/>
          <w:color w:val="auto"/>
          <w:sz w:val="24"/>
          <w:szCs w:val="24"/>
          <w:highlight w:val="none"/>
        </w:rPr>
        <w:t>/Q</w:t>
      </w:r>
      <w:r>
        <w:rPr>
          <w:rFonts w:hint="default" w:ascii="Times New Roman" w:hAnsi="Times New Roman" w:eastAsia="宋体" w:cs="Times New Roman"/>
          <w:bCs/>
          <w:color w:val="auto"/>
          <w:sz w:val="24"/>
          <w:szCs w:val="24"/>
          <w:highlight w:val="none"/>
          <w:vertAlign w:val="subscript"/>
        </w:rPr>
        <w:t>1</w:t>
      </w:r>
      <w:r>
        <w:rPr>
          <w:rFonts w:hint="default" w:ascii="Times New Roman" w:hAnsi="Times New Roman" w:eastAsia="宋体" w:cs="Times New Roman"/>
          <w:bCs/>
          <w:color w:val="auto"/>
          <w:sz w:val="24"/>
          <w:szCs w:val="24"/>
          <w:highlight w:val="none"/>
        </w:rPr>
        <w:t>+q</w:t>
      </w:r>
      <w:r>
        <w:rPr>
          <w:rFonts w:hint="default" w:ascii="Times New Roman" w:hAnsi="Times New Roman" w:eastAsia="宋体" w:cs="Times New Roman"/>
          <w:bCs/>
          <w:color w:val="auto"/>
          <w:sz w:val="24"/>
          <w:szCs w:val="24"/>
          <w:highlight w:val="none"/>
          <w:vertAlign w:val="subscript"/>
        </w:rPr>
        <w:t>2</w:t>
      </w:r>
      <w:r>
        <w:rPr>
          <w:rFonts w:hint="default" w:ascii="Times New Roman" w:hAnsi="Times New Roman" w:eastAsia="宋体" w:cs="Times New Roman"/>
          <w:bCs/>
          <w:color w:val="auto"/>
          <w:sz w:val="24"/>
          <w:szCs w:val="24"/>
          <w:highlight w:val="none"/>
        </w:rPr>
        <w:t>/Q</w:t>
      </w:r>
      <w:r>
        <w:rPr>
          <w:rFonts w:hint="default" w:ascii="Times New Roman" w:hAnsi="Times New Roman" w:eastAsia="宋体" w:cs="Times New Roman"/>
          <w:bCs/>
          <w:color w:val="auto"/>
          <w:sz w:val="24"/>
          <w:szCs w:val="24"/>
          <w:highlight w:val="none"/>
          <w:vertAlign w:val="subscript"/>
        </w:rPr>
        <w:t>2</w:t>
      </w:r>
      <w:r>
        <w:rPr>
          <w:rFonts w:hint="default" w:ascii="Times New Roman" w:hAnsi="Times New Roman" w:eastAsia="宋体" w:cs="Times New Roman"/>
          <w:bCs/>
          <w:color w:val="auto"/>
          <w:sz w:val="24"/>
          <w:szCs w:val="24"/>
          <w:highlight w:val="none"/>
        </w:rPr>
        <w:t>……＋q</w:t>
      </w:r>
      <w:r>
        <w:rPr>
          <w:rFonts w:hint="default" w:ascii="Times New Roman" w:hAnsi="Times New Roman" w:eastAsia="宋体" w:cs="Times New Roman"/>
          <w:bCs/>
          <w:color w:val="auto"/>
          <w:sz w:val="24"/>
          <w:szCs w:val="24"/>
          <w:highlight w:val="none"/>
          <w:vertAlign w:val="subscript"/>
        </w:rPr>
        <w:t>n</w:t>
      </w:r>
      <w:r>
        <w:rPr>
          <w:rFonts w:hint="default" w:ascii="Times New Roman" w:hAnsi="Times New Roman" w:eastAsia="宋体" w:cs="Times New Roman"/>
          <w:bCs/>
          <w:color w:val="auto"/>
          <w:sz w:val="24"/>
          <w:szCs w:val="24"/>
          <w:highlight w:val="none"/>
        </w:rPr>
        <w:t>/Q</w:t>
      </w:r>
      <w:r>
        <w:rPr>
          <w:rFonts w:hint="default" w:ascii="Times New Roman" w:hAnsi="Times New Roman" w:eastAsia="宋体" w:cs="Times New Roman"/>
          <w:bCs/>
          <w:color w:val="auto"/>
          <w:sz w:val="24"/>
          <w:szCs w:val="24"/>
          <w:highlight w:val="none"/>
          <w:vertAlign w:val="subscript"/>
        </w:rPr>
        <w:t>n</w:t>
      </w:r>
    </w:p>
    <w:p>
      <w:pPr>
        <w:pageBreakBefore w:val="0"/>
        <w:wordWrap/>
        <w:bidi w:val="0"/>
        <w:spacing w:line="360" w:lineRule="auto"/>
        <w:ind w:left="0" w:leftChars="0" w:right="0" w:rightChars="0" w:firstLine="480"/>
        <w:rPr>
          <w:rFonts w:hint="default" w:ascii="Times New Roman" w:hAnsi="Times New Roman" w:eastAsia="宋体" w:cs="Times New Roman"/>
          <w:bCs/>
          <w:color w:val="auto"/>
          <w:sz w:val="24"/>
          <w:szCs w:val="24"/>
          <w:highlight w:val="none"/>
        </w:rPr>
      </w:pPr>
      <w:r>
        <w:rPr>
          <w:rFonts w:hint="default" w:ascii="Times New Roman" w:hAnsi="Times New Roman" w:eastAsia="宋体" w:cs="Times New Roman"/>
          <w:color w:val="auto"/>
          <w:sz w:val="24"/>
          <w:szCs w:val="24"/>
          <w:highlight w:val="none"/>
        </w:rPr>
        <w:t>式中</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bCs/>
          <w:color w:val="auto"/>
          <w:sz w:val="24"/>
          <w:szCs w:val="24"/>
          <w:highlight w:val="none"/>
        </w:rPr>
        <w:t>q</w:t>
      </w:r>
      <w:r>
        <w:rPr>
          <w:rFonts w:hint="default" w:ascii="Times New Roman" w:hAnsi="Times New Roman" w:eastAsia="宋体" w:cs="Times New Roman"/>
          <w:bCs/>
          <w:color w:val="auto"/>
          <w:sz w:val="24"/>
          <w:szCs w:val="24"/>
          <w:highlight w:val="none"/>
          <w:vertAlign w:val="subscript"/>
        </w:rPr>
        <w:t>1</w:t>
      </w:r>
      <w:r>
        <w:rPr>
          <w:rFonts w:hint="default" w:ascii="Times New Roman" w:hAnsi="Times New Roman" w:eastAsia="宋体"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rPr>
        <w:t>q</w:t>
      </w:r>
      <w:r>
        <w:rPr>
          <w:rFonts w:hint="default" w:ascii="Times New Roman" w:hAnsi="Times New Roman" w:eastAsia="宋体" w:cs="Times New Roman"/>
          <w:bCs/>
          <w:color w:val="auto"/>
          <w:sz w:val="24"/>
          <w:szCs w:val="24"/>
          <w:highlight w:val="none"/>
          <w:vertAlign w:val="subscript"/>
        </w:rPr>
        <w:t>2</w:t>
      </w:r>
      <w:r>
        <w:rPr>
          <w:rFonts w:hint="default" w:ascii="Times New Roman" w:hAnsi="Times New Roman" w:eastAsia="宋体" w:cs="Times New Roman"/>
          <w:bCs/>
          <w:color w:val="auto"/>
          <w:sz w:val="24"/>
          <w:szCs w:val="24"/>
          <w:highlight w:val="none"/>
        </w:rPr>
        <w:t>…</w:t>
      </w:r>
      <w:r>
        <w:rPr>
          <w:rFonts w:hint="default" w:ascii="Times New Roman" w:hAnsi="Times New Roman" w:eastAsia="宋体"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rPr>
        <w:t>q</w:t>
      </w:r>
      <w:r>
        <w:rPr>
          <w:rFonts w:hint="default" w:ascii="Times New Roman" w:hAnsi="Times New Roman" w:eastAsia="宋体" w:cs="Times New Roman"/>
          <w:bCs/>
          <w:color w:val="auto"/>
          <w:sz w:val="24"/>
          <w:szCs w:val="24"/>
          <w:highlight w:val="none"/>
          <w:vertAlign w:val="subscript"/>
        </w:rPr>
        <w:t>n</w:t>
      </w:r>
      <w:r>
        <w:rPr>
          <w:rFonts w:hint="default" w:ascii="Times New Roman" w:hAnsi="Times New Roman" w:eastAsia="宋体" w:cs="Times New Roman"/>
          <w:bCs/>
          <w:color w:val="auto"/>
          <w:sz w:val="24"/>
          <w:szCs w:val="24"/>
          <w:highlight w:val="none"/>
        </w:rPr>
        <w:t>为每种危险物质最大存在量</w:t>
      </w:r>
      <w:r>
        <w:rPr>
          <w:rFonts w:hint="default" w:ascii="Times New Roman" w:hAnsi="Times New Roman" w:eastAsia="宋体"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rPr>
        <w:t>t；</w:t>
      </w:r>
    </w:p>
    <w:p>
      <w:pPr>
        <w:pageBreakBefore w:val="0"/>
        <w:wordWrap/>
        <w:bidi w:val="0"/>
        <w:spacing w:line="360" w:lineRule="auto"/>
        <w:ind w:left="0" w:leftChars="0" w:right="0" w:rightChars="0" w:firstLine="480"/>
        <w:rPr>
          <w:rFonts w:hint="default" w:ascii="Times New Roman" w:hAnsi="Times New Roman" w:eastAsia="宋体" w:cs="Times New Roman"/>
          <w:bCs/>
          <w:color w:val="auto"/>
          <w:sz w:val="24"/>
          <w:szCs w:val="24"/>
          <w:highlight w:val="none"/>
        </w:rPr>
      </w:pPr>
      <w:r>
        <w:rPr>
          <w:rFonts w:hint="default" w:ascii="Times New Roman" w:hAnsi="Times New Roman" w:eastAsia="宋体" w:cs="Times New Roman"/>
          <w:bCs/>
          <w:color w:val="auto"/>
          <w:sz w:val="24"/>
          <w:szCs w:val="24"/>
          <w:highlight w:val="none"/>
        </w:rPr>
        <w:t>Q</w:t>
      </w:r>
      <w:r>
        <w:rPr>
          <w:rFonts w:hint="default" w:ascii="Times New Roman" w:hAnsi="Times New Roman" w:eastAsia="宋体" w:cs="Times New Roman"/>
          <w:bCs/>
          <w:color w:val="auto"/>
          <w:sz w:val="24"/>
          <w:szCs w:val="24"/>
          <w:highlight w:val="none"/>
          <w:vertAlign w:val="subscript"/>
        </w:rPr>
        <w:t>1</w:t>
      </w:r>
      <w:r>
        <w:rPr>
          <w:rFonts w:hint="default" w:ascii="Times New Roman" w:hAnsi="Times New Roman" w:eastAsia="宋体"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rPr>
        <w:t>Q</w:t>
      </w:r>
      <w:r>
        <w:rPr>
          <w:rFonts w:hint="default" w:ascii="Times New Roman" w:hAnsi="Times New Roman" w:eastAsia="宋体" w:cs="Times New Roman"/>
          <w:bCs/>
          <w:color w:val="auto"/>
          <w:sz w:val="24"/>
          <w:szCs w:val="24"/>
          <w:highlight w:val="none"/>
          <w:vertAlign w:val="subscript"/>
        </w:rPr>
        <w:t>2</w:t>
      </w:r>
      <w:r>
        <w:rPr>
          <w:rFonts w:hint="default" w:ascii="Times New Roman" w:hAnsi="Times New Roman" w:eastAsia="宋体" w:cs="Times New Roman"/>
          <w:bCs/>
          <w:color w:val="auto"/>
          <w:sz w:val="24"/>
          <w:szCs w:val="24"/>
          <w:highlight w:val="none"/>
        </w:rPr>
        <w:t>…Q</w:t>
      </w:r>
      <w:r>
        <w:rPr>
          <w:rFonts w:hint="default" w:ascii="Times New Roman" w:hAnsi="Times New Roman" w:eastAsia="宋体" w:cs="Times New Roman"/>
          <w:bCs/>
          <w:color w:val="auto"/>
          <w:sz w:val="24"/>
          <w:szCs w:val="24"/>
          <w:highlight w:val="none"/>
          <w:vertAlign w:val="subscript"/>
        </w:rPr>
        <w:t>n</w:t>
      </w:r>
      <w:r>
        <w:rPr>
          <w:rFonts w:hint="default" w:ascii="Times New Roman" w:hAnsi="Times New Roman" w:eastAsia="宋体" w:cs="Times New Roman"/>
          <w:bCs/>
          <w:color w:val="auto"/>
          <w:sz w:val="24"/>
          <w:szCs w:val="24"/>
          <w:highlight w:val="none"/>
        </w:rPr>
        <w:t>为与各危险物质的临界量</w:t>
      </w:r>
      <w:r>
        <w:rPr>
          <w:rFonts w:hint="default" w:ascii="Times New Roman" w:hAnsi="Times New Roman" w:eastAsia="宋体"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rPr>
        <w:t>t。</w:t>
      </w:r>
    </w:p>
    <w:p>
      <w:pPr>
        <w:pageBreakBefore w:val="0"/>
        <w:wordWrap/>
        <w:bidi w:val="0"/>
        <w:spacing w:line="360" w:lineRule="auto"/>
        <w:ind w:left="0" w:leftChars="0" w:right="0" w:rightChars="0" w:firstLine="480"/>
        <w:rPr>
          <w:rFonts w:hint="default" w:ascii="Times New Roman" w:hAnsi="Times New Roman" w:eastAsia="宋体" w:cs="Times New Roman"/>
          <w:bCs/>
          <w:color w:val="auto"/>
          <w:sz w:val="24"/>
          <w:szCs w:val="24"/>
          <w:highlight w:val="none"/>
        </w:rPr>
      </w:pPr>
      <w:r>
        <w:rPr>
          <w:rFonts w:hint="default" w:ascii="Times New Roman" w:hAnsi="Times New Roman" w:eastAsia="宋体" w:cs="Times New Roman"/>
          <w:bCs/>
          <w:color w:val="auto"/>
          <w:sz w:val="24"/>
          <w:szCs w:val="24"/>
          <w:highlight w:val="none"/>
        </w:rPr>
        <w:t>当Q＜1时</w:t>
      </w:r>
      <w:r>
        <w:rPr>
          <w:rFonts w:hint="default" w:ascii="Times New Roman" w:hAnsi="Times New Roman" w:eastAsia="宋体"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rPr>
        <w:t>该项目环境风险潜势为</w:t>
      </w:r>
      <w:r>
        <w:rPr>
          <w:rFonts w:hint="default" w:ascii="Times New Roman" w:hAnsi="Times New Roman" w:eastAsia="宋体" w:cs="Times New Roman"/>
          <w:color w:val="auto"/>
          <w:sz w:val="24"/>
          <w:szCs w:val="24"/>
          <w:highlight w:val="none"/>
        </w:rPr>
        <w:t>I</w:t>
      </w:r>
      <w:r>
        <w:rPr>
          <w:rFonts w:hint="default" w:ascii="Times New Roman" w:hAnsi="Times New Roman" w:eastAsia="宋体" w:cs="Times New Roman"/>
          <w:bCs/>
          <w:color w:val="auto"/>
          <w:sz w:val="24"/>
          <w:szCs w:val="24"/>
          <w:highlight w:val="none"/>
        </w:rPr>
        <w:t>。</w:t>
      </w:r>
    </w:p>
    <w:p>
      <w:pPr>
        <w:pageBreakBefore w:val="0"/>
        <w:wordWrap/>
        <w:bidi w:val="0"/>
        <w:spacing w:line="360" w:lineRule="auto"/>
        <w:ind w:left="0" w:leftChars="0" w:right="0" w:rightChars="0"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bCs/>
          <w:color w:val="auto"/>
          <w:sz w:val="24"/>
          <w:szCs w:val="24"/>
          <w:highlight w:val="none"/>
        </w:rPr>
        <w:t>当Q≥1时</w:t>
      </w:r>
      <w:r>
        <w:rPr>
          <w:rFonts w:hint="default" w:ascii="Times New Roman" w:hAnsi="Times New Roman" w:eastAsia="宋体"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rPr>
        <w:t>将Q值划分为</w:t>
      </w:r>
      <w:r>
        <w:rPr>
          <w:rFonts w:hint="default" w:ascii="Times New Roman" w:hAnsi="Times New Roman" w:eastAsia="宋体"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rPr>
        <w:t>（1</w:t>
      </w:r>
      <w:r>
        <w:rPr>
          <w:rFonts w:hint="default" w:ascii="Times New Roman" w:hAnsi="Times New Roman" w:eastAsia="宋体"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rPr>
        <w:t>1≤Q＜10；（2</w:t>
      </w:r>
      <w:r>
        <w:rPr>
          <w:rFonts w:hint="default" w:ascii="Times New Roman" w:hAnsi="Times New Roman" w:eastAsia="宋体"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rPr>
        <w:t>10≤Q＜100；（3</w:t>
      </w:r>
      <w:r>
        <w:rPr>
          <w:rFonts w:hint="default" w:ascii="Times New Roman" w:hAnsi="Times New Roman" w:eastAsia="宋体"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rPr>
        <w:t>Q≥100。</w:t>
      </w:r>
    </w:p>
    <w:p>
      <w:pPr>
        <w:keepNext w:val="0"/>
        <w:keepLines w:val="0"/>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shd w:val="clear" w:color="auto" w:fill="auto"/>
        </w:rPr>
      </w:pPr>
      <w:r>
        <w:rPr>
          <w:rFonts w:hint="default" w:ascii="Times New Roman" w:hAnsi="Times New Roman" w:eastAsia="宋体" w:cs="Times New Roman"/>
          <w:color w:val="auto"/>
          <w:sz w:val="24"/>
          <w:szCs w:val="24"/>
          <w:highlight w:val="none"/>
          <w:shd w:val="clear" w:color="auto" w:fill="auto"/>
        </w:rPr>
        <w:t>参见附录B确定危险物质的临界量。定量分析危险物质数量与临界量的比值（Q</w:t>
      </w:r>
      <w:r>
        <w:rPr>
          <w:rFonts w:hint="default" w:ascii="Times New Roman" w:hAnsi="Times New Roman" w:eastAsia="宋体" w:cs="Times New Roman"/>
          <w:color w:val="auto"/>
          <w:sz w:val="24"/>
          <w:szCs w:val="24"/>
          <w:highlight w:val="none"/>
          <w:shd w:val="clear" w:color="auto" w:fill="auto"/>
          <w:lang w:eastAsia="zh-CN"/>
        </w:rPr>
        <w:t>）</w:t>
      </w:r>
      <w:r>
        <w:rPr>
          <w:rFonts w:hint="default" w:ascii="Times New Roman" w:hAnsi="Times New Roman" w:eastAsia="宋体" w:cs="Times New Roman"/>
          <w:color w:val="auto"/>
          <w:sz w:val="24"/>
          <w:szCs w:val="24"/>
          <w:highlight w:val="none"/>
          <w:shd w:val="clear" w:color="auto" w:fill="auto"/>
        </w:rPr>
        <w:t>和所</w:t>
      </w:r>
      <w:r>
        <w:rPr>
          <w:rFonts w:hint="default" w:ascii="Times New Roman" w:hAnsi="Times New Roman" w:eastAsia="宋体" w:cs="Times New Roman"/>
          <w:color w:val="auto"/>
          <w:sz w:val="24"/>
          <w:szCs w:val="24"/>
          <w:highlight w:val="none"/>
          <w:shd w:val="clear" w:color="auto" w:fill="auto"/>
          <w:lang w:eastAsia="zh-CN"/>
        </w:rPr>
        <w:t>属</w:t>
      </w:r>
      <w:r>
        <w:rPr>
          <w:rFonts w:hint="default" w:ascii="Times New Roman" w:hAnsi="Times New Roman" w:eastAsia="宋体" w:cs="Times New Roman"/>
          <w:color w:val="auto"/>
          <w:sz w:val="24"/>
          <w:szCs w:val="24"/>
          <w:highlight w:val="none"/>
          <w:shd w:val="clear" w:color="auto" w:fill="auto"/>
        </w:rPr>
        <w:t>行业及生产工艺特点（M</w:t>
      </w:r>
      <w:r>
        <w:rPr>
          <w:rFonts w:hint="default" w:ascii="Times New Roman" w:hAnsi="Times New Roman" w:eastAsia="宋体" w:cs="Times New Roman"/>
          <w:color w:val="auto"/>
          <w:sz w:val="24"/>
          <w:szCs w:val="24"/>
          <w:highlight w:val="none"/>
          <w:shd w:val="clear" w:color="auto" w:fill="auto"/>
          <w:lang w:eastAsia="zh-CN"/>
        </w:rPr>
        <w:t>），</w:t>
      </w:r>
      <w:r>
        <w:rPr>
          <w:rFonts w:hint="default" w:ascii="Times New Roman" w:hAnsi="Times New Roman" w:eastAsia="宋体" w:cs="Times New Roman"/>
          <w:color w:val="auto"/>
          <w:sz w:val="24"/>
          <w:szCs w:val="24"/>
          <w:highlight w:val="none"/>
          <w:shd w:val="clear" w:color="auto" w:fill="auto"/>
        </w:rPr>
        <w:t>按附录C对危险物质及工艺系统危险性（P</w:t>
      </w:r>
      <w:r>
        <w:rPr>
          <w:rFonts w:hint="default" w:ascii="Times New Roman" w:hAnsi="Times New Roman" w:eastAsia="宋体" w:cs="Times New Roman"/>
          <w:color w:val="auto"/>
          <w:sz w:val="24"/>
          <w:szCs w:val="24"/>
          <w:highlight w:val="none"/>
          <w:shd w:val="clear" w:color="auto" w:fill="auto"/>
          <w:lang w:eastAsia="zh-CN"/>
        </w:rPr>
        <w:t>）</w:t>
      </w:r>
      <w:r>
        <w:rPr>
          <w:rFonts w:hint="default" w:ascii="Times New Roman" w:hAnsi="Times New Roman" w:eastAsia="宋体" w:cs="Times New Roman"/>
          <w:color w:val="auto"/>
          <w:sz w:val="24"/>
          <w:szCs w:val="24"/>
          <w:highlight w:val="none"/>
          <w:shd w:val="clear" w:color="auto" w:fill="auto"/>
        </w:rPr>
        <w:t>等级进行判断。</w:t>
      </w:r>
    </w:p>
    <w:p>
      <w:pPr>
        <w:pageBreakBefore w:val="0"/>
        <w:widowControl w:val="0"/>
        <w:kinsoku/>
        <w:wordWrap/>
        <w:overflowPunct/>
        <w:topLinePunct w:val="0"/>
        <w:autoSpaceDE/>
        <w:autoSpaceDN/>
        <w:bidi w:val="0"/>
        <w:spacing w:line="360" w:lineRule="auto"/>
        <w:ind w:left="0" w:leftChars="0" w:right="0" w:rightChars="0"/>
        <w:jc w:val="center"/>
        <w:rPr>
          <w:rFonts w:hint="default" w:ascii="Times New Roman" w:hAnsi="Times New Roman" w:eastAsia="宋体" w:cs="Times New Roman"/>
          <w:b/>
          <w:color w:val="auto"/>
          <w:sz w:val="24"/>
          <w:szCs w:val="24"/>
          <w:highlight w:val="none"/>
          <w:shd w:val="clear" w:color="auto" w:fill="auto"/>
        </w:rPr>
      </w:pPr>
      <w:r>
        <w:rPr>
          <w:rFonts w:hint="default" w:ascii="Times New Roman" w:hAnsi="Times New Roman" w:eastAsia="宋体" w:cs="Times New Roman"/>
          <w:b/>
          <w:color w:val="auto"/>
          <w:sz w:val="24"/>
          <w:szCs w:val="24"/>
          <w:highlight w:val="none"/>
          <w:shd w:val="clear" w:color="auto" w:fill="auto"/>
        </w:rPr>
        <w:t>表</w:t>
      </w:r>
      <w:r>
        <w:rPr>
          <w:rFonts w:hint="default" w:ascii="Times New Roman" w:hAnsi="Times New Roman" w:eastAsia="宋体" w:cs="Times New Roman"/>
          <w:b/>
          <w:color w:val="auto"/>
          <w:sz w:val="24"/>
          <w:szCs w:val="24"/>
          <w:highlight w:val="none"/>
          <w:shd w:val="clear" w:color="auto" w:fill="auto"/>
          <w:lang w:val="en-US" w:eastAsia="zh-CN"/>
        </w:rPr>
        <w:t>8-1</w:t>
      </w:r>
      <w:r>
        <w:rPr>
          <w:rFonts w:hint="default" w:ascii="Times New Roman" w:hAnsi="Times New Roman" w:eastAsia="宋体" w:cs="Times New Roman"/>
          <w:b/>
          <w:color w:val="auto"/>
          <w:sz w:val="24"/>
          <w:szCs w:val="24"/>
          <w:highlight w:val="none"/>
          <w:shd w:val="clear" w:color="auto" w:fill="auto"/>
        </w:rPr>
        <w:t>项目危险物质名称及临界量</w:t>
      </w:r>
    </w:p>
    <w:tbl>
      <w:tblPr>
        <w:tblStyle w:val="54"/>
        <w:tblW w:w="827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25"/>
        <w:gridCol w:w="1719"/>
        <w:gridCol w:w="1588"/>
        <w:gridCol w:w="1849"/>
        <w:gridCol w:w="159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1566"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Cs/>
                <w:color w:val="auto"/>
                <w:sz w:val="21"/>
                <w:szCs w:val="21"/>
                <w:highlight w:val="none"/>
                <w:shd w:val="clear" w:color="auto" w:fill="auto"/>
              </w:rPr>
            </w:pPr>
            <w:r>
              <w:rPr>
                <w:rFonts w:hint="default" w:ascii="Times New Roman" w:hAnsi="Times New Roman" w:eastAsia="宋体" w:cs="Times New Roman"/>
                <w:bCs/>
                <w:color w:val="auto"/>
                <w:sz w:val="21"/>
                <w:szCs w:val="21"/>
                <w:highlight w:val="none"/>
                <w:shd w:val="clear" w:color="auto" w:fill="auto"/>
              </w:rPr>
              <w:t>类别</w:t>
            </w:r>
          </w:p>
        </w:tc>
        <w:tc>
          <w:tcPr>
            <w:tcW w:w="1766"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Cs/>
                <w:color w:val="auto"/>
                <w:sz w:val="21"/>
                <w:szCs w:val="21"/>
                <w:highlight w:val="none"/>
                <w:shd w:val="clear" w:color="auto" w:fill="auto"/>
              </w:rPr>
            </w:pPr>
            <w:r>
              <w:rPr>
                <w:rFonts w:hint="default" w:ascii="Times New Roman" w:hAnsi="Times New Roman" w:eastAsia="宋体" w:cs="Times New Roman"/>
                <w:bCs/>
                <w:color w:val="auto"/>
                <w:sz w:val="21"/>
                <w:szCs w:val="21"/>
                <w:highlight w:val="none"/>
                <w:shd w:val="clear" w:color="auto" w:fill="auto"/>
              </w:rPr>
              <w:t>危险化学品名称</w:t>
            </w:r>
          </w:p>
        </w:tc>
        <w:tc>
          <w:tcPr>
            <w:tcW w:w="1631"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Cs/>
                <w:color w:val="auto"/>
                <w:sz w:val="21"/>
                <w:szCs w:val="21"/>
                <w:highlight w:val="none"/>
                <w:shd w:val="clear" w:color="auto" w:fill="auto"/>
                <w:lang w:eastAsia="zh-CN"/>
              </w:rPr>
            </w:pPr>
            <w:r>
              <w:rPr>
                <w:rFonts w:hint="default" w:ascii="Times New Roman" w:hAnsi="Times New Roman" w:eastAsia="宋体" w:cs="Times New Roman"/>
                <w:bCs/>
                <w:color w:val="auto"/>
                <w:sz w:val="21"/>
                <w:szCs w:val="21"/>
                <w:highlight w:val="none"/>
                <w:shd w:val="clear" w:color="auto" w:fill="auto"/>
              </w:rPr>
              <w:t>临界量</w:t>
            </w:r>
            <w:r>
              <w:rPr>
                <w:rFonts w:hint="default" w:ascii="Times New Roman" w:hAnsi="Times New Roman" w:eastAsia="宋体" w:cs="Times New Roman"/>
                <w:color w:val="auto"/>
                <w:sz w:val="21"/>
                <w:szCs w:val="21"/>
                <w:highlight w:val="none"/>
                <w:shd w:val="clear" w:color="auto" w:fill="auto"/>
              </w:rPr>
              <w:t>Q（t</w:t>
            </w:r>
            <w:r>
              <w:rPr>
                <w:rFonts w:hint="default" w:ascii="Times New Roman" w:hAnsi="Times New Roman" w:eastAsia="宋体" w:cs="Times New Roman"/>
                <w:color w:val="auto"/>
                <w:sz w:val="21"/>
                <w:szCs w:val="21"/>
                <w:highlight w:val="none"/>
                <w:shd w:val="clear" w:color="auto" w:fill="auto"/>
                <w:lang w:eastAsia="zh-CN"/>
              </w:rPr>
              <w:t>）</w:t>
            </w:r>
          </w:p>
        </w:tc>
        <w:tc>
          <w:tcPr>
            <w:tcW w:w="1901" w:type="dxa"/>
            <w:tcBorders>
              <w:top w:val="single" w:color="auto" w:sz="4" w:space="0"/>
              <w:left w:val="single" w:color="auto" w:sz="4" w:space="0"/>
              <w:bottom w:val="single" w:color="auto" w:sz="4" w:space="0"/>
              <w:right w:val="single" w:color="auto" w:sz="4" w:space="0"/>
            </w:tcBorders>
            <w:vAlign w:val="center"/>
          </w:tcPr>
          <w:p>
            <w:pPr>
              <w:pStyle w:val="515"/>
              <w:pageBreakBefore w:val="0"/>
              <w:wordWrap/>
              <w:bidi w:val="0"/>
              <w:adjustRightInd w:val="0"/>
              <w:spacing w:line="240" w:lineRule="auto"/>
              <w:ind w:left="0" w:leftChars="0" w:right="0" w:rightChars="0"/>
              <w:jc w:val="center"/>
              <w:rPr>
                <w:rFonts w:hint="default" w:ascii="Times New Roman" w:hAnsi="Times New Roman" w:eastAsia="宋体" w:cs="Times New Roman"/>
                <w:color w:val="auto"/>
                <w:kern w:val="2"/>
                <w:sz w:val="21"/>
                <w:szCs w:val="21"/>
                <w:highlight w:val="none"/>
                <w:shd w:val="clear" w:color="auto" w:fill="auto"/>
              </w:rPr>
            </w:pPr>
            <w:r>
              <w:rPr>
                <w:rFonts w:hint="default" w:ascii="Times New Roman" w:hAnsi="Times New Roman" w:eastAsia="宋体" w:cs="Times New Roman"/>
                <w:color w:val="auto"/>
                <w:kern w:val="2"/>
                <w:sz w:val="21"/>
                <w:szCs w:val="21"/>
                <w:highlight w:val="none"/>
                <w:shd w:val="clear" w:color="auto" w:fill="auto"/>
              </w:rPr>
              <w:t>最大实际储量</w:t>
            </w:r>
          </w:p>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Cs/>
                <w:color w:val="auto"/>
                <w:sz w:val="21"/>
                <w:szCs w:val="21"/>
                <w:highlight w:val="none"/>
                <w:shd w:val="clear" w:color="auto" w:fill="auto"/>
                <w:lang w:eastAsia="zh-CN"/>
              </w:rPr>
            </w:pPr>
            <w:r>
              <w:rPr>
                <w:rFonts w:hint="default" w:ascii="Times New Roman" w:hAnsi="Times New Roman" w:eastAsia="宋体" w:cs="Times New Roman"/>
                <w:color w:val="auto"/>
                <w:sz w:val="21"/>
                <w:szCs w:val="21"/>
                <w:highlight w:val="none"/>
                <w:shd w:val="clear" w:color="auto" w:fill="auto"/>
              </w:rPr>
              <w:t>q（t</w:t>
            </w:r>
            <w:r>
              <w:rPr>
                <w:rFonts w:hint="default" w:ascii="Times New Roman" w:hAnsi="Times New Roman" w:eastAsia="宋体" w:cs="Times New Roman"/>
                <w:color w:val="auto"/>
                <w:sz w:val="21"/>
                <w:szCs w:val="21"/>
                <w:highlight w:val="none"/>
                <w:shd w:val="clear" w:color="auto" w:fill="auto"/>
                <w:lang w:eastAsia="zh-CN"/>
              </w:rPr>
              <w:t>）</w:t>
            </w:r>
          </w:p>
        </w:tc>
        <w:tc>
          <w:tcPr>
            <w:tcW w:w="1640"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Cs/>
                <w:color w:val="auto"/>
                <w:sz w:val="21"/>
                <w:szCs w:val="21"/>
                <w:highlight w:val="none"/>
                <w:shd w:val="clear" w:color="auto" w:fill="auto"/>
              </w:rPr>
            </w:pPr>
            <w:r>
              <w:rPr>
                <w:rFonts w:hint="default" w:ascii="Times New Roman" w:hAnsi="Times New Roman" w:eastAsia="宋体" w:cs="Times New Roman"/>
                <w:color w:val="auto"/>
                <w:sz w:val="21"/>
                <w:szCs w:val="21"/>
                <w:highlight w:val="none"/>
                <w:shd w:val="clear" w:color="auto" w:fill="auto"/>
              </w:rPr>
              <w:t>q/Q</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66"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shd w:val="clear" w:color="auto" w:fill="auto"/>
              </w:rPr>
            </w:pPr>
            <w:r>
              <w:rPr>
                <w:rFonts w:hint="default" w:ascii="Times New Roman" w:hAnsi="Times New Roman" w:eastAsia="宋体" w:cs="Times New Roman"/>
                <w:color w:val="auto"/>
                <w:sz w:val="21"/>
                <w:szCs w:val="21"/>
                <w:highlight w:val="none"/>
                <w:shd w:val="clear" w:color="auto" w:fill="auto"/>
              </w:rPr>
              <w:t>易燃液体</w:t>
            </w:r>
          </w:p>
        </w:tc>
        <w:tc>
          <w:tcPr>
            <w:tcW w:w="1766"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shd w:val="clear" w:color="auto" w:fill="auto"/>
                <w:lang w:eastAsia="zh-CN"/>
              </w:rPr>
            </w:pPr>
            <w:r>
              <w:rPr>
                <w:rFonts w:hint="default" w:ascii="Times New Roman" w:hAnsi="Times New Roman" w:eastAsia="宋体" w:cs="Times New Roman"/>
                <w:color w:val="auto"/>
                <w:sz w:val="21"/>
                <w:szCs w:val="21"/>
                <w:highlight w:val="none"/>
              </w:rPr>
              <w:t>废润滑油</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shd w:val="clear" w:color="auto" w:fill="auto"/>
                <w:lang w:eastAsia="zh-CN"/>
              </w:rPr>
              <w:t>废矿物油</w:t>
            </w:r>
            <w:r>
              <w:rPr>
                <w:rFonts w:hint="default" w:ascii="Times New Roman" w:hAnsi="Times New Roman" w:eastAsia="宋体" w:cs="Times New Roman"/>
                <w:color w:val="auto"/>
                <w:sz w:val="21"/>
                <w:szCs w:val="21"/>
                <w:highlight w:val="none"/>
                <w:lang w:eastAsia="zh-CN"/>
              </w:rPr>
              <w:t>）</w:t>
            </w:r>
          </w:p>
        </w:tc>
        <w:tc>
          <w:tcPr>
            <w:tcW w:w="1631"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shd w:val="clear" w:color="auto" w:fill="auto"/>
              </w:rPr>
            </w:pPr>
            <w:r>
              <w:rPr>
                <w:rFonts w:hint="default" w:ascii="Times New Roman" w:hAnsi="Times New Roman" w:eastAsia="宋体" w:cs="Times New Roman"/>
                <w:color w:val="auto"/>
                <w:sz w:val="21"/>
                <w:szCs w:val="21"/>
                <w:highlight w:val="none"/>
                <w:shd w:val="clear" w:color="auto" w:fill="auto"/>
              </w:rPr>
              <w:t>2500</w:t>
            </w:r>
          </w:p>
        </w:tc>
        <w:tc>
          <w:tcPr>
            <w:tcW w:w="1901" w:type="dxa"/>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shd w:val="clear" w:color="auto" w:fill="auto"/>
                <w:lang w:val="en-US" w:eastAsia="zh-CN"/>
              </w:rPr>
            </w:pPr>
            <w:r>
              <w:rPr>
                <w:rFonts w:hint="default" w:ascii="Times New Roman" w:hAnsi="Times New Roman" w:eastAsia="宋体" w:cs="Times New Roman"/>
                <w:color w:val="auto"/>
                <w:sz w:val="21"/>
                <w:szCs w:val="21"/>
                <w:highlight w:val="none"/>
                <w:shd w:val="clear" w:color="auto" w:fill="auto"/>
                <w:lang w:val="en-US" w:eastAsia="zh-CN"/>
              </w:rPr>
              <w:t>10</w:t>
            </w:r>
          </w:p>
        </w:tc>
        <w:tc>
          <w:tcPr>
            <w:tcW w:w="1640" w:type="dxa"/>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shd w:val="clear" w:color="auto" w:fill="auto"/>
                <w:lang w:eastAsia="zh-CN"/>
              </w:rPr>
            </w:pPr>
            <w:r>
              <w:rPr>
                <w:rFonts w:hint="default" w:ascii="Times New Roman" w:hAnsi="Times New Roman" w:eastAsia="宋体" w:cs="Times New Roman"/>
                <w:color w:val="auto"/>
                <w:sz w:val="21"/>
                <w:szCs w:val="21"/>
                <w:highlight w:val="none"/>
                <w:shd w:val="clear" w:color="auto" w:fill="auto"/>
                <w:lang w:eastAsia="zh-CN"/>
              </w:rPr>
              <w:t>0.004</w:t>
            </w:r>
          </w:p>
        </w:tc>
      </w:tr>
    </w:tbl>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bCs/>
          <w:color w:val="auto"/>
          <w:sz w:val="24"/>
          <w:szCs w:val="24"/>
          <w:highlight w:val="none"/>
          <w:lang w:eastAsia="zh-CN"/>
        </w:rPr>
        <w:t>本项目</w:t>
      </w:r>
      <w:r>
        <w:rPr>
          <w:rFonts w:hint="default" w:ascii="Times New Roman" w:hAnsi="Times New Roman" w:eastAsia="宋体" w:cs="Times New Roman"/>
          <w:bCs/>
          <w:color w:val="auto"/>
          <w:sz w:val="24"/>
          <w:szCs w:val="24"/>
          <w:highlight w:val="none"/>
        </w:rPr>
        <w:t>当Q＜1时</w:t>
      </w:r>
      <w:r>
        <w:rPr>
          <w:rFonts w:hint="default" w:ascii="Times New Roman" w:hAnsi="Times New Roman" w:eastAsia="宋体"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rPr>
        <w:t>环境风险潜势为</w:t>
      </w:r>
      <w:r>
        <w:rPr>
          <w:rFonts w:hint="default" w:ascii="Times New Roman" w:hAnsi="Times New Roman" w:eastAsia="宋体" w:cs="Times New Roman"/>
          <w:color w:val="auto"/>
          <w:sz w:val="24"/>
          <w:szCs w:val="24"/>
          <w:highlight w:val="none"/>
        </w:rPr>
        <w:t>I</w:t>
      </w:r>
      <w:r>
        <w:rPr>
          <w:rFonts w:hint="default" w:ascii="Times New Roman" w:hAnsi="Times New Roman" w:eastAsia="宋体" w:cs="Times New Roman"/>
          <w:bCs/>
          <w:color w:val="auto"/>
          <w:sz w:val="24"/>
          <w:szCs w:val="24"/>
          <w:highlight w:val="none"/>
          <w:lang w:eastAsia="zh-CN"/>
        </w:rPr>
        <w:t>，</w:t>
      </w:r>
      <w:r>
        <w:rPr>
          <w:rFonts w:hint="default" w:ascii="Times New Roman" w:hAnsi="Times New Roman" w:eastAsia="宋体" w:cs="Times New Roman"/>
          <w:color w:val="auto"/>
          <w:sz w:val="24"/>
          <w:szCs w:val="24"/>
          <w:highlight w:val="none"/>
        </w:rPr>
        <w:t>由上表可知</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本次环境风险评价等级为简单分析</w:t>
      </w:r>
      <w:r>
        <w:rPr>
          <w:rFonts w:hint="default" w:ascii="Times New Roman" w:hAnsi="Times New Roman" w:eastAsia="宋体" w:cs="Times New Roman"/>
          <w:color w:val="auto"/>
          <w:sz w:val="24"/>
          <w:szCs w:val="24"/>
          <w:highlight w:val="none"/>
          <w:lang w:eastAsia="zh-CN"/>
        </w:rPr>
        <w:t>。</w:t>
      </w:r>
    </w:p>
    <w:p>
      <w:pPr>
        <w:pageBreakBefore w:val="0"/>
        <w:wordWrap/>
        <w:bidi w:val="0"/>
        <w:spacing w:line="360" w:lineRule="auto"/>
        <w:ind w:left="0" w:leftChars="0" w:right="0" w:rightChars="0" w:firstLine="480" w:firstLineChars="200"/>
        <w:outlineLvl w:val="1"/>
        <w:rPr>
          <w:rFonts w:hint="default" w:ascii="Times New Roman" w:hAnsi="Times New Roman" w:eastAsia="宋体" w:cs="Times New Roman"/>
          <w:color w:val="auto"/>
          <w:sz w:val="24"/>
          <w:highlight w:val="none"/>
        </w:rPr>
      </w:pPr>
      <w:bookmarkStart w:id="1098" w:name="_Toc31741"/>
      <w:bookmarkStart w:id="1099" w:name="_Toc25599"/>
      <w:r>
        <w:rPr>
          <w:rFonts w:hint="default" w:ascii="Times New Roman" w:hAnsi="Times New Roman" w:eastAsia="宋体" w:cs="Times New Roman"/>
          <w:color w:val="auto"/>
          <w:sz w:val="24"/>
          <w:highlight w:val="none"/>
          <w:lang w:val="en-US" w:eastAsia="zh-CN"/>
        </w:rPr>
        <w:t>2</w:t>
      </w:r>
      <w:r>
        <w:rPr>
          <w:rFonts w:hint="default" w:ascii="Times New Roman" w:hAnsi="Times New Roman" w:eastAsia="宋体" w:cs="Times New Roman"/>
          <w:color w:val="auto"/>
          <w:sz w:val="24"/>
          <w:highlight w:val="none"/>
        </w:rPr>
        <w:t>、尾矿库基本信息</w:t>
      </w:r>
      <w:bookmarkEnd w:id="1098"/>
      <w:bookmarkEnd w:id="1099"/>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本项目尾矿库库址符合《尾矿设施设计规范》（GB50863~2013</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等规定要求</w:t>
      </w:r>
      <w:r>
        <w:rPr>
          <w:rFonts w:hint="default" w:ascii="Times New Roman" w:hAnsi="Times New Roman" w:eastAsia="宋体" w:cs="Times New Roman"/>
          <w:color w:val="auto"/>
          <w:sz w:val="24"/>
          <w:highlight w:val="none"/>
          <w:lang w:eastAsia="zh-CN"/>
        </w:rPr>
        <w:t>，属</w:t>
      </w:r>
      <w:r>
        <w:rPr>
          <w:rFonts w:hint="default" w:ascii="Times New Roman" w:hAnsi="Times New Roman" w:eastAsia="宋体" w:cs="Times New Roman"/>
          <w:color w:val="auto"/>
          <w:sz w:val="24"/>
          <w:highlight w:val="none"/>
        </w:rPr>
        <w:t>山谷型尾矿库</w:t>
      </w:r>
      <w:r>
        <w:rPr>
          <w:rFonts w:hint="default" w:ascii="Times New Roman" w:hAnsi="Times New Roman" w:eastAsia="宋体" w:cs="Times New Roman"/>
          <w:color w:val="auto"/>
          <w:sz w:val="24"/>
          <w:highlight w:val="none"/>
          <w:lang w:eastAsia="zh-CN"/>
        </w:rPr>
        <w:t>。</w:t>
      </w:r>
    </w:p>
    <w:p>
      <w:pPr>
        <w:pageBreakBefore w:val="0"/>
        <w:wordWrap/>
        <w:bidi w:val="0"/>
        <w:spacing w:line="360" w:lineRule="auto"/>
        <w:ind w:left="0" w:leftChars="0" w:right="0" w:rightChars="0" w:firstLine="480" w:firstLineChars="200"/>
        <w:outlineLvl w:val="0"/>
        <w:rPr>
          <w:rFonts w:hint="default" w:ascii="Times New Roman" w:hAnsi="Times New Roman" w:eastAsia="宋体" w:cs="Times New Roman"/>
          <w:color w:val="auto"/>
          <w:sz w:val="24"/>
          <w:highlight w:val="none"/>
        </w:rPr>
      </w:pPr>
      <w:bookmarkStart w:id="1100" w:name="_Toc12197"/>
      <w:bookmarkStart w:id="1101" w:name="_Toc22650"/>
      <w:r>
        <w:rPr>
          <w:rFonts w:hint="default" w:ascii="Times New Roman" w:hAnsi="Times New Roman" w:eastAsia="宋体" w:cs="Times New Roman"/>
          <w:color w:val="auto"/>
          <w:sz w:val="24"/>
          <w:highlight w:val="none"/>
          <w:lang w:val="en-US" w:eastAsia="zh-CN"/>
        </w:rPr>
        <w:t>（1）</w:t>
      </w:r>
      <w:r>
        <w:rPr>
          <w:rFonts w:hint="default" w:ascii="Times New Roman" w:hAnsi="Times New Roman" w:eastAsia="宋体" w:cs="Times New Roman"/>
          <w:color w:val="auto"/>
          <w:sz w:val="24"/>
          <w:highlight w:val="none"/>
        </w:rPr>
        <w:t>尾矿库周边环境风险受体情况</w:t>
      </w:r>
      <w:bookmarkEnd w:id="1100"/>
      <w:bookmarkEnd w:id="1101"/>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根据岩土工程勘察报告</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bCs/>
          <w:color w:val="auto"/>
          <w:sz w:val="24"/>
          <w:highlight w:val="none"/>
        </w:rPr>
        <w:t>库区不存在滑坡、崩塌等不良地质作用</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地质条件稳定性良好</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color w:val="auto"/>
          <w:sz w:val="24"/>
          <w:highlight w:val="none"/>
        </w:rPr>
        <w:t>地形地质条件适宜于本项目建设</w:t>
      </w:r>
      <w:r>
        <w:rPr>
          <w:rFonts w:hint="default" w:ascii="Times New Roman" w:hAnsi="Times New Roman" w:eastAsia="宋体" w:cs="Times New Roman"/>
          <w:bCs/>
          <w:color w:val="auto"/>
          <w:sz w:val="24"/>
          <w:highlight w:val="none"/>
        </w:rPr>
        <w:t>。</w:t>
      </w:r>
      <w:r>
        <w:rPr>
          <w:rFonts w:hint="default" w:ascii="Times New Roman" w:hAnsi="Times New Roman" w:eastAsia="宋体" w:cs="Times New Roman"/>
          <w:color w:val="auto"/>
          <w:sz w:val="24"/>
          <w:highlight w:val="none"/>
        </w:rPr>
        <w:t>同时</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该库区不</w:t>
      </w:r>
      <w:r>
        <w:rPr>
          <w:rFonts w:hint="default" w:ascii="Times New Roman" w:hAnsi="Times New Roman" w:eastAsia="宋体" w:cs="Times New Roman"/>
          <w:color w:val="auto"/>
          <w:sz w:val="24"/>
          <w:highlight w:val="none"/>
          <w:lang w:eastAsia="zh-CN"/>
        </w:rPr>
        <w:t>属</w:t>
      </w:r>
      <w:r>
        <w:rPr>
          <w:rFonts w:hint="default" w:ascii="Times New Roman" w:hAnsi="Times New Roman" w:eastAsia="宋体" w:cs="Times New Roman"/>
          <w:color w:val="auto"/>
          <w:sz w:val="24"/>
          <w:highlight w:val="none"/>
        </w:rPr>
        <w:t>于国家级自然保护区、重要风景区、国家重点保护的历史文物和名胜古迹所在地。附近无铁路干线通过</w:t>
      </w:r>
      <w:r>
        <w:rPr>
          <w:rFonts w:hint="default" w:ascii="Times New Roman" w:hAnsi="Times New Roman" w:eastAsia="宋体" w:cs="Times New Roman"/>
          <w:color w:val="auto"/>
          <w:sz w:val="24"/>
          <w:highlight w:val="none"/>
          <w:lang w:eastAsia="zh-CN"/>
        </w:rPr>
        <w:t>，无通信</w:t>
      </w:r>
      <w:r>
        <w:rPr>
          <w:rFonts w:hint="default" w:ascii="Times New Roman" w:hAnsi="Times New Roman" w:eastAsia="宋体" w:cs="Times New Roman"/>
          <w:color w:val="auto"/>
          <w:sz w:val="24"/>
          <w:highlight w:val="none"/>
        </w:rPr>
        <w:t>线路等设施。该尾矿库周边主要为坡地、草地。周边环境风险受体分布如下</w:t>
      </w:r>
      <w:r>
        <w:rPr>
          <w:rFonts w:hint="default" w:ascii="Times New Roman" w:hAnsi="Times New Roman" w:eastAsia="宋体" w:cs="Times New Roman"/>
          <w:color w:val="auto"/>
          <w:sz w:val="24"/>
          <w:highlight w:val="none"/>
          <w:lang w:eastAsia="zh-CN"/>
        </w:rPr>
        <w:t>：</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其他类型环境风险受体</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尾矿库下游10.32km范围内的草地以及该范围内居民区。</w:t>
      </w:r>
    </w:p>
    <w:p>
      <w:pPr>
        <w:pageBreakBefore w:val="0"/>
        <w:wordWrap/>
        <w:bidi w:val="0"/>
        <w:spacing w:line="360" w:lineRule="auto"/>
        <w:ind w:left="0" w:leftChars="0" w:right="0" w:rightChars="0" w:firstLine="480" w:firstLineChars="200"/>
        <w:outlineLvl w:val="0"/>
        <w:rPr>
          <w:rFonts w:hint="default" w:ascii="Times New Roman" w:hAnsi="Times New Roman" w:eastAsia="宋体" w:cs="Times New Roman"/>
          <w:color w:val="auto"/>
          <w:sz w:val="24"/>
          <w:highlight w:val="none"/>
        </w:rPr>
      </w:pPr>
      <w:bookmarkStart w:id="1102" w:name="_Toc31441"/>
      <w:bookmarkStart w:id="1103" w:name="_Toc5183"/>
      <w:r>
        <w:rPr>
          <w:rFonts w:hint="default" w:ascii="Times New Roman" w:hAnsi="Times New Roman" w:eastAsia="宋体" w:cs="Times New Roman"/>
          <w:color w:val="auto"/>
          <w:sz w:val="24"/>
          <w:highlight w:val="none"/>
          <w:lang w:val="en-US" w:eastAsia="zh-CN"/>
        </w:rPr>
        <w:t>（2）</w:t>
      </w:r>
      <w:r>
        <w:rPr>
          <w:rFonts w:hint="default" w:ascii="Times New Roman" w:hAnsi="Times New Roman" w:eastAsia="宋体" w:cs="Times New Roman"/>
          <w:color w:val="auto"/>
          <w:sz w:val="24"/>
          <w:highlight w:val="none"/>
        </w:rPr>
        <w:t>尾矿库涉及特征污染物情况</w:t>
      </w:r>
      <w:bookmarkEnd w:id="1102"/>
      <w:bookmarkEnd w:id="1103"/>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尾矿库的污染物主要是尾矿浆中的</w:t>
      </w:r>
      <w:r>
        <w:rPr>
          <w:rFonts w:hint="default" w:ascii="Times New Roman" w:hAnsi="Times New Roman" w:eastAsia="宋体" w:cs="Times New Roman"/>
          <w:color w:val="auto"/>
          <w:sz w:val="24"/>
          <w:highlight w:val="none"/>
          <w:lang w:eastAsia="zh-CN"/>
        </w:rPr>
        <w:t>尾矿砂</w:t>
      </w:r>
      <w:r>
        <w:rPr>
          <w:rFonts w:hint="default" w:ascii="Times New Roman" w:hAnsi="Times New Roman" w:eastAsia="宋体" w:cs="Times New Roman"/>
          <w:color w:val="auto"/>
          <w:sz w:val="24"/>
          <w:highlight w:val="none"/>
        </w:rPr>
        <w:t>和废水。</w:t>
      </w:r>
    </w:p>
    <w:p>
      <w:pPr>
        <w:pageBreakBefore w:val="0"/>
        <w:wordWrap/>
        <w:bidi w:val="0"/>
        <w:adjustRightInd w:val="0"/>
        <w:snapToGrid w:val="0"/>
        <w:spacing w:line="360" w:lineRule="auto"/>
        <w:ind w:left="0" w:leftChars="0" w:right="0" w:rightChars="0" w:firstLine="480" w:firstLineChars="200"/>
        <w:outlineLvl w:val="1"/>
        <w:rPr>
          <w:rFonts w:hint="default" w:ascii="Times New Roman" w:hAnsi="Times New Roman" w:eastAsia="宋体" w:cs="Times New Roman"/>
          <w:color w:val="auto"/>
          <w:sz w:val="24"/>
          <w:highlight w:val="none"/>
          <w:lang w:val="en-US" w:eastAsia="zh-CN"/>
        </w:rPr>
      </w:pPr>
      <w:bookmarkStart w:id="1104" w:name="_Toc3904"/>
      <w:bookmarkStart w:id="1105" w:name="_Toc15059"/>
      <w:r>
        <w:rPr>
          <w:rFonts w:hint="default" w:ascii="Times New Roman" w:hAnsi="Times New Roman" w:eastAsia="宋体" w:cs="Times New Roman"/>
          <w:color w:val="auto"/>
          <w:sz w:val="24"/>
          <w:highlight w:val="none"/>
          <w:lang w:val="en-US" w:eastAsia="zh-CN"/>
        </w:rPr>
        <w:t>1）</w:t>
      </w:r>
      <w:r>
        <w:rPr>
          <w:rFonts w:hint="default" w:ascii="Times New Roman" w:hAnsi="Times New Roman" w:eastAsia="宋体" w:cs="Times New Roman"/>
          <w:color w:val="auto"/>
          <w:sz w:val="24"/>
          <w:highlight w:val="none"/>
          <w:lang w:eastAsia="zh-CN"/>
        </w:rPr>
        <w:t>尾矿砂</w:t>
      </w:r>
      <w:bookmarkEnd w:id="1104"/>
      <w:bookmarkEnd w:id="1105"/>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eastAsia="zh-CN"/>
        </w:rPr>
        <w:t>根据</w:t>
      </w:r>
      <w:r>
        <w:rPr>
          <w:rFonts w:hint="default" w:ascii="Times New Roman" w:hAnsi="Times New Roman" w:eastAsia="宋体" w:cs="Times New Roman"/>
          <w:bCs/>
          <w:color w:val="auto"/>
          <w:sz w:val="24"/>
          <w:szCs w:val="24"/>
          <w:highlight w:val="none"/>
        </w:rPr>
        <w:t>内蒙古加通环境检测治理有限公司</w:t>
      </w:r>
      <w:r>
        <w:rPr>
          <w:rFonts w:hint="default" w:ascii="Times New Roman" w:hAnsi="Times New Roman" w:eastAsia="宋体" w:cs="Times New Roman"/>
          <w:color w:val="auto"/>
          <w:sz w:val="24"/>
          <w:highlight w:val="none"/>
          <w:lang w:val="en-US" w:eastAsia="zh-CN"/>
        </w:rPr>
        <w:t>2023年4月出具的《监测报告》，对西沙德盖钼业公司尾矿样品进行浸出测试：①根据《危险废物鉴别标准通则》（GB5085.7-2019）、《危险废物鉴别标准浸出毒性鉴别》（GB5085.3-2007）进行了浸出毒性实验，浸出液中各项监测指标均未超过《危险废物鉴别标准浸出毒性鉴别》（GB5085.3-2007）表1浸出毒性鉴别标准值，因此钼矿尾矿不属于危险废物；②根据《固体废物浸出毒性浸出方法水平振荡法》（HJ557-2010）进行了浸出毒性实验，浸出液中各项监测指标均未超过《污水综合排放标准》（GB8978-1996）最高允许排放浓度（第二类污染物最高允许排放浓度按照一级标准执行），且pH值在6～9范围之内，因此钼矿尾矿属于</w:t>
      </w:r>
      <w:r>
        <w:rPr>
          <w:rFonts w:hint="default" w:ascii="Times New Roman" w:hAnsi="Times New Roman" w:eastAsia="宋体" w:cs="Times New Roman"/>
          <w:color w:val="auto"/>
          <w:sz w:val="24"/>
          <w:highlight w:val="none"/>
        </w:rPr>
        <w:t>第</w:t>
      </w:r>
      <w:r>
        <w:rPr>
          <w:rFonts w:hint="default" w:ascii="Times New Roman" w:hAnsi="Times New Roman" w:eastAsia="宋体" w:cs="Times New Roman"/>
          <w:color w:val="auto"/>
          <w:sz w:val="24"/>
          <w:highlight w:val="none"/>
          <w:lang w:val="en-US" w:eastAsia="zh-CN"/>
        </w:rPr>
        <w:t>I</w:t>
      </w:r>
      <w:r>
        <w:rPr>
          <w:rFonts w:hint="default" w:ascii="Times New Roman" w:hAnsi="Times New Roman" w:eastAsia="宋体" w:cs="Times New Roman"/>
          <w:color w:val="auto"/>
          <w:sz w:val="24"/>
          <w:highlight w:val="none"/>
        </w:rPr>
        <w:t>类一般工业固体废物。</w:t>
      </w:r>
    </w:p>
    <w:p>
      <w:pPr>
        <w:pageBreakBefore w:val="0"/>
        <w:wordWrap/>
        <w:bidi w:val="0"/>
        <w:spacing w:line="360" w:lineRule="auto"/>
        <w:ind w:left="0" w:leftChars="0" w:right="0" w:rightChars="0" w:firstLine="480" w:firstLineChars="200"/>
        <w:outlineLvl w:val="1"/>
        <w:rPr>
          <w:rFonts w:hint="default" w:ascii="Times New Roman" w:hAnsi="Times New Roman" w:eastAsia="宋体" w:cs="Times New Roman"/>
          <w:color w:val="auto"/>
          <w:sz w:val="24"/>
          <w:highlight w:val="none"/>
          <w:lang w:val="en-US" w:eastAsia="zh-CN"/>
        </w:rPr>
      </w:pPr>
      <w:bookmarkStart w:id="1106" w:name="_Toc23154"/>
      <w:bookmarkStart w:id="1107" w:name="_Toc25986"/>
      <w:r>
        <w:rPr>
          <w:rFonts w:hint="default" w:ascii="Times New Roman" w:hAnsi="Times New Roman" w:eastAsia="宋体" w:cs="Times New Roman"/>
          <w:color w:val="auto"/>
          <w:sz w:val="24"/>
          <w:highlight w:val="none"/>
          <w:lang w:val="en-US" w:eastAsia="zh-CN"/>
        </w:rPr>
        <w:t>2）尾矿水</w:t>
      </w:r>
      <w:bookmarkEnd w:id="1106"/>
      <w:bookmarkEnd w:id="1107"/>
    </w:p>
    <w:p>
      <w:pPr>
        <w:pStyle w:val="21"/>
        <w:pageBreakBefore w:val="0"/>
        <w:kinsoku w:val="0"/>
        <w:wordWrap/>
        <w:overflowPunct w:val="0"/>
        <w:bidi w:val="0"/>
        <w:adjustRightInd w:val="0"/>
        <w:snapToGrid w:val="0"/>
        <w:spacing w:after="0"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本项目尾矿水先自流至新建回水池</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再通过新建回水泵站泵送至选矿厂现有高位水池</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作为生产用水循环使用</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无废水排放；西沙德盖钼业公司现有选矿厂采用单一磁选工艺</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不添加任何药剂</w:t>
      </w:r>
      <w:r>
        <w:rPr>
          <w:rFonts w:hint="default" w:ascii="Times New Roman" w:hAnsi="Times New Roman" w:eastAsia="宋体" w:cs="Times New Roman"/>
          <w:color w:val="auto"/>
          <w:sz w:val="24"/>
          <w:highlight w:val="none"/>
          <w:lang w:eastAsia="zh-CN"/>
        </w:rPr>
        <w:t>，尾矿水</w:t>
      </w:r>
      <w:r>
        <w:rPr>
          <w:rFonts w:hint="default" w:ascii="Times New Roman" w:hAnsi="Times New Roman" w:eastAsia="宋体" w:cs="Times New Roman"/>
          <w:color w:val="auto"/>
          <w:sz w:val="24"/>
          <w:highlight w:val="none"/>
        </w:rPr>
        <w:t>中主要污染物为SS</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水质较为简单。</w:t>
      </w:r>
    </w:p>
    <w:p>
      <w:pPr>
        <w:pStyle w:val="21"/>
        <w:pageBreakBefore w:val="0"/>
        <w:kinsoku w:val="0"/>
        <w:wordWrap/>
        <w:overflowPunct w:val="0"/>
        <w:bidi w:val="0"/>
        <w:adjustRightInd w:val="0"/>
        <w:snapToGrid w:val="0"/>
        <w:spacing w:after="0" w:line="360" w:lineRule="auto"/>
        <w:ind w:left="0" w:leftChars="0" w:right="0" w:rightChars="0" w:firstLine="456" w:firstLineChars="200"/>
        <w:rPr>
          <w:rFonts w:hint="default" w:ascii="Times New Roman" w:hAnsi="Times New Roman" w:eastAsia="宋体" w:cs="Times New Roman"/>
          <w:color w:val="auto"/>
          <w:spacing w:val="-6"/>
          <w:sz w:val="24"/>
          <w:highlight w:val="none"/>
        </w:rPr>
      </w:pPr>
      <w:r>
        <w:rPr>
          <w:rFonts w:hint="default" w:ascii="Times New Roman" w:hAnsi="Times New Roman" w:eastAsia="宋体" w:cs="Times New Roman"/>
          <w:color w:val="auto"/>
          <w:spacing w:val="-6"/>
          <w:sz w:val="24"/>
          <w:highlight w:val="none"/>
        </w:rPr>
        <w:t>根据</w:t>
      </w:r>
      <w:r>
        <w:rPr>
          <w:rFonts w:hint="default" w:ascii="Times New Roman" w:hAnsi="Times New Roman" w:eastAsia="宋体" w:cs="Times New Roman"/>
          <w:color w:val="auto"/>
          <w:spacing w:val="-6"/>
          <w:sz w:val="24"/>
          <w:highlight w:val="none"/>
          <w:lang w:eastAsia="zh-CN"/>
        </w:rPr>
        <w:t>内蒙古</w:t>
      </w:r>
      <w:r>
        <w:rPr>
          <w:rFonts w:hint="default" w:ascii="Times New Roman" w:hAnsi="Times New Roman" w:eastAsia="宋体" w:cs="Times New Roman"/>
          <w:color w:val="auto"/>
          <w:spacing w:val="-6"/>
          <w:sz w:val="24"/>
          <w:highlight w:val="none"/>
          <w:lang w:val="en-US" w:eastAsia="zh-CN"/>
        </w:rPr>
        <w:t>路易精普检测科技有限公司</w:t>
      </w:r>
      <w:r>
        <w:rPr>
          <w:rFonts w:hint="default" w:ascii="Times New Roman" w:hAnsi="Times New Roman" w:eastAsia="宋体" w:cs="Times New Roman"/>
          <w:color w:val="auto"/>
          <w:spacing w:val="-6"/>
          <w:sz w:val="24"/>
          <w:highlight w:val="none"/>
          <w:lang w:eastAsia="zh-CN"/>
        </w:rPr>
        <w:t>于</w:t>
      </w:r>
      <w:r>
        <w:rPr>
          <w:rFonts w:hint="default" w:ascii="Times New Roman" w:hAnsi="Times New Roman" w:eastAsia="宋体" w:cs="Times New Roman"/>
          <w:color w:val="auto"/>
          <w:spacing w:val="-6"/>
          <w:sz w:val="24"/>
          <w:highlight w:val="none"/>
          <w:lang w:val="en-US" w:eastAsia="zh-CN"/>
        </w:rPr>
        <w:t>2023年8月10日出具的</w:t>
      </w:r>
      <w:r>
        <w:rPr>
          <w:rFonts w:hint="default" w:ascii="Times New Roman" w:hAnsi="Times New Roman" w:eastAsia="宋体" w:cs="Times New Roman"/>
          <w:color w:val="auto"/>
          <w:spacing w:val="-6"/>
          <w:sz w:val="24"/>
          <w:highlight w:val="none"/>
        </w:rPr>
        <w:t>尾矿废水的监测分析报告</w:t>
      </w:r>
      <w:r>
        <w:rPr>
          <w:rFonts w:hint="default" w:ascii="Times New Roman" w:hAnsi="Times New Roman" w:eastAsia="宋体" w:cs="Times New Roman"/>
          <w:color w:val="auto"/>
          <w:spacing w:val="-6"/>
          <w:sz w:val="24"/>
          <w:highlight w:val="none"/>
          <w:lang w:eastAsia="zh-CN"/>
        </w:rPr>
        <w:t>，</w:t>
      </w:r>
      <w:r>
        <w:rPr>
          <w:rFonts w:hint="default" w:ascii="Times New Roman" w:hAnsi="Times New Roman" w:eastAsia="宋体" w:cs="Times New Roman"/>
          <w:color w:val="auto"/>
          <w:spacing w:val="-6"/>
          <w:sz w:val="24"/>
          <w:highlight w:val="none"/>
        </w:rPr>
        <w:t>监测分析结果见表</w:t>
      </w:r>
      <w:r>
        <w:rPr>
          <w:rFonts w:hint="default" w:ascii="Times New Roman" w:hAnsi="Times New Roman" w:eastAsia="宋体" w:cs="Times New Roman"/>
          <w:color w:val="auto"/>
          <w:spacing w:val="-6"/>
          <w:sz w:val="24"/>
          <w:highlight w:val="none"/>
          <w:lang w:val="en-US" w:eastAsia="zh-CN"/>
        </w:rPr>
        <w:t>8-2</w:t>
      </w:r>
      <w:r>
        <w:rPr>
          <w:rFonts w:hint="default" w:ascii="Times New Roman" w:hAnsi="Times New Roman" w:eastAsia="宋体" w:cs="Times New Roman"/>
          <w:color w:val="auto"/>
          <w:spacing w:val="-6"/>
          <w:sz w:val="24"/>
          <w:highlight w:val="none"/>
        </w:rPr>
        <w:t>。</w:t>
      </w:r>
    </w:p>
    <w:p>
      <w:pPr>
        <w:pStyle w:val="21"/>
        <w:pageBreakBefore w:val="0"/>
        <w:kinsoku w:val="0"/>
        <w:wordWrap/>
        <w:overflowPunct w:val="0"/>
        <w:bidi w:val="0"/>
        <w:spacing w:after="0" w:line="360" w:lineRule="auto"/>
        <w:ind w:left="0" w:leftChars="0" w:right="0" w:rightChars="0" w:firstLine="458" w:firstLineChars="200"/>
        <w:jc w:val="center"/>
        <w:rPr>
          <w:rFonts w:hint="default" w:ascii="Times New Roman" w:hAnsi="Times New Roman" w:eastAsia="宋体" w:cs="Times New Roman"/>
          <w:b/>
          <w:color w:val="auto"/>
          <w:spacing w:val="-6"/>
          <w:sz w:val="24"/>
          <w:highlight w:val="none"/>
        </w:rPr>
      </w:pPr>
      <w:r>
        <w:rPr>
          <w:rFonts w:hint="default" w:ascii="Times New Roman" w:hAnsi="Times New Roman" w:eastAsia="宋体" w:cs="Times New Roman"/>
          <w:b/>
          <w:color w:val="auto"/>
          <w:spacing w:val="-6"/>
          <w:sz w:val="24"/>
          <w:highlight w:val="none"/>
        </w:rPr>
        <w:t>表</w:t>
      </w:r>
      <w:r>
        <w:rPr>
          <w:rFonts w:hint="default" w:ascii="Times New Roman" w:hAnsi="Times New Roman" w:eastAsia="宋体" w:cs="Times New Roman"/>
          <w:b/>
          <w:color w:val="auto"/>
          <w:spacing w:val="-6"/>
          <w:sz w:val="24"/>
          <w:highlight w:val="none"/>
          <w:lang w:val="en-US" w:eastAsia="zh-CN"/>
        </w:rPr>
        <w:t>8-2</w:t>
      </w:r>
      <w:r>
        <w:rPr>
          <w:rFonts w:hint="default" w:ascii="Times New Roman" w:hAnsi="Times New Roman" w:eastAsia="宋体" w:cs="Times New Roman"/>
          <w:b/>
          <w:color w:val="auto"/>
          <w:spacing w:val="-6"/>
          <w:sz w:val="24"/>
          <w:highlight w:val="none"/>
        </w:rPr>
        <w:t>矿库</w:t>
      </w:r>
      <w:r>
        <w:rPr>
          <w:rFonts w:hint="default" w:ascii="Times New Roman" w:hAnsi="Times New Roman" w:eastAsia="宋体" w:cs="Times New Roman"/>
          <w:b/>
          <w:color w:val="auto"/>
          <w:spacing w:val="-6"/>
          <w:sz w:val="24"/>
          <w:highlight w:val="none"/>
          <w:lang w:eastAsia="zh-CN"/>
        </w:rPr>
        <w:t>尾矿水</w:t>
      </w:r>
      <w:r>
        <w:rPr>
          <w:rFonts w:hint="default" w:ascii="Times New Roman" w:hAnsi="Times New Roman" w:eastAsia="宋体" w:cs="Times New Roman"/>
          <w:b/>
          <w:color w:val="auto"/>
          <w:spacing w:val="-6"/>
          <w:sz w:val="24"/>
          <w:highlight w:val="none"/>
        </w:rPr>
        <w:t>水质情况</w:t>
      </w:r>
    </w:p>
    <w:tbl>
      <w:tblPr>
        <w:tblStyle w:val="54"/>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
      <w:tblGrid>
        <w:gridCol w:w="1044"/>
        <w:gridCol w:w="1134"/>
        <w:gridCol w:w="1931"/>
        <w:gridCol w:w="2524"/>
        <w:gridCol w:w="172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1045"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序号</w:t>
            </w:r>
          </w:p>
        </w:tc>
        <w:tc>
          <w:tcPr>
            <w:tcW w:w="1135"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lang w:val="en-US" w:eastAsia="zh-CN"/>
              </w:rPr>
              <w:t>送样</w:t>
            </w:r>
            <w:r>
              <w:rPr>
                <w:rFonts w:hint="default" w:ascii="Times New Roman" w:hAnsi="Times New Roman" w:eastAsia="宋体" w:cs="Times New Roman"/>
                <w:b/>
                <w:color w:val="auto"/>
                <w:szCs w:val="21"/>
                <w:highlight w:val="none"/>
              </w:rPr>
              <w:t>时间</w:t>
            </w:r>
          </w:p>
        </w:tc>
        <w:tc>
          <w:tcPr>
            <w:tcW w:w="1933"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分析项目</w:t>
            </w:r>
          </w:p>
        </w:tc>
        <w:tc>
          <w:tcPr>
            <w:tcW w:w="2526"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分析结果</w:t>
            </w:r>
          </w:p>
        </w:tc>
        <w:tc>
          <w:tcPr>
            <w:tcW w:w="1730"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单位</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1045"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1</w:t>
            </w:r>
          </w:p>
        </w:tc>
        <w:tc>
          <w:tcPr>
            <w:tcW w:w="1135" w:type="dxa"/>
            <w:vMerge w:val="restart"/>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2023年8月10日</w:t>
            </w:r>
          </w:p>
        </w:tc>
        <w:tc>
          <w:tcPr>
            <w:tcW w:w="1933"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pH</w:t>
            </w:r>
          </w:p>
        </w:tc>
        <w:tc>
          <w:tcPr>
            <w:tcW w:w="2526"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7.9</w:t>
            </w:r>
          </w:p>
        </w:tc>
        <w:tc>
          <w:tcPr>
            <w:tcW w:w="1730"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无量纲</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1045"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rPr>
              <w:t>2</w:t>
            </w:r>
          </w:p>
        </w:tc>
        <w:tc>
          <w:tcPr>
            <w:tcW w:w="1135" w:type="dxa"/>
            <w:vMerge w:val="continue"/>
            <w:tcBorders>
              <w:left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rPr>
            </w:pPr>
          </w:p>
        </w:tc>
        <w:tc>
          <w:tcPr>
            <w:tcW w:w="1933"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rPr>
              <w:t>氨氮</w:t>
            </w:r>
          </w:p>
        </w:tc>
        <w:tc>
          <w:tcPr>
            <w:tcW w:w="2526"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0.956</w:t>
            </w:r>
          </w:p>
        </w:tc>
        <w:tc>
          <w:tcPr>
            <w:tcW w:w="1730"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rPr>
              <w:t>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1045"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rPr>
              <w:t>3</w:t>
            </w:r>
          </w:p>
        </w:tc>
        <w:tc>
          <w:tcPr>
            <w:tcW w:w="1135" w:type="dxa"/>
            <w:vMerge w:val="continue"/>
            <w:tcBorders>
              <w:left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rPr>
            </w:pPr>
          </w:p>
        </w:tc>
        <w:tc>
          <w:tcPr>
            <w:tcW w:w="1933"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生化需氧量</w:t>
            </w:r>
          </w:p>
        </w:tc>
        <w:tc>
          <w:tcPr>
            <w:tcW w:w="2526"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3.0</w:t>
            </w:r>
          </w:p>
        </w:tc>
        <w:tc>
          <w:tcPr>
            <w:tcW w:w="1730"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1045"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rPr>
              <w:t>4</w:t>
            </w:r>
          </w:p>
        </w:tc>
        <w:tc>
          <w:tcPr>
            <w:tcW w:w="1135" w:type="dxa"/>
            <w:vMerge w:val="continue"/>
            <w:tcBorders>
              <w:left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rPr>
            </w:pPr>
          </w:p>
        </w:tc>
        <w:tc>
          <w:tcPr>
            <w:tcW w:w="1933"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化学需氧量</w:t>
            </w:r>
          </w:p>
        </w:tc>
        <w:tc>
          <w:tcPr>
            <w:tcW w:w="2526"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56</w:t>
            </w:r>
          </w:p>
        </w:tc>
        <w:tc>
          <w:tcPr>
            <w:tcW w:w="1730"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1045"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rPr>
              <w:t>5</w:t>
            </w:r>
          </w:p>
        </w:tc>
        <w:tc>
          <w:tcPr>
            <w:tcW w:w="1135" w:type="dxa"/>
            <w:vMerge w:val="continue"/>
            <w:tcBorders>
              <w:left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rPr>
            </w:pPr>
          </w:p>
        </w:tc>
        <w:tc>
          <w:tcPr>
            <w:tcW w:w="1933"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阴离子表面活性剂</w:t>
            </w:r>
          </w:p>
        </w:tc>
        <w:tc>
          <w:tcPr>
            <w:tcW w:w="2526"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0.333</w:t>
            </w:r>
          </w:p>
        </w:tc>
        <w:tc>
          <w:tcPr>
            <w:tcW w:w="1730"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1045"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rPr>
              <w:t>6</w:t>
            </w:r>
          </w:p>
        </w:tc>
        <w:tc>
          <w:tcPr>
            <w:tcW w:w="1135" w:type="dxa"/>
            <w:vMerge w:val="continue"/>
            <w:tcBorders>
              <w:left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rPr>
            </w:pPr>
          </w:p>
        </w:tc>
        <w:tc>
          <w:tcPr>
            <w:tcW w:w="1933"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氯化物</w:t>
            </w:r>
          </w:p>
        </w:tc>
        <w:tc>
          <w:tcPr>
            <w:tcW w:w="2526"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17</w:t>
            </w:r>
          </w:p>
        </w:tc>
        <w:tc>
          <w:tcPr>
            <w:tcW w:w="1730"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1045"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rPr>
              <w:t>7</w:t>
            </w:r>
          </w:p>
        </w:tc>
        <w:tc>
          <w:tcPr>
            <w:tcW w:w="1135" w:type="dxa"/>
            <w:vMerge w:val="continue"/>
            <w:tcBorders>
              <w:left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rPr>
            </w:pPr>
          </w:p>
        </w:tc>
        <w:tc>
          <w:tcPr>
            <w:tcW w:w="1933"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lang w:eastAsia="zh-CN"/>
              </w:rPr>
              <w:t>氟化物</w:t>
            </w:r>
          </w:p>
        </w:tc>
        <w:tc>
          <w:tcPr>
            <w:tcW w:w="2526"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13.3</w:t>
            </w:r>
          </w:p>
        </w:tc>
        <w:tc>
          <w:tcPr>
            <w:tcW w:w="1730"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1045"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rPr>
              <w:t>8</w:t>
            </w:r>
          </w:p>
        </w:tc>
        <w:tc>
          <w:tcPr>
            <w:tcW w:w="1135" w:type="dxa"/>
            <w:vMerge w:val="continue"/>
            <w:tcBorders>
              <w:left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rPr>
            </w:pPr>
          </w:p>
        </w:tc>
        <w:tc>
          <w:tcPr>
            <w:tcW w:w="1933"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硫酸盐</w:t>
            </w:r>
          </w:p>
        </w:tc>
        <w:tc>
          <w:tcPr>
            <w:tcW w:w="2526"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180</w:t>
            </w:r>
          </w:p>
        </w:tc>
        <w:tc>
          <w:tcPr>
            <w:tcW w:w="1730"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1045"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rPr>
              <w:t>9</w:t>
            </w:r>
          </w:p>
        </w:tc>
        <w:tc>
          <w:tcPr>
            <w:tcW w:w="1135" w:type="dxa"/>
            <w:vMerge w:val="continue"/>
            <w:tcBorders>
              <w:left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rPr>
            </w:pPr>
          </w:p>
        </w:tc>
        <w:tc>
          <w:tcPr>
            <w:tcW w:w="1933"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lang w:eastAsia="zh-CN"/>
              </w:rPr>
              <w:t>总磷</w:t>
            </w:r>
          </w:p>
        </w:tc>
        <w:tc>
          <w:tcPr>
            <w:tcW w:w="2526"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0.05</w:t>
            </w:r>
          </w:p>
        </w:tc>
        <w:tc>
          <w:tcPr>
            <w:tcW w:w="1730"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1045"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rPr>
              <w:t>10</w:t>
            </w:r>
          </w:p>
        </w:tc>
        <w:tc>
          <w:tcPr>
            <w:tcW w:w="1135" w:type="dxa"/>
            <w:vMerge w:val="continue"/>
            <w:tcBorders>
              <w:left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rPr>
            </w:pPr>
          </w:p>
        </w:tc>
        <w:tc>
          <w:tcPr>
            <w:tcW w:w="1933"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溶解性总固体</w:t>
            </w:r>
          </w:p>
        </w:tc>
        <w:tc>
          <w:tcPr>
            <w:tcW w:w="2526"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760</w:t>
            </w:r>
          </w:p>
        </w:tc>
        <w:tc>
          <w:tcPr>
            <w:tcW w:w="1730"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1045"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rPr>
              <w:t>11</w:t>
            </w:r>
          </w:p>
        </w:tc>
        <w:tc>
          <w:tcPr>
            <w:tcW w:w="1135" w:type="dxa"/>
            <w:vMerge w:val="continue"/>
            <w:tcBorders>
              <w:left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rPr>
            </w:pPr>
          </w:p>
        </w:tc>
        <w:tc>
          <w:tcPr>
            <w:tcW w:w="1933"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色度</w:t>
            </w:r>
          </w:p>
        </w:tc>
        <w:tc>
          <w:tcPr>
            <w:tcW w:w="2526"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5</w:t>
            </w:r>
          </w:p>
        </w:tc>
        <w:tc>
          <w:tcPr>
            <w:tcW w:w="1730"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lang w:val="en-US" w:eastAsia="zh-CN"/>
              </w:rPr>
              <w:t>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1045"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rPr>
              <w:t>12</w:t>
            </w:r>
          </w:p>
        </w:tc>
        <w:tc>
          <w:tcPr>
            <w:tcW w:w="1135" w:type="dxa"/>
            <w:vMerge w:val="continue"/>
            <w:tcBorders>
              <w:left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rPr>
            </w:pPr>
          </w:p>
        </w:tc>
        <w:tc>
          <w:tcPr>
            <w:tcW w:w="1933"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浊度</w:t>
            </w:r>
          </w:p>
        </w:tc>
        <w:tc>
          <w:tcPr>
            <w:tcW w:w="2526"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4</w:t>
            </w:r>
          </w:p>
        </w:tc>
        <w:tc>
          <w:tcPr>
            <w:tcW w:w="1730"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lang w:val="en-US" w:eastAsia="zh-CN"/>
              </w:rPr>
              <w:t>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1045"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rPr>
              <w:t>13</w:t>
            </w:r>
          </w:p>
        </w:tc>
        <w:tc>
          <w:tcPr>
            <w:tcW w:w="1135" w:type="dxa"/>
            <w:vMerge w:val="continue"/>
            <w:tcBorders>
              <w:left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rPr>
            </w:pPr>
          </w:p>
        </w:tc>
        <w:tc>
          <w:tcPr>
            <w:tcW w:w="1933"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总硬度</w:t>
            </w:r>
          </w:p>
        </w:tc>
        <w:tc>
          <w:tcPr>
            <w:tcW w:w="2526"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414</w:t>
            </w:r>
          </w:p>
        </w:tc>
        <w:tc>
          <w:tcPr>
            <w:tcW w:w="1730"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1045"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rPr>
              <w:t>14</w:t>
            </w:r>
          </w:p>
        </w:tc>
        <w:tc>
          <w:tcPr>
            <w:tcW w:w="1135" w:type="dxa"/>
            <w:vMerge w:val="continue"/>
            <w:tcBorders>
              <w:left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rPr>
            </w:pPr>
          </w:p>
        </w:tc>
        <w:tc>
          <w:tcPr>
            <w:tcW w:w="1933"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总碱度</w:t>
            </w:r>
          </w:p>
        </w:tc>
        <w:tc>
          <w:tcPr>
            <w:tcW w:w="2526"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118</w:t>
            </w:r>
          </w:p>
        </w:tc>
        <w:tc>
          <w:tcPr>
            <w:tcW w:w="1730"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1045"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rPr>
              <w:t>15</w:t>
            </w:r>
          </w:p>
        </w:tc>
        <w:tc>
          <w:tcPr>
            <w:tcW w:w="1135" w:type="dxa"/>
            <w:vMerge w:val="continue"/>
            <w:tcBorders>
              <w:left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rPr>
            </w:pPr>
          </w:p>
        </w:tc>
        <w:tc>
          <w:tcPr>
            <w:tcW w:w="1933"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粪大肠菌群</w:t>
            </w:r>
          </w:p>
        </w:tc>
        <w:tc>
          <w:tcPr>
            <w:tcW w:w="2526"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120</w:t>
            </w:r>
          </w:p>
        </w:tc>
        <w:tc>
          <w:tcPr>
            <w:tcW w:w="1730"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1045"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rPr>
              <w:t>16</w:t>
            </w:r>
          </w:p>
        </w:tc>
        <w:tc>
          <w:tcPr>
            <w:tcW w:w="1135" w:type="dxa"/>
            <w:vMerge w:val="continue"/>
            <w:tcBorders>
              <w:left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rPr>
            </w:pPr>
          </w:p>
        </w:tc>
        <w:tc>
          <w:tcPr>
            <w:tcW w:w="1933"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石油类</w:t>
            </w:r>
          </w:p>
        </w:tc>
        <w:tc>
          <w:tcPr>
            <w:tcW w:w="2526"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0.48</w:t>
            </w:r>
          </w:p>
        </w:tc>
        <w:tc>
          <w:tcPr>
            <w:tcW w:w="1730"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1045"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rPr>
              <w:t>17</w:t>
            </w:r>
          </w:p>
        </w:tc>
        <w:tc>
          <w:tcPr>
            <w:tcW w:w="1135" w:type="dxa"/>
            <w:vMerge w:val="continue"/>
            <w:tcBorders>
              <w:left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rPr>
            </w:pPr>
          </w:p>
        </w:tc>
        <w:tc>
          <w:tcPr>
            <w:tcW w:w="1933"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rPr>
              <w:t>铁</w:t>
            </w:r>
          </w:p>
        </w:tc>
        <w:tc>
          <w:tcPr>
            <w:tcW w:w="2526"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0.153</w:t>
            </w:r>
          </w:p>
        </w:tc>
        <w:tc>
          <w:tcPr>
            <w:tcW w:w="1730"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1045"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rPr>
              <w:t>18</w:t>
            </w:r>
          </w:p>
        </w:tc>
        <w:tc>
          <w:tcPr>
            <w:tcW w:w="1135" w:type="dxa"/>
            <w:vMerge w:val="continue"/>
            <w:tcBorders>
              <w:left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rPr>
            </w:pPr>
          </w:p>
        </w:tc>
        <w:tc>
          <w:tcPr>
            <w:tcW w:w="1933"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rPr>
              <w:t>锰</w:t>
            </w:r>
          </w:p>
        </w:tc>
        <w:tc>
          <w:tcPr>
            <w:tcW w:w="2526"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0.0152</w:t>
            </w:r>
          </w:p>
        </w:tc>
        <w:tc>
          <w:tcPr>
            <w:tcW w:w="1730"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1045"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rPr>
              <w:t>19</w:t>
            </w:r>
          </w:p>
        </w:tc>
        <w:tc>
          <w:tcPr>
            <w:tcW w:w="1135" w:type="dxa"/>
            <w:vMerge w:val="continue"/>
            <w:tcBorders>
              <w:left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rPr>
            </w:pPr>
          </w:p>
        </w:tc>
        <w:tc>
          <w:tcPr>
            <w:tcW w:w="1933"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rPr>
              <w:t>铅</w:t>
            </w:r>
          </w:p>
        </w:tc>
        <w:tc>
          <w:tcPr>
            <w:tcW w:w="2526"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eastAsia="宋体" w:cs="Times New Roman"/>
                <w:b w:val="0"/>
                <w:bCs w:val="0"/>
                <w:color w:val="auto"/>
                <w:szCs w:val="21"/>
                <w:highlight w:val="none"/>
                <w:lang w:val="en-US" w:eastAsia="zh-CN"/>
              </w:rPr>
              <w:t>2.34×10</w:t>
            </w:r>
            <w:r>
              <w:rPr>
                <w:rFonts w:hint="default" w:ascii="Times New Roman" w:hAnsi="Times New Roman" w:eastAsia="宋体" w:cs="Times New Roman"/>
                <w:b w:val="0"/>
                <w:bCs w:val="0"/>
                <w:color w:val="auto"/>
                <w:szCs w:val="21"/>
                <w:highlight w:val="none"/>
                <w:vertAlign w:val="superscript"/>
                <w:lang w:val="en-US" w:eastAsia="zh-CN"/>
              </w:rPr>
              <w:t>-3</w:t>
            </w:r>
          </w:p>
        </w:tc>
        <w:tc>
          <w:tcPr>
            <w:tcW w:w="1730"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rPr>
            </w:pPr>
            <w:r>
              <w:rPr>
                <w:rFonts w:hint="default" w:ascii="Times New Roman" w:hAnsi="Times New Roman" w:eastAsia="宋体" w:cs="Times New Roman"/>
                <w:b w:val="0"/>
                <w:bCs w:val="0"/>
                <w:color w:val="auto"/>
                <w:szCs w:val="21"/>
                <w:highlight w:val="none"/>
              </w:rPr>
              <w:t>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1045"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rPr>
              <w:t>20</w:t>
            </w:r>
          </w:p>
        </w:tc>
        <w:tc>
          <w:tcPr>
            <w:tcW w:w="1135" w:type="dxa"/>
            <w:vMerge w:val="continue"/>
            <w:tcBorders>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szCs w:val="21"/>
                <w:highlight w:val="none"/>
              </w:rPr>
            </w:pPr>
          </w:p>
        </w:tc>
        <w:tc>
          <w:tcPr>
            <w:tcW w:w="1933"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钼</w:t>
            </w:r>
          </w:p>
        </w:tc>
        <w:tc>
          <w:tcPr>
            <w:tcW w:w="2526"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10.9</w:t>
            </w:r>
          </w:p>
        </w:tc>
        <w:tc>
          <w:tcPr>
            <w:tcW w:w="1730" w:type="dxa"/>
            <w:tcBorders>
              <w:top w:val="single" w:color="auto" w:sz="4" w:space="0"/>
              <w:left w:val="single" w:color="auto" w:sz="4" w:space="0"/>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Cs w:val="21"/>
                <w:highlight w:val="none"/>
              </w:rPr>
              <w:t>mg/L</w:t>
            </w:r>
          </w:p>
        </w:tc>
      </w:tr>
    </w:tbl>
    <w:p>
      <w:pPr>
        <w:pageBreakBefore w:val="0"/>
        <w:wordWrap/>
        <w:bidi w:val="0"/>
        <w:spacing w:line="360" w:lineRule="auto"/>
        <w:ind w:left="0" w:leftChars="0" w:right="0" w:rightChars="0" w:firstLine="480" w:firstLineChars="200"/>
        <w:outlineLvl w:val="0"/>
        <w:rPr>
          <w:rFonts w:hint="default" w:ascii="Times New Roman" w:hAnsi="Times New Roman" w:eastAsia="宋体" w:cs="Times New Roman"/>
          <w:color w:val="auto"/>
          <w:sz w:val="24"/>
          <w:highlight w:val="none"/>
        </w:rPr>
      </w:pPr>
      <w:bookmarkStart w:id="1108" w:name="_Toc20497"/>
      <w:bookmarkStart w:id="1109" w:name="_Toc22112"/>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3</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尾矿库环境风险防控及应急措施</w:t>
      </w:r>
      <w:bookmarkEnd w:id="1108"/>
      <w:bookmarkEnd w:id="1109"/>
    </w:p>
    <w:p>
      <w:pPr>
        <w:pStyle w:val="35"/>
        <w:pageBreakBefore w:val="0"/>
        <w:wordWrap/>
        <w:bidi w:val="0"/>
        <w:spacing w:after="0" w:line="360" w:lineRule="auto"/>
        <w:ind w:left="0" w:leftChars="0" w:right="0" w:rightChars="0" w:firstLine="480" w:firstLineChars="200"/>
        <w:outlineLvl w:val="1"/>
        <w:rPr>
          <w:rFonts w:hint="default" w:ascii="Times New Roman" w:hAnsi="Times New Roman" w:eastAsia="宋体" w:cs="Times New Roman"/>
          <w:color w:val="auto"/>
          <w:sz w:val="24"/>
          <w:highlight w:val="none"/>
        </w:rPr>
      </w:pPr>
      <w:bookmarkStart w:id="1110" w:name="_Toc22381"/>
      <w:bookmarkStart w:id="1111" w:name="_Toc3207"/>
      <w:r>
        <w:rPr>
          <w:rFonts w:hint="default" w:ascii="Times New Roman" w:hAnsi="Times New Roman" w:eastAsia="宋体" w:cs="Times New Roman"/>
          <w:color w:val="auto"/>
          <w:sz w:val="24"/>
          <w:highlight w:val="none"/>
        </w:rPr>
        <w:t>1</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环境风险防控及应急措施</w:t>
      </w:r>
      <w:bookmarkEnd w:id="1110"/>
      <w:bookmarkEnd w:id="1111"/>
    </w:p>
    <w:p>
      <w:pPr>
        <w:pStyle w:val="35"/>
        <w:pageBreakBefore w:val="0"/>
        <w:wordWrap/>
        <w:bidi w:val="0"/>
        <w:spacing w:after="0"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尾矿库环境风险防控及应急设施包括排洪系统、排渗设施及安全监测设施</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见表8-</w:t>
      </w:r>
      <w:r>
        <w:rPr>
          <w:rFonts w:hint="default" w:ascii="Times New Roman" w:hAnsi="Times New Roman" w:eastAsia="宋体" w:cs="Times New Roman"/>
          <w:color w:val="auto"/>
          <w:sz w:val="24"/>
          <w:highlight w:val="none"/>
          <w:lang w:val="en-US" w:eastAsia="zh-CN"/>
        </w:rPr>
        <w:t>3</w:t>
      </w:r>
      <w:r>
        <w:rPr>
          <w:rFonts w:hint="default" w:ascii="Times New Roman" w:hAnsi="Times New Roman" w:eastAsia="宋体" w:cs="Times New Roman"/>
          <w:color w:val="auto"/>
          <w:sz w:val="24"/>
          <w:highlight w:val="none"/>
        </w:rPr>
        <w:t>。</w:t>
      </w:r>
    </w:p>
    <w:p>
      <w:pPr>
        <w:pageBreakBefore w:val="0"/>
        <w:tabs>
          <w:tab w:val="left" w:pos="3062"/>
        </w:tabs>
        <w:wordWrap/>
        <w:bidi w:val="0"/>
        <w:spacing w:line="360" w:lineRule="auto"/>
        <w:ind w:left="0" w:leftChars="0" w:right="0" w:rightChars="0"/>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表8-</w:t>
      </w:r>
      <w:r>
        <w:rPr>
          <w:rFonts w:hint="default" w:ascii="Times New Roman" w:hAnsi="Times New Roman" w:eastAsia="宋体" w:cs="Times New Roman"/>
          <w:b/>
          <w:bCs/>
          <w:color w:val="auto"/>
          <w:sz w:val="24"/>
          <w:highlight w:val="none"/>
          <w:lang w:val="en-US" w:eastAsia="zh-CN"/>
        </w:rPr>
        <w:t>3</w:t>
      </w:r>
      <w:r>
        <w:rPr>
          <w:rFonts w:hint="default" w:ascii="Times New Roman" w:hAnsi="Times New Roman" w:eastAsia="宋体" w:cs="Times New Roman"/>
          <w:b/>
          <w:bCs/>
          <w:color w:val="auto"/>
          <w:sz w:val="24"/>
          <w:highlight w:val="none"/>
        </w:rPr>
        <w:t>尾矿库风险防控与应急设施一览表</w:t>
      </w:r>
    </w:p>
    <w:tbl>
      <w:tblPr>
        <w:tblStyle w:val="54"/>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390"/>
        <w:gridCol w:w="1188"/>
        <w:gridCol w:w="673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35" w:type="pct"/>
            <w:tcBorders>
              <w:top w:val="single" w:color="auto" w:sz="4" w:space="0"/>
              <w:left w:val="single" w:color="auto" w:sz="4" w:space="0"/>
            </w:tcBorders>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序号</w:t>
            </w:r>
          </w:p>
        </w:tc>
        <w:tc>
          <w:tcPr>
            <w:tcW w:w="714" w:type="pct"/>
            <w:tcBorders>
              <w:top w:val="single" w:color="auto" w:sz="4" w:space="0"/>
            </w:tcBorders>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应急措施</w:t>
            </w:r>
          </w:p>
        </w:tc>
        <w:tc>
          <w:tcPr>
            <w:tcW w:w="4051" w:type="pct"/>
            <w:tcBorders>
              <w:top w:val="single" w:color="auto" w:sz="4" w:space="0"/>
              <w:right w:val="single" w:color="auto" w:sz="4" w:space="0"/>
            </w:tcBorders>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布置位置技术数量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35" w:type="pct"/>
            <w:tcBorders>
              <w:left w:val="single" w:color="auto" w:sz="4" w:space="0"/>
            </w:tcBorders>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714" w:type="pct"/>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排洪系统</w:t>
            </w:r>
          </w:p>
        </w:tc>
        <w:tc>
          <w:tcPr>
            <w:tcW w:w="4051" w:type="pct"/>
            <w:tcBorders>
              <w:right w:val="single" w:color="auto" w:sz="4" w:space="0"/>
            </w:tcBorders>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排洪方式采用库内溢洪道系统</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沿库区西侧山坡新建溢洪道系统</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将现有排洪系统进行安全封堵。尾矿库运行期间</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在每年汛期之前沿西侧山坡修筑临时排水明渠</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将库内水引流至溢洪道内</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临时排水明渠断面尺寸为B×H=2m×2m</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新建溢洪道为开敞式溢洪道</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由进口引水渠、溢流堰、泄槽段和消力出口段组成</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溢洪道底板铺设C20混凝土层</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厚200mm。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35" w:type="pct"/>
            <w:tcBorders>
              <w:left w:val="single" w:color="auto" w:sz="4" w:space="0"/>
            </w:tcBorders>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tc>
        <w:tc>
          <w:tcPr>
            <w:tcW w:w="714" w:type="pct"/>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排渗设施</w:t>
            </w:r>
          </w:p>
        </w:tc>
        <w:tc>
          <w:tcPr>
            <w:tcW w:w="4051" w:type="pct"/>
            <w:tcBorders>
              <w:right w:val="single" w:color="auto" w:sz="4" w:space="0"/>
            </w:tcBorders>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后期堆积排渗方式采用水平排渗设施</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分别在标高▽1860.0m和▽1866.0m滩面上预埋水平排渗设施</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水平排渗设施由土工席垫～导水管组成。排渗设施的结构参数如下</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土工席垫沿平行于坝轴线且距离坝轴线40m处布置</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土工席垫厚20mm、幅宽1.0m</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孔隙率为80%</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伸长率为40%</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抗压强度为6.0kN/m</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为收集土工席垫内部渗水</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在土工席垫内部埋设MY100塑料盲沟管</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土工席垫外包一层200g/m</w:t>
            </w:r>
            <w:r>
              <w:rPr>
                <w:rFonts w:hint="default" w:ascii="Times New Roman" w:hAnsi="Times New Roman" w:eastAsia="宋体" w:cs="Times New Roman"/>
                <w:color w:val="auto"/>
                <w:sz w:val="21"/>
                <w:szCs w:val="21"/>
                <w:highlight w:val="none"/>
                <w:vertAlign w:val="superscript"/>
              </w:rPr>
              <w:t>2</w:t>
            </w:r>
            <w:r>
              <w:rPr>
                <w:rFonts w:hint="default" w:ascii="Times New Roman" w:hAnsi="Times New Roman" w:eastAsia="宋体" w:cs="Times New Roman"/>
                <w:color w:val="auto"/>
                <w:sz w:val="21"/>
                <w:szCs w:val="21"/>
                <w:highlight w:val="none"/>
              </w:rPr>
              <w:t>的土工布。土工席垫～盲沟内的渗水通过水平导水管引至坝外</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水平导水管垂直于坝轴线布置</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内端与盲沟管相接</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外端延伸至初期坝坝顶纵向排水沟内。水平导水管水平间距为15m</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单根长40m</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为PE管</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管径φ75mm</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铺设坡度由库内向坝外坡降为1%。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35" w:type="pct"/>
            <w:tcBorders>
              <w:left w:val="single" w:color="auto" w:sz="4" w:space="0"/>
            </w:tcBorders>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w:t>
            </w:r>
          </w:p>
        </w:tc>
        <w:tc>
          <w:tcPr>
            <w:tcW w:w="714" w:type="pct"/>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安全监测设施</w:t>
            </w:r>
          </w:p>
        </w:tc>
        <w:tc>
          <w:tcPr>
            <w:tcW w:w="4051" w:type="pct"/>
            <w:tcBorders>
              <w:right w:val="single" w:color="auto" w:sz="4" w:space="0"/>
            </w:tcBorders>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根据规范要求和尾矿库实际情况</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在标高▽1848m、▽1860m、▽1866m和▽1874m平台各布置人工位移监测点3处</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在库区山体通视部位且地质稳定区设置位移基准点</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共设置4个点</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观测标点有底板、立柱和标点头三部分组成。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35" w:type="pct"/>
            <w:tcBorders>
              <w:left w:val="single" w:color="auto" w:sz="4" w:space="0"/>
              <w:bottom w:val="single" w:color="auto" w:sz="4" w:space="0"/>
            </w:tcBorders>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w:t>
            </w:r>
          </w:p>
        </w:tc>
        <w:tc>
          <w:tcPr>
            <w:tcW w:w="714" w:type="pct"/>
            <w:tcBorders>
              <w:bottom w:val="single" w:color="auto" w:sz="4" w:space="0"/>
            </w:tcBorders>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辅助设施</w:t>
            </w:r>
          </w:p>
        </w:tc>
        <w:tc>
          <w:tcPr>
            <w:tcW w:w="4051" w:type="pct"/>
            <w:tcBorders>
              <w:bottom w:val="single" w:color="auto" w:sz="4" w:space="0"/>
              <w:right w:val="single" w:color="auto" w:sz="4" w:space="0"/>
            </w:tcBorders>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为便于尾矿库的夜间安全管理</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尾矿坝上设照明系统。照明电源接自回水泵站</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灯杆和线路随子坝上升而移动。根据安全生产管理需要</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在值班室设调度电话各一部</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对讲机2对。</w:t>
            </w:r>
          </w:p>
        </w:tc>
      </w:tr>
    </w:tbl>
    <w:p>
      <w:pPr>
        <w:pageBreakBefore w:val="0"/>
        <w:wordWrap/>
        <w:bidi w:val="0"/>
        <w:spacing w:line="360" w:lineRule="auto"/>
        <w:ind w:left="0" w:leftChars="0" w:right="0" w:rightChars="0" w:firstLine="480" w:firstLineChars="200"/>
        <w:outlineLvl w:val="1"/>
        <w:rPr>
          <w:rFonts w:hint="default" w:ascii="Times New Roman" w:hAnsi="Times New Roman" w:eastAsia="宋体" w:cs="Times New Roman"/>
          <w:color w:val="auto"/>
          <w:sz w:val="24"/>
          <w:highlight w:val="none"/>
        </w:rPr>
      </w:pPr>
      <w:bookmarkStart w:id="1112" w:name="_Toc6052"/>
      <w:bookmarkStart w:id="1113" w:name="_Toc25793"/>
      <w:r>
        <w:rPr>
          <w:rFonts w:hint="default" w:ascii="Times New Roman" w:hAnsi="Times New Roman" w:eastAsia="宋体" w:cs="Times New Roman"/>
          <w:color w:val="auto"/>
          <w:sz w:val="24"/>
          <w:highlight w:val="none"/>
        </w:rPr>
        <w:t>2</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应急物资及装备情况</w:t>
      </w:r>
      <w:bookmarkEnd w:id="1112"/>
      <w:bookmarkEnd w:id="1113"/>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企业应急物资配备情况见表8-</w:t>
      </w:r>
      <w:r>
        <w:rPr>
          <w:rFonts w:hint="default" w:ascii="Times New Roman" w:hAnsi="Times New Roman" w:eastAsia="宋体" w:cs="Times New Roman"/>
          <w:color w:val="auto"/>
          <w:sz w:val="24"/>
          <w:highlight w:val="none"/>
          <w:lang w:val="en-US" w:eastAsia="zh-CN"/>
        </w:rPr>
        <w:t>4</w:t>
      </w:r>
      <w:r>
        <w:rPr>
          <w:rFonts w:hint="default" w:ascii="Times New Roman" w:hAnsi="Times New Roman" w:eastAsia="宋体" w:cs="Times New Roman"/>
          <w:color w:val="auto"/>
          <w:sz w:val="24"/>
          <w:highlight w:val="none"/>
        </w:rPr>
        <w:t>。</w:t>
      </w:r>
    </w:p>
    <w:p>
      <w:pPr>
        <w:pageBreakBefore w:val="0"/>
        <w:tabs>
          <w:tab w:val="left" w:pos="3062"/>
        </w:tabs>
        <w:wordWrap/>
        <w:bidi w:val="0"/>
        <w:spacing w:line="360" w:lineRule="auto"/>
        <w:ind w:left="0" w:leftChars="0" w:right="0" w:rightChars="0" w:firstLine="482" w:firstLineChars="200"/>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表8-</w:t>
      </w:r>
      <w:r>
        <w:rPr>
          <w:rFonts w:hint="default" w:ascii="Times New Roman" w:hAnsi="Times New Roman" w:eastAsia="宋体" w:cs="Times New Roman"/>
          <w:b/>
          <w:bCs/>
          <w:color w:val="auto"/>
          <w:sz w:val="24"/>
          <w:highlight w:val="none"/>
          <w:lang w:val="en-US" w:eastAsia="zh-CN"/>
        </w:rPr>
        <w:t>4</w:t>
      </w:r>
      <w:r>
        <w:rPr>
          <w:rFonts w:hint="default" w:ascii="Times New Roman" w:hAnsi="Times New Roman" w:eastAsia="宋体" w:cs="Times New Roman"/>
          <w:b/>
          <w:bCs/>
          <w:color w:val="auto"/>
          <w:sz w:val="24"/>
          <w:highlight w:val="none"/>
        </w:rPr>
        <w:t>尾矿库风险防控与应急设施一览表</w:t>
      </w:r>
    </w:p>
    <w:tbl>
      <w:tblPr>
        <w:tblStyle w:val="5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
      <w:tblGrid>
        <w:gridCol w:w="1011"/>
        <w:gridCol w:w="1466"/>
        <w:gridCol w:w="1512"/>
        <w:gridCol w:w="1068"/>
        <w:gridCol w:w="1802"/>
        <w:gridCol w:w="14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jc w:val="center"/>
        </w:trPr>
        <w:tc>
          <w:tcPr>
            <w:tcW w:w="1012" w:type="dxa"/>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类别</w:t>
            </w:r>
          </w:p>
        </w:tc>
        <w:tc>
          <w:tcPr>
            <w:tcW w:w="1467" w:type="dxa"/>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名称</w:t>
            </w:r>
          </w:p>
        </w:tc>
        <w:tc>
          <w:tcPr>
            <w:tcW w:w="1513" w:type="dxa"/>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数量</w:t>
            </w:r>
          </w:p>
        </w:tc>
        <w:tc>
          <w:tcPr>
            <w:tcW w:w="1069" w:type="dxa"/>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单位</w:t>
            </w:r>
          </w:p>
        </w:tc>
        <w:tc>
          <w:tcPr>
            <w:tcW w:w="1804" w:type="dxa"/>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存放位置</w:t>
            </w:r>
          </w:p>
        </w:tc>
        <w:tc>
          <w:tcPr>
            <w:tcW w:w="1477" w:type="dxa"/>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保管人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jc w:val="center"/>
        </w:trPr>
        <w:tc>
          <w:tcPr>
            <w:tcW w:w="1012" w:type="dxa"/>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通讯</w:t>
            </w:r>
          </w:p>
        </w:tc>
        <w:tc>
          <w:tcPr>
            <w:tcW w:w="1467"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移动电话</w:t>
            </w:r>
          </w:p>
        </w:tc>
        <w:tc>
          <w:tcPr>
            <w:tcW w:w="1513"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14</w:t>
            </w:r>
          </w:p>
        </w:tc>
        <w:tc>
          <w:tcPr>
            <w:tcW w:w="1069"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个</w:t>
            </w:r>
          </w:p>
        </w:tc>
        <w:tc>
          <w:tcPr>
            <w:tcW w:w="1804"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个人携带</w:t>
            </w:r>
          </w:p>
        </w:tc>
        <w:tc>
          <w:tcPr>
            <w:tcW w:w="1477"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个人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jc w:val="center"/>
        </w:trPr>
        <w:tc>
          <w:tcPr>
            <w:tcW w:w="1012" w:type="dxa"/>
            <w:vMerge w:val="restart"/>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消防器材</w:t>
            </w:r>
          </w:p>
        </w:tc>
        <w:tc>
          <w:tcPr>
            <w:tcW w:w="1467"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铁锹</w:t>
            </w:r>
          </w:p>
        </w:tc>
        <w:tc>
          <w:tcPr>
            <w:tcW w:w="1513"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w:t>
            </w:r>
          </w:p>
        </w:tc>
        <w:tc>
          <w:tcPr>
            <w:tcW w:w="1069"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把</w:t>
            </w:r>
          </w:p>
        </w:tc>
        <w:tc>
          <w:tcPr>
            <w:tcW w:w="1804"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库房</w:t>
            </w:r>
          </w:p>
        </w:tc>
        <w:tc>
          <w:tcPr>
            <w:tcW w:w="1477" w:type="dxa"/>
            <w:vMerge w:val="restar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卓文经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jc w:val="center"/>
        </w:trPr>
        <w:tc>
          <w:tcPr>
            <w:tcW w:w="1012" w:type="dxa"/>
            <w:vMerge w:val="continue"/>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bCs/>
                <w:color w:val="auto"/>
                <w:kern w:val="0"/>
                <w:sz w:val="21"/>
                <w:szCs w:val="21"/>
                <w:highlight w:val="none"/>
              </w:rPr>
            </w:pPr>
          </w:p>
        </w:tc>
        <w:tc>
          <w:tcPr>
            <w:tcW w:w="1467"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手提灭火器</w:t>
            </w:r>
          </w:p>
        </w:tc>
        <w:tc>
          <w:tcPr>
            <w:tcW w:w="1513"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w:t>
            </w:r>
          </w:p>
        </w:tc>
        <w:tc>
          <w:tcPr>
            <w:tcW w:w="1069"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个</w:t>
            </w:r>
          </w:p>
        </w:tc>
        <w:tc>
          <w:tcPr>
            <w:tcW w:w="1804"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厂区各生产单元</w:t>
            </w:r>
          </w:p>
        </w:tc>
        <w:tc>
          <w:tcPr>
            <w:tcW w:w="1477" w:type="dxa"/>
            <w:vMerge w:val="continue"/>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jc w:val="center"/>
        </w:trPr>
        <w:tc>
          <w:tcPr>
            <w:tcW w:w="1012" w:type="dxa"/>
            <w:vMerge w:val="continue"/>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bCs/>
                <w:color w:val="auto"/>
                <w:kern w:val="0"/>
                <w:sz w:val="21"/>
                <w:szCs w:val="21"/>
                <w:highlight w:val="none"/>
              </w:rPr>
            </w:pPr>
          </w:p>
        </w:tc>
        <w:tc>
          <w:tcPr>
            <w:tcW w:w="1467"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消防桶</w:t>
            </w:r>
          </w:p>
        </w:tc>
        <w:tc>
          <w:tcPr>
            <w:tcW w:w="1513"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w:t>
            </w:r>
          </w:p>
        </w:tc>
        <w:tc>
          <w:tcPr>
            <w:tcW w:w="1069"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个</w:t>
            </w:r>
          </w:p>
        </w:tc>
        <w:tc>
          <w:tcPr>
            <w:tcW w:w="1804"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井口</w:t>
            </w:r>
          </w:p>
        </w:tc>
        <w:tc>
          <w:tcPr>
            <w:tcW w:w="1477" w:type="dxa"/>
            <w:vMerge w:val="continue"/>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jc w:val="center"/>
        </w:trPr>
        <w:tc>
          <w:tcPr>
            <w:tcW w:w="1012" w:type="dxa"/>
            <w:vMerge w:val="continue"/>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bCs/>
                <w:color w:val="auto"/>
                <w:kern w:val="0"/>
                <w:sz w:val="21"/>
                <w:szCs w:val="21"/>
                <w:highlight w:val="none"/>
              </w:rPr>
            </w:pPr>
          </w:p>
        </w:tc>
        <w:tc>
          <w:tcPr>
            <w:tcW w:w="1467"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消防砂</w:t>
            </w:r>
          </w:p>
        </w:tc>
        <w:tc>
          <w:tcPr>
            <w:tcW w:w="1513"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1069"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vertAlign w:val="superscript"/>
              </w:rPr>
              <w:t>3</w:t>
            </w:r>
          </w:p>
        </w:tc>
        <w:tc>
          <w:tcPr>
            <w:tcW w:w="1804"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井口</w:t>
            </w:r>
          </w:p>
        </w:tc>
        <w:tc>
          <w:tcPr>
            <w:tcW w:w="1477" w:type="dxa"/>
            <w:vMerge w:val="continue"/>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jc w:val="center"/>
        </w:trPr>
        <w:tc>
          <w:tcPr>
            <w:tcW w:w="1012" w:type="dxa"/>
            <w:vMerge w:val="restart"/>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防护用品</w:t>
            </w:r>
          </w:p>
        </w:tc>
        <w:tc>
          <w:tcPr>
            <w:tcW w:w="1467"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安全帽</w:t>
            </w:r>
          </w:p>
        </w:tc>
        <w:tc>
          <w:tcPr>
            <w:tcW w:w="1513"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150</w:t>
            </w:r>
          </w:p>
        </w:tc>
        <w:tc>
          <w:tcPr>
            <w:tcW w:w="1069"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个</w:t>
            </w:r>
          </w:p>
        </w:tc>
        <w:tc>
          <w:tcPr>
            <w:tcW w:w="1804"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办公室</w:t>
            </w:r>
          </w:p>
        </w:tc>
        <w:tc>
          <w:tcPr>
            <w:tcW w:w="1477" w:type="dxa"/>
            <w:vMerge w:val="continue"/>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jc w:val="center"/>
        </w:trPr>
        <w:tc>
          <w:tcPr>
            <w:tcW w:w="1012" w:type="dxa"/>
            <w:vMerge w:val="continue"/>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bCs/>
                <w:color w:val="auto"/>
                <w:kern w:val="0"/>
                <w:sz w:val="21"/>
                <w:szCs w:val="21"/>
                <w:highlight w:val="none"/>
              </w:rPr>
            </w:pPr>
          </w:p>
        </w:tc>
        <w:tc>
          <w:tcPr>
            <w:tcW w:w="1467"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纱布口罩</w:t>
            </w:r>
          </w:p>
        </w:tc>
        <w:tc>
          <w:tcPr>
            <w:tcW w:w="1513"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w:t>
            </w:r>
          </w:p>
        </w:tc>
        <w:tc>
          <w:tcPr>
            <w:tcW w:w="1069"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个</w:t>
            </w:r>
          </w:p>
        </w:tc>
        <w:tc>
          <w:tcPr>
            <w:tcW w:w="1804"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库房</w:t>
            </w:r>
          </w:p>
        </w:tc>
        <w:tc>
          <w:tcPr>
            <w:tcW w:w="1477" w:type="dxa"/>
            <w:vMerge w:val="continue"/>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jc w:val="center"/>
        </w:trPr>
        <w:tc>
          <w:tcPr>
            <w:tcW w:w="1012" w:type="dxa"/>
            <w:vMerge w:val="continue"/>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bCs/>
                <w:color w:val="auto"/>
                <w:kern w:val="0"/>
                <w:sz w:val="21"/>
                <w:szCs w:val="21"/>
                <w:highlight w:val="none"/>
              </w:rPr>
            </w:pPr>
          </w:p>
        </w:tc>
        <w:tc>
          <w:tcPr>
            <w:tcW w:w="1467"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手套</w:t>
            </w:r>
          </w:p>
        </w:tc>
        <w:tc>
          <w:tcPr>
            <w:tcW w:w="1513"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w:t>
            </w:r>
          </w:p>
        </w:tc>
        <w:tc>
          <w:tcPr>
            <w:tcW w:w="1069"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双</w:t>
            </w:r>
          </w:p>
        </w:tc>
        <w:tc>
          <w:tcPr>
            <w:tcW w:w="1804"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库房</w:t>
            </w:r>
          </w:p>
        </w:tc>
        <w:tc>
          <w:tcPr>
            <w:tcW w:w="1477" w:type="dxa"/>
            <w:vMerge w:val="continue"/>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jc w:val="center"/>
        </w:trPr>
        <w:tc>
          <w:tcPr>
            <w:tcW w:w="1012" w:type="dxa"/>
            <w:vMerge w:val="continue"/>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bCs/>
                <w:color w:val="auto"/>
                <w:kern w:val="0"/>
                <w:sz w:val="21"/>
                <w:szCs w:val="21"/>
                <w:highlight w:val="none"/>
              </w:rPr>
            </w:pPr>
          </w:p>
        </w:tc>
        <w:tc>
          <w:tcPr>
            <w:tcW w:w="1467"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水靴</w:t>
            </w:r>
          </w:p>
        </w:tc>
        <w:tc>
          <w:tcPr>
            <w:tcW w:w="1513"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w:t>
            </w:r>
          </w:p>
        </w:tc>
        <w:tc>
          <w:tcPr>
            <w:tcW w:w="1069"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双</w:t>
            </w:r>
          </w:p>
        </w:tc>
        <w:tc>
          <w:tcPr>
            <w:tcW w:w="1804" w:type="dxa"/>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color w:val="auto"/>
                <w:sz w:val="21"/>
                <w:szCs w:val="21"/>
                <w:highlight w:val="none"/>
              </w:rPr>
              <w:t>库房</w:t>
            </w:r>
          </w:p>
        </w:tc>
        <w:tc>
          <w:tcPr>
            <w:tcW w:w="1477" w:type="dxa"/>
            <w:vMerge w:val="continue"/>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bCs/>
                <w:color w:val="auto"/>
                <w:kern w:val="0"/>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jc w:val="center"/>
        </w:trPr>
        <w:tc>
          <w:tcPr>
            <w:tcW w:w="1012" w:type="dxa"/>
            <w:vMerge w:val="restart"/>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急救设备</w:t>
            </w:r>
          </w:p>
        </w:tc>
        <w:tc>
          <w:tcPr>
            <w:tcW w:w="1467"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担架</w:t>
            </w:r>
          </w:p>
        </w:tc>
        <w:tc>
          <w:tcPr>
            <w:tcW w:w="1513"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1069"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副</w:t>
            </w:r>
          </w:p>
        </w:tc>
        <w:tc>
          <w:tcPr>
            <w:tcW w:w="1804" w:type="dxa"/>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color w:val="auto"/>
                <w:sz w:val="21"/>
                <w:szCs w:val="21"/>
                <w:highlight w:val="none"/>
              </w:rPr>
              <w:t>库房</w:t>
            </w:r>
          </w:p>
        </w:tc>
        <w:tc>
          <w:tcPr>
            <w:tcW w:w="1477" w:type="dxa"/>
            <w:vMerge w:val="continue"/>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bCs/>
                <w:color w:val="auto"/>
                <w:kern w:val="0"/>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jc w:val="center"/>
        </w:trPr>
        <w:tc>
          <w:tcPr>
            <w:tcW w:w="1012" w:type="dxa"/>
            <w:vMerge w:val="continue"/>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bCs/>
                <w:color w:val="auto"/>
                <w:kern w:val="0"/>
                <w:sz w:val="21"/>
                <w:szCs w:val="21"/>
                <w:highlight w:val="none"/>
              </w:rPr>
            </w:pPr>
          </w:p>
        </w:tc>
        <w:tc>
          <w:tcPr>
            <w:tcW w:w="1467"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夹板</w:t>
            </w:r>
          </w:p>
        </w:tc>
        <w:tc>
          <w:tcPr>
            <w:tcW w:w="1513"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tc>
        <w:tc>
          <w:tcPr>
            <w:tcW w:w="1069"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付</w:t>
            </w:r>
          </w:p>
        </w:tc>
        <w:tc>
          <w:tcPr>
            <w:tcW w:w="1804" w:type="dxa"/>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color w:val="auto"/>
                <w:sz w:val="21"/>
                <w:szCs w:val="21"/>
                <w:highlight w:val="none"/>
              </w:rPr>
              <w:t>库房</w:t>
            </w:r>
          </w:p>
        </w:tc>
        <w:tc>
          <w:tcPr>
            <w:tcW w:w="1477" w:type="dxa"/>
            <w:vMerge w:val="continue"/>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bCs/>
                <w:color w:val="auto"/>
                <w:kern w:val="0"/>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jc w:val="center"/>
        </w:trPr>
        <w:tc>
          <w:tcPr>
            <w:tcW w:w="1012" w:type="dxa"/>
            <w:vMerge w:val="continue"/>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bCs/>
                <w:color w:val="auto"/>
                <w:kern w:val="0"/>
                <w:sz w:val="21"/>
                <w:szCs w:val="21"/>
                <w:highlight w:val="none"/>
              </w:rPr>
            </w:pPr>
          </w:p>
        </w:tc>
        <w:tc>
          <w:tcPr>
            <w:tcW w:w="1467"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呼吸器</w:t>
            </w:r>
          </w:p>
        </w:tc>
        <w:tc>
          <w:tcPr>
            <w:tcW w:w="1513"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w:t>
            </w:r>
          </w:p>
        </w:tc>
        <w:tc>
          <w:tcPr>
            <w:tcW w:w="1069"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个</w:t>
            </w:r>
          </w:p>
        </w:tc>
        <w:tc>
          <w:tcPr>
            <w:tcW w:w="1804" w:type="dxa"/>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color w:val="auto"/>
                <w:sz w:val="21"/>
                <w:szCs w:val="21"/>
                <w:highlight w:val="none"/>
              </w:rPr>
              <w:t>库房</w:t>
            </w:r>
          </w:p>
        </w:tc>
        <w:tc>
          <w:tcPr>
            <w:tcW w:w="1477" w:type="dxa"/>
            <w:vMerge w:val="continue"/>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bCs/>
                <w:color w:val="auto"/>
                <w:kern w:val="0"/>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jc w:val="center"/>
        </w:trPr>
        <w:tc>
          <w:tcPr>
            <w:tcW w:w="1012" w:type="dxa"/>
            <w:vMerge w:val="continue"/>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bCs/>
                <w:color w:val="auto"/>
                <w:kern w:val="0"/>
                <w:sz w:val="21"/>
                <w:szCs w:val="21"/>
                <w:highlight w:val="none"/>
              </w:rPr>
            </w:pPr>
          </w:p>
        </w:tc>
        <w:tc>
          <w:tcPr>
            <w:tcW w:w="1467"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气体检测仪</w:t>
            </w:r>
          </w:p>
        </w:tc>
        <w:tc>
          <w:tcPr>
            <w:tcW w:w="1513"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w:t>
            </w:r>
          </w:p>
        </w:tc>
        <w:tc>
          <w:tcPr>
            <w:tcW w:w="1069"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个</w:t>
            </w:r>
          </w:p>
        </w:tc>
        <w:tc>
          <w:tcPr>
            <w:tcW w:w="1804" w:type="dxa"/>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color w:val="auto"/>
                <w:sz w:val="21"/>
                <w:szCs w:val="21"/>
                <w:highlight w:val="none"/>
              </w:rPr>
              <w:t>库房</w:t>
            </w:r>
          </w:p>
        </w:tc>
        <w:tc>
          <w:tcPr>
            <w:tcW w:w="1477" w:type="dxa"/>
            <w:vMerge w:val="continue"/>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bCs/>
                <w:color w:val="auto"/>
                <w:kern w:val="0"/>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jc w:val="center"/>
        </w:trPr>
        <w:tc>
          <w:tcPr>
            <w:tcW w:w="1012" w:type="dxa"/>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抢险车辆</w:t>
            </w:r>
          </w:p>
        </w:tc>
        <w:tc>
          <w:tcPr>
            <w:tcW w:w="1467"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装载机</w:t>
            </w:r>
          </w:p>
        </w:tc>
        <w:tc>
          <w:tcPr>
            <w:tcW w:w="1513"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tc>
        <w:tc>
          <w:tcPr>
            <w:tcW w:w="1069"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台</w:t>
            </w:r>
          </w:p>
        </w:tc>
        <w:tc>
          <w:tcPr>
            <w:tcW w:w="1804" w:type="dxa"/>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矿山</w:t>
            </w:r>
          </w:p>
        </w:tc>
        <w:tc>
          <w:tcPr>
            <w:tcW w:w="1477" w:type="dxa"/>
            <w:vMerge w:val="continue"/>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bCs/>
                <w:color w:val="auto"/>
                <w:kern w:val="0"/>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jc w:val="center"/>
        </w:trPr>
        <w:tc>
          <w:tcPr>
            <w:tcW w:w="1012" w:type="dxa"/>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指挥车辆</w:t>
            </w:r>
          </w:p>
        </w:tc>
        <w:tc>
          <w:tcPr>
            <w:tcW w:w="1467"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汽车</w:t>
            </w:r>
          </w:p>
        </w:tc>
        <w:tc>
          <w:tcPr>
            <w:tcW w:w="1513"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tc>
        <w:tc>
          <w:tcPr>
            <w:tcW w:w="1069"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辆</w:t>
            </w:r>
          </w:p>
        </w:tc>
        <w:tc>
          <w:tcPr>
            <w:tcW w:w="1804"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现场</w:t>
            </w:r>
          </w:p>
        </w:tc>
        <w:tc>
          <w:tcPr>
            <w:tcW w:w="1477" w:type="dxa"/>
            <w:vMerge w:val="continue"/>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bCs/>
                <w:color w:val="auto"/>
                <w:kern w:val="0"/>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jc w:val="center"/>
        </w:trPr>
        <w:tc>
          <w:tcPr>
            <w:tcW w:w="1012" w:type="dxa"/>
            <w:vMerge w:val="restart"/>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其他</w:t>
            </w:r>
          </w:p>
        </w:tc>
        <w:tc>
          <w:tcPr>
            <w:tcW w:w="1467" w:type="dxa"/>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电缆</w:t>
            </w:r>
          </w:p>
        </w:tc>
        <w:tc>
          <w:tcPr>
            <w:tcW w:w="1513"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200</w:t>
            </w:r>
          </w:p>
        </w:tc>
        <w:tc>
          <w:tcPr>
            <w:tcW w:w="1069"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米</w:t>
            </w:r>
          </w:p>
        </w:tc>
        <w:tc>
          <w:tcPr>
            <w:tcW w:w="1804" w:type="dxa"/>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库房</w:t>
            </w:r>
          </w:p>
        </w:tc>
        <w:tc>
          <w:tcPr>
            <w:tcW w:w="1477" w:type="dxa"/>
            <w:vMerge w:val="continue"/>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bCs/>
                <w:color w:val="auto"/>
                <w:kern w:val="0"/>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jc w:val="center"/>
        </w:trPr>
        <w:tc>
          <w:tcPr>
            <w:tcW w:w="1012" w:type="dxa"/>
            <w:vMerge w:val="continue"/>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bCs/>
                <w:color w:val="auto"/>
                <w:kern w:val="0"/>
                <w:sz w:val="21"/>
                <w:szCs w:val="21"/>
                <w:highlight w:val="none"/>
              </w:rPr>
            </w:pPr>
          </w:p>
        </w:tc>
        <w:tc>
          <w:tcPr>
            <w:tcW w:w="1467" w:type="dxa"/>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应急手电</w:t>
            </w:r>
          </w:p>
        </w:tc>
        <w:tc>
          <w:tcPr>
            <w:tcW w:w="1513"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w:t>
            </w:r>
          </w:p>
        </w:tc>
        <w:tc>
          <w:tcPr>
            <w:tcW w:w="1069"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个</w:t>
            </w:r>
          </w:p>
        </w:tc>
        <w:tc>
          <w:tcPr>
            <w:tcW w:w="1804" w:type="dxa"/>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库房</w:t>
            </w:r>
          </w:p>
        </w:tc>
        <w:tc>
          <w:tcPr>
            <w:tcW w:w="1477" w:type="dxa"/>
            <w:vMerge w:val="continue"/>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bCs/>
                <w:color w:val="auto"/>
                <w:kern w:val="0"/>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jc w:val="center"/>
        </w:trPr>
        <w:tc>
          <w:tcPr>
            <w:tcW w:w="1012" w:type="dxa"/>
            <w:vMerge w:val="continue"/>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bCs/>
                <w:color w:val="auto"/>
                <w:kern w:val="0"/>
                <w:sz w:val="21"/>
                <w:szCs w:val="21"/>
                <w:highlight w:val="none"/>
              </w:rPr>
            </w:pPr>
          </w:p>
        </w:tc>
        <w:tc>
          <w:tcPr>
            <w:tcW w:w="1467" w:type="dxa"/>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镐头</w:t>
            </w:r>
          </w:p>
        </w:tc>
        <w:tc>
          <w:tcPr>
            <w:tcW w:w="1513"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w:t>
            </w:r>
          </w:p>
        </w:tc>
        <w:tc>
          <w:tcPr>
            <w:tcW w:w="1069"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把</w:t>
            </w:r>
          </w:p>
        </w:tc>
        <w:tc>
          <w:tcPr>
            <w:tcW w:w="1804" w:type="dxa"/>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库房</w:t>
            </w:r>
          </w:p>
        </w:tc>
        <w:tc>
          <w:tcPr>
            <w:tcW w:w="1477" w:type="dxa"/>
            <w:vMerge w:val="continue"/>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bCs/>
                <w:color w:val="auto"/>
                <w:kern w:val="0"/>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jc w:val="center"/>
        </w:trPr>
        <w:tc>
          <w:tcPr>
            <w:tcW w:w="1012" w:type="dxa"/>
            <w:vMerge w:val="continue"/>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bCs/>
                <w:color w:val="auto"/>
                <w:kern w:val="0"/>
                <w:sz w:val="21"/>
                <w:szCs w:val="21"/>
                <w:highlight w:val="none"/>
              </w:rPr>
            </w:pPr>
          </w:p>
        </w:tc>
        <w:tc>
          <w:tcPr>
            <w:tcW w:w="1467" w:type="dxa"/>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编织袋</w:t>
            </w:r>
          </w:p>
        </w:tc>
        <w:tc>
          <w:tcPr>
            <w:tcW w:w="1513"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300</w:t>
            </w:r>
          </w:p>
        </w:tc>
        <w:tc>
          <w:tcPr>
            <w:tcW w:w="1069"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只</w:t>
            </w:r>
          </w:p>
        </w:tc>
        <w:tc>
          <w:tcPr>
            <w:tcW w:w="1804" w:type="dxa"/>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库房</w:t>
            </w:r>
          </w:p>
        </w:tc>
        <w:tc>
          <w:tcPr>
            <w:tcW w:w="1477" w:type="dxa"/>
            <w:vMerge w:val="continue"/>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bCs/>
                <w:color w:val="auto"/>
                <w:kern w:val="0"/>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jc w:val="center"/>
        </w:trPr>
        <w:tc>
          <w:tcPr>
            <w:tcW w:w="1012" w:type="dxa"/>
            <w:vMerge w:val="continue"/>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bCs/>
                <w:color w:val="auto"/>
                <w:kern w:val="0"/>
                <w:sz w:val="21"/>
                <w:szCs w:val="21"/>
                <w:highlight w:val="none"/>
              </w:rPr>
            </w:pPr>
          </w:p>
        </w:tc>
        <w:tc>
          <w:tcPr>
            <w:tcW w:w="1467" w:type="dxa"/>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水泵</w:t>
            </w:r>
          </w:p>
        </w:tc>
        <w:tc>
          <w:tcPr>
            <w:tcW w:w="1513"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1069"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台</w:t>
            </w:r>
          </w:p>
        </w:tc>
        <w:tc>
          <w:tcPr>
            <w:tcW w:w="1804" w:type="dxa"/>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库房</w:t>
            </w:r>
          </w:p>
        </w:tc>
        <w:tc>
          <w:tcPr>
            <w:tcW w:w="1477" w:type="dxa"/>
            <w:vMerge w:val="continue"/>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bCs/>
                <w:color w:val="auto"/>
                <w:kern w:val="0"/>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jc w:val="center"/>
        </w:trPr>
        <w:tc>
          <w:tcPr>
            <w:tcW w:w="1012" w:type="dxa"/>
            <w:vMerge w:val="continue"/>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bCs/>
                <w:color w:val="auto"/>
                <w:kern w:val="0"/>
                <w:sz w:val="21"/>
                <w:szCs w:val="21"/>
                <w:highlight w:val="none"/>
              </w:rPr>
            </w:pPr>
          </w:p>
        </w:tc>
        <w:tc>
          <w:tcPr>
            <w:tcW w:w="1467" w:type="dxa"/>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切割机</w:t>
            </w:r>
          </w:p>
        </w:tc>
        <w:tc>
          <w:tcPr>
            <w:tcW w:w="1513"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1069"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台</w:t>
            </w:r>
          </w:p>
        </w:tc>
        <w:tc>
          <w:tcPr>
            <w:tcW w:w="1804" w:type="dxa"/>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库房</w:t>
            </w:r>
          </w:p>
        </w:tc>
        <w:tc>
          <w:tcPr>
            <w:tcW w:w="1477" w:type="dxa"/>
            <w:vMerge w:val="continue"/>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bCs/>
                <w:color w:val="auto"/>
                <w:kern w:val="0"/>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jc w:val="center"/>
        </w:trPr>
        <w:tc>
          <w:tcPr>
            <w:tcW w:w="1012" w:type="dxa"/>
            <w:vMerge w:val="continue"/>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bCs/>
                <w:color w:val="auto"/>
                <w:kern w:val="0"/>
                <w:sz w:val="21"/>
                <w:szCs w:val="21"/>
                <w:highlight w:val="none"/>
              </w:rPr>
            </w:pPr>
          </w:p>
        </w:tc>
        <w:tc>
          <w:tcPr>
            <w:tcW w:w="1467" w:type="dxa"/>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千斤顶</w:t>
            </w:r>
          </w:p>
        </w:tc>
        <w:tc>
          <w:tcPr>
            <w:tcW w:w="1513"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1069"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个</w:t>
            </w:r>
          </w:p>
        </w:tc>
        <w:tc>
          <w:tcPr>
            <w:tcW w:w="1804" w:type="dxa"/>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库房</w:t>
            </w:r>
          </w:p>
        </w:tc>
        <w:tc>
          <w:tcPr>
            <w:tcW w:w="1477" w:type="dxa"/>
            <w:vMerge w:val="continue"/>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bCs/>
                <w:color w:val="auto"/>
                <w:kern w:val="0"/>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jc w:val="center"/>
        </w:trPr>
        <w:tc>
          <w:tcPr>
            <w:tcW w:w="1012" w:type="dxa"/>
            <w:vMerge w:val="continue"/>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bCs/>
                <w:color w:val="auto"/>
                <w:kern w:val="0"/>
                <w:sz w:val="21"/>
                <w:szCs w:val="21"/>
                <w:highlight w:val="none"/>
              </w:rPr>
            </w:pPr>
          </w:p>
        </w:tc>
        <w:tc>
          <w:tcPr>
            <w:tcW w:w="1467" w:type="dxa"/>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照相机、投影仪</w:t>
            </w:r>
          </w:p>
        </w:tc>
        <w:tc>
          <w:tcPr>
            <w:tcW w:w="1513"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1069"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台</w:t>
            </w:r>
          </w:p>
        </w:tc>
        <w:tc>
          <w:tcPr>
            <w:tcW w:w="1804" w:type="dxa"/>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公司</w:t>
            </w:r>
          </w:p>
        </w:tc>
        <w:tc>
          <w:tcPr>
            <w:tcW w:w="1477" w:type="dxa"/>
            <w:vMerge w:val="continue"/>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bCs/>
                <w:color w:val="auto"/>
                <w:kern w:val="0"/>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jc w:val="center"/>
        </w:trPr>
        <w:tc>
          <w:tcPr>
            <w:tcW w:w="1012" w:type="dxa"/>
            <w:vMerge w:val="continue"/>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bCs/>
                <w:color w:val="auto"/>
                <w:kern w:val="0"/>
                <w:sz w:val="21"/>
                <w:szCs w:val="21"/>
                <w:highlight w:val="none"/>
              </w:rPr>
            </w:pPr>
          </w:p>
        </w:tc>
        <w:tc>
          <w:tcPr>
            <w:tcW w:w="1467" w:type="dxa"/>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改锥、扳手等简单修理工具</w:t>
            </w:r>
          </w:p>
        </w:tc>
        <w:tc>
          <w:tcPr>
            <w:tcW w:w="1513"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50</w:t>
            </w:r>
          </w:p>
        </w:tc>
        <w:tc>
          <w:tcPr>
            <w:tcW w:w="1069"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个</w:t>
            </w:r>
          </w:p>
        </w:tc>
        <w:tc>
          <w:tcPr>
            <w:tcW w:w="1804" w:type="dxa"/>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修理间</w:t>
            </w:r>
          </w:p>
        </w:tc>
        <w:tc>
          <w:tcPr>
            <w:tcW w:w="1477" w:type="dxa"/>
            <w:vMerge w:val="continue"/>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bCs/>
                <w:color w:val="auto"/>
                <w:kern w:val="0"/>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jc w:val="center"/>
        </w:trPr>
        <w:tc>
          <w:tcPr>
            <w:tcW w:w="1012" w:type="dxa"/>
            <w:vMerge w:val="continue"/>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bCs/>
                <w:color w:val="auto"/>
                <w:kern w:val="0"/>
                <w:sz w:val="21"/>
                <w:szCs w:val="21"/>
                <w:highlight w:val="none"/>
              </w:rPr>
            </w:pPr>
          </w:p>
        </w:tc>
        <w:tc>
          <w:tcPr>
            <w:tcW w:w="1467" w:type="dxa"/>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除尘器备用滤袋</w:t>
            </w:r>
          </w:p>
        </w:tc>
        <w:tc>
          <w:tcPr>
            <w:tcW w:w="1513"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w:t>
            </w:r>
          </w:p>
        </w:tc>
        <w:tc>
          <w:tcPr>
            <w:tcW w:w="1069"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个</w:t>
            </w:r>
          </w:p>
        </w:tc>
        <w:tc>
          <w:tcPr>
            <w:tcW w:w="1804" w:type="dxa"/>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修理间</w:t>
            </w:r>
          </w:p>
        </w:tc>
        <w:tc>
          <w:tcPr>
            <w:tcW w:w="1477" w:type="dxa"/>
            <w:vMerge w:val="continue"/>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bCs/>
                <w:color w:val="auto"/>
                <w:kern w:val="0"/>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40" w:hRule="atLeast"/>
          <w:jc w:val="center"/>
        </w:trPr>
        <w:tc>
          <w:tcPr>
            <w:tcW w:w="1012" w:type="dxa"/>
            <w:vMerge w:val="continue"/>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bCs/>
                <w:color w:val="auto"/>
                <w:kern w:val="0"/>
                <w:sz w:val="21"/>
                <w:szCs w:val="21"/>
                <w:highlight w:val="none"/>
              </w:rPr>
            </w:pPr>
          </w:p>
        </w:tc>
        <w:tc>
          <w:tcPr>
            <w:tcW w:w="1467" w:type="dxa"/>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其他除尘器设备备件</w:t>
            </w:r>
          </w:p>
        </w:tc>
        <w:tc>
          <w:tcPr>
            <w:tcW w:w="1513"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069" w:type="dxa"/>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804" w:type="dxa"/>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修理间</w:t>
            </w:r>
          </w:p>
        </w:tc>
        <w:tc>
          <w:tcPr>
            <w:tcW w:w="1477" w:type="dxa"/>
            <w:vMerge w:val="continue"/>
            <w:vAlign w:val="center"/>
          </w:tcPr>
          <w:p>
            <w:pPr>
              <w:pageBreakBefore w:val="0"/>
              <w:widowControl/>
              <w:wordWrap/>
              <w:bidi w:val="0"/>
              <w:spacing w:line="240" w:lineRule="auto"/>
              <w:ind w:left="0" w:leftChars="0" w:right="0" w:rightChars="0"/>
              <w:jc w:val="center"/>
              <w:rPr>
                <w:rFonts w:hint="default" w:ascii="Times New Roman" w:hAnsi="Times New Roman" w:eastAsia="宋体" w:cs="Times New Roman"/>
                <w:bCs/>
                <w:color w:val="auto"/>
                <w:kern w:val="0"/>
                <w:sz w:val="21"/>
                <w:szCs w:val="21"/>
                <w:highlight w:val="none"/>
              </w:rPr>
            </w:pPr>
          </w:p>
        </w:tc>
      </w:tr>
    </w:tbl>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outlineLvl w:val="1"/>
        <w:rPr>
          <w:rFonts w:hint="default" w:ascii="Times New Roman" w:hAnsi="Times New Roman" w:eastAsia="宋体" w:cs="Times New Roman"/>
          <w:color w:val="auto"/>
          <w:sz w:val="24"/>
          <w:szCs w:val="32"/>
          <w:highlight w:val="none"/>
        </w:rPr>
      </w:pPr>
      <w:bookmarkStart w:id="1114" w:name="_Toc26446"/>
      <w:bookmarkStart w:id="1115" w:name="_Toc27959"/>
      <w:r>
        <w:rPr>
          <w:rFonts w:hint="default" w:ascii="Times New Roman" w:hAnsi="Times New Roman" w:eastAsia="宋体" w:cs="Times New Roman"/>
          <w:color w:val="auto"/>
          <w:sz w:val="24"/>
          <w:szCs w:val="32"/>
          <w:highlight w:val="none"/>
        </w:rPr>
        <w:t>3</w:t>
      </w:r>
      <w:r>
        <w:rPr>
          <w:rFonts w:hint="default"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rPr>
        <w:t>内部应急队伍</w:t>
      </w:r>
      <w:bookmarkEnd w:id="1114"/>
      <w:bookmarkEnd w:id="1115"/>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sz w:val="24"/>
          <w:szCs w:val="32"/>
          <w:highlight w:val="none"/>
        </w:rPr>
      </w:pPr>
      <w:r>
        <w:rPr>
          <w:rFonts w:hint="default" w:ascii="Times New Roman" w:hAnsi="Times New Roman" w:eastAsia="宋体" w:cs="Times New Roman"/>
          <w:color w:val="auto"/>
          <w:sz w:val="24"/>
          <w:szCs w:val="32"/>
          <w:highlight w:val="none"/>
        </w:rPr>
        <w:t>厂区成立突发环境事件应急“指挥领导小组”</w:t>
      </w:r>
      <w:r>
        <w:rPr>
          <w:rFonts w:hint="default"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rPr>
        <w:t>由董事长、总经理（担任指挥部总指挥和副总指挥</w:t>
      </w:r>
      <w:r>
        <w:rPr>
          <w:rFonts w:hint="default"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rPr>
        <w:t>、生产负责人等领导组成</w:t>
      </w:r>
      <w:r>
        <w:rPr>
          <w:rFonts w:hint="default"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rPr>
        <w:t>下设应急指挥办公室</w:t>
      </w:r>
      <w:r>
        <w:rPr>
          <w:rFonts w:hint="default"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rPr>
        <w:t>由生产车间主任任办公室主任</w:t>
      </w:r>
      <w:r>
        <w:rPr>
          <w:rFonts w:hint="default"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rPr>
        <w:t>其他车间员工作为日常工作人员。发生突发环境事件时</w:t>
      </w:r>
      <w:r>
        <w:rPr>
          <w:rFonts w:hint="default"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rPr>
        <w:t>以指挥领导小组为基础</w:t>
      </w:r>
      <w:r>
        <w:rPr>
          <w:rFonts w:hint="default"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rPr>
        <w:t>即突发事件应急指挥部</w:t>
      </w:r>
      <w:r>
        <w:rPr>
          <w:rFonts w:hint="default"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rPr>
        <w:t>董事长任总指挥</w:t>
      </w:r>
      <w:r>
        <w:rPr>
          <w:rFonts w:hint="default"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rPr>
        <w:t>总经理任副总指挥</w:t>
      </w:r>
      <w:r>
        <w:rPr>
          <w:rFonts w:hint="default"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rPr>
        <w:t>负责全厂应急救援工作的组织和指挥</w:t>
      </w:r>
      <w:r>
        <w:rPr>
          <w:rFonts w:hint="default"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rPr>
        <w:t>指挥部设在公司会议室。</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outlineLvl w:val="0"/>
        <w:rPr>
          <w:rFonts w:hint="default" w:ascii="Times New Roman" w:hAnsi="Times New Roman" w:eastAsia="宋体" w:cs="Times New Roman"/>
          <w:color w:val="auto"/>
          <w:sz w:val="24"/>
          <w:szCs w:val="32"/>
          <w:highlight w:val="none"/>
        </w:rPr>
      </w:pPr>
      <w:bookmarkStart w:id="1116" w:name="_Toc23766"/>
      <w:bookmarkStart w:id="1117" w:name="_Toc19921"/>
      <w:r>
        <w:rPr>
          <w:rFonts w:hint="default"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lang w:val="en-US" w:eastAsia="zh-CN"/>
        </w:rPr>
        <w:t>4</w:t>
      </w:r>
      <w:r>
        <w:rPr>
          <w:rFonts w:hint="default"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rPr>
        <w:t>尾矿库管理情况</w:t>
      </w:r>
      <w:bookmarkEnd w:id="1116"/>
      <w:bookmarkEnd w:id="1117"/>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sz w:val="24"/>
          <w:szCs w:val="32"/>
          <w:highlight w:val="none"/>
        </w:rPr>
      </w:pPr>
      <w:r>
        <w:rPr>
          <w:rFonts w:hint="default" w:ascii="Times New Roman" w:hAnsi="Times New Roman" w:eastAsia="宋体" w:cs="Times New Roman"/>
          <w:color w:val="auto"/>
          <w:sz w:val="24"/>
          <w:szCs w:val="32"/>
          <w:highlight w:val="none"/>
        </w:rPr>
        <w:t>尾矿库的管理组织机构、规章制度依托于西沙德盖钼业公司。尾矿库日常管理由企业安全环保部和选矿厂负责</w:t>
      </w:r>
      <w:r>
        <w:rPr>
          <w:rFonts w:hint="default"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rPr>
        <w:t>日常工作由尾矿库岗位操作人员进行。西沙德盖钼业公司安全环保管理制度中规定有尾矿库的内容</w:t>
      </w:r>
      <w:r>
        <w:rPr>
          <w:rFonts w:hint="default"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rPr>
        <w:t>制定有尾矿库岗位操作规程。</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sz w:val="24"/>
          <w:szCs w:val="32"/>
          <w:highlight w:val="none"/>
        </w:rPr>
      </w:pPr>
      <w:r>
        <w:rPr>
          <w:rFonts w:hint="default" w:ascii="Times New Roman" w:hAnsi="Times New Roman" w:eastAsia="宋体" w:cs="Times New Roman"/>
          <w:color w:val="auto"/>
          <w:sz w:val="24"/>
          <w:szCs w:val="32"/>
          <w:highlight w:val="none"/>
        </w:rPr>
        <w:t>①制定尾矿库安全生产责任制</w:t>
      </w:r>
      <w:r>
        <w:rPr>
          <w:rFonts w:hint="default"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rPr>
        <w:t>规定各相关岗位职工的安全生产职责。</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sz w:val="24"/>
          <w:szCs w:val="32"/>
          <w:highlight w:val="none"/>
        </w:rPr>
      </w:pPr>
      <w:r>
        <w:rPr>
          <w:rFonts w:hint="default" w:ascii="Times New Roman" w:hAnsi="Times New Roman" w:eastAsia="宋体" w:cs="Times New Roman"/>
          <w:color w:val="auto"/>
          <w:sz w:val="24"/>
          <w:szCs w:val="32"/>
          <w:highlight w:val="none"/>
        </w:rPr>
        <w:t>②制定尾矿库安全管理制度</w:t>
      </w:r>
      <w:r>
        <w:rPr>
          <w:rFonts w:hint="default"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rPr>
        <w:t>规定尾矿库岗位安全生产操作规程、监测和安全检查等制度</w:t>
      </w:r>
      <w:r>
        <w:rPr>
          <w:rFonts w:hint="default"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rPr>
        <w:t>明确预防事故发生的安全环保大检查、隐患排查治理制度</w:t>
      </w:r>
      <w:r>
        <w:rPr>
          <w:rFonts w:hint="default"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rPr>
        <w:t>尾矿库安全管理人员均持证上岗。</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sz w:val="24"/>
          <w:szCs w:val="32"/>
          <w:highlight w:val="none"/>
        </w:rPr>
      </w:pPr>
      <w:r>
        <w:rPr>
          <w:rFonts w:hint="default" w:ascii="Times New Roman" w:hAnsi="Times New Roman" w:eastAsia="宋体" w:cs="Times New Roman"/>
          <w:color w:val="auto"/>
          <w:sz w:val="24"/>
          <w:szCs w:val="32"/>
          <w:highlight w:val="none"/>
        </w:rPr>
        <w:t>③编制并备案西沙德盖钼业公司生产安全事故应急预案</w:t>
      </w:r>
      <w:r>
        <w:rPr>
          <w:rFonts w:hint="default"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rPr>
        <w:t>制定尾矿库事故专项应急救援预案。</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szCs w:val="24"/>
          <w:highlight w:val="none"/>
        </w:rPr>
      </w:pPr>
      <w:r>
        <w:rPr>
          <w:rFonts w:hint="default" w:ascii="Times New Roman" w:hAnsi="Times New Roman" w:eastAsia="宋体" w:cs="Times New Roman"/>
          <w:color w:val="auto"/>
          <w:sz w:val="24"/>
          <w:szCs w:val="32"/>
          <w:highlight w:val="none"/>
        </w:rPr>
        <w:t>④建立安全生产宣传教育和培训制度</w:t>
      </w:r>
      <w:r>
        <w:rPr>
          <w:rFonts w:hint="default"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rPr>
        <w:t>每年至少组织一次培训和演练</w:t>
      </w:r>
      <w:r>
        <w:rPr>
          <w:rFonts w:hint="default" w:ascii="Times New Roman" w:hAnsi="Times New Roman" w:eastAsia="宋体" w:cs="Times New Roman"/>
          <w:color w:val="auto"/>
          <w:sz w:val="24"/>
          <w:szCs w:val="32"/>
          <w:highlight w:val="none"/>
          <w:lang w:eastAsia="zh-CN"/>
        </w:rPr>
        <w:t>，</w:t>
      </w:r>
      <w:r>
        <w:rPr>
          <w:rFonts w:hint="default" w:ascii="Times New Roman" w:hAnsi="Times New Roman" w:eastAsia="宋体" w:cs="Times New Roman"/>
          <w:color w:val="auto"/>
          <w:sz w:val="24"/>
          <w:szCs w:val="32"/>
          <w:highlight w:val="none"/>
        </w:rPr>
        <w:t>根据安监部门要求3年开展一次尾矿库安全现状评价。</w:t>
      </w:r>
    </w:p>
    <w:p>
      <w:pPr>
        <w:pStyle w:val="4"/>
        <w:keepNext/>
        <w:keepLines/>
        <w:pageBreakBefore w:val="0"/>
        <w:widowControl w:val="0"/>
        <w:numPr>
          <w:ilvl w:val="1"/>
          <w:numId w:val="0"/>
        </w:numPr>
        <w:kinsoku/>
        <w:wordWrap/>
        <w:overflowPunct/>
        <w:topLinePunct w:val="0"/>
        <w:autoSpaceDE/>
        <w:autoSpaceDN/>
        <w:bidi w:val="0"/>
        <w:adjustRightInd/>
        <w:snapToGrid/>
        <w:ind w:left="0" w:leftChars="0" w:right="0" w:rightChars="0" w:firstLine="0" w:firstLineChars="0"/>
        <w:textAlignment w:val="auto"/>
        <w:rPr>
          <w:rFonts w:hint="default" w:ascii="Times New Roman" w:hAnsi="Times New Roman" w:eastAsia="宋体" w:cs="Times New Roman"/>
          <w:b/>
          <w:bCs w:val="0"/>
          <w:color w:val="auto"/>
          <w:sz w:val="28"/>
          <w:szCs w:val="28"/>
          <w:highlight w:val="none"/>
        </w:rPr>
      </w:pPr>
      <w:bookmarkStart w:id="1118" w:name="_Toc8346"/>
      <w:bookmarkStart w:id="1119" w:name="_Toc32161"/>
      <w:r>
        <w:rPr>
          <w:rFonts w:hint="default" w:ascii="Times New Roman" w:hAnsi="Times New Roman" w:eastAsia="宋体" w:cs="Times New Roman"/>
          <w:b/>
          <w:bCs w:val="0"/>
          <w:i w:val="0"/>
          <w:color w:val="auto"/>
          <w:kern w:val="2"/>
          <w:sz w:val="28"/>
          <w:szCs w:val="28"/>
          <w:highlight w:val="none"/>
          <w:lang w:val="en-US" w:eastAsia="zh-CN" w:bidi="ar-SA"/>
        </w:rPr>
        <w:t>8.2</w:t>
      </w:r>
      <w:r>
        <w:rPr>
          <w:rFonts w:hint="default" w:ascii="Times New Roman" w:hAnsi="Times New Roman" w:eastAsia="宋体" w:cs="Times New Roman"/>
          <w:b/>
          <w:bCs w:val="0"/>
          <w:color w:val="auto"/>
          <w:sz w:val="28"/>
          <w:szCs w:val="28"/>
          <w:highlight w:val="none"/>
        </w:rPr>
        <w:t>环境风险评估</w:t>
      </w:r>
      <w:bookmarkEnd w:id="1118"/>
      <w:bookmarkEnd w:id="1119"/>
    </w:p>
    <w:p>
      <w:pPr>
        <w:pStyle w:val="5"/>
        <w:keepNext/>
        <w:keepLines/>
        <w:pageBreakBefore w:val="0"/>
        <w:widowControl w:val="0"/>
        <w:numPr>
          <w:ilvl w:val="2"/>
          <w:numId w:val="0"/>
        </w:numPr>
        <w:kinsoku/>
        <w:wordWrap/>
        <w:overflowPunct/>
        <w:topLinePunct w:val="0"/>
        <w:autoSpaceDE/>
        <w:autoSpaceDN/>
        <w:bidi w:val="0"/>
        <w:adjustRightInd/>
        <w:snapToGrid/>
        <w:ind w:left="0" w:leftChars="0" w:right="0" w:rightChars="0" w:firstLine="0" w:firstLineChars="0"/>
        <w:textAlignment w:val="auto"/>
        <w:rPr>
          <w:rFonts w:hint="default" w:ascii="Times New Roman" w:hAnsi="Times New Roman" w:eastAsia="宋体" w:cs="Times New Roman"/>
          <w:b/>
          <w:bCs w:val="0"/>
          <w:color w:val="auto"/>
          <w:sz w:val="24"/>
          <w:szCs w:val="24"/>
          <w:highlight w:val="none"/>
        </w:rPr>
      </w:pPr>
      <w:bookmarkStart w:id="1120" w:name="_Toc11499"/>
      <w:bookmarkStart w:id="1121" w:name="_Toc4630"/>
      <w:bookmarkStart w:id="1122" w:name="_Toc3500"/>
      <w:r>
        <w:rPr>
          <w:rFonts w:hint="default" w:ascii="Times New Roman" w:hAnsi="Times New Roman" w:eastAsia="宋体" w:cs="Times New Roman"/>
          <w:b/>
          <w:bCs w:val="0"/>
          <w:i w:val="0"/>
          <w:iCs w:val="0"/>
          <w:caps w:val="0"/>
          <w:smallCaps w:val="0"/>
          <w:strike w:val="0"/>
          <w:dstrike w:val="0"/>
          <w:vanish w:val="0"/>
          <w:color w:val="auto"/>
          <w:spacing w:val="0"/>
          <w:kern w:val="2"/>
          <w:position w:val="0"/>
          <w:sz w:val="24"/>
          <w:szCs w:val="24"/>
          <w:highlight w:val="none"/>
          <w:u w:val="none"/>
          <w:vertAlign w:val="baseline"/>
          <w:lang w:val="en-US" w:eastAsia="zh-CN" w:bidi="ar-SA"/>
          <w14:shadow w14:blurRad="0" w14:dist="0" w14:dir="0" w14:sx="0" w14:sy="0" w14:kx="0" w14:ky="0" w14:algn="none">
            <w14:srgbClr w14:val="000000"/>
          </w14:shadow>
        </w:rPr>
        <w:t>8.2.1</w:t>
      </w:r>
      <w:r>
        <w:rPr>
          <w:rFonts w:hint="default" w:ascii="Times New Roman" w:hAnsi="Times New Roman" w:eastAsia="宋体" w:cs="Times New Roman"/>
          <w:b/>
          <w:bCs w:val="0"/>
          <w:color w:val="auto"/>
          <w:sz w:val="24"/>
          <w:szCs w:val="24"/>
          <w:highlight w:val="none"/>
        </w:rPr>
        <w:t>尾矿库环境风险预判</w:t>
      </w:r>
      <w:bookmarkEnd w:id="1120"/>
      <w:bookmarkEnd w:id="1121"/>
      <w:bookmarkEnd w:id="1122"/>
    </w:p>
    <w:p>
      <w:pPr>
        <w:pStyle w:val="35"/>
        <w:pageBreakBefore w:val="0"/>
        <w:widowControl w:val="0"/>
        <w:kinsoku/>
        <w:wordWrap/>
        <w:overflowPunct/>
        <w:topLinePunct w:val="0"/>
        <w:autoSpaceDE/>
        <w:autoSpaceDN/>
        <w:bidi w:val="0"/>
        <w:adjustRightInd/>
        <w:snapToGrid/>
        <w:spacing w:after="0" w:line="360" w:lineRule="auto"/>
        <w:ind w:left="0" w:leftChars="0" w:right="0" w:rightChars="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szCs w:val="24"/>
          <w:highlight w:val="none"/>
        </w:rPr>
        <w:t>根据《尾矿库环境风险评估技术导则（试行</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》（HJ740-2015</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附录A</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从尾矿库的类型、规模、周边环境敏感性、安全性、历史事件和环境违法情况五个方面对西沙德盖钼业公司尾矿库环境风险进行预判</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分析情况见表8-</w:t>
      </w:r>
      <w:r>
        <w:rPr>
          <w:rFonts w:hint="default" w:ascii="Times New Roman" w:hAnsi="Times New Roman" w:eastAsia="宋体"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rPr>
        <w:t>。</w:t>
      </w:r>
    </w:p>
    <w:p>
      <w:pPr>
        <w:pageBreakBefore w:val="0"/>
        <w:tabs>
          <w:tab w:val="left" w:pos="3062"/>
        </w:tabs>
        <w:wordWrap/>
        <w:bidi w:val="0"/>
        <w:spacing w:line="360" w:lineRule="auto"/>
        <w:ind w:left="0" w:leftChars="0" w:right="0" w:rightChars="0"/>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表8-</w:t>
      </w:r>
      <w:r>
        <w:rPr>
          <w:rFonts w:hint="default" w:ascii="Times New Roman" w:hAnsi="Times New Roman" w:eastAsia="宋体" w:cs="Times New Roman"/>
          <w:b/>
          <w:bCs/>
          <w:color w:val="auto"/>
          <w:sz w:val="24"/>
          <w:highlight w:val="none"/>
          <w:lang w:val="en-US" w:eastAsia="zh-CN"/>
        </w:rPr>
        <w:t>5</w:t>
      </w:r>
      <w:r>
        <w:rPr>
          <w:rFonts w:hint="default" w:ascii="Times New Roman" w:hAnsi="Times New Roman" w:eastAsia="宋体" w:cs="Times New Roman"/>
          <w:b/>
          <w:bCs/>
          <w:color w:val="auto"/>
          <w:sz w:val="24"/>
          <w:highlight w:val="none"/>
        </w:rPr>
        <w:t>尾矿库环境风险预判表</w:t>
      </w:r>
    </w:p>
    <w:tbl>
      <w:tblPr>
        <w:tblStyle w:val="54"/>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0" w:type="dxa"/>
          <w:bottom w:w="0" w:type="dxa"/>
          <w:right w:w="0" w:type="dxa"/>
        </w:tblCellMar>
      </w:tblPr>
      <w:tblGrid>
        <w:gridCol w:w="1204"/>
        <w:gridCol w:w="4949"/>
        <w:gridCol w:w="216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0" w:type="auto"/>
            <w:gridSpan w:val="2"/>
            <w:tcBorders>
              <w:top w:val="single" w:color="auto" w:sz="4" w:space="0"/>
              <w:left w:val="single" w:color="auto" w:sz="4" w:space="0"/>
              <w:bottom w:val="single" w:color="auto" w:sz="4" w:space="0"/>
              <w:right w:val="single" w:color="auto" w:sz="4" w:space="0"/>
            </w:tcBorders>
            <w:vAlign w:val="center"/>
          </w:tcPr>
          <w:p>
            <w:pPr>
              <w:pageBreakBefore w:val="0"/>
              <w:wordWrap/>
              <w:bidi w:val="0"/>
              <w:snapToGrid w:val="0"/>
              <w:spacing w:line="240" w:lineRule="auto"/>
              <w:ind w:left="0" w:leftChars="0" w:right="0" w:rightChars="0"/>
              <w:jc w:val="center"/>
              <w:rPr>
                <w:rFonts w:hint="default" w:ascii="Times New Roman" w:hAnsi="Times New Roman" w:eastAsia="宋体" w:cs="Times New Roman"/>
                <w:b/>
                <w:color w:val="auto"/>
                <w:sz w:val="21"/>
                <w:szCs w:val="21"/>
                <w:highlight w:val="none"/>
                <w:lang w:bidi="en-US"/>
              </w:rPr>
            </w:pPr>
            <w:r>
              <w:rPr>
                <w:rFonts w:hint="default" w:ascii="Times New Roman" w:hAnsi="Times New Roman" w:eastAsia="宋体" w:cs="Times New Roman"/>
                <w:b/>
                <w:color w:val="auto"/>
                <w:spacing w:val="-6"/>
                <w:kern w:val="0"/>
                <w:sz w:val="21"/>
                <w:szCs w:val="21"/>
                <w:highlight w:val="none"/>
                <w:lang w:bidi="en-US"/>
              </w:rPr>
              <w:t>符合下列情形之一</w:t>
            </w:r>
            <w:r>
              <w:rPr>
                <w:rFonts w:hint="default" w:ascii="Times New Roman" w:hAnsi="Times New Roman" w:eastAsia="宋体" w:cs="Times New Roman"/>
                <w:b/>
                <w:color w:val="auto"/>
                <w:spacing w:val="-6"/>
                <w:kern w:val="0"/>
                <w:sz w:val="21"/>
                <w:szCs w:val="21"/>
                <w:highlight w:val="none"/>
                <w:lang w:eastAsia="zh-CN" w:bidi="en-US"/>
              </w:rPr>
              <w:t>，</w:t>
            </w:r>
            <w:r>
              <w:rPr>
                <w:rFonts w:hint="default" w:ascii="Times New Roman" w:hAnsi="Times New Roman" w:eastAsia="宋体" w:cs="Times New Roman"/>
                <w:b/>
                <w:color w:val="auto"/>
                <w:spacing w:val="-6"/>
                <w:kern w:val="0"/>
                <w:sz w:val="21"/>
                <w:szCs w:val="21"/>
                <w:highlight w:val="none"/>
                <w:lang w:bidi="en-US"/>
              </w:rPr>
              <w:t>列入重点环境监管尾矿库</w:t>
            </w:r>
          </w:p>
        </w:tc>
        <w:tc>
          <w:tcPr>
            <w:tcW w:w="0" w:type="auto"/>
            <w:vMerge w:val="restart"/>
            <w:tcBorders>
              <w:top w:val="single" w:color="auto" w:sz="4" w:space="0"/>
              <w:left w:val="single" w:color="auto" w:sz="4" w:space="0"/>
              <w:bottom w:val="single" w:color="auto" w:sz="4" w:space="0"/>
              <w:right w:val="single" w:color="auto" w:sz="4" w:space="0"/>
            </w:tcBorders>
            <w:vAlign w:val="center"/>
          </w:tcPr>
          <w:p>
            <w:pPr>
              <w:pageBreakBefore w:val="0"/>
              <w:wordWrap/>
              <w:bidi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lang w:bidi="en-US"/>
              </w:rPr>
            </w:pPr>
            <w:r>
              <w:rPr>
                <w:rFonts w:hint="default" w:ascii="Times New Roman" w:hAnsi="Times New Roman" w:eastAsia="宋体" w:cs="Times New Roman"/>
                <w:color w:val="auto"/>
                <w:spacing w:val="-6"/>
                <w:kern w:val="0"/>
                <w:sz w:val="21"/>
                <w:szCs w:val="21"/>
                <w:highlight w:val="none"/>
                <w:lang w:bidi="en-US"/>
              </w:rPr>
              <w:t>现状说明</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0" w:type="auto"/>
            <w:vMerge w:val="restart"/>
            <w:tcBorders>
              <w:top w:val="single" w:color="auto" w:sz="4" w:space="0"/>
              <w:left w:val="single" w:color="auto" w:sz="4" w:space="0"/>
              <w:bottom w:val="single" w:color="auto" w:sz="4" w:space="0"/>
              <w:right w:val="single" w:color="auto" w:sz="4" w:space="0"/>
            </w:tcBorders>
            <w:vAlign w:val="center"/>
          </w:tcPr>
          <w:p>
            <w:pPr>
              <w:pageBreakBefore w:val="0"/>
              <w:wordWrap/>
              <w:bidi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lang w:bidi="en-US"/>
              </w:rPr>
            </w:pPr>
            <w:r>
              <w:rPr>
                <w:rFonts w:hint="default" w:ascii="Times New Roman" w:hAnsi="Times New Roman" w:eastAsia="宋体" w:cs="Times New Roman"/>
                <w:color w:val="auto"/>
                <w:spacing w:val="-6"/>
                <w:kern w:val="0"/>
                <w:sz w:val="21"/>
                <w:szCs w:val="21"/>
                <w:highlight w:val="none"/>
                <w:lang w:bidi="en-US"/>
              </w:rPr>
              <w:t>类型</w:t>
            </w:r>
          </w:p>
        </w:tc>
        <w:tc>
          <w:tcPr>
            <w:tcW w:w="0" w:type="auto"/>
            <w:tcBorders>
              <w:top w:val="single" w:color="auto" w:sz="4" w:space="0"/>
              <w:left w:val="single" w:color="auto" w:sz="4" w:space="0"/>
              <w:bottom w:val="single" w:color="auto" w:sz="4" w:space="0"/>
              <w:right w:val="single" w:color="auto" w:sz="4" w:space="0"/>
            </w:tcBorders>
            <w:vAlign w:val="center"/>
          </w:tcPr>
          <w:p>
            <w:pPr>
              <w:pageBreakBefore w:val="0"/>
              <w:wordWrap/>
              <w:bidi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lang w:bidi="en-US"/>
              </w:rPr>
            </w:pPr>
            <w:r>
              <w:rPr>
                <w:rFonts w:hint="default" w:ascii="Times New Roman" w:hAnsi="Times New Roman" w:eastAsia="宋体" w:cs="Times New Roman"/>
                <w:color w:val="auto"/>
                <w:spacing w:val="-6"/>
                <w:kern w:val="0"/>
                <w:sz w:val="21"/>
                <w:szCs w:val="21"/>
                <w:highlight w:val="none"/>
                <w:lang w:bidi="en-US"/>
              </w:rPr>
              <w:t>矿种类型（包括主矿种、附</w:t>
            </w:r>
            <w:r>
              <w:rPr>
                <w:rFonts w:hint="default" w:ascii="Times New Roman" w:hAnsi="Times New Roman" w:eastAsia="宋体" w:cs="Times New Roman"/>
                <w:color w:val="auto"/>
                <w:spacing w:val="-6"/>
                <w:kern w:val="0"/>
                <w:sz w:val="21"/>
                <w:szCs w:val="21"/>
                <w:highlight w:val="none"/>
                <w:lang w:eastAsia="zh-CN" w:bidi="en-US"/>
              </w:rPr>
              <w:t>属</w:t>
            </w:r>
            <w:r>
              <w:rPr>
                <w:rFonts w:hint="default" w:ascii="Times New Roman" w:hAnsi="Times New Roman" w:eastAsia="宋体" w:cs="Times New Roman"/>
                <w:color w:val="auto"/>
                <w:spacing w:val="-6"/>
                <w:kern w:val="0"/>
                <w:sz w:val="21"/>
                <w:szCs w:val="21"/>
                <w:highlight w:val="none"/>
                <w:lang w:bidi="en-US"/>
              </w:rPr>
              <w:t>矿种</w:t>
            </w:r>
            <w:r>
              <w:rPr>
                <w:rFonts w:hint="default" w:ascii="Times New Roman" w:hAnsi="Times New Roman" w:eastAsia="宋体" w:cs="Times New Roman"/>
                <w:color w:val="auto"/>
                <w:spacing w:val="-6"/>
                <w:kern w:val="0"/>
                <w:sz w:val="21"/>
                <w:szCs w:val="21"/>
                <w:highlight w:val="none"/>
                <w:lang w:eastAsia="zh-CN" w:bidi="en-US"/>
              </w:rPr>
              <w:t>）</w:t>
            </w:r>
            <w:r>
              <w:rPr>
                <w:rFonts w:hint="default" w:ascii="Times New Roman" w:hAnsi="Times New Roman" w:eastAsia="宋体" w:cs="Times New Roman"/>
                <w:color w:val="auto"/>
                <w:spacing w:val="-6"/>
                <w:kern w:val="0"/>
                <w:sz w:val="21"/>
                <w:szCs w:val="21"/>
                <w:highlight w:val="none"/>
                <w:lang w:bidi="en-US"/>
              </w:rPr>
              <w:t>/尾矿（或尾矿水</w:t>
            </w:r>
            <w:r>
              <w:rPr>
                <w:rFonts w:hint="default" w:ascii="Times New Roman" w:hAnsi="Times New Roman" w:eastAsia="宋体" w:cs="Times New Roman"/>
                <w:color w:val="auto"/>
                <w:spacing w:val="-6"/>
                <w:kern w:val="0"/>
                <w:sz w:val="21"/>
                <w:szCs w:val="21"/>
                <w:highlight w:val="none"/>
                <w:lang w:eastAsia="zh-CN" w:bidi="en-US"/>
              </w:rPr>
              <w:t>）</w:t>
            </w:r>
            <w:r>
              <w:rPr>
                <w:rFonts w:hint="default" w:ascii="Times New Roman" w:hAnsi="Times New Roman" w:eastAsia="宋体" w:cs="Times New Roman"/>
                <w:color w:val="auto"/>
                <w:spacing w:val="-6"/>
                <w:kern w:val="0"/>
                <w:sz w:val="21"/>
                <w:szCs w:val="21"/>
                <w:highlight w:val="none"/>
                <w:lang w:bidi="en-US"/>
              </w:rPr>
              <w:t>成分类型</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pPr>
              <w:pageBreakBefore w:val="0"/>
              <w:wordWrap/>
              <w:bidi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lang w:bidi="en-US"/>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0" w:type="auto"/>
            <w:vMerge w:val="continue"/>
            <w:tcBorders>
              <w:top w:val="single" w:color="auto" w:sz="4" w:space="0"/>
              <w:left w:val="single" w:color="auto" w:sz="4" w:space="0"/>
              <w:bottom w:val="single" w:color="auto" w:sz="4" w:space="0"/>
              <w:right w:val="single" w:color="auto" w:sz="4" w:space="0"/>
            </w:tcBorders>
            <w:vAlign w:val="center"/>
          </w:tcPr>
          <w:p>
            <w:pPr>
              <w:pageBreakBefore w:val="0"/>
              <w:wordWrap/>
              <w:bidi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lang w:bidi="en-US"/>
              </w:rPr>
            </w:pPr>
          </w:p>
        </w:tc>
        <w:tc>
          <w:tcPr>
            <w:tcW w:w="0" w:type="auto"/>
            <w:tcBorders>
              <w:top w:val="single" w:color="auto" w:sz="4" w:space="0"/>
              <w:left w:val="single" w:color="auto" w:sz="4" w:space="0"/>
              <w:bottom w:val="single" w:color="auto" w:sz="4" w:space="0"/>
              <w:right w:val="single" w:color="auto" w:sz="4" w:space="0"/>
            </w:tcBorders>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bidi="en-US"/>
              </w:rPr>
            </w:pPr>
            <w:r>
              <w:rPr>
                <w:rFonts w:hint="default" w:ascii="Times New Roman" w:hAnsi="Times New Roman" w:eastAsia="宋体" w:cs="Times New Roman"/>
                <w:color w:val="auto"/>
                <w:sz w:val="21"/>
                <w:szCs w:val="21"/>
                <w:highlight w:val="none"/>
                <w:lang w:bidi="en-US"/>
              </w:rPr>
              <w:t>不</w:t>
            </w:r>
            <w:r>
              <w:rPr>
                <w:rFonts w:hint="default" w:ascii="Times New Roman" w:hAnsi="Times New Roman" w:eastAsia="宋体" w:cs="Times New Roman"/>
                <w:color w:val="auto"/>
                <w:sz w:val="21"/>
                <w:szCs w:val="21"/>
                <w:highlight w:val="none"/>
                <w:lang w:eastAsia="zh-CN" w:bidi="en-US"/>
              </w:rPr>
              <w:t>属</w:t>
            </w:r>
            <w:r>
              <w:rPr>
                <w:rFonts w:hint="default" w:ascii="Times New Roman" w:hAnsi="Times New Roman" w:eastAsia="宋体" w:cs="Times New Roman"/>
                <w:color w:val="auto"/>
                <w:sz w:val="21"/>
                <w:szCs w:val="21"/>
                <w:highlight w:val="none"/>
                <w:lang w:bidi="en-US"/>
              </w:rPr>
              <w:t>于1、2、3、4、5、6、7、8、9、10、11等一种或几种情形。</w:t>
            </w:r>
          </w:p>
        </w:tc>
        <w:tc>
          <w:tcPr>
            <w:tcW w:w="0" w:type="auto"/>
            <w:tcBorders>
              <w:top w:val="single" w:color="auto" w:sz="4" w:space="0"/>
              <w:left w:val="single" w:color="auto" w:sz="4" w:space="0"/>
              <w:bottom w:val="single" w:color="auto" w:sz="4" w:space="0"/>
              <w:right w:val="single" w:color="auto" w:sz="4" w:space="0"/>
            </w:tcBorders>
            <w:vAlign w:val="center"/>
          </w:tcPr>
          <w:p>
            <w:pPr>
              <w:pageBreakBefore w:val="0"/>
              <w:wordWrap/>
              <w:bidi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lang w:eastAsia="zh-CN" w:bidi="en-US"/>
              </w:rPr>
            </w:pPr>
            <w:r>
              <w:rPr>
                <w:rFonts w:hint="default" w:ascii="Times New Roman" w:hAnsi="Times New Roman" w:eastAsia="宋体" w:cs="Times New Roman"/>
                <w:color w:val="auto"/>
                <w:spacing w:val="-6"/>
                <w:kern w:val="0"/>
                <w:sz w:val="21"/>
                <w:szCs w:val="21"/>
                <w:highlight w:val="none"/>
                <w:lang w:eastAsia="zh-CN" w:bidi="en-US"/>
              </w:rPr>
              <w:t>钼</w:t>
            </w:r>
            <w:r>
              <w:rPr>
                <w:rFonts w:hint="default" w:ascii="Times New Roman" w:hAnsi="Times New Roman" w:eastAsia="宋体" w:cs="Times New Roman"/>
                <w:color w:val="auto"/>
                <w:spacing w:val="-6"/>
                <w:kern w:val="0"/>
                <w:sz w:val="21"/>
                <w:szCs w:val="21"/>
                <w:highlight w:val="none"/>
                <w:lang w:bidi="en-US"/>
              </w:rPr>
              <w:t>矿</w:t>
            </w:r>
            <w:r>
              <w:rPr>
                <w:rFonts w:hint="default" w:ascii="Times New Roman" w:hAnsi="Times New Roman" w:eastAsia="宋体" w:cs="Times New Roman"/>
                <w:color w:val="auto"/>
                <w:spacing w:val="-6"/>
                <w:kern w:val="0"/>
                <w:sz w:val="21"/>
                <w:szCs w:val="21"/>
                <w:highlight w:val="none"/>
                <w:lang w:eastAsia="zh-CN" w:bidi="en-US"/>
              </w:rPr>
              <w:t>，</w:t>
            </w:r>
            <w:r>
              <w:rPr>
                <w:rFonts w:hint="default" w:ascii="Times New Roman" w:hAnsi="Times New Roman" w:eastAsia="宋体" w:cs="Times New Roman"/>
                <w:color w:val="auto"/>
                <w:spacing w:val="-6"/>
                <w:kern w:val="0"/>
                <w:sz w:val="21"/>
                <w:szCs w:val="21"/>
                <w:highlight w:val="none"/>
                <w:lang w:bidi="en-US"/>
              </w:rPr>
              <w:t>尾矿</w:t>
            </w:r>
            <w:r>
              <w:rPr>
                <w:rFonts w:hint="default" w:ascii="Times New Roman" w:hAnsi="Times New Roman" w:eastAsia="宋体" w:cs="Times New Roman"/>
                <w:color w:val="auto"/>
                <w:spacing w:val="-6"/>
                <w:kern w:val="0"/>
                <w:sz w:val="21"/>
                <w:szCs w:val="21"/>
                <w:highlight w:val="none"/>
                <w:lang w:eastAsia="zh-CN" w:bidi="en-US"/>
              </w:rPr>
              <w:t>属</w:t>
            </w:r>
            <w:r>
              <w:rPr>
                <w:rFonts w:hint="default" w:ascii="Times New Roman" w:hAnsi="Times New Roman" w:eastAsia="宋体" w:cs="Times New Roman"/>
                <w:color w:val="auto"/>
                <w:spacing w:val="-6"/>
                <w:kern w:val="0"/>
                <w:sz w:val="21"/>
                <w:szCs w:val="21"/>
                <w:highlight w:val="none"/>
                <w:lang w:bidi="en-US"/>
              </w:rPr>
              <w:t>于一般工业固体废物（</w:t>
            </w:r>
            <w:r>
              <w:rPr>
                <w:rFonts w:hint="default" w:ascii="Times New Roman" w:hAnsi="Times New Roman" w:eastAsia="宋体" w:cs="Times New Roman"/>
                <w:color w:val="auto"/>
                <w:sz w:val="21"/>
                <w:szCs w:val="21"/>
                <w:highlight w:val="none"/>
              </w:rPr>
              <w:t>I</w:t>
            </w:r>
            <w:r>
              <w:rPr>
                <w:rFonts w:hint="default" w:ascii="Times New Roman" w:hAnsi="Times New Roman" w:eastAsia="宋体" w:cs="Times New Roman"/>
                <w:color w:val="auto"/>
                <w:spacing w:val="-6"/>
                <w:kern w:val="0"/>
                <w:sz w:val="21"/>
                <w:szCs w:val="21"/>
                <w:highlight w:val="none"/>
                <w:lang w:bidi="en-US"/>
              </w:rPr>
              <w:t>类</w:t>
            </w:r>
            <w:r>
              <w:rPr>
                <w:rFonts w:hint="default" w:ascii="Times New Roman" w:hAnsi="Times New Roman" w:eastAsia="宋体" w:cs="Times New Roman"/>
                <w:color w:val="auto"/>
                <w:spacing w:val="-6"/>
                <w:kern w:val="0"/>
                <w:sz w:val="21"/>
                <w:szCs w:val="21"/>
                <w:highlight w:val="none"/>
                <w:lang w:eastAsia="zh-CN" w:bidi="en-US"/>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0" w:type="auto"/>
            <w:tcBorders>
              <w:top w:val="single" w:color="auto" w:sz="4" w:space="0"/>
              <w:left w:val="single" w:color="auto" w:sz="4" w:space="0"/>
              <w:bottom w:val="single" w:color="auto" w:sz="4" w:space="0"/>
              <w:right w:val="single" w:color="auto" w:sz="4" w:space="0"/>
            </w:tcBorders>
            <w:vAlign w:val="center"/>
          </w:tcPr>
          <w:p>
            <w:pPr>
              <w:pageBreakBefore w:val="0"/>
              <w:wordWrap/>
              <w:bidi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lang w:bidi="en-US"/>
              </w:rPr>
            </w:pPr>
            <w:r>
              <w:rPr>
                <w:rFonts w:hint="default" w:ascii="Times New Roman" w:hAnsi="Times New Roman" w:eastAsia="宋体" w:cs="Times New Roman"/>
                <w:color w:val="auto"/>
                <w:spacing w:val="-6"/>
                <w:kern w:val="0"/>
                <w:sz w:val="21"/>
                <w:szCs w:val="21"/>
                <w:highlight w:val="none"/>
                <w:lang w:bidi="en-US"/>
              </w:rPr>
              <w:t>规模</w:t>
            </w:r>
          </w:p>
        </w:tc>
        <w:tc>
          <w:tcPr>
            <w:tcW w:w="0" w:type="auto"/>
            <w:tcBorders>
              <w:top w:val="single" w:color="auto" w:sz="4" w:space="0"/>
              <w:left w:val="single" w:color="auto" w:sz="4" w:space="0"/>
              <w:bottom w:val="single" w:color="auto" w:sz="4" w:space="0"/>
              <w:right w:val="single" w:color="auto" w:sz="4" w:space="0"/>
            </w:tcBorders>
            <w:vAlign w:val="center"/>
          </w:tcPr>
          <w:p>
            <w:pPr>
              <w:pageBreakBefore w:val="0"/>
              <w:wordWrap/>
              <w:bidi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lang w:bidi="en-US"/>
              </w:rPr>
            </w:pPr>
            <w:r>
              <w:rPr>
                <w:rFonts w:hint="default" w:ascii="Times New Roman" w:hAnsi="Times New Roman" w:eastAsia="宋体" w:cs="Times New Roman"/>
                <w:color w:val="auto"/>
                <w:spacing w:val="-6"/>
                <w:kern w:val="0"/>
                <w:sz w:val="21"/>
                <w:szCs w:val="21"/>
                <w:highlight w:val="none"/>
                <w:lang w:bidi="en-US"/>
              </w:rPr>
              <w:t>12.□尾矿库类别</w:t>
            </w:r>
            <w:r>
              <w:rPr>
                <w:rFonts w:hint="default" w:ascii="Times New Roman" w:hAnsi="Times New Roman" w:eastAsia="宋体" w:cs="Times New Roman"/>
                <w:color w:val="auto"/>
                <w:spacing w:val="-6"/>
                <w:kern w:val="0"/>
                <w:sz w:val="21"/>
                <w:szCs w:val="21"/>
                <w:highlight w:val="none"/>
                <w:lang w:eastAsia="zh-CN" w:bidi="en-US"/>
              </w:rPr>
              <w:t>：</w:t>
            </w:r>
            <w:r>
              <w:rPr>
                <w:rFonts w:hint="default" w:ascii="Times New Roman" w:hAnsi="Times New Roman" w:eastAsia="宋体" w:cs="Times New Roman"/>
                <w:color w:val="auto"/>
                <w:spacing w:val="-6"/>
                <w:kern w:val="0"/>
                <w:sz w:val="21"/>
                <w:szCs w:val="21"/>
                <w:highlight w:val="none"/>
                <w:lang w:bidi="en-US"/>
              </w:rPr>
              <w:t>四等及以上</w:t>
            </w:r>
          </w:p>
        </w:tc>
        <w:tc>
          <w:tcPr>
            <w:tcW w:w="0" w:type="auto"/>
            <w:tcBorders>
              <w:top w:val="single" w:color="auto" w:sz="4" w:space="0"/>
              <w:left w:val="single" w:color="auto" w:sz="4" w:space="0"/>
              <w:bottom w:val="single" w:color="auto" w:sz="4" w:space="0"/>
              <w:right w:val="single" w:color="auto" w:sz="4" w:space="0"/>
            </w:tcBorders>
            <w:vAlign w:val="center"/>
          </w:tcPr>
          <w:p>
            <w:pPr>
              <w:pageBreakBefore w:val="0"/>
              <w:wordWrap/>
              <w:bidi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lang w:bidi="en-US"/>
              </w:rPr>
            </w:pPr>
            <w:r>
              <w:rPr>
                <w:rFonts w:hint="default" w:ascii="Times New Roman" w:hAnsi="Times New Roman" w:eastAsia="宋体" w:cs="Times New Roman"/>
                <w:color w:val="auto"/>
                <w:spacing w:val="-6"/>
                <w:kern w:val="0"/>
                <w:sz w:val="21"/>
                <w:szCs w:val="21"/>
                <w:highlight w:val="none"/>
                <w:lang w:eastAsia="zh-CN" w:bidi="en-US"/>
              </w:rPr>
              <w:t>二</w:t>
            </w:r>
            <w:r>
              <w:rPr>
                <w:rFonts w:hint="default" w:ascii="Times New Roman" w:hAnsi="Times New Roman" w:eastAsia="宋体" w:cs="Times New Roman"/>
                <w:color w:val="auto"/>
                <w:spacing w:val="-6"/>
                <w:kern w:val="0"/>
                <w:sz w:val="21"/>
                <w:szCs w:val="21"/>
                <w:highlight w:val="none"/>
                <w:lang w:bidi="en-US"/>
              </w:rPr>
              <w:t>等库</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0" w:type="auto"/>
            <w:tcBorders>
              <w:top w:val="single" w:color="auto" w:sz="4" w:space="0"/>
              <w:left w:val="single" w:color="auto" w:sz="4" w:space="0"/>
              <w:bottom w:val="single" w:color="auto" w:sz="4" w:space="0"/>
              <w:right w:val="single" w:color="auto" w:sz="4" w:space="0"/>
            </w:tcBorders>
            <w:vAlign w:val="center"/>
          </w:tcPr>
          <w:p>
            <w:pPr>
              <w:pageBreakBefore w:val="0"/>
              <w:wordWrap/>
              <w:bidi w:val="0"/>
              <w:snapToGrid w:val="0"/>
              <w:spacing w:line="240" w:lineRule="auto"/>
              <w:ind w:left="0" w:leftChars="0" w:right="0" w:rightChars="0"/>
              <w:jc w:val="center"/>
              <w:rPr>
                <w:rFonts w:hint="default" w:ascii="Times New Roman" w:hAnsi="Times New Roman" w:eastAsia="宋体" w:cs="Times New Roman"/>
                <w:color w:val="auto"/>
                <w:spacing w:val="-6"/>
                <w:kern w:val="0"/>
                <w:sz w:val="21"/>
                <w:szCs w:val="21"/>
                <w:highlight w:val="none"/>
                <w:lang w:bidi="en-US"/>
              </w:rPr>
            </w:pPr>
            <w:r>
              <w:rPr>
                <w:rFonts w:hint="default" w:ascii="Times New Roman" w:hAnsi="Times New Roman" w:eastAsia="宋体" w:cs="Times New Roman"/>
                <w:color w:val="auto"/>
                <w:spacing w:val="-6"/>
                <w:kern w:val="0"/>
                <w:sz w:val="21"/>
                <w:szCs w:val="21"/>
                <w:highlight w:val="none"/>
                <w:lang w:bidi="en-US"/>
              </w:rPr>
              <w:t>周边环境敏感性</w:t>
            </w:r>
          </w:p>
        </w:tc>
        <w:tc>
          <w:tcPr>
            <w:tcW w:w="0" w:type="auto"/>
            <w:tcBorders>
              <w:top w:val="single" w:color="auto" w:sz="4" w:space="0"/>
              <w:left w:val="single" w:color="auto" w:sz="4" w:space="0"/>
              <w:bottom w:val="single" w:color="auto" w:sz="4" w:space="0"/>
              <w:right w:val="single" w:color="auto" w:sz="4" w:space="0"/>
            </w:tcBorders>
            <w:vAlign w:val="center"/>
          </w:tcPr>
          <w:p>
            <w:pPr>
              <w:pageBreakBefore w:val="0"/>
              <w:wordWrap/>
              <w:bidi w:val="0"/>
              <w:snapToGrid w:val="0"/>
              <w:spacing w:line="240" w:lineRule="auto"/>
              <w:ind w:left="0" w:leftChars="0" w:right="0" w:rightChars="0"/>
              <w:jc w:val="center"/>
              <w:rPr>
                <w:rFonts w:hint="default" w:ascii="Times New Roman" w:hAnsi="Times New Roman" w:eastAsia="宋体" w:cs="Times New Roman"/>
                <w:color w:val="auto"/>
                <w:spacing w:val="-6"/>
                <w:kern w:val="0"/>
                <w:sz w:val="21"/>
                <w:szCs w:val="21"/>
                <w:highlight w:val="none"/>
                <w:lang w:bidi="en-US"/>
              </w:rPr>
            </w:pPr>
            <w:r>
              <w:rPr>
                <w:rFonts w:hint="default" w:ascii="Times New Roman" w:hAnsi="Times New Roman" w:eastAsia="宋体" w:cs="Times New Roman"/>
                <w:color w:val="auto"/>
                <w:spacing w:val="-6"/>
                <w:kern w:val="0"/>
                <w:sz w:val="21"/>
                <w:szCs w:val="21"/>
                <w:highlight w:val="none"/>
                <w:lang w:bidi="en-US"/>
              </w:rPr>
              <w:t>所处区域或下游区域</w:t>
            </w:r>
            <w:r>
              <w:rPr>
                <w:rFonts w:hint="default" w:ascii="Times New Roman" w:hAnsi="Times New Roman" w:eastAsia="宋体" w:cs="Times New Roman"/>
                <w:color w:val="auto"/>
                <w:spacing w:val="-6"/>
                <w:kern w:val="0"/>
                <w:sz w:val="21"/>
                <w:szCs w:val="21"/>
                <w:highlight w:val="none"/>
                <w:lang w:eastAsia="zh-CN" w:bidi="en-US"/>
              </w:rPr>
              <w:t>，</w:t>
            </w:r>
            <w:r>
              <w:rPr>
                <w:rFonts w:hint="default" w:ascii="Times New Roman" w:hAnsi="Times New Roman" w:eastAsia="宋体" w:cs="Times New Roman"/>
                <w:color w:val="auto"/>
                <w:spacing w:val="-6"/>
                <w:kern w:val="0"/>
                <w:sz w:val="21"/>
                <w:szCs w:val="21"/>
                <w:highlight w:val="none"/>
                <w:lang w:bidi="en-US"/>
              </w:rPr>
              <w:t>不</w:t>
            </w:r>
            <w:r>
              <w:rPr>
                <w:rFonts w:hint="default" w:ascii="Times New Roman" w:hAnsi="Times New Roman" w:eastAsia="宋体" w:cs="Times New Roman"/>
                <w:color w:val="auto"/>
                <w:spacing w:val="-6"/>
                <w:kern w:val="0"/>
                <w:sz w:val="21"/>
                <w:szCs w:val="21"/>
                <w:highlight w:val="none"/>
                <w:lang w:eastAsia="zh-CN" w:bidi="en-US"/>
              </w:rPr>
              <w:t>属</w:t>
            </w:r>
            <w:r>
              <w:rPr>
                <w:rFonts w:hint="default" w:ascii="Times New Roman" w:hAnsi="Times New Roman" w:eastAsia="宋体" w:cs="Times New Roman"/>
                <w:color w:val="auto"/>
                <w:spacing w:val="-6"/>
                <w:kern w:val="0"/>
                <w:sz w:val="21"/>
                <w:szCs w:val="21"/>
                <w:highlight w:val="none"/>
                <w:lang w:bidi="en-US"/>
              </w:rPr>
              <w:t>于13.14.15.16.17.18.19.20.21.22.23</w:t>
            </w:r>
            <w:r>
              <w:rPr>
                <w:rFonts w:hint="default" w:ascii="Times New Roman" w:hAnsi="Times New Roman" w:eastAsia="宋体" w:cs="Times New Roman"/>
                <w:color w:val="auto"/>
                <w:sz w:val="21"/>
                <w:szCs w:val="21"/>
                <w:highlight w:val="none"/>
                <w:lang w:bidi="en-US"/>
              </w:rPr>
              <w:t>等一种或几种情形。</w:t>
            </w:r>
          </w:p>
        </w:tc>
        <w:tc>
          <w:tcPr>
            <w:tcW w:w="0" w:type="auto"/>
            <w:tcBorders>
              <w:top w:val="single" w:color="auto" w:sz="4" w:space="0"/>
              <w:left w:val="single" w:color="auto" w:sz="4" w:space="0"/>
              <w:bottom w:val="single" w:color="auto" w:sz="4" w:space="0"/>
              <w:right w:val="single" w:color="auto" w:sz="4" w:space="0"/>
            </w:tcBorders>
            <w:vAlign w:val="center"/>
          </w:tcPr>
          <w:p>
            <w:pPr>
              <w:pageBreakBefore w:val="0"/>
              <w:wordWrap/>
              <w:bidi w:val="0"/>
              <w:snapToGrid w:val="0"/>
              <w:spacing w:line="240" w:lineRule="auto"/>
              <w:ind w:left="0" w:leftChars="0" w:right="0" w:rightChars="0"/>
              <w:jc w:val="center"/>
              <w:rPr>
                <w:rFonts w:hint="default" w:ascii="Times New Roman" w:hAnsi="Times New Roman" w:eastAsia="宋体" w:cs="Times New Roman"/>
                <w:color w:val="auto"/>
                <w:spacing w:val="-6"/>
                <w:kern w:val="0"/>
                <w:sz w:val="21"/>
                <w:szCs w:val="21"/>
                <w:highlight w:val="none"/>
                <w:lang w:bidi="en-US"/>
              </w:rPr>
            </w:pPr>
            <w:r>
              <w:rPr>
                <w:rFonts w:hint="default" w:ascii="Times New Roman" w:hAnsi="Times New Roman" w:eastAsia="宋体" w:cs="Times New Roman"/>
                <w:color w:val="auto"/>
                <w:spacing w:val="-6"/>
                <w:kern w:val="0"/>
                <w:sz w:val="21"/>
                <w:szCs w:val="21"/>
                <w:highlight w:val="none"/>
                <w:lang w:bidi="en-US"/>
              </w:rPr>
              <w:t>最近敏感目标距离尾矿库约0.</w:t>
            </w:r>
            <w:r>
              <w:rPr>
                <w:rFonts w:hint="default" w:ascii="Times New Roman" w:hAnsi="Times New Roman" w:eastAsia="宋体" w:cs="Times New Roman"/>
                <w:color w:val="auto"/>
                <w:spacing w:val="-6"/>
                <w:kern w:val="0"/>
                <w:sz w:val="21"/>
                <w:szCs w:val="21"/>
                <w:highlight w:val="none"/>
                <w:lang w:val="en-US" w:eastAsia="zh-CN" w:bidi="en-US"/>
              </w:rPr>
              <w:t>21</w:t>
            </w:r>
            <w:r>
              <w:rPr>
                <w:rFonts w:hint="default" w:ascii="Times New Roman" w:hAnsi="Times New Roman" w:eastAsia="宋体" w:cs="Times New Roman"/>
                <w:color w:val="auto"/>
                <w:spacing w:val="-6"/>
                <w:kern w:val="0"/>
                <w:sz w:val="21"/>
                <w:szCs w:val="21"/>
                <w:highlight w:val="none"/>
                <w:lang w:bidi="en-US"/>
              </w:rPr>
              <w:t>km</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0" w:type="auto"/>
            <w:tcBorders>
              <w:top w:val="single" w:color="auto" w:sz="4" w:space="0"/>
              <w:left w:val="single" w:color="auto" w:sz="4" w:space="0"/>
              <w:bottom w:val="single" w:color="auto" w:sz="4" w:space="0"/>
              <w:right w:val="single" w:color="auto" w:sz="4" w:space="0"/>
            </w:tcBorders>
            <w:vAlign w:val="center"/>
          </w:tcPr>
          <w:p>
            <w:pPr>
              <w:pageBreakBefore w:val="0"/>
              <w:wordWrap/>
              <w:bidi w:val="0"/>
              <w:snapToGrid w:val="0"/>
              <w:spacing w:line="240" w:lineRule="auto"/>
              <w:ind w:left="0" w:leftChars="0" w:right="0" w:rightChars="0"/>
              <w:jc w:val="center"/>
              <w:rPr>
                <w:rFonts w:hint="default" w:ascii="Times New Roman" w:hAnsi="Times New Roman" w:eastAsia="宋体" w:cs="Times New Roman"/>
                <w:color w:val="auto"/>
                <w:spacing w:val="-6"/>
                <w:kern w:val="0"/>
                <w:sz w:val="21"/>
                <w:szCs w:val="21"/>
                <w:highlight w:val="none"/>
                <w:lang w:bidi="en-US"/>
              </w:rPr>
            </w:pPr>
            <w:r>
              <w:rPr>
                <w:rFonts w:hint="default" w:ascii="Times New Roman" w:hAnsi="Times New Roman" w:eastAsia="宋体" w:cs="Times New Roman"/>
                <w:color w:val="auto"/>
                <w:spacing w:val="-6"/>
                <w:kern w:val="0"/>
                <w:sz w:val="21"/>
                <w:szCs w:val="21"/>
                <w:highlight w:val="none"/>
                <w:lang w:bidi="en-US"/>
              </w:rPr>
              <w:t>安全性</w:t>
            </w:r>
          </w:p>
        </w:tc>
        <w:tc>
          <w:tcPr>
            <w:tcW w:w="0" w:type="auto"/>
            <w:tcBorders>
              <w:top w:val="single" w:color="auto" w:sz="4" w:space="0"/>
              <w:left w:val="single" w:color="auto" w:sz="4" w:space="0"/>
              <w:bottom w:val="single" w:color="auto" w:sz="4" w:space="0"/>
              <w:right w:val="single" w:color="auto" w:sz="4" w:space="0"/>
            </w:tcBorders>
            <w:vAlign w:val="center"/>
          </w:tcPr>
          <w:p>
            <w:pPr>
              <w:pageBreakBefore w:val="0"/>
              <w:wordWrap/>
              <w:bidi w:val="0"/>
              <w:snapToGrid w:val="0"/>
              <w:spacing w:line="240" w:lineRule="auto"/>
              <w:ind w:left="0" w:leftChars="0" w:right="0" w:rightChars="0"/>
              <w:jc w:val="center"/>
              <w:rPr>
                <w:rFonts w:hint="default" w:ascii="Times New Roman" w:hAnsi="Times New Roman" w:eastAsia="宋体" w:cs="Times New Roman"/>
                <w:color w:val="auto"/>
                <w:spacing w:val="-6"/>
                <w:kern w:val="0"/>
                <w:sz w:val="21"/>
                <w:szCs w:val="21"/>
                <w:highlight w:val="none"/>
                <w:lang w:bidi="en-US"/>
              </w:rPr>
            </w:pPr>
            <w:r>
              <w:rPr>
                <w:rFonts w:hint="default" w:ascii="Times New Roman" w:hAnsi="Times New Roman" w:eastAsia="宋体" w:cs="Times New Roman"/>
                <w:color w:val="auto"/>
                <w:spacing w:val="-6"/>
                <w:kern w:val="0"/>
                <w:sz w:val="21"/>
                <w:szCs w:val="21"/>
                <w:highlight w:val="none"/>
                <w:lang w:bidi="en-US"/>
              </w:rPr>
              <w:t>不</w:t>
            </w:r>
            <w:r>
              <w:rPr>
                <w:rFonts w:hint="default" w:ascii="Times New Roman" w:hAnsi="Times New Roman" w:eastAsia="宋体" w:cs="Times New Roman"/>
                <w:color w:val="auto"/>
                <w:spacing w:val="-6"/>
                <w:kern w:val="0"/>
                <w:sz w:val="21"/>
                <w:szCs w:val="21"/>
                <w:highlight w:val="none"/>
                <w:lang w:eastAsia="zh-CN" w:bidi="en-US"/>
              </w:rPr>
              <w:t>属</w:t>
            </w:r>
            <w:r>
              <w:rPr>
                <w:rFonts w:hint="default" w:ascii="Times New Roman" w:hAnsi="Times New Roman" w:eastAsia="宋体" w:cs="Times New Roman"/>
                <w:color w:val="auto"/>
                <w:spacing w:val="-6"/>
                <w:kern w:val="0"/>
                <w:sz w:val="21"/>
                <w:szCs w:val="21"/>
                <w:highlight w:val="none"/>
                <w:lang w:bidi="en-US"/>
              </w:rPr>
              <w:t>于24.25.26.27.28等一种或几种情形</w:t>
            </w:r>
          </w:p>
        </w:tc>
        <w:tc>
          <w:tcPr>
            <w:tcW w:w="0" w:type="auto"/>
            <w:tcBorders>
              <w:top w:val="single" w:color="auto" w:sz="4" w:space="0"/>
              <w:left w:val="single" w:color="auto" w:sz="4" w:space="0"/>
              <w:bottom w:val="single" w:color="auto" w:sz="4" w:space="0"/>
              <w:right w:val="single" w:color="auto" w:sz="4" w:space="0"/>
            </w:tcBorders>
            <w:vAlign w:val="center"/>
          </w:tcPr>
          <w:p>
            <w:pPr>
              <w:pageBreakBefore w:val="0"/>
              <w:wordWrap/>
              <w:bidi w:val="0"/>
              <w:snapToGrid w:val="0"/>
              <w:spacing w:line="240" w:lineRule="auto"/>
              <w:ind w:left="0" w:leftChars="0" w:right="0" w:rightChars="0"/>
              <w:jc w:val="center"/>
              <w:rPr>
                <w:rFonts w:hint="default" w:ascii="Times New Roman" w:hAnsi="Times New Roman" w:eastAsia="宋体" w:cs="Times New Roman"/>
                <w:color w:val="auto"/>
                <w:spacing w:val="-6"/>
                <w:kern w:val="0"/>
                <w:sz w:val="21"/>
                <w:szCs w:val="21"/>
                <w:highlight w:val="none"/>
                <w:lang w:bidi="en-US"/>
              </w:rPr>
            </w:pPr>
            <w:r>
              <w:rPr>
                <w:rFonts w:hint="default" w:ascii="Times New Roman" w:hAnsi="Times New Roman" w:eastAsia="宋体" w:cs="Times New Roman"/>
                <w:color w:val="auto"/>
                <w:spacing w:val="-6"/>
                <w:kern w:val="0"/>
                <w:sz w:val="21"/>
                <w:szCs w:val="21"/>
                <w:highlight w:val="none"/>
                <w:lang w:bidi="en-US"/>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0" w:type="auto"/>
            <w:tcBorders>
              <w:top w:val="single" w:color="auto" w:sz="4" w:space="0"/>
              <w:left w:val="single" w:color="auto" w:sz="4" w:space="0"/>
              <w:bottom w:val="single" w:color="auto" w:sz="4" w:space="0"/>
              <w:right w:val="single" w:color="auto" w:sz="4" w:space="0"/>
            </w:tcBorders>
            <w:vAlign w:val="center"/>
          </w:tcPr>
          <w:p>
            <w:pPr>
              <w:pageBreakBefore w:val="0"/>
              <w:wordWrap/>
              <w:bidi w:val="0"/>
              <w:snapToGrid w:val="0"/>
              <w:spacing w:line="240" w:lineRule="auto"/>
              <w:ind w:left="0" w:leftChars="0" w:right="0" w:rightChars="0"/>
              <w:jc w:val="center"/>
              <w:rPr>
                <w:rFonts w:hint="default" w:ascii="Times New Roman" w:hAnsi="Times New Roman" w:eastAsia="宋体" w:cs="Times New Roman"/>
                <w:color w:val="auto"/>
                <w:spacing w:val="-6"/>
                <w:kern w:val="0"/>
                <w:sz w:val="21"/>
                <w:szCs w:val="21"/>
                <w:highlight w:val="none"/>
                <w:lang w:bidi="en-US"/>
              </w:rPr>
            </w:pPr>
            <w:r>
              <w:rPr>
                <w:rFonts w:hint="default" w:ascii="Times New Roman" w:hAnsi="Times New Roman" w:eastAsia="宋体" w:cs="Times New Roman"/>
                <w:color w:val="auto"/>
                <w:spacing w:val="-6"/>
                <w:kern w:val="0"/>
                <w:sz w:val="21"/>
                <w:szCs w:val="21"/>
                <w:highlight w:val="none"/>
                <w:lang w:bidi="en-US"/>
              </w:rPr>
              <w:t>历史事件与环境违法情况</w:t>
            </w:r>
          </w:p>
        </w:tc>
        <w:tc>
          <w:tcPr>
            <w:tcW w:w="0" w:type="auto"/>
            <w:tcBorders>
              <w:top w:val="single" w:color="auto" w:sz="4" w:space="0"/>
              <w:left w:val="single" w:color="auto" w:sz="4" w:space="0"/>
              <w:bottom w:val="single" w:color="auto" w:sz="4" w:space="0"/>
              <w:right w:val="single" w:color="auto" w:sz="4" w:space="0"/>
            </w:tcBorders>
            <w:vAlign w:val="center"/>
          </w:tcPr>
          <w:p>
            <w:pPr>
              <w:pageBreakBefore w:val="0"/>
              <w:wordWrap/>
              <w:bidi w:val="0"/>
              <w:snapToGrid w:val="0"/>
              <w:spacing w:line="240" w:lineRule="auto"/>
              <w:ind w:left="0" w:leftChars="0" w:right="0" w:rightChars="0"/>
              <w:jc w:val="center"/>
              <w:rPr>
                <w:rFonts w:hint="default" w:ascii="Times New Roman" w:hAnsi="Times New Roman" w:eastAsia="宋体" w:cs="Times New Roman"/>
                <w:color w:val="auto"/>
                <w:spacing w:val="-6"/>
                <w:kern w:val="0"/>
                <w:sz w:val="21"/>
                <w:szCs w:val="21"/>
                <w:highlight w:val="none"/>
                <w:lang w:bidi="en-US"/>
              </w:rPr>
            </w:pPr>
            <w:r>
              <w:rPr>
                <w:rFonts w:hint="default" w:ascii="Times New Roman" w:hAnsi="Times New Roman" w:eastAsia="宋体" w:cs="Times New Roman"/>
                <w:color w:val="auto"/>
                <w:spacing w:val="-6"/>
                <w:kern w:val="0"/>
                <w:sz w:val="21"/>
                <w:szCs w:val="21"/>
                <w:highlight w:val="none"/>
                <w:lang w:bidi="en-US"/>
              </w:rPr>
              <w:t>不</w:t>
            </w:r>
            <w:r>
              <w:rPr>
                <w:rFonts w:hint="default" w:ascii="Times New Roman" w:hAnsi="Times New Roman" w:eastAsia="宋体" w:cs="Times New Roman"/>
                <w:color w:val="auto"/>
                <w:spacing w:val="-6"/>
                <w:kern w:val="0"/>
                <w:sz w:val="21"/>
                <w:szCs w:val="21"/>
                <w:highlight w:val="none"/>
                <w:lang w:eastAsia="zh-CN" w:bidi="en-US"/>
              </w:rPr>
              <w:t>属</w:t>
            </w:r>
            <w:r>
              <w:rPr>
                <w:rFonts w:hint="default" w:ascii="Times New Roman" w:hAnsi="Times New Roman" w:eastAsia="宋体" w:cs="Times New Roman"/>
                <w:color w:val="auto"/>
                <w:spacing w:val="-6"/>
                <w:kern w:val="0"/>
                <w:sz w:val="21"/>
                <w:szCs w:val="21"/>
                <w:highlight w:val="none"/>
                <w:lang w:bidi="en-US"/>
              </w:rPr>
              <w:t>于29</w:t>
            </w:r>
            <w:r>
              <w:rPr>
                <w:rFonts w:hint="default" w:ascii="Times New Roman" w:hAnsi="Times New Roman" w:eastAsia="宋体" w:cs="Times New Roman"/>
                <w:color w:val="auto"/>
                <w:spacing w:val="-6"/>
                <w:kern w:val="0"/>
                <w:sz w:val="21"/>
                <w:szCs w:val="21"/>
                <w:highlight w:val="none"/>
                <w:lang w:eastAsia="zh-CN" w:bidi="en-US"/>
              </w:rPr>
              <w:t>，</w:t>
            </w:r>
            <w:r>
              <w:rPr>
                <w:rFonts w:hint="default" w:ascii="Times New Roman" w:hAnsi="Times New Roman" w:eastAsia="宋体" w:cs="Times New Roman"/>
                <w:color w:val="auto"/>
                <w:spacing w:val="-6"/>
                <w:kern w:val="0"/>
                <w:sz w:val="21"/>
                <w:szCs w:val="21"/>
                <w:highlight w:val="none"/>
                <w:lang w:bidi="en-US"/>
              </w:rPr>
              <w:t>30等一种或几种情形</w:t>
            </w:r>
          </w:p>
        </w:tc>
        <w:tc>
          <w:tcPr>
            <w:tcW w:w="0" w:type="auto"/>
            <w:tcBorders>
              <w:top w:val="single" w:color="auto" w:sz="4" w:space="0"/>
              <w:left w:val="single" w:color="auto" w:sz="4" w:space="0"/>
              <w:bottom w:val="single" w:color="auto" w:sz="4" w:space="0"/>
              <w:right w:val="single" w:color="auto" w:sz="4" w:space="0"/>
            </w:tcBorders>
            <w:vAlign w:val="center"/>
          </w:tcPr>
          <w:p>
            <w:pPr>
              <w:pageBreakBefore w:val="0"/>
              <w:wordWrap/>
              <w:bidi w:val="0"/>
              <w:snapToGrid w:val="0"/>
              <w:spacing w:line="240" w:lineRule="auto"/>
              <w:ind w:left="0" w:leftChars="0" w:right="0" w:rightChars="0"/>
              <w:jc w:val="center"/>
              <w:rPr>
                <w:rFonts w:hint="default" w:ascii="Times New Roman" w:hAnsi="Times New Roman" w:eastAsia="宋体" w:cs="Times New Roman"/>
                <w:color w:val="auto"/>
                <w:spacing w:val="-6"/>
                <w:kern w:val="0"/>
                <w:sz w:val="21"/>
                <w:szCs w:val="21"/>
                <w:highlight w:val="none"/>
                <w:lang w:bidi="en-US"/>
              </w:rPr>
            </w:pPr>
            <w:r>
              <w:rPr>
                <w:rFonts w:hint="default" w:ascii="Times New Roman" w:hAnsi="Times New Roman" w:eastAsia="宋体" w:cs="Times New Roman"/>
                <w:color w:val="auto"/>
                <w:spacing w:val="-6"/>
                <w:kern w:val="0"/>
                <w:sz w:val="21"/>
                <w:szCs w:val="21"/>
                <w:highlight w:val="none"/>
                <w:lang w:bidi="en-US"/>
              </w:rPr>
              <w:t>--</w:t>
            </w:r>
          </w:p>
        </w:tc>
      </w:tr>
    </w:tbl>
    <w:p>
      <w:pPr>
        <w:pStyle w:val="35"/>
        <w:pageBreakBefore w:val="0"/>
        <w:wordWrap/>
        <w:bidi w:val="0"/>
        <w:spacing w:after="0"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根据预判结果</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本项目尾矿库符合预判表中尾矿库规模一项</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因此确定本项目</w:t>
      </w:r>
      <w:r>
        <w:rPr>
          <w:rFonts w:hint="default" w:ascii="Times New Roman" w:hAnsi="Times New Roman" w:eastAsia="宋体" w:cs="Times New Roman"/>
          <w:color w:val="auto"/>
          <w:sz w:val="24"/>
          <w:highlight w:val="none"/>
          <w:lang w:eastAsia="zh-CN"/>
        </w:rPr>
        <w:t>扩建</w:t>
      </w:r>
      <w:r>
        <w:rPr>
          <w:rFonts w:hint="default" w:ascii="Times New Roman" w:hAnsi="Times New Roman" w:eastAsia="宋体" w:cs="Times New Roman"/>
          <w:color w:val="auto"/>
          <w:sz w:val="24"/>
          <w:highlight w:val="none"/>
        </w:rPr>
        <w:t>后尾矿库</w:t>
      </w:r>
      <w:r>
        <w:rPr>
          <w:rFonts w:hint="default" w:ascii="Times New Roman" w:hAnsi="Times New Roman" w:eastAsia="宋体" w:cs="Times New Roman"/>
          <w:color w:val="auto"/>
          <w:sz w:val="24"/>
          <w:highlight w:val="none"/>
          <w:lang w:eastAsia="zh-CN"/>
        </w:rPr>
        <w:t>属</w:t>
      </w:r>
      <w:r>
        <w:rPr>
          <w:rFonts w:hint="default" w:ascii="Times New Roman" w:hAnsi="Times New Roman" w:eastAsia="宋体" w:cs="Times New Roman"/>
          <w:color w:val="auto"/>
          <w:sz w:val="24"/>
          <w:highlight w:val="none"/>
        </w:rPr>
        <w:t>于重点环境监管尾矿库</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需开展环境风险评估。</w:t>
      </w:r>
    </w:p>
    <w:p>
      <w:pPr>
        <w:pStyle w:val="5"/>
        <w:pageBreakBefore w:val="0"/>
        <w:numPr>
          <w:ilvl w:val="2"/>
          <w:numId w:val="0"/>
        </w:numPr>
        <w:wordWrap/>
        <w:bidi w:val="0"/>
        <w:ind w:left="0" w:leftChars="0" w:right="0" w:rightChars="0"/>
        <w:rPr>
          <w:rFonts w:hint="default" w:ascii="Times New Roman" w:hAnsi="Times New Roman" w:eastAsia="宋体" w:cs="Times New Roman"/>
          <w:b/>
          <w:bCs/>
          <w:color w:val="auto"/>
          <w:highlight w:val="none"/>
        </w:rPr>
      </w:pPr>
      <w:bookmarkStart w:id="1123" w:name="_Toc26763"/>
      <w:bookmarkStart w:id="1124" w:name="_Toc8401"/>
      <w:bookmarkStart w:id="1125" w:name="_Toc263"/>
      <w:r>
        <w:rPr>
          <w:rFonts w:hint="default" w:ascii="Times New Roman" w:hAnsi="Times New Roman" w:eastAsia="宋体" w:cs="Times New Roman"/>
          <w:b/>
          <w:bCs/>
          <w:i w:val="0"/>
          <w:iCs w:val="0"/>
          <w:caps w:val="0"/>
          <w:smallCaps w:val="0"/>
          <w:strike w:val="0"/>
          <w:dstrike w:val="0"/>
          <w:vanish w:val="0"/>
          <w:color w:val="auto"/>
          <w:spacing w:val="0"/>
          <w:kern w:val="2"/>
          <w:position w:val="0"/>
          <w:sz w:val="24"/>
          <w:szCs w:val="24"/>
          <w:highlight w:val="none"/>
          <w:u w:val="none"/>
          <w:vertAlign w:val="baseline"/>
          <w:lang w:val="en-US" w:eastAsia="zh-CN" w:bidi="ar-SA"/>
          <w14:shadow w14:blurRad="0" w14:dist="0" w14:dir="0" w14:sx="0" w14:sy="0" w14:kx="0" w14:ky="0" w14:algn="none">
            <w14:srgbClr w14:val="000000"/>
          </w14:shadow>
        </w:rPr>
        <w:t>8.2.2</w:t>
      </w:r>
      <w:r>
        <w:rPr>
          <w:rFonts w:hint="default" w:ascii="Times New Roman" w:hAnsi="Times New Roman" w:eastAsia="宋体" w:cs="Times New Roman"/>
          <w:b/>
          <w:bCs/>
          <w:color w:val="auto"/>
          <w:highlight w:val="none"/>
        </w:rPr>
        <w:t>尾矿库环境风险等级划分</w:t>
      </w:r>
      <w:bookmarkEnd w:id="1123"/>
      <w:bookmarkEnd w:id="1124"/>
      <w:bookmarkEnd w:id="1125"/>
    </w:p>
    <w:p>
      <w:pPr>
        <w:pageBreakBefore w:val="0"/>
        <w:tabs>
          <w:tab w:val="left" w:pos="3062"/>
        </w:tabs>
        <w:wordWrap/>
        <w:bidi w:val="0"/>
        <w:spacing w:line="360" w:lineRule="auto"/>
        <w:ind w:left="0" w:leftChars="0" w:right="0" w:rightChars="0" w:firstLine="480" w:firstLineChars="20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根据《尾矿库环境风险评估技术导则（试行</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》（HJ740-2015</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综合尾矿库环境危害性（H</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、周边环境敏感性（S</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、控制机制可靠性（R</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三方面的等别</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对照尾矿库环境风险等级划分矩阵表</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将尾矿库环境风险划分为重大、较大、一般三个等级。确定本项目尾矿库环境风险等级为“一般（</w:t>
      </w:r>
      <w:r>
        <w:rPr>
          <w:rFonts w:hint="default" w:ascii="Times New Roman" w:hAnsi="Times New Roman" w:eastAsia="宋体" w:cs="Times New Roman"/>
          <w:color w:val="auto"/>
          <w:sz w:val="24"/>
          <w:highlight w:val="none"/>
          <w:lang w:eastAsia="zh-CN"/>
        </w:rPr>
        <w:t>H1S3R3）</w:t>
      </w:r>
      <w:r>
        <w:rPr>
          <w:rFonts w:hint="default" w:ascii="Times New Roman" w:hAnsi="Times New Roman" w:eastAsia="宋体" w:cs="Times New Roman"/>
          <w:color w:val="auto"/>
          <w:sz w:val="24"/>
          <w:highlight w:val="none"/>
        </w:rPr>
        <w:t>”。</w:t>
      </w:r>
    </w:p>
    <w:p>
      <w:pPr>
        <w:pageBreakBefore w:val="0"/>
        <w:tabs>
          <w:tab w:val="left" w:pos="3062"/>
        </w:tabs>
        <w:wordWrap/>
        <w:bidi w:val="0"/>
        <w:spacing w:line="360" w:lineRule="auto"/>
        <w:ind w:left="0" w:leftChars="0" w:right="0" w:rightChars="0"/>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表</w:t>
      </w:r>
      <w:r>
        <w:rPr>
          <w:rFonts w:hint="default" w:ascii="Times New Roman" w:hAnsi="Times New Roman" w:eastAsia="宋体" w:cs="Times New Roman"/>
          <w:b/>
          <w:bCs/>
          <w:color w:val="auto"/>
          <w:sz w:val="24"/>
          <w:highlight w:val="none"/>
          <w:lang w:val="en-US" w:eastAsia="zh-CN"/>
        </w:rPr>
        <w:t>8-6</w:t>
      </w:r>
      <w:r>
        <w:rPr>
          <w:rFonts w:hint="default" w:ascii="Times New Roman" w:hAnsi="Times New Roman" w:eastAsia="宋体" w:cs="Times New Roman"/>
          <w:b/>
          <w:bCs/>
          <w:color w:val="auto"/>
          <w:sz w:val="24"/>
          <w:highlight w:val="none"/>
        </w:rPr>
        <w:t>尾矿库环境风险等级划分矩阵</w:t>
      </w:r>
    </w:p>
    <w:tbl>
      <w:tblPr>
        <w:tblStyle w:val="54"/>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43"/>
        <w:gridCol w:w="1866"/>
        <w:gridCol w:w="2245"/>
        <w:gridCol w:w="2156"/>
        <w:gridCol w:w="161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7" w:type="pct"/>
            <w:vMerge w:val="restart"/>
            <w:tcBorders>
              <w:top w:val="single" w:color="auto" w:sz="4" w:space="0"/>
              <w:lef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序号</w:t>
            </w:r>
          </w:p>
        </w:tc>
        <w:tc>
          <w:tcPr>
            <w:tcW w:w="3677" w:type="pct"/>
            <w:gridSpan w:val="3"/>
            <w:tcBorders>
              <w:top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情形</w:t>
            </w:r>
          </w:p>
        </w:tc>
        <w:tc>
          <w:tcPr>
            <w:tcW w:w="946" w:type="pct"/>
            <w:vMerge w:val="restart"/>
            <w:tcBorders>
              <w:top w:val="single" w:color="auto" w:sz="4" w:space="0"/>
              <w:righ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环境风险等级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7" w:type="pct"/>
            <w:vMerge w:val="continue"/>
            <w:tcBorders>
              <w:lef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b/>
                <w:color w:val="auto"/>
                <w:szCs w:val="21"/>
                <w:highlight w:val="none"/>
              </w:rPr>
            </w:pPr>
          </w:p>
        </w:tc>
        <w:tc>
          <w:tcPr>
            <w:tcW w:w="1095" w:type="pct"/>
            <w:vAlign w:val="center"/>
          </w:tcPr>
          <w:p>
            <w:pPr>
              <w:pageBreakBefore w:val="0"/>
              <w:wordWrap/>
              <w:bidi w:val="0"/>
              <w:ind w:left="0" w:leftChars="0" w:right="0" w:rightChars="0"/>
              <w:jc w:val="center"/>
              <w:rPr>
                <w:rFonts w:hint="default" w:ascii="Times New Roman" w:hAnsi="Times New Roman" w:eastAsia="宋体" w:cs="Times New Roman"/>
                <w:b/>
                <w:color w:val="auto"/>
                <w:szCs w:val="21"/>
                <w:highlight w:val="none"/>
                <w:lang w:eastAsia="zh-CN"/>
              </w:rPr>
            </w:pPr>
            <w:r>
              <w:rPr>
                <w:rFonts w:hint="default" w:ascii="Times New Roman" w:hAnsi="Times New Roman" w:eastAsia="宋体" w:cs="Times New Roman"/>
                <w:b/>
                <w:color w:val="auto"/>
                <w:szCs w:val="21"/>
                <w:highlight w:val="none"/>
              </w:rPr>
              <w:t>环境危害性（H</w:t>
            </w:r>
            <w:r>
              <w:rPr>
                <w:rFonts w:hint="default" w:ascii="Times New Roman" w:hAnsi="Times New Roman" w:eastAsia="宋体" w:cs="Times New Roman"/>
                <w:b/>
                <w:color w:val="auto"/>
                <w:szCs w:val="21"/>
                <w:highlight w:val="none"/>
                <w:lang w:eastAsia="zh-CN"/>
              </w:rPr>
              <w:t>）</w:t>
            </w:r>
          </w:p>
        </w:tc>
        <w:tc>
          <w:tcPr>
            <w:tcW w:w="1317" w:type="pct"/>
            <w:vAlign w:val="center"/>
          </w:tcPr>
          <w:p>
            <w:pPr>
              <w:pageBreakBefore w:val="0"/>
              <w:wordWrap/>
              <w:bidi w:val="0"/>
              <w:ind w:left="0" w:leftChars="0" w:right="0" w:rightChars="0"/>
              <w:jc w:val="center"/>
              <w:rPr>
                <w:rFonts w:hint="default" w:ascii="Times New Roman" w:hAnsi="Times New Roman" w:eastAsia="宋体" w:cs="Times New Roman"/>
                <w:b/>
                <w:color w:val="auto"/>
                <w:szCs w:val="21"/>
                <w:highlight w:val="none"/>
                <w:lang w:eastAsia="zh-CN"/>
              </w:rPr>
            </w:pPr>
            <w:r>
              <w:rPr>
                <w:rFonts w:hint="default" w:ascii="Times New Roman" w:hAnsi="Times New Roman" w:eastAsia="宋体" w:cs="Times New Roman"/>
                <w:b/>
                <w:color w:val="auto"/>
                <w:szCs w:val="21"/>
                <w:highlight w:val="none"/>
              </w:rPr>
              <w:t>周边环境敏感性（S</w:t>
            </w:r>
            <w:r>
              <w:rPr>
                <w:rFonts w:hint="default" w:ascii="Times New Roman" w:hAnsi="Times New Roman" w:eastAsia="宋体" w:cs="Times New Roman"/>
                <w:b/>
                <w:color w:val="auto"/>
                <w:szCs w:val="21"/>
                <w:highlight w:val="none"/>
                <w:lang w:eastAsia="zh-CN"/>
              </w:rPr>
              <w:t>）</w:t>
            </w:r>
          </w:p>
        </w:tc>
        <w:tc>
          <w:tcPr>
            <w:tcW w:w="1265" w:type="pct"/>
            <w:vAlign w:val="center"/>
          </w:tcPr>
          <w:p>
            <w:pPr>
              <w:pageBreakBefore w:val="0"/>
              <w:wordWrap/>
              <w:bidi w:val="0"/>
              <w:ind w:left="0" w:leftChars="0" w:right="0" w:rightChars="0"/>
              <w:jc w:val="center"/>
              <w:rPr>
                <w:rFonts w:hint="default" w:ascii="Times New Roman" w:hAnsi="Times New Roman" w:eastAsia="宋体" w:cs="Times New Roman"/>
                <w:b/>
                <w:color w:val="auto"/>
                <w:szCs w:val="21"/>
                <w:highlight w:val="none"/>
                <w:lang w:eastAsia="zh-CN"/>
              </w:rPr>
            </w:pPr>
            <w:r>
              <w:rPr>
                <w:rFonts w:hint="default" w:ascii="Times New Roman" w:hAnsi="Times New Roman" w:eastAsia="宋体" w:cs="Times New Roman"/>
                <w:b/>
                <w:color w:val="auto"/>
                <w:szCs w:val="21"/>
                <w:highlight w:val="none"/>
              </w:rPr>
              <w:t>控制机制可靠性（R</w:t>
            </w:r>
            <w:r>
              <w:rPr>
                <w:rFonts w:hint="default" w:ascii="Times New Roman" w:hAnsi="Times New Roman" w:eastAsia="宋体" w:cs="Times New Roman"/>
                <w:b/>
                <w:color w:val="auto"/>
                <w:szCs w:val="21"/>
                <w:highlight w:val="none"/>
                <w:lang w:eastAsia="zh-CN"/>
              </w:rPr>
              <w:t>）</w:t>
            </w:r>
          </w:p>
        </w:tc>
        <w:tc>
          <w:tcPr>
            <w:tcW w:w="946" w:type="pct"/>
            <w:vMerge w:val="continue"/>
            <w:tcBorders>
              <w:righ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7" w:type="pct"/>
            <w:tcBorders>
              <w:lef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w:t>
            </w:r>
          </w:p>
        </w:tc>
        <w:tc>
          <w:tcPr>
            <w:tcW w:w="1095" w:type="pct"/>
            <w:vMerge w:val="restart"/>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rPr>
              <w:t>H</w:t>
            </w:r>
            <w:r>
              <w:rPr>
                <w:rFonts w:hint="default" w:ascii="Times New Roman" w:hAnsi="Times New Roman" w:eastAsia="宋体" w:cs="Times New Roman"/>
                <w:color w:val="auto"/>
                <w:szCs w:val="21"/>
                <w:highlight w:val="none"/>
                <w:lang w:val="en-US" w:eastAsia="zh-CN"/>
              </w:rPr>
              <w:t>1</w:t>
            </w:r>
          </w:p>
        </w:tc>
        <w:tc>
          <w:tcPr>
            <w:tcW w:w="1317" w:type="pct"/>
            <w:vMerge w:val="restart"/>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S1</w:t>
            </w:r>
          </w:p>
        </w:tc>
        <w:tc>
          <w:tcPr>
            <w:tcW w:w="1265" w:type="pct"/>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R1</w:t>
            </w:r>
          </w:p>
        </w:tc>
        <w:tc>
          <w:tcPr>
            <w:tcW w:w="946" w:type="pct"/>
            <w:tcBorders>
              <w:righ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重大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7" w:type="pct"/>
            <w:tcBorders>
              <w:lef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w:t>
            </w:r>
          </w:p>
        </w:tc>
        <w:tc>
          <w:tcPr>
            <w:tcW w:w="1095" w:type="pct"/>
            <w:vMerge w:val="continue"/>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p>
        </w:tc>
        <w:tc>
          <w:tcPr>
            <w:tcW w:w="1317" w:type="pct"/>
            <w:vMerge w:val="continue"/>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p>
        </w:tc>
        <w:tc>
          <w:tcPr>
            <w:tcW w:w="1265" w:type="pct"/>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R2</w:t>
            </w:r>
          </w:p>
        </w:tc>
        <w:tc>
          <w:tcPr>
            <w:tcW w:w="946" w:type="pct"/>
            <w:tcBorders>
              <w:righ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重大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7" w:type="pct"/>
            <w:tcBorders>
              <w:lef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3</w:t>
            </w:r>
          </w:p>
        </w:tc>
        <w:tc>
          <w:tcPr>
            <w:tcW w:w="1095" w:type="pct"/>
            <w:vMerge w:val="continue"/>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p>
        </w:tc>
        <w:tc>
          <w:tcPr>
            <w:tcW w:w="1317" w:type="pct"/>
            <w:vMerge w:val="continue"/>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p>
        </w:tc>
        <w:tc>
          <w:tcPr>
            <w:tcW w:w="1265" w:type="pct"/>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R3</w:t>
            </w:r>
          </w:p>
        </w:tc>
        <w:tc>
          <w:tcPr>
            <w:tcW w:w="946" w:type="pct"/>
            <w:tcBorders>
              <w:righ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较大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7" w:type="pct"/>
            <w:tcBorders>
              <w:lef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4</w:t>
            </w:r>
          </w:p>
        </w:tc>
        <w:tc>
          <w:tcPr>
            <w:tcW w:w="1095" w:type="pct"/>
            <w:vMerge w:val="continue"/>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p>
        </w:tc>
        <w:tc>
          <w:tcPr>
            <w:tcW w:w="1317" w:type="pct"/>
            <w:vMerge w:val="restart"/>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S2</w:t>
            </w:r>
          </w:p>
        </w:tc>
        <w:tc>
          <w:tcPr>
            <w:tcW w:w="1265" w:type="pct"/>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R1</w:t>
            </w:r>
          </w:p>
        </w:tc>
        <w:tc>
          <w:tcPr>
            <w:tcW w:w="946" w:type="pct"/>
            <w:tcBorders>
              <w:righ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重大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7" w:type="pct"/>
            <w:tcBorders>
              <w:lef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5</w:t>
            </w:r>
          </w:p>
        </w:tc>
        <w:tc>
          <w:tcPr>
            <w:tcW w:w="1095" w:type="pct"/>
            <w:vMerge w:val="continue"/>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p>
        </w:tc>
        <w:tc>
          <w:tcPr>
            <w:tcW w:w="1317" w:type="pct"/>
            <w:vMerge w:val="continue"/>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p>
        </w:tc>
        <w:tc>
          <w:tcPr>
            <w:tcW w:w="1265" w:type="pct"/>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R2</w:t>
            </w:r>
          </w:p>
        </w:tc>
        <w:tc>
          <w:tcPr>
            <w:tcW w:w="946" w:type="pct"/>
            <w:tcBorders>
              <w:righ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较大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7" w:type="pct"/>
            <w:tcBorders>
              <w:lef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6</w:t>
            </w:r>
          </w:p>
        </w:tc>
        <w:tc>
          <w:tcPr>
            <w:tcW w:w="1095" w:type="pct"/>
            <w:vMerge w:val="continue"/>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p>
        </w:tc>
        <w:tc>
          <w:tcPr>
            <w:tcW w:w="1317" w:type="pct"/>
            <w:vMerge w:val="continue"/>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p>
        </w:tc>
        <w:tc>
          <w:tcPr>
            <w:tcW w:w="1265" w:type="pct"/>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R3</w:t>
            </w:r>
          </w:p>
        </w:tc>
        <w:tc>
          <w:tcPr>
            <w:tcW w:w="946" w:type="pct"/>
            <w:tcBorders>
              <w:righ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较大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7" w:type="pct"/>
            <w:tcBorders>
              <w:lef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7</w:t>
            </w:r>
          </w:p>
        </w:tc>
        <w:tc>
          <w:tcPr>
            <w:tcW w:w="1095" w:type="pct"/>
            <w:vMerge w:val="continue"/>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p>
        </w:tc>
        <w:tc>
          <w:tcPr>
            <w:tcW w:w="1317" w:type="pct"/>
            <w:vMerge w:val="restart"/>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S3</w:t>
            </w:r>
          </w:p>
        </w:tc>
        <w:tc>
          <w:tcPr>
            <w:tcW w:w="1265" w:type="pct"/>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R1</w:t>
            </w:r>
          </w:p>
        </w:tc>
        <w:tc>
          <w:tcPr>
            <w:tcW w:w="946" w:type="pct"/>
            <w:tcBorders>
              <w:righ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重大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7" w:type="pct"/>
            <w:tcBorders>
              <w:lef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8</w:t>
            </w:r>
          </w:p>
        </w:tc>
        <w:tc>
          <w:tcPr>
            <w:tcW w:w="1095" w:type="pct"/>
            <w:vMerge w:val="continue"/>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p>
        </w:tc>
        <w:tc>
          <w:tcPr>
            <w:tcW w:w="1317" w:type="pct"/>
            <w:vMerge w:val="continue"/>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p>
        </w:tc>
        <w:tc>
          <w:tcPr>
            <w:tcW w:w="1265" w:type="pct"/>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R2</w:t>
            </w:r>
          </w:p>
        </w:tc>
        <w:tc>
          <w:tcPr>
            <w:tcW w:w="946" w:type="pct"/>
            <w:tcBorders>
              <w:bottom w:val="single" w:color="auto" w:sz="4" w:space="0"/>
              <w:righ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较大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7" w:type="pct"/>
            <w:tcBorders>
              <w:left w:val="single" w:color="auto" w:sz="4" w:space="0"/>
              <w:bottom w:val="single" w:color="auto" w:sz="4" w:space="0"/>
            </w:tcBorders>
            <w:shd w:val="clear" w:color="auto" w:fill="auto"/>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9</w:t>
            </w:r>
          </w:p>
        </w:tc>
        <w:tc>
          <w:tcPr>
            <w:tcW w:w="1095" w:type="pct"/>
            <w:vMerge w:val="continue"/>
            <w:tcBorders>
              <w:bottom w:val="single" w:color="auto" w:sz="4" w:space="0"/>
            </w:tcBorders>
            <w:shd w:val="clear" w:color="auto" w:fill="auto"/>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p>
        </w:tc>
        <w:tc>
          <w:tcPr>
            <w:tcW w:w="1317" w:type="pct"/>
            <w:vMerge w:val="continue"/>
            <w:tcBorders>
              <w:bottom w:val="single" w:color="auto" w:sz="4" w:space="0"/>
            </w:tcBorders>
            <w:shd w:val="clear" w:color="auto" w:fill="auto"/>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p>
        </w:tc>
        <w:tc>
          <w:tcPr>
            <w:tcW w:w="1265" w:type="pct"/>
            <w:tcBorders>
              <w:bottom w:val="single" w:color="auto" w:sz="4" w:space="0"/>
            </w:tcBorders>
            <w:shd w:val="clear" w:color="auto" w:fill="auto"/>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R3</w:t>
            </w:r>
          </w:p>
        </w:tc>
        <w:tc>
          <w:tcPr>
            <w:tcW w:w="946" w:type="pct"/>
            <w:tcBorders>
              <w:top w:val="single" w:color="auto" w:sz="4" w:space="0"/>
              <w:bottom w:val="single" w:color="auto" w:sz="4" w:space="0"/>
              <w:right w:val="single" w:color="auto" w:sz="4" w:space="0"/>
            </w:tcBorders>
            <w:shd w:val="clear" w:color="auto" w:fill="D9D9D9"/>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一般</w:t>
            </w:r>
          </w:p>
        </w:tc>
      </w:tr>
    </w:tbl>
    <w:p>
      <w:pPr>
        <w:pStyle w:val="5"/>
        <w:pageBreakBefore w:val="0"/>
        <w:numPr>
          <w:ilvl w:val="2"/>
          <w:numId w:val="0"/>
        </w:numPr>
        <w:wordWrap/>
        <w:bidi w:val="0"/>
        <w:ind w:left="0" w:leftChars="0" w:right="0" w:rightChars="0"/>
        <w:rPr>
          <w:rFonts w:hint="default" w:ascii="Times New Roman" w:hAnsi="Times New Roman" w:eastAsia="宋体" w:cs="Times New Roman"/>
          <w:b/>
          <w:bCs/>
          <w:color w:val="auto"/>
          <w:highlight w:val="none"/>
        </w:rPr>
      </w:pPr>
      <w:bookmarkStart w:id="1126" w:name="_Toc418"/>
      <w:bookmarkStart w:id="1127" w:name="_Toc19552"/>
      <w:bookmarkStart w:id="1128" w:name="_Toc10486"/>
      <w:r>
        <w:rPr>
          <w:rFonts w:hint="default" w:ascii="Times New Roman" w:hAnsi="Times New Roman" w:eastAsia="宋体" w:cs="Times New Roman"/>
          <w:b/>
          <w:bCs/>
          <w:i w:val="0"/>
          <w:iCs w:val="0"/>
          <w:caps w:val="0"/>
          <w:smallCaps w:val="0"/>
          <w:strike w:val="0"/>
          <w:dstrike w:val="0"/>
          <w:vanish w:val="0"/>
          <w:color w:val="auto"/>
          <w:spacing w:val="0"/>
          <w:kern w:val="2"/>
          <w:position w:val="0"/>
          <w:sz w:val="24"/>
          <w:szCs w:val="24"/>
          <w:highlight w:val="none"/>
          <w:u w:val="none"/>
          <w:vertAlign w:val="baseline"/>
          <w:lang w:val="en-US" w:eastAsia="zh-CN" w:bidi="ar-SA"/>
          <w14:shadow w14:blurRad="0" w14:dist="0" w14:dir="0" w14:sx="0" w14:sy="0" w14:kx="0" w14:ky="0" w14:algn="none">
            <w14:srgbClr w14:val="000000"/>
          </w14:shadow>
        </w:rPr>
        <w:t>8.2.3环境风险评价工作等级判断</w:t>
      </w:r>
      <w:bookmarkEnd w:id="1126"/>
      <w:bookmarkEnd w:id="1127"/>
      <w:bookmarkEnd w:id="1128"/>
    </w:p>
    <w:p>
      <w:pPr>
        <w:pageBreakBefore w:val="0"/>
        <w:widowControl w:val="0"/>
        <w:kinsoku/>
        <w:wordWrap/>
        <w:overflowPunct w:val="0"/>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根据《建设项目环境风险评价技术导则》（HJ169-2018</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环境风险评价工作等级划分为一级、二级、三级、简单分析。根据建设项目涉及的物质及工艺系统危险性和所在地的环境敏感性确定环境风险潜势</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按照下表确定评价工作等级。</w:t>
      </w:r>
    </w:p>
    <w:p>
      <w:pPr>
        <w:pageBreakBefore w:val="0"/>
        <w:widowControl w:val="0"/>
        <w:kinsoku/>
        <w:wordWrap/>
        <w:overflowPunct/>
        <w:topLinePunct w:val="0"/>
        <w:autoSpaceDE/>
        <w:autoSpaceDN/>
        <w:bidi w:val="0"/>
        <w:spacing w:line="360" w:lineRule="auto"/>
        <w:ind w:left="0" w:leftChars="0" w:right="0" w:rightChars="0"/>
        <w:jc w:val="center"/>
        <w:rPr>
          <w:rFonts w:hint="default" w:ascii="Times New Roman" w:hAnsi="Times New Roman" w:eastAsia="宋体" w:cs="Times New Roman"/>
          <w:b/>
          <w:color w:val="auto"/>
          <w:sz w:val="24"/>
          <w:szCs w:val="24"/>
          <w:highlight w:val="none"/>
          <w:shd w:val="clear" w:color="auto" w:fill="auto"/>
        </w:rPr>
      </w:pPr>
      <w:r>
        <w:rPr>
          <w:rFonts w:hint="default" w:ascii="Times New Roman" w:hAnsi="Times New Roman" w:eastAsia="宋体" w:cs="Times New Roman"/>
          <w:b/>
          <w:color w:val="auto"/>
          <w:sz w:val="24"/>
          <w:szCs w:val="24"/>
          <w:highlight w:val="none"/>
          <w:shd w:val="clear" w:color="auto" w:fill="auto"/>
        </w:rPr>
        <w:t>表</w:t>
      </w:r>
      <w:r>
        <w:rPr>
          <w:rFonts w:hint="default" w:ascii="Times New Roman" w:hAnsi="Times New Roman" w:eastAsia="宋体" w:cs="Times New Roman"/>
          <w:b/>
          <w:color w:val="auto"/>
          <w:sz w:val="24"/>
          <w:szCs w:val="24"/>
          <w:highlight w:val="none"/>
          <w:shd w:val="clear" w:color="auto" w:fill="auto"/>
          <w:lang w:val="en-US" w:eastAsia="zh-CN"/>
        </w:rPr>
        <w:t>8-7</w:t>
      </w:r>
      <w:r>
        <w:rPr>
          <w:rFonts w:hint="default" w:ascii="Times New Roman" w:hAnsi="Times New Roman" w:eastAsia="宋体" w:cs="Times New Roman"/>
          <w:b/>
          <w:color w:val="auto"/>
          <w:sz w:val="24"/>
          <w:szCs w:val="24"/>
          <w:highlight w:val="none"/>
          <w:shd w:val="clear" w:color="auto" w:fill="auto"/>
        </w:rPr>
        <w:t>环境风险评价工作等级划分表</w:t>
      </w:r>
    </w:p>
    <w:tbl>
      <w:tblPr>
        <w:tblStyle w:val="54"/>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86"/>
        <w:gridCol w:w="1526"/>
        <w:gridCol w:w="1801"/>
        <w:gridCol w:w="2078"/>
        <w:gridCol w:w="152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74" w:type="dxa"/>
            <w:tcBorders>
              <w:top w:val="single" w:color="auto" w:sz="4" w:space="0"/>
              <w:left w:val="single" w:color="auto" w:sz="4" w:space="0"/>
            </w:tcBorders>
            <w:tcMar>
              <w:left w:w="0" w:type="dxa"/>
              <w:right w:w="0" w:type="dxa"/>
            </w:tcMar>
            <w:vAlign w:val="center"/>
          </w:tcPr>
          <w:p>
            <w:pPr>
              <w:pageBreakBefore w:val="0"/>
              <w:wordWrap/>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环境风险潜势</w:t>
            </w:r>
          </w:p>
        </w:tc>
        <w:tc>
          <w:tcPr>
            <w:tcW w:w="1622" w:type="dxa"/>
            <w:tcBorders>
              <w:top w:val="single" w:color="auto" w:sz="4" w:space="0"/>
            </w:tcBorders>
            <w:tcMar>
              <w:left w:w="0" w:type="dxa"/>
              <w:right w:w="0" w:type="dxa"/>
            </w:tcMar>
            <w:vAlign w:val="center"/>
          </w:tcPr>
          <w:p>
            <w:pPr>
              <w:pageBreakBefore w:val="0"/>
              <w:wordWrap/>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fldChar w:fldCharType="begin"/>
            </w:r>
            <w:r>
              <w:rPr>
                <w:rFonts w:hint="default" w:ascii="Times New Roman" w:hAnsi="Times New Roman" w:eastAsia="宋体" w:cs="Times New Roman"/>
                <w:color w:val="auto"/>
                <w:sz w:val="21"/>
                <w:szCs w:val="21"/>
                <w:highlight w:val="none"/>
              </w:rPr>
              <w:instrText xml:space="preserve"> = 4 \* ROMAN \* MERGEFORMAT </w:instrText>
            </w:r>
            <w:r>
              <w:rPr>
                <w:rFonts w:hint="default" w:ascii="Times New Roman" w:hAnsi="Times New Roman" w:eastAsia="宋体" w:cs="Times New Roman"/>
                <w:color w:val="auto"/>
                <w:sz w:val="21"/>
                <w:szCs w:val="21"/>
                <w:highlight w:val="none"/>
              </w:rPr>
              <w:fldChar w:fldCharType="separate"/>
            </w:r>
            <w:r>
              <w:rPr>
                <w:rFonts w:hint="default" w:ascii="Times New Roman" w:hAnsi="Times New Roman" w:eastAsia="宋体" w:cs="Times New Roman"/>
                <w:color w:val="auto"/>
                <w:sz w:val="21"/>
                <w:szCs w:val="21"/>
                <w:highlight w:val="none"/>
                <w:lang w:eastAsia="zh-CN"/>
              </w:rPr>
              <w:t>Ⅳ</w:t>
            </w:r>
            <w:r>
              <w:rPr>
                <w:rFonts w:hint="default" w:ascii="Times New Roman" w:hAnsi="Times New Roman" w:eastAsia="宋体" w:cs="Times New Roman"/>
                <w:color w:val="auto"/>
                <w:sz w:val="21"/>
                <w:szCs w:val="21"/>
                <w:highlight w:val="none"/>
              </w:rPr>
              <w:fldChar w:fldCharType="end"/>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rPr>
              <w:fldChar w:fldCharType="begin"/>
            </w:r>
            <w:r>
              <w:rPr>
                <w:rFonts w:hint="default" w:ascii="Times New Roman" w:hAnsi="Times New Roman" w:eastAsia="宋体" w:cs="Times New Roman"/>
                <w:color w:val="auto"/>
                <w:sz w:val="21"/>
                <w:szCs w:val="21"/>
                <w:highlight w:val="none"/>
              </w:rPr>
              <w:instrText xml:space="preserve"> = 4 \* ROMAN \* MERGEFORMAT </w:instrText>
            </w:r>
            <w:r>
              <w:rPr>
                <w:rFonts w:hint="default" w:ascii="Times New Roman" w:hAnsi="Times New Roman" w:eastAsia="宋体" w:cs="Times New Roman"/>
                <w:color w:val="auto"/>
                <w:sz w:val="21"/>
                <w:szCs w:val="21"/>
                <w:highlight w:val="none"/>
              </w:rPr>
              <w:fldChar w:fldCharType="separate"/>
            </w:r>
            <w:r>
              <w:rPr>
                <w:rFonts w:hint="default" w:ascii="Times New Roman" w:hAnsi="Times New Roman" w:eastAsia="宋体" w:cs="Times New Roman"/>
                <w:color w:val="auto"/>
                <w:sz w:val="21"/>
                <w:szCs w:val="21"/>
                <w:highlight w:val="none"/>
                <w:lang w:eastAsia="zh-CN"/>
              </w:rPr>
              <w:t>Ⅳ</w:t>
            </w:r>
            <w:r>
              <w:rPr>
                <w:rFonts w:hint="default" w:ascii="Times New Roman" w:hAnsi="Times New Roman" w:eastAsia="宋体" w:cs="Times New Roman"/>
                <w:color w:val="auto"/>
                <w:sz w:val="21"/>
                <w:szCs w:val="21"/>
                <w:highlight w:val="none"/>
              </w:rPr>
              <w:fldChar w:fldCharType="end"/>
            </w:r>
            <w:r>
              <w:rPr>
                <w:rFonts w:hint="default" w:ascii="Times New Roman" w:hAnsi="Times New Roman" w:eastAsia="宋体" w:cs="Times New Roman"/>
                <w:color w:val="auto"/>
                <w:sz w:val="21"/>
                <w:szCs w:val="21"/>
                <w:highlight w:val="none"/>
              </w:rPr>
              <w:t>+</w:t>
            </w:r>
          </w:p>
        </w:tc>
        <w:tc>
          <w:tcPr>
            <w:tcW w:w="1916" w:type="dxa"/>
            <w:tcBorders>
              <w:top w:val="single" w:color="auto" w:sz="4" w:space="0"/>
            </w:tcBorders>
            <w:tcMar>
              <w:left w:w="0" w:type="dxa"/>
              <w:right w:w="0" w:type="dxa"/>
            </w:tcMar>
            <w:vAlign w:val="center"/>
          </w:tcPr>
          <w:p>
            <w:pPr>
              <w:pageBreakBefore w:val="0"/>
              <w:wordWrap/>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fldChar w:fldCharType="begin"/>
            </w:r>
            <w:r>
              <w:rPr>
                <w:rFonts w:hint="default" w:ascii="Times New Roman" w:hAnsi="Times New Roman" w:eastAsia="宋体" w:cs="Times New Roman"/>
                <w:color w:val="auto"/>
                <w:sz w:val="21"/>
                <w:szCs w:val="21"/>
                <w:highlight w:val="none"/>
              </w:rPr>
              <w:instrText xml:space="preserve"> = 3 \* ROMAN \* MERGEFORMAT </w:instrText>
            </w:r>
            <w:r>
              <w:rPr>
                <w:rFonts w:hint="default" w:ascii="Times New Roman" w:hAnsi="Times New Roman" w:eastAsia="宋体" w:cs="Times New Roman"/>
                <w:color w:val="auto"/>
                <w:sz w:val="21"/>
                <w:szCs w:val="21"/>
                <w:highlight w:val="none"/>
              </w:rPr>
              <w:fldChar w:fldCharType="separate"/>
            </w:r>
            <w:r>
              <w:rPr>
                <w:rFonts w:hint="default" w:ascii="Times New Roman" w:hAnsi="Times New Roman" w:eastAsia="宋体" w:cs="Times New Roman"/>
                <w:color w:val="auto"/>
                <w:sz w:val="21"/>
                <w:szCs w:val="21"/>
                <w:highlight w:val="none"/>
                <w:lang w:eastAsia="zh-CN"/>
              </w:rPr>
              <w:t>Ⅲ</w:t>
            </w:r>
            <w:r>
              <w:rPr>
                <w:rFonts w:hint="default" w:ascii="Times New Roman" w:hAnsi="Times New Roman" w:eastAsia="宋体" w:cs="Times New Roman"/>
                <w:color w:val="auto"/>
                <w:sz w:val="21"/>
                <w:szCs w:val="21"/>
                <w:highlight w:val="none"/>
              </w:rPr>
              <w:fldChar w:fldCharType="end"/>
            </w:r>
          </w:p>
        </w:tc>
        <w:tc>
          <w:tcPr>
            <w:tcW w:w="2210" w:type="dxa"/>
            <w:tcBorders>
              <w:top w:val="single" w:color="auto" w:sz="4" w:space="0"/>
            </w:tcBorders>
            <w:tcMar>
              <w:left w:w="0" w:type="dxa"/>
              <w:right w:w="0" w:type="dxa"/>
            </w:tcMar>
            <w:vAlign w:val="center"/>
          </w:tcPr>
          <w:p>
            <w:pPr>
              <w:pageBreakBefore w:val="0"/>
              <w:wordWrap/>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fldChar w:fldCharType="begin"/>
            </w:r>
            <w:r>
              <w:rPr>
                <w:rFonts w:hint="default" w:ascii="Times New Roman" w:hAnsi="Times New Roman" w:eastAsia="宋体" w:cs="Times New Roman"/>
                <w:color w:val="auto"/>
                <w:sz w:val="21"/>
                <w:szCs w:val="21"/>
                <w:highlight w:val="none"/>
              </w:rPr>
              <w:instrText xml:space="preserve"> = 2 \* ROMAN \* MERGEFORMAT </w:instrText>
            </w:r>
            <w:r>
              <w:rPr>
                <w:rFonts w:hint="default" w:ascii="Times New Roman" w:hAnsi="Times New Roman" w:eastAsia="宋体" w:cs="Times New Roman"/>
                <w:color w:val="auto"/>
                <w:sz w:val="21"/>
                <w:szCs w:val="21"/>
                <w:highlight w:val="none"/>
              </w:rPr>
              <w:fldChar w:fldCharType="separate"/>
            </w:r>
            <w:r>
              <w:rPr>
                <w:rFonts w:hint="default" w:ascii="Times New Roman" w:hAnsi="Times New Roman" w:eastAsia="宋体" w:cs="Times New Roman"/>
                <w:color w:val="auto"/>
                <w:sz w:val="21"/>
                <w:szCs w:val="21"/>
                <w:highlight w:val="none"/>
                <w:lang w:eastAsia="zh-CN"/>
              </w:rPr>
              <w:t>Ⅱ</w:t>
            </w:r>
            <w:r>
              <w:rPr>
                <w:rFonts w:hint="default" w:ascii="Times New Roman" w:hAnsi="Times New Roman" w:eastAsia="宋体" w:cs="Times New Roman"/>
                <w:color w:val="auto"/>
                <w:sz w:val="21"/>
                <w:szCs w:val="21"/>
                <w:highlight w:val="none"/>
              </w:rPr>
              <w:fldChar w:fldCharType="end"/>
            </w:r>
          </w:p>
        </w:tc>
        <w:tc>
          <w:tcPr>
            <w:tcW w:w="1622" w:type="dxa"/>
            <w:tcBorders>
              <w:top w:val="single" w:color="auto" w:sz="4" w:space="0"/>
              <w:right w:val="single" w:color="auto" w:sz="4" w:space="0"/>
            </w:tcBorders>
            <w:tcMar>
              <w:left w:w="0" w:type="dxa"/>
              <w:right w:w="0" w:type="dxa"/>
            </w:tcMar>
            <w:vAlign w:val="center"/>
          </w:tcPr>
          <w:p>
            <w:pPr>
              <w:pageBreakBefore w:val="0"/>
              <w:wordWrap/>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74" w:type="dxa"/>
            <w:tcBorders>
              <w:left w:val="single" w:color="auto" w:sz="4" w:space="0"/>
            </w:tcBorders>
            <w:tcMar>
              <w:left w:w="0" w:type="dxa"/>
              <w:right w:w="0" w:type="dxa"/>
            </w:tcMar>
            <w:vAlign w:val="center"/>
          </w:tcPr>
          <w:p>
            <w:pPr>
              <w:pageBreakBefore w:val="0"/>
              <w:wordWrap/>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评价工作等级</w:t>
            </w:r>
          </w:p>
        </w:tc>
        <w:tc>
          <w:tcPr>
            <w:tcW w:w="1622" w:type="dxa"/>
            <w:tcMar>
              <w:left w:w="0" w:type="dxa"/>
              <w:right w:w="0" w:type="dxa"/>
            </w:tcMar>
            <w:vAlign w:val="center"/>
          </w:tcPr>
          <w:p>
            <w:pPr>
              <w:pageBreakBefore w:val="0"/>
              <w:wordWrap/>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一</w:t>
            </w:r>
          </w:p>
        </w:tc>
        <w:tc>
          <w:tcPr>
            <w:tcW w:w="1916" w:type="dxa"/>
            <w:tcMar>
              <w:left w:w="0" w:type="dxa"/>
              <w:right w:w="0" w:type="dxa"/>
            </w:tcMar>
            <w:vAlign w:val="center"/>
          </w:tcPr>
          <w:p>
            <w:pPr>
              <w:pageBreakBefore w:val="0"/>
              <w:wordWrap/>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二</w:t>
            </w:r>
          </w:p>
        </w:tc>
        <w:tc>
          <w:tcPr>
            <w:tcW w:w="2210" w:type="dxa"/>
            <w:tcMar>
              <w:left w:w="0" w:type="dxa"/>
              <w:right w:w="0" w:type="dxa"/>
            </w:tcMar>
            <w:vAlign w:val="center"/>
          </w:tcPr>
          <w:p>
            <w:pPr>
              <w:pageBreakBefore w:val="0"/>
              <w:wordWrap/>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三</w:t>
            </w:r>
          </w:p>
        </w:tc>
        <w:tc>
          <w:tcPr>
            <w:tcW w:w="1622" w:type="dxa"/>
            <w:tcBorders>
              <w:right w:val="single" w:color="auto" w:sz="4" w:space="0"/>
            </w:tcBorders>
            <w:tcMar>
              <w:left w:w="0" w:type="dxa"/>
              <w:right w:w="0" w:type="dxa"/>
            </w:tcMar>
            <w:vAlign w:val="center"/>
          </w:tcPr>
          <w:p>
            <w:pPr>
              <w:pageBreakBefore w:val="0"/>
              <w:wordWrap/>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简单分析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844" w:type="dxa"/>
            <w:gridSpan w:val="5"/>
            <w:tcBorders>
              <w:left w:val="single" w:color="auto" w:sz="4" w:space="0"/>
              <w:bottom w:val="single" w:color="auto" w:sz="4" w:space="0"/>
              <w:right w:val="single" w:color="auto" w:sz="4" w:space="0"/>
            </w:tcBorders>
            <w:tcMar>
              <w:left w:w="0" w:type="dxa"/>
              <w:right w:w="0" w:type="dxa"/>
            </w:tcMar>
            <w:vAlign w:val="center"/>
          </w:tcPr>
          <w:p>
            <w:pPr>
              <w:pageBreakBefore w:val="0"/>
              <w:wordWrap/>
              <w:bidi w:val="0"/>
              <w:spacing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简单分析是相对于详细评价工作内容而言</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在描述危险物质、环境影响途径、环境危害后果、风险防范措施等方面给出定性的说明</w:t>
            </w:r>
          </w:p>
        </w:tc>
      </w:tr>
    </w:tbl>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szCs w:val="24"/>
          <w:highlight w:val="none"/>
        </w:rPr>
        <w:t>由上表可知</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本项目环境风险潜势Ⅰ级</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本次环境风险评价等级为简单分析</w:t>
      </w:r>
      <w:r>
        <w:rPr>
          <w:rFonts w:hint="default" w:ascii="Times New Roman" w:hAnsi="Times New Roman" w:eastAsia="宋体" w:cs="Times New Roman"/>
          <w:color w:val="auto"/>
          <w:sz w:val="24"/>
          <w:szCs w:val="24"/>
          <w:highlight w:val="none"/>
          <w:lang w:eastAsia="zh-CN"/>
        </w:rPr>
        <w:t>。</w:t>
      </w:r>
    </w:p>
    <w:p>
      <w:pPr>
        <w:pStyle w:val="4"/>
        <w:pageBreakBefore w:val="0"/>
        <w:numPr>
          <w:ilvl w:val="1"/>
          <w:numId w:val="0"/>
        </w:numPr>
        <w:wordWrap/>
        <w:bidi w:val="0"/>
        <w:ind w:left="0" w:leftChars="0" w:right="0" w:rightChars="0" w:firstLine="0" w:firstLineChars="0"/>
        <w:rPr>
          <w:rFonts w:hint="default" w:ascii="Times New Roman" w:hAnsi="Times New Roman" w:eastAsia="宋体" w:cs="Times New Roman"/>
          <w:b/>
          <w:bCs/>
          <w:color w:val="auto"/>
          <w:highlight w:val="none"/>
        </w:rPr>
      </w:pPr>
      <w:bookmarkStart w:id="1129" w:name="_Toc29553"/>
      <w:bookmarkStart w:id="1130" w:name="_Toc2754"/>
      <w:r>
        <w:rPr>
          <w:rFonts w:hint="default" w:ascii="Times New Roman" w:hAnsi="Times New Roman" w:eastAsia="宋体" w:cs="Times New Roman"/>
          <w:b/>
          <w:bCs/>
          <w:i w:val="0"/>
          <w:color w:val="auto"/>
          <w:kern w:val="2"/>
          <w:sz w:val="28"/>
          <w:szCs w:val="28"/>
          <w:highlight w:val="none"/>
          <w:lang w:val="en-US" w:eastAsia="zh-CN" w:bidi="ar-SA"/>
        </w:rPr>
        <w:t>8.3</w:t>
      </w:r>
      <w:r>
        <w:rPr>
          <w:rFonts w:hint="default" w:ascii="Times New Roman" w:hAnsi="Times New Roman" w:eastAsia="宋体" w:cs="Times New Roman"/>
          <w:b/>
          <w:bCs/>
          <w:color w:val="auto"/>
          <w:highlight w:val="none"/>
        </w:rPr>
        <w:t>环境风险分析</w:t>
      </w:r>
      <w:bookmarkEnd w:id="1129"/>
      <w:bookmarkEnd w:id="1130"/>
    </w:p>
    <w:p>
      <w:pPr>
        <w:pageBreakBefore w:val="0"/>
        <w:wordWrap/>
        <w:bidi w:val="0"/>
        <w:spacing w:line="360" w:lineRule="auto"/>
        <w:ind w:left="0" w:leftChars="0" w:right="0" w:rightChars="0" w:firstLine="480" w:firstLineChars="200"/>
        <w:outlineLvl w:val="0"/>
        <w:rPr>
          <w:rFonts w:hint="default" w:ascii="Times New Roman" w:hAnsi="Times New Roman" w:eastAsia="宋体" w:cs="Times New Roman"/>
          <w:color w:val="auto"/>
          <w:sz w:val="24"/>
          <w:highlight w:val="none"/>
          <w:lang w:eastAsia="zh-CN"/>
        </w:rPr>
      </w:pPr>
      <w:bookmarkStart w:id="1131" w:name="_Toc15802"/>
      <w:bookmarkStart w:id="1132" w:name="_Toc3407"/>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1</w:t>
      </w:r>
      <w:r>
        <w:rPr>
          <w:rFonts w:hint="default" w:ascii="Times New Roman" w:hAnsi="Times New Roman" w:eastAsia="宋体" w:cs="Times New Roman"/>
          <w:color w:val="auto"/>
          <w:sz w:val="24"/>
          <w:highlight w:val="none"/>
          <w:lang w:eastAsia="zh-CN"/>
        </w:rPr>
        <w:t>）危废暂存间</w:t>
      </w:r>
      <w:bookmarkEnd w:id="1131"/>
      <w:bookmarkEnd w:id="1132"/>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扩建工程完成后</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项目厂区内设备维修过程中会产生一定量的废</w:t>
      </w:r>
      <w:r>
        <w:rPr>
          <w:rFonts w:hint="default" w:ascii="Times New Roman" w:hAnsi="Times New Roman" w:eastAsia="宋体" w:cs="Times New Roman"/>
          <w:color w:val="auto"/>
          <w:sz w:val="24"/>
          <w:highlight w:val="none"/>
          <w:lang w:eastAsia="zh-CN"/>
        </w:rPr>
        <w:t>润滑油</w:t>
      </w:r>
      <w:r>
        <w:rPr>
          <w:rFonts w:hint="default" w:ascii="Times New Roman" w:hAnsi="Times New Roman" w:eastAsia="宋体" w:cs="Times New Roman"/>
          <w:color w:val="auto"/>
          <w:sz w:val="24"/>
          <w:highlight w:val="none"/>
        </w:rPr>
        <w:t>。废</w:t>
      </w:r>
      <w:r>
        <w:rPr>
          <w:rFonts w:hint="default" w:ascii="Times New Roman" w:hAnsi="Times New Roman" w:eastAsia="宋体" w:cs="Times New Roman"/>
          <w:color w:val="auto"/>
          <w:sz w:val="24"/>
          <w:highlight w:val="none"/>
          <w:lang w:eastAsia="zh-CN"/>
        </w:rPr>
        <w:t>润滑油属</w:t>
      </w:r>
      <w:r>
        <w:rPr>
          <w:rFonts w:hint="default" w:ascii="Times New Roman" w:hAnsi="Times New Roman" w:eastAsia="宋体" w:cs="Times New Roman"/>
          <w:color w:val="auto"/>
          <w:sz w:val="24"/>
          <w:highlight w:val="none"/>
        </w:rPr>
        <w:t>于低毒或无毒范围</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生产过程中危险性小。项目设置危险废物暂存间</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暂存设备维修过程中产生的废</w:t>
      </w:r>
      <w:r>
        <w:rPr>
          <w:rFonts w:hint="default" w:ascii="Times New Roman" w:hAnsi="Times New Roman" w:eastAsia="宋体" w:cs="Times New Roman"/>
          <w:color w:val="auto"/>
          <w:sz w:val="24"/>
          <w:highlight w:val="none"/>
          <w:lang w:eastAsia="zh-CN"/>
        </w:rPr>
        <w:t>润滑油，</w:t>
      </w:r>
      <w:r>
        <w:rPr>
          <w:rFonts w:hint="default" w:ascii="Times New Roman" w:hAnsi="Times New Roman" w:eastAsia="宋体" w:cs="Times New Roman"/>
          <w:color w:val="auto"/>
          <w:sz w:val="24"/>
          <w:highlight w:val="none"/>
        </w:rPr>
        <w:t>最大储存量为1</w:t>
      </w:r>
      <w:r>
        <w:rPr>
          <w:rFonts w:hint="default" w:ascii="Times New Roman" w:hAnsi="Times New Roman" w:eastAsia="宋体" w:cs="Times New Roman"/>
          <w:color w:val="auto"/>
          <w:sz w:val="24"/>
          <w:highlight w:val="none"/>
          <w:lang w:val="en-US" w:eastAsia="zh-CN"/>
        </w:rPr>
        <w:t>0</w:t>
      </w:r>
      <w:r>
        <w:rPr>
          <w:rFonts w:hint="default" w:ascii="Times New Roman" w:hAnsi="Times New Roman" w:eastAsia="宋体" w:cs="Times New Roman"/>
          <w:color w:val="auto"/>
          <w:sz w:val="24"/>
          <w:highlight w:val="none"/>
        </w:rPr>
        <w:t>t。废</w:t>
      </w:r>
      <w:r>
        <w:rPr>
          <w:rFonts w:hint="default" w:ascii="Times New Roman" w:hAnsi="Times New Roman" w:eastAsia="宋体" w:cs="Times New Roman"/>
          <w:color w:val="auto"/>
          <w:sz w:val="24"/>
          <w:highlight w:val="none"/>
          <w:lang w:eastAsia="zh-CN"/>
        </w:rPr>
        <w:t>润滑油</w:t>
      </w:r>
      <w:r>
        <w:rPr>
          <w:rFonts w:hint="default" w:ascii="Times New Roman" w:hAnsi="Times New Roman" w:eastAsia="宋体" w:cs="Times New Roman"/>
          <w:color w:val="auto"/>
          <w:sz w:val="24"/>
          <w:highlight w:val="none"/>
        </w:rPr>
        <w:t>如果发生危险废物泄露</w:t>
      </w:r>
      <w:r>
        <w:rPr>
          <w:rFonts w:hint="default" w:ascii="Times New Roman" w:hAnsi="Times New Roman" w:eastAsia="宋体" w:cs="Times New Roman"/>
          <w:color w:val="auto"/>
          <w:sz w:val="24"/>
          <w:highlight w:val="none"/>
          <w:lang w:eastAsia="zh-CN"/>
        </w:rPr>
        <w:t>，泄漏</w:t>
      </w:r>
      <w:r>
        <w:rPr>
          <w:rFonts w:hint="default" w:ascii="Times New Roman" w:hAnsi="Times New Roman" w:eastAsia="宋体" w:cs="Times New Roman"/>
          <w:color w:val="auto"/>
          <w:sz w:val="24"/>
          <w:highlight w:val="none"/>
        </w:rPr>
        <w:t>遇明火发生火灾</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产生的二次污染物进入大气环境</w:t>
      </w:r>
      <w:r>
        <w:rPr>
          <w:rFonts w:hint="default" w:ascii="Times New Roman" w:hAnsi="Times New Roman" w:eastAsia="宋体" w:cs="Times New Roman"/>
          <w:color w:val="auto"/>
          <w:sz w:val="24"/>
          <w:highlight w:val="none"/>
          <w:lang w:eastAsia="zh-CN"/>
        </w:rPr>
        <w:t>，泄漏</w:t>
      </w:r>
      <w:r>
        <w:rPr>
          <w:rFonts w:hint="default" w:ascii="Times New Roman" w:hAnsi="Times New Roman" w:eastAsia="宋体" w:cs="Times New Roman"/>
          <w:color w:val="auto"/>
          <w:sz w:val="24"/>
          <w:highlight w:val="none"/>
        </w:rPr>
        <w:t>同时将对土壤、地下水造成污染。</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扩建工程危险废物暂存间采取防风、防雨、防晒、防渗漏等措施</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地面采用水泥硬化</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四周壁用砖砌再用水泥硬化防渗</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2mm厚高密度聚乙烯</w:t>
      </w:r>
      <w:r>
        <w:rPr>
          <w:rFonts w:hint="default" w:ascii="Times New Roman" w:hAnsi="Times New Roman" w:eastAsia="宋体" w:cs="Times New Roman"/>
          <w:color w:val="auto"/>
          <w:sz w:val="24"/>
          <w:highlight w:val="none"/>
          <w:lang w:eastAsia="zh-CN"/>
        </w:rPr>
        <w:t>或其他</w:t>
      </w:r>
      <w:r>
        <w:rPr>
          <w:rFonts w:hint="default" w:ascii="Times New Roman" w:hAnsi="Times New Roman" w:eastAsia="宋体" w:cs="Times New Roman"/>
          <w:color w:val="auto"/>
          <w:sz w:val="24"/>
          <w:highlight w:val="none"/>
        </w:rPr>
        <w:t>人工材料（渗透系数≤10</w:t>
      </w:r>
      <w:r>
        <w:rPr>
          <w:rFonts w:hint="default" w:ascii="Times New Roman" w:hAnsi="Times New Roman" w:eastAsia="宋体" w:cs="Times New Roman"/>
          <w:color w:val="auto"/>
          <w:sz w:val="24"/>
          <w:highlight w:val="none"/>
          <w:vertAlign w:val="superscript"/>
        </w:rPr>
        <w:t>-10</w:t>
      </w:r>
      <w:r>
        <w:rPr>
          <w:rFonts w:hint="default" w:ascii="Times New Roman" w:hAnsi="Times New Roman" w:eastAsia="宋体" w:cs="Times New Roman"/>
          <w:color w:val="auto"/>
          <w:sz w:val="24"/>
          <w:highlight w:val="none"/>
        </w:rPr>
        <w:t>cm/s）</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且危险废物暂存间设置围堰</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导流沟和集液池</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highlight w:val="none"/>
        </w:rPr>
        <w:t>确保废</w:t>
      </w:r>
      <w:r>
        <w:rPr>
          <w:rFonts w:hint="default" w:ascii="Times New Roman" w:hAnsi="Times New Roman" w:eastAsia="宋体" w:cs="Times New Roman"/>
          <w:color w:val="auto"/>
          <w:sz w:val="24"/>
          <w:highlight w:val="none"/>
          <w:lang w:eastAsia="zh-CN"/>
        </w:rPr>
        <w:t>润滑油泄漏</w:t>
      </w:r>
      <w:r>
        <w:rPr>
          <w:rFonts w:hint="default" w:ascii="Times New Roman" w:hAnsi="Times New Roman" w:eastAsia="宋体" w:cs="Times New Roman"/>
          <w:color w:val="auto"/>
          <w:sz w:val="24"/>
          <w:highlight w:val="none"/>
        </w:rPr>
        <w:t>不溢流、蔓延。</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因此</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在此条件下</w:t>
      </w:r>
      <w:r>
        <w:rPr>
          <w:rFonts w:hint="default" w:ascii="Times New Roman" w:hAnsi="Times New Roman" w:eastAsia="宋体" w:cs="Times New Roman"/>
          <w:color w:val="auto"/>
          <w:sz w:val="24"/>
          <w:highlight w:val="none"/>
          <w:lang w:eastAsia="zh-CN"/>
        </w:rPr>
        <w:t>，废润滑油</w:t>
      </w:r>
      <w:r>
        <w:rPr>
          <w:rFonts w:hint="default" w:ascii="Times New Roman" w:hAnsi="Times New Roman" w:eastAsia="宋体" w:cs="Times New Roman"/>
          <w:color w:val="auto"/>
          <w:sz w:val="24"/>
          <w:highlight w:val="none"/>
        </w:rPr>
        <w:t>泄</w:t>
      </w:r>
      <w:r>
        <w:rPr>
          <w:rFonts w:hint="default" w:ascii="Times New Roman" w:hAnsi="Times New Roman" w:eastAsia="宋体" w:cs="Times New Roman"/>
          <w:color w:val="auto"/>
          <w:sz w:val="24"/>
          <w:highlight w:val="none"/>
          <w:lang w:eastAsia="zh-CN"/>
        </w:rPr>
        <w:t>漏</w:t>
      </w:r>
      <w:r>
        <w:rPr>
          <w:rFonts w:hint="default" w:ascii="Times New Roman" w:hAnsi="Times New Roman" w:eastAsia="宋体" w:cs="Times New Roman"/>
          <w:color w:val="auto"/>
          <w:sz w:val="24"/>
          <w:highlight w:val="none"/>
        </w:rPr>
        <w:t>可得到有效控制</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对土壤、地下水的影响很小。</w:t>
      </w:r>
    </w:p>
    <w:p>
      <w:pPr>
        <w:pageBreakBefore w:val="0"/>
        <w:wordWrap/>
        <w:bidi w:val="0"/>
        <w:spacing w:line="360" w:lineRule="auto"/>
        <w:ind w:left="0" w:leftChars="0" w:right="0" w:rightChars="0" w:firstLine="480" w:firstLineChars="200"/>
        <w:outlineLvl w:val="0"/>
        <w:rPr>
          <w:rFonts w:hint="default" w:ascii="Times New Roman" w:hAnsi="Times New Roman" w:eastAsia="宋体" w:cs="Times New Roman"/>
          <w:color w:val="auto"/>
          <w:sz w:val="24"/>
          <w:highlight w:val="none"/>
          <w:lang w:eastAsia="zh-CN"/>
        </w:rPr>
      </w:pPr>
      <w:bookmarkStart w:id="1133" w:name="_Toc11317"/>
      <w:bookmarkStart w:id="1134" w:name="_Toc10656"/>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2</w:t>
      </w:r>
      <w:r>
        <w:rPr>
          <w:rFonts w:hint="default" w:ascii="Times New Roman" w:hAnsi="Times New Roman" w:eastAsia="宋体" w:cs="Times New Roman"/>
          <w:color w:val="auto"/>
          <w:sz w:val="24"/>
          <w:highlight w:val="none"/>
          <w:lang w:eastAsia="zh-CN"/>
        </w:rPr>
        <w:t>）尾矿库</w:t>
      </w:r>
      <w:bookmarkEnd w:id="1133"/>
      <w:bookmarkEnd w:id="1134"/>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尾矿库安全隐患往往</w:t>
      </w:r>
      <w:r>
        <w:rPr>
          <w:rFonts w:hint="default" w:ascii="Times New Roman" w:hAnsi="Times New Roman" w:eastAsia="宋体" w:cs="Times New Roman"/>
          <w:color w:val="auto"/>
          <w:sz w:val="24"/>
          <w:highlight w:val="none"/>
          <w:lang w:eastAsia="zh-CN"/>
        </w:rPr>
        <w:t>来自</w:t>
      </w:r>
      <w:r>
        <w:rPr>
          <w:rFonts w:hint="default" w:ascii="Times New Roman" w:hAnsi="Times New Roman" w:eastAsia="宋体" w:cs="Times New Roman"/>
          <w:color w:val="auto"/>
          <w:sz w:val="24"/>
          <w:highlight w:val="none"/>
        </w:rPr>
        <w:t>人为原因和自然原因。人为原因包括设计、施工、运行、管理等多个环节存在缺陷。自然原因包括超设计降雨、地震、泥石流等自然灾害。</w:t>
      </w:r>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这些因素的单体或综合作用均可能引发坝体的失事或</w:t>
      </w:r>
      <w:r>
        <w:rPr>
          <w:rFonts w:hint="default" w:ascii="Times New Roman" w:hAnsi="Times New Roman" w:eastAsia="宋体" w:cs="Times New Roman"/>
          <w:color w:val="auto"/>
          <w:sz w:val="24"/>
          <w:highlight w:val="none"/>
          <w:lang w:eastAsia="zh-CN"/>
        </w:rPr>
        <w:t>尾矿水</w:t>
      </w:r>
      <w:r>
        <w:rPr>
          <w:rFonts w:hint="default" w:ascii="Times New Roman" w:hAnsi="Times New Roman" w:eastAsia="宋体" w:cs="Times New Roman"/>
          <w:color w:val="auto"/>
          <w:sz w:val="24"/>
          <w:highlight w:val="none"/>
        </w:rPr>
        <w:t>渗漏</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失事的形式主要有洪水漫坝、坝体滑坡、流土及管涌、坝基沉陷等。本尾矿库可能存在的主要危险因素分析如下</w:t>
      </w:r>
      <w:r>
        <w:rPr>
          <w:rFonts w:hint="default" w:ascii="Times New Roman" w:hAnsi="Times New Roman" w:eastAsia="宋体" w:cs="Times New Roman"/>
          <w:color w:val="auto"/>
          <w:sz w:val="24"/>
          <w:highlight w:val="none"/>
          <w:lang w:eastAsia="zh-CN"/>
        </w:rPr>
        <w:t>：</w:t>
      </w:r>
    </w:p>
    <w:p>
      <w:pPr>
        <w:pageBreakBefore w:val="0"/>
        <w:wordWrap/>
        <w:bidi w:val="0"/>
        <w:spacing w:line="360" w:lineRule="auto"/>
        <w:ind w:left="0" w:leftChars="0" w:right="0" w:rightChars="0" w:firstLine="480" w:firstLineChars="200"/>
        <w:outlineLvl w:val="1"/>
        <w:rPr>
          <w:rFonts w:hint="default" w:ascii="Times New Roman" w:hAnsi="Times New Roman" w:eastAsia="宋体" w:cs="Times New Roman"/>
          <w:color w:val="auto"/>
          <w:sz w:val="24"/>
          <w:highlight w:val="none"/>
        </w:rPr>
      </w:pPr>
      <w:bookmarkStart w:id="1135" w:name="_Toc37595489"/>
      <w:bookmarkStart w:id="1136" w:name="_Toc17725_WPSOffice_Level3"/>
      <w:bookmarkStart w:id="1137" w:name="_Toc37846891"/>
      <w:bookmarkStart w:id="1138" w:name="_Toc13132"/>
      <w:bookmarkStart w:id="1139" w:name="_Toc37315967"/>
      <w:bookmarkStart w:id="1140" w:name="_Toc21856"/>
      <w:bookmarkStart w:id="1141" w:name="_Toc17476_WPSOffice_Level3"/>
      <w:bookmarkStart w:id="1142" w:name="_Toc12456_WPSOffice_Level3"/>
      <w:bookmarkStart w:id="1143" w:name="_Toc62488432"/>
      <w:bookmarkStart w:id="1144" w:name="_Toc38557784"/>
      <w:r>
        <w:rPr>
          <w:rFonts w:hint="default" w:ascii="Times New Roman" w:hAnsi="Times New Roman" w:eastAsia="宋体" w:cs="Times New Roman"/>
          <w:color w:val="auto"/>
          <w:sz w:val="24"/>
          <w:highlight w:val="none"/>
        </w:rPr>
        <w:t>1、坝坡失稳</w:t>
      </w:r>
      <w:bookmarkEnd w:id="1135"/>
      <w:bookmarkEnd w:id="1136"/>
      <w:bookmarkEnd w:id="1137"/>
      <w:bookmarkEnd w:id="1138"/>
      <w:bookmarkEnd w:id="1139"/>
      <w:bookmarkEnd w:id="1140"/>
      <w:bookmarkEnd w:id="1141"/>
      <w:bookmarkEnd w:id="1142"/>
      <w:bookmarkEnd w:id="1143"/>
      <w:bookmarkEnd w:id="1144"/>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坝坡抗滑稳定性是影响尾矿库安全的重要因素之一。该尾矿库的初期坝体为</w:t>
      </w:r>
      <w:r>
        <w:rPr>
          <w:rFonts w:hint="default" w:ascii="Times New Roman" w:hAnsi="Times New Roman" w:eastAsia="宋体" w:cs="Times New Roman"/>
          <w:color w:val="auto"/>
          <w:sz w:val="24"/>
          <w:highlight w:val="none"/>
          <w:lang w:val="en-US" w:eastAsia="zh-CN"/>
        </w:rPr>
        <w:t>不</w:t>
      </w:r>
      <w:r>
        <w:rPr>
          <w:rFonts w:hint="default" w:ascii="Times New Roman" w:hAnsi="Times New Roman" w:eastAsia="宋体" w:cs="Times New Roman"/>
          <w:color w:val="auto"/>
          <w:sz w:val="24"/>
          <w:highlight w:val="none"/>
        </w:rPr>
        <w:t>透水坝</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坝坡的稳定性与坝体结构参数、浸润线高度、干滩长度及坡度等密切相关。若坝体结构参数不合理</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施工不规范</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将造成坝体失稳甚至垮坝事故。</w:t>
      </w:r>
    </w:p>
    <w:p>
      <w:pPr>
        <w:pageBreakBefore w:val="0"/>
        <w:wordWrap/>
        <w:bidi w:val="0"/>
        <w:spacing w:line="360" w:lineRule="auto"/>
        <w:ind w:left="0" w:leftChars="0" w:right="0" w:rightChars="0" w:firstLine="480" w:firstLineChars="200"/>
        <w:outlineLvl w:val="1"/>
        <w:rPr>
          <w:rFonts w:hint="default" w:ascii="Times New Roman" w:hAnsi="Times New Roman" w:eastAsia="宋体" w:cs="Times New Roman"/>
          <w:color w:val="auto"/>
          <w:sz w:val="24"/>
          <w:highlight w:val="none"/>
        </w:rPr>
      </w:pPr>
      <w:bookmarkStart w:id="1145" w:name="_Toc37315968"/>
      <w:bookmarkStart w:id="1146" w:name="_Toc62488433"/>
      <w:bookmarkStart w:id="1147" w:name="_Toc11781_WPSOffice_Level3"/>
      <w:bookmarkStart w:id="1148" w:name="_Toc3453_WPSOffice_Level3"/>
      <w:bookmarkStart w:id="1149" w:name="_Toc1044_WPSOffice_Level3"/>
      <w:bookmarkStart w:id="1150" w:name="_Toc38557785"/>
      <w:bookmarkStart w:id="1151" w:name="_Toc6838"/>
      <w:bookmarkStart w:id="1152" w:name="_Toc37846892"/>
      <w:bookmarkStart w:id="1153" w:name="_Toc37595490"/>
      <w:bookmarkStart w:id="1154" w:name="_Toc11357"/>
      <w:r>
        <w:rPr>
          <w:rFonts w:hint="default" w:ascii="Times New Roman" w:hAnsi="Times New Roman" w:eastAsia="宋体" w:cs="Times New Roman"/>
          <w:color w:val="auto"/>
          <w:sz w:val="24"/>
          <w:highlight w:val="none"/>
        </w:rPr>
        <w:t>2、防洪系统缺陷</w:t>
      </w:r>
      <w:bookmarkEnd w:id="1145"/>
      <w:bookmarkEnd w:id="1146"/>
      <w:bookmarkEnd w:id="1147"/>
      <w:bookmarkEnd w:id="1148"/>
      <w:bookmarkEnd w:id="1149"/>
      <w:bookmarkEnd w:id="1150"/>
      <w:bookmarkEnd w:id="1151"/>
      <w:bookmarkEnd w:id="1152"/>
      <w:bookmarkEnd w:id="1153"/>
      <w:bookmarkEnd w:id="1154"/>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防洪排水构筑物质量及泄流能力是尾矿库安全的重要影响因素。若排水构筑物设计、施工中不能满足要求</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将可能使排水构筑物泄流能力不足</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或发生倒塌、断裂等事故</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形成流砂漏斗或引起库内水位过高</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干滩长度过短</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导致渗流破坏或滑坡</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汛期甚至可能导致发生漫坝、溃坝事故。</w:t>
      </w:r>
    </w:p>
    <w:p>
      <w:pPr>
        <w:pageBreakBefore w:val="0"/>
        <w:wordWrap/>
        <w:bidi w:val="0"/>
        <w:spacing w:line="360" w:lineRule="auto"/>
        <w:ind w:left="0" w:leftChars="0" w:right="0" w:rightChars="0" w:firstLine="480" w:firstLineChars="200"/>
        <w:outlineLvl w:val="1"/>
        <w:rPr>
          <w:rFonts w:hint="default" w:ascii="Times New Roman" w:hAnsi="Times New Roman" w:eastAsia="宋体" w:cs="Times New Roman"/>
          <w:color w:val="auto"/>
          <w:sz w:val="24"/>
          <w:highlight w:val="none"/>
        </w:rPr>
      </w:pPr>
      <w:bookmarkStart w:id="1155" w:name="_Toc24567_WPSOffice_Level3"/>
      <w:bookmarkStart w:id="1156" w:name="_Toc9590_WPSOffice_Level3"/>
      <w:bookmarkStart w:id="1157" w:name="_Toc20817_WPSOffice_Level3"/>
      <w:bookmarkStart w:id="1158" w:name="_Toc62488434"/>
      <w:bookmarkStart w:id="1159" w:name="_Toc37595491"/>
      <w:bookmarkStart w:id="1160" w:name="_Toc20702"/>
      <w:bookmarkStart w:id="1161" w:name="_Toc38557786"/>
      <w:bookmarkStart w:id="1162" w:name="_Toc17498"/>
      <w:bookmarkStart w:id="1163" w:name="_Toc37315969"/>
      <w:bookmarkStart w:id="1164" w:name="_Toc37846893"/>
      <w:r>
        <w:rPr>
          <w:rFonts w:hint="default" w:ascii="Times New Roman" w:hAnsi="Times New Roman" w:eastAsia="宋体" w:cs="Times New Roman"/>
          <w:color w:val="auto"/>
          <w:sz w:val="24"/>
          <w:highlight w:val="none"/>
        </w:rPr>
        <w:t>3、排渗</w:t>
      </w:r>
      <w:bookmarkEnd w:id="1155"/>
      <w:bookmarkEnd w:id="1156"/>
      <w:bookmarkEnd w:id="1157"/>
      <w:r>
        <w:rPr>
          <w:rFonts w:hint="default" w:ascii="Times New Roman" w:hAnsi="Times New Roman" w:eastAsia="宋体" w:cs="Times New Roman"/>
          <w:color w:val="auto"/>
          <w:sz w:val="24"/>
          <w:highlight w:val="none"/>
        </w:rPr>
        <w:t>撕裂</w:t>
      </w:r>
      <w:bookmarkEnd w:id="1158"/>
      <w:bookmarkEnd w:id="1159"/>
      <w:bookmarkEnd w:id="1160"/>
      <w:bookmarkEnd w:id="1161"/>
      <w:bookmarkEnd w:id="1162"/>
      <w:bookmarkEnd w:id="1163"/>
      <w:bookmarkEnd w:id="1164"/>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排渗设施因设计、施工或运行管理缺陷出现损毁、淤堵时</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会不能有效发挥排渗作用</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使得尾矿水滞留</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浸润线升高。可能会引起坝面塌陷、隆起、沼泽化或流土等现象</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进而造成坝体裂缝、变形、滑坡甚至溃坝事故。</w:t>
      </w:r>
    </w:p>
    <w:p>
      <w:pPr>
        <w:pageBreakBefore w:val="0"/>
        <w:wordWrap/>
        <w:bidi w:val="0"/>
        <w:spacing w:line="360" w:lineRule="auto"/>
        <w:ind w:left="0" w:leftChars="0" w:right="0" w:rightChars="0" w:firstLine="480" w:firstLineChars="200"/>
        <w:outlineLvl w:val="1"/>
        <w:rPr>
          <w:rFonts w:hint="default" w:ascii="Times New Roman" w:hAnsi="Times New Roman" w:eastAsia="宋体" w:cs="Times New Roman"/>
          <w:color w:val="auto"/>
          <w:sz w:val="24"/>
          <w:highlight w:val="none"/>
        </w:rPr>
      </w:pPr>
      <w:bookmarkStart w:id="1165" w:name="_Toc15383"/>
      <w:bookmarkStart w:id="1166" w:name="_Toc37846894"/>
      <w:bookmarkStart w:id="1167" w:name="_Toc10310"/>
      <w:bookmarkStart w:id="1168" w:name="_Toc11572_WPSOffice_Level3"/>
      <w:bookmarkStart w:id="1169" w:name="_Toc37595492"/>
      <w:bookmarkStart w:id="1170" w:name="_Toc38557787"/>
      <w:bookmarkStart w:id="1171" w:name="_Toc37315970"/>
      <w:bookmarkStart w:id="1172" w:name="_Toc30925_WPSOffice_Level3"/>
      <w:bookmarkStart w:id="1173" w:name="_Toc62488435"/>
      <w:bookmarkStart w:id="1174" w:name="_Toc26944_WPSOffice_Level3"/>
      <w:r>
        <w:rPr>
          <w:rFonts w:hint="default" w:ascii="Times New Roman" w:hAnsi="Times New Roman" w:eastAsia="宋体" w:cs="Times New Roman"/>
          <w:color w:val="auto"/>
          <w:sz w:val="24"/>
          <w:highlight w:val="none"/>
        </w:rPr>
        <w:t>4、排水设施缺陷</w:t>
      </w:r>
      <w:bookmarkEnd w:id="1165"/>
      <w:bookmarkEnd w:id="1166"/>
      <w:bookmarkEnd w:id="1167"/>
      <w:bookmarkEnd w:id="1168"/>
      <w:bookmarkEnd w:id="1169"/>
      <w:bookmarkEnd w:id="1170"/>
      <w:bookmarkEnd w:id="1171"/>
      <w:bookmarkEnd w:id="1172"/>
      <w:bookmarkEnd w:id="1173"/>
      <w:bookmarkEnd w:id="1174"/>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根据尾矿库事故案例分析</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往往由于此类排水沟缺失、缺陷或坝面护坡修建的不及时等</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使山坡雨水直接冲击坝体</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产生坝肩或坝面冲沟</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冲沟由小变大</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最后造成坝体破坏甚至引发垮坝事故。</w:t>
      </w:r>
    </w:p>
    <w:p>
      <w:pPr>
        <w:pageBreakBefore w:val="0"/>
        <w:wordWrap/>
        <w:bidi w:val="0"/>
        <w:spacing w:line="360" w:lineRule="auto"/>
        <w:ind w:left="0" w:leftChars="0" w:right="0" w:rightChars="0" w:firstLine="480" w:firstLineChars="200"/>
        <w:outlineLvl w:val="1"/>
        <w:rPr>
          <w:rFonts w:hint="default" w:ascii="Times New Roman" w:hAnsi="Times New Roman" w:eastAsia="宋体" w:cs="Times New Roman"/>
          <w:color w:val="auto"/>
          <w:sz w:val="24"/>
          <w:highlight w:val="none"/>
        </w:rPr>
      </w:pPr>
      <w:bookmarkStart w:id="1175" w:name="_Toc62488436"/>
      <w:bookmarkStart w:id="1176" w:name="_Toc37315971"/>
      <w:bookmarkStart w:id="1177" w:name="_Toc37846895"/>
      <w:bookmarkStart w:id="1178" w:name="_Toc23532_WPSOffice_Level3"/>
      <w:bookmarkStart w:id="1179" w:name="_Toc373_WPSOffice_Level3"/>
      <w:bookmarkStart w:id="1180" w:name="_Toc12490"/>
      <w:bookmarkStart w:id="1181" w:name="_Toc29039_WPSOffice_Level3"/>
      <w:bookmarkStart w:id="1182" w:name="_Toc6278"/>
      <w:bookmarkStart w:id="1183" w:name="_Toc37595493"/>
      <w:bookmarkStart w:id="1184" w:name="_Toc38557788"/>
      <w:r>
        <w:rPr>
          <w:rFonts w:hint="default" w:ascii="Times New Roman" w:hAnsi="Times New Roman" w:eastAsia="宋体" w:cs="Times New Roman"/>
          <w:color w:val="auto"/>
          <w:sz w:val="24"/>
          <w:highlight w:val="none"/>
        </w:rPr>
        <w:t>5、运行管理不当</w:t>
      </w:r>
      <w:bookmarkEnd w:id="1175"/>
      <w:bookmarkEnd w:id="1176"/>
      <w:bookmarkEnd w:id="1177"/>
      <w:bookmarkEnd w:id="1178"/>
      <w:bookmarkEnd w:id="1179"/>
      <w:bookmarkEnd w:id="1180"/>
      <w:bookmarkEnd w:id="1181"/>
      <w:bookmarkEnd w:id="1182"/>
      <w:bookmarkEnd w:id="1183"/>
      <w:bookmarkEnd w:id="1184"/>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在尾矿库运行中</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消除事故隐患</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预防事故发生的关键在于安全管理。如果项目运行中未严格按照国家标准或设计要求进行操作和管理</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没有对隐患采取正确的解决措施</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很可能会导致尾矿库事故</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产生严重的事故后果。</w:t>
      </w:r>
    </w:p>
    <w:p>
      <w:pPr>
        <w:pageBreakBefore w:val="0"/>
        <w:wordWrap/>
        <w:bidi w:val="0"/>
        <w:spacing w:line="360" w:lineRule="auto"/>
        <w:ind w:left="0" w:leftChars="0" w:right="0" w:rightChars="0" w:firstLine="480" w:firstLineChars="200"/>
        <w:outlineLvl w:val="1"/>
        <w:rPr>
          <w:rFonts w:hint="default" w:ascii="Times New Roman" w:hAnsi="Times New Roman" w:eastAsia="宋体" w:cs="Times New Roman"/>
          <w:color w:val="auto"/>
          <w:sz w:val="24"/>
          <w:highlight w:val="none"/>
        </w:rPr>
      </w:pPr>
      <w:bookmarkStart w:id="1185" w:name="_Toc20059_WPSOffice_Level3"/>
      <w:bookmarkStart w:id="1186" w:name="_Toc21676"/>
      <w:bookmarkStart w:id="1187" w:name="_Toc15393_WPSOffice_Level3"/>
      <w:bookmarkStart w:id="1188" w:name="_Toc20812"/>
      <w:bookmarkStart w:id="1189" w:name="_Toc24883_WPSOffice_Level3"/>
      <w:r>
        <w:rPr>
          <w:rFonts w:hint="default" w:ascii="Times New Roman" w:hAnsi="Times New Roman" w:eastAsia="宋体" w:cs="Times New Roman"/>
          <w:color w:val="auto"/>
          <w:sz w:val="24"/>
          <w:highlight w:val="none"/>
        </w:rPr>
        <w:t>6、地震造成尾矿库溃坝</w:t>
      </w:r>
      <w:bookmarkEnd w:id="1185"/>
      <w:bookmarkEnd w:id="1186"/>
      <w:bookmarkEnd w:id="1187"/>
      <w:bookmarkEnd w:id="1188"/>
      <w:bookmarkEnd w:id="1189"/>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发生强烈地震时可能发生溃坝事故。溃坝将引起库内的尾矿水和</w:t>
      </w:r>
      <w:r>
        <w:rPr>
          <w:rFonts w:hint="default" w:ascii="Times New Roman" w:hAnsi="Times New Roman" w:eastAsia="宋体" w:cs="Times New Roman"/>
          <w:color w:val="auto"/>
          <w:sz w:val="24"/>
          <w:highlight w:val="none"/>
          <w:lang w:eastAsia="zh-CN"/>
        </w:rPr>
        <w:t>尾矿砂</w:t>
      </w:r>
      <w:r>
        <w:rPr>
          <w:rFonts w:hint="default" w:ascii="Times New Roman" w:hAnsi="Times New Roman" w:eastAsia="宋体" w:cs="Times New Roman"/>
          <w:color w:val="auto"/>
          <w:sz w:val="24"/>
          <w:highlight w:val="none"/>
        </w:rPr>
        <w:t>形成强大的泥石流</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对下游环境造成严重危害。</w:t>
      </w:r>
    </w:p>
    <w:p>
      <w:pPr>
        <w:pageBreakBefore w:val="0"/>
        <w:wordWrap/>
        <w:bidi w:val="0"/>
        <w:adjustRightInd w:val="0"/>
        <w:snapToGrid w:val="0"/>
        <w:spacing w:line="360" w:lineRule="auto"/>
        <w:ind w:left="0" w:leftChars="0" w:right="0" w:rightChars="0" w:firstLine="480" w:firstLineChars="200"/>
        <w:outlineLvl w:val="1"/>
        <w:rPr>
          <w:rFonts w:hint="default" w:ascii="Times New Roman" w:hAnsi="Times New Roman" w:eastAsia="宋体" w:cs="Times New Roman"/>
          <w:color w:val="auto"/>
          <w:sz w:val="24"/>
          <w:highlight w:val="none"/>
        </w:rPr>
      </w:pPr>
      <w:bookmarkStart w:id="1190" w:name="_Toc5818"/>
      <w:bookmarkStart w:id="1191" w:name="_Toc20199"/>
      <w:bookmarkStart w:id="1192" w:name="_Toc30908_WPSOffice_Level3"/>
      <w:bookmarkStart w:id="1193" w:name="_Toc4010_WPSOffice_Level3"/>
      <w:bookmarkStart w:id="1194" w:name="_Toc30105_WPSOffice_Level3"/>
      <w:r>
        <w:rPr>
          <w:rFonts w:hint="default" w:ascii="Times New Roman" w:hAnsi="Times New Roman" w:eastAsia="宋体" w:cs="Times New Roman"/>
          <w:color w:val="auto"/>
          <w:sz w:val="24"/>
          <w:highlight w:val="none"/>
        </w:rPr>
        <w:t>7、暴雨造成尾矿库溃坝</w:t>
      </w:r>
      <w:bookmarkEnd w:id="1190"/>
      <w:bookmarkEnd w:id="1191"/>
      <w:bookmarkEnd w:id="1192"/>
      <w:bookmarkEnd w:id="1193"/>
      <w:bookmarkEnd w:id="1194"/>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项目区遭受暴雨时</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当暴雨量较大</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冲击尾矿库引起涨坝</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严重甚至可导致尾矿坝溃坝。</w:t>
      </w:r>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综上所述</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会造成尾矿库危险的各种因素</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都不是孤立的</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而是相互作用、相互影响的</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因此</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全面综合地对尾矿库进行分析评价</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落实预防、控制或消除以上各种危险因素的有效措施</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是避免尾矿库溃坝事故发生</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实现安全运行的重要保证。</w:t>
      </w:r>
    </w:p>
    <w:p>
      <w:pPr>
        <w:pStyle w:val="4"/>
        <w:pageBreakBefore w:val="0"/>
        <w:numPr>
          <w:ilvl w:val="1"/>
          <w:numId w:val="0"/>
        </w:numPr>
        <w:wordWrap/>
        <w:bidi w:val="0"/>
        <w:ind w:left="0" w:leftChars="0" w:right="0" w:rightChars="0" w:firstLine="0" w:firstLineChars="0"/>
        <w:outlineLvl w:val="2"/>
        <w:rPr>
          <w:rFonts w:hint="default" w:ascii="Times New Roman" w:hAnsi="Times New Roman" w:eastAsia="宋体" w:cs="Times New Roman"/>
          <w:b/>
          <w:bCs/>
          <w:color w:val="auto"/>
          <w:highlight w:val="none"/>
        </w:rPr>
      </w:pPr>
      <w:bookmarkStart w:id="1195" w:name="_Toc644"/>
      <w:bookmarkStart w:id="1196" w:name="_Toc9075"/>
      <w:bookmarkStart w:id="1197" w:name="_Toc8352"/>
      <w:bookmarkStart w:id="1198" w:name="_Toc385615776"/>
      <w:bookmarkStart w:id="1199" w:name="_Toc2350_WPSOffice_Level2"/>
      <w:bookmarkStart w:id="1200" w:name="_Toc12701_WPSOffice_Level2"/>
      <w:bookmarkStart w:id="1201" w:name="_Toc426048355"/>
      <w:bookmarkStart w:id="1202" w:name="_Toc20074_WPSOffice_Level2"/>
      <w:bookmarkStart w:id="1203" w:name="_Toc439257875"/>
      <w:bookmarkStart w:id="1204" w:name="_Toc22913_WPSOffice_Level2"/>
      <w:bookmarkStart w:id="1205" w:name="_Toc477086284"/>
      <w:bookmarkStart w:id="1206" w:name="_Toc392663579"/>
      <w:bookmarkStart w:id="1207" w:name="_Toc21888"/>
      <w:bookmarkStart w:id="1208" w:name="_Toc381868552"/>
      <w:r>
        <w:rPr>
          <w:rFonts w:hint="default" w:ascii="Times New Roman" w:hAnsi="Times New Roman" w:eastAsia="宋体" w:cs="Times New Roman"/>
          <w:b/>
          <w:bCs/>
          <w:i w:val="0"/>
          <w:color w:val="auto"/>
          <w:kern w:val="2"/>
          <w:sz w:val="28"/>
          <w:szCs w:val="28"/>
          <w:highlight w:val="none"/>
          <w:lang w:val="en-US" w:eastAsia="zh-CN" w:bidi="ar-SA"/>
        </w:rPr>
        <w:t>8.4</w:t>
      </w:r>
      <w:r>
        <w:rPr>
          <w:rFonts w:hint="default" w:ascii="Times New Roman" w:hAnsi="Times New Roman" w:eastAsia="宋体" w:cs="Times New Roman"/>
          <w:b/>
          <w:bCs/>
          <w:color w:val="auto"/>
          <w:highlight w:val="none"/>
        </w:rPr>
        <w:t>事故影响分析</w:t>
      </w:r>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p>
    <w:p>
      <w:pPr>
        <w:pStyle w:val="5"/>
        <w:pageBreakBefore w:val="0"/>
        <w:numPr>
          <w:ilvl w:val="2"/>
          <w:numId w:val="0"/>
        </w:numPr>
        <w:wordWrap/>
        <w:bidi w:val="0"/>
        <w:ind w:left="0" w:leftChars="0" w:right="0" w:rightChars="0"/>
        <w:rPr>
          <w:rFonts w:hint="default" w:ascii="Times New Roman" w:hAnsi="Times New Roman" w:eastAsia="宋体" w:cs="Times New Roman"/>
          <w:b/>
          <w:bCs/>
          <w:color w:val="auto"/>
          <w:highlight w:val="none"/>
        </w:rPr>
      </w:pPr>
      <w:bookmarkStart w:id="1209" w:name="_Toc12769_WPSOffice_Level3"/>
      <w:bookmarkStart w:id="1210" w:name="_Toc4362"/>
      <w:bookmarkStart w:id="1211" w:name="_Toc5291"/>
      <w:bookmarkStart w:id="1212" w:name="_Toc439257877"/>
      <w:bookmarkStart w:id="1213" w:name="_Toc32092"/>
      <w:bookmarkStart w:id="1214" w:name="_Toc18879_WPSOffice_Level3"/>
      <w:bookmarkStart w:id="1215" w:name="_Toc32752_WPSOffice_Level3"/>
      <w:bookmarkStart w:id="1216" w:name="_Toc24935_WPSOffice_Level3"/>
      <w:bookmarkStart w:id="1217" w:name="_Toc6663"/>
      <w:bookmarkStart w:id="1218" w:name="_Toc22656_WPSOffice_Level3"/>
      <w:bookmarkStart w:id="1219" w:name="_Toc477086286"/>
      <w:r>
        <w:rPr>
          <w:rFonts w:hint="default" w:ascii="Times New Roman" w:hAnsi="Times New Roman" w:eastAsia="宋体" w:cs="Times New Roman"/>
          <w:b/>
          <w:bCs/>
          <w:i w:val="0"/>
          <w:iCs w:val="0"/>
          <w:caps w:val="0"/>
          <w:smallCaps w:val="0"/>
          <w:strike w:val="0"/>
          <w:dstrike w:val="0"/>
          <w:vanish w:val="0"/>
          <w:color w:val="auto"/>
          <w:spacing w:val="0"/>
          <w:kern w:val="2"/>
          <w:position w:val="0"/>
          <w:sz w:val="24"/>
          <w:szCs w:val="24"/>
          <w:highlight w:val="none"/>
          <w:u w:val="none"/>
          <w:vertAlign w:val="baseline"/>
          <w:lang w:val="en-US" w:eastAsia="zh-CN" w:bidi="ar-SA"/>
          <w14:shadow w14:blurRad="0" w14:dist="0" w14:dir="0" w14:sx="0" w14:sy="0" w14:kx="0" w14:ky="0" w14:algn="none">
            <w14:srgbClr w14:val="000000"/>
          </w14:shadow>
        </w:rPr>
        <w:t>8.4.1</w:t>
      </w:r>
      <w:r>
        <w:rPr>
          <w:rFonts w:hint="default" w:ascii="Times New Roman" w:hAnsi="Times New Roman" w:eastAsia="宋体" w:cs="Times New Roman"/>
          <w:b/>
          <w:bCs/>
          <w:color w:val="auto"/>
          <w:highlight w:val="none"/>
        </w:rPr>
        <w:t>尾矿库溃坝事故影响分析</w:t>
      </w:r>
      <w:bookmarkEnd w:id="1209"/>
      <w:bookmarkEnd w:id="1210"/>
      <w:bookmarkEnd w:id="1211"/>
      <w:bookmarkEnd w:id="1212"/>
      <w:bookmarkEnd w:id="1213"/>
      <w:bookmarkEnd w:id="1214"/>
      <w:bookmarkEnd w:id="1215"/>
      <w:bookmarkEnd w:id="1216"/>
      <w:bookmarkEnd w:id="1217"/>
      <w:bookmarkEnd w:id="1218"/>
      <w:bookmarkEnd w:id="1219"/>
    </w:p>
    <w:p>
      <w:pPr>
        <w:pageBreakBefore w:val="0"/>
        <w:wordWrap/>
        <w:bidi w:val="0"/>
        <w:spacing w:line="360" w:lineRule="auto"/>
        <w:ind w:left="0" w:leftChars="0" w:right="0" w:rightChars="0" w:firstLine="480" w:firstLineChars="200"/>
        <w:outlineLvl w:val="1"/>
        <w:rPr>
          <w:rFonts w:hint="default" w:ascii="Times New Roman" w:hAnsi="Times New Roman" w:eastAsia="宋体" w:cs="Times New Roman"/>
          <w:color w:val="auto"/>
          <w:sz w:val="24"/>
          <w:highlight w:val="none"/>
        </w:rPr>
      </w:pPr>
      <w:bookmarkStart w:id="1220" w:name="_Toc8909"/>
      <w:bookmarkStart w:id="1221" w:name="_Toc13581"/>
      <w:r>
        <w:rPr>
          <w:rFonts w:hint="default" w:ascii="Times New Roman" w:hAnsi="Times New Roman" w:eastAsia="宋体" w:cs="Times New Roman"/>
          <w:color w:val="auto"/>
          <w:sz w:val="24"/>
          <w:highlight w:val="none"/>
        </w:rPr>
        <w:t>1、尾矿库下游环境概况</w:t>
      </w:r>
      <w:bookmarkEnd w:id="1220"/>
      <w:bookmarkEnd w:id="1221"/>
    </w:p>
    <w:p>
      <w:pPr>
        <w:pageBreakBefore w:val="0"/>
        <w:wordWrap/>
        <w:bidi w:val="0"/>
        <w:spacing w:line="360" w:lineRule="auto"/>
        <w:ind w:left="0" w:leftChars="0" w:right="0" w:rightChars="0" w:firstLine="480" w:firstLineChars="200"/>
        <w:rPr>
          <w:rFonts w:hint="default" w:ascii="Times New Roman" w:hAnsi="Times New Roman" w:eastAsia="宋体" w:cs="Times New Roman"/>
          <w:b/>
          <w:color w:val="auto"/>
          <w:sz w:val="24"/>
          <w:highlight w:val="none"/>
        </w:rPr>
      </w:pPr>
      <w:r>
        <w:rPr>
          <w:rFonts w:hint="default" w:ascii="Times New Roman" w:hAnsi="Times New Roman" w:eastAsia="宋体" w:cs="Times New Roman"/>
          <w:color w:val="auto"/>
          <w:sz w:val="24"/>
          <w:highlight w:val="none"/>
        </w:rPr>
        <w:t>根据现场踏勘</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尾矿库周边为采矿用地</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szCs w:val="24"/>
          <w:highlight w:val="none"/>
          <w:lang w:val="en-US" w:eastAsia="zh-CN"/>
        </w:rPr>
        <w:t>其他草原</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尾矿库下游为荒草地以及公路。</w:t>
      </w:r>
    </w:p>
    <w:p>
      <w:pPr>
        <w:pageBreakBefore w:val="0"/>
        <w:wordWrap/>
        <w:bidi w:val="0"/>
        <w:adjustRightInd w:val="0"/>
        <w:snapToGrid w:val="0"/>
        <w:spacing w:line="360" w:lineRule="auto"/>
        <w:ind w:left="0" w:leftChars="0" w:right="0" w:rightChars="0" w:firstLine="480" w:firstLineChars="200"/>
        <w:outlineLvl w:val="1"/>
        <w:rPr>
          <w:rFonts w:hint="default" w:ascii="Times New Roman" w:hAnsi="Times New Roman" w:eastAsia="宋体" w:cs="Times New Roman"/>
          <w:color w:val="auto"/>
          <w:sz w:val="24"/>
          <w:highlight w:val="none"/>
        </w:rPr>
      </w:pPr>
      <w:bookmarkStart w:id="1222" w:name="_Toc5504"/>
      <w:bookmarkStart w:id="1223" w:name="_Toc23697"/>
      <w:r>
        <w:rPr>
          <w:rFonts w:hint="default" w:ascii="Times New Roman" w:hAnsi="Times New Roman" w:eastAsia="宋体" w:cs="Times New Roman"/>
          <w:color w:val="auto"/>
          <w:sz w:val="24"/>
          <w:highlight w:val="none"/>
        </w:rPr>
        <w:t>2、尾矿库下泄路线周边环境</w:t>
      </w:r>
      <w:bookmarkEnd w:id="1222"/>
      <w:bookmarkEnd w:id="1223"/>
    </w:p>
    <w:p>
      <w:pPr>
        <w:pStyle w:val="53"/>
        <w:pageBreakBefore w:val="0"/>
        <w:wordWrap/>
        <w:bidi w:val="0"/>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bCs/>
          <w:color w:val="auto"/>
          <w:highlight w:val="none"/>
        </w:rPr>
        <w:t>本项目</w:t>
      </w:r>
      <w:r>
        <w:rPr>
          <w:rFonts w:hint="default" w:ascii="Times New Roman" w:hAnsi="Times New Roman" w:eastAsia="宋体" w:cs="Times New Roman"/>
          <w:color w:val="auto"/>
          <w:highlight w:val="none"/>
        </w:rPr>
        <w:t>尾矿库为山谷型尾矿库</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尾矿库设计终期坝顶标高为1495m</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可满足现有选矿厂约</w:t>
      </w:r>
      <w:r>
        <w:rPr>
          <w:rFonts w:hint="default" w:ascii="Times New Roman" w:hAnsi="Times New Roman" w:eastAsia="宋体" w:cs="Times New Roman"/>
          <w:color w:val="auto"/>
          <w:sz w:val="24"/>
          <w:highlight w:val="none"/>
          <w:lang w:eastAsia="zh-CN"/>
        </w:rPr>
        <w:t>3.7</w:t>
      </w:r>
      <w:r>
        <w:rPr>
          <w:rFonts w:hint="default" w:ascii="Times New Roman" w:hAnsi="Times New Roman" w:eastAsia="宋体" w:cs="Times New Roman"/>
          <w:color w:val="auto"/>
          <w:highlight w:val="none"/>
        </w:rPr>
        <w:t>年的排尾量。</w:t>
      </w:r>
      <w:r>
        <w:rPr>
          <w:rFonts w:hint="default" w:ascii="Times New Roman" w:hAnsi="Times New Roman" w:eastAsia="宋体" w:cs="Times New Roman"/>
          <w:bCs/>
          <w:color w:val="auto"/>
          <w:highlight w:val="none"/>
        </w:rPr>
        <w:t>根据</w:t>
      </w:r>
      <w:r>
        <w:rPr>
          <w:rFonts w:hint="default" w:ascii="Times New Roman" w:hAnsi="Times New Roman" w:eastAsia="宋体" w:cs="Times New Roman"/>
          <w:color w:val="auto"/>
          <w:highlight w:val="none"/>
        </w:rPr>
        <w:t>《尾矿库环境风险评估技术导则（试行</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》（HJ740-2015</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bCs/>
          <w:color w:val="auto"/>
          <w:highlight w:val="none"/>
        </w:rPr>
        <w:t>中规定“山谷型、傍山型、截河型尾矿库风险评估范围为尾矿库下游不小于80倍坝高”</w:t>
      </w:r>
      <w:r>
        <w:rPr>
          <w:rFonts w:hint="default" w:ascii="Times New Roman" w:hAnsi="Times New Roman" w:eastAsia="宋体" w:cs="Times New Roman"/>
          <w:bCs/>
          <w:color w:val="auto"/>
          <w:highlight w:val="none"/>
          <w:lang w:eastAsia="zh-CN"/>
        </w:rPr>
        <w:t>，</w:t>
      </w:r>
      <w:r>
        <w:rPr>
          <w:rFonts w:hint="default" w:ascii="Times New Roman" w:hAnsi="Times New Roman" w:eastAsia="宋体" w:cs="Times New Roman"/>
          <w:color w:val="auto"/>
          <w:sz w:val="24"/>
          <w:highlight w:val="none"/>
          <w:lang w:eastAsia="zh-CN"/>
        </w:rPr>
        <w:t>扩建后</w:t>
      </w:r>
      <w:r>
        <w:rPr>
          <w:rFonts w:hint="default" w:ascii="Times New Roman" w:hAnsi="Times New Roman" w:eastAsia="宋体" w:cs="Times New Roman"/>
          <w:color w:val="auto"/>
          <w:sz w:val="24"/>
          <w:highlight w:val="none"/>
        </w:rPr>
        <w:t>坝高129m</w:t>
      </w:r>
      <w:r>
        <w:rPr>
          <w:rFonts w:hint="default" w:ascii="Times New Roman" w:hAnsi="Times New Roman" w:eastAsia="宋体" w:cs="Times New Roman"/>
          <w:color w:val="auto"/>
          <w:sz w:val="24"/>
          <w:highlight w:val="none"/>
          <w:lang w:eastAsia="zh-CN"/>
        </w:rPr>
        <w:t>，则</w:t>
      </w:r>
      <w:r>
        <w:rPr>
          <w:rFonts w:hint="default" w:ascii="Times New Roman" w:hAnsi="Times New Roman" w:eastAsia="宋体" w:cs="Times New Roman"/>
          <w:color w:val="auto"/>
          <w:sz w:val="24"/>
          <w:highlight w:val="none"/>
        </w:rPr>
        <w:t>环境风险受体调查</w:t>
      </w:r>
      <w:r>
        <w:rPr>
          <w:rFonts w:hint="default" w:ascii="Times New Roman" w:hAnsi="Times New Roman" w:eastAsia="宋体" w:cs="Times New Roman"/>
          <w:color w:val="auto"/>
          <w:sz w:val="24"/>
          <w:highlight w:val="none"/>
          <w:lang w:val="en-US" w:eastAsia="zh-CN"/>
        </w:rPr>
        <w:t>评估</w:t>
      </w:r>
      <w:r>
        <w:rPr>
          <w:rFonts w:hint="default" w:ascii="Times New Roman" w:hAnsi="Times New Roman" w:eastAsia="宋体" w:cs="Times New Roman"/>
          <w:color w:val="auto"/>
          <w:sz w:val="24"/>
          <w:highlight w:val="none"/>
        </w:rPr>
        <w:t>范围</w:t>
      </w:r>
      <w:r>
        <w:rPr>
          <w:rFonts w:hint="default" w:ascii="Times New Roman" w:hAnsi="Times New Roman" w:eastAsia="宋体" w:cs="Times New Roman"/>
          <w:color w:val="auto"/>
          <w:sz w:val="24"/>
          <w:highlight w:val="none"/>
          <w:lang w:eastAsia="zh-CN"/>
        </w:rPr>
        <w:t>为尾矿库下游（北侧）</w:t>
      </w:r>
      <w:r>
        <w:rPr>
          <w:rFonts w:hint="default" w:ascii="Times New Roman" w:hAnsi="Times New Roman" w:eastAsia="宋体" w:cs="Times New Roman"/>
          <w:color w:val="auto"/>
          <w:sz w:val="24"/>
          <w:highlight w:val="none"/>
        </w:rPr>
        <w:t>10.32km</w:t>
      </w:r>
      <w:r>
        <w:rPr>
          <w:rFonts w:hint="default" w:ascii="Times New Roman" w:hAnsi="Times New Roman" w:eastAsia="宋体" w:cs="Times New Roman"/>
          <w:color w:val="auto"/>
          <w:sz w:val="24"/>
          <w:highlight w:val="none"/>
          <w:lang w:val="en-US" w:eastAsia="zh-CN"/>
        </w:rPr>
        <w:t>范围</w:t>
      </w:r>
      <w:r>
        <w:rPr>
          <w:rFonts w:hint="default" w:ascii="Times New Roman" w:hAnsi="Times New Roman" w:eastAsia="宋体" w:cs="Times New Roman"/>
          <w:bCs/>
          <w:color w:val="auto"/>
          <w:highlight w:val="none"/>
        </w:rPr>
        <w:t>。</w:t>
      </w:r>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根据尾矿库下游形势</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尾矿库下游地势坡度变化较为平缓</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地势沿两侧山脊及干枯河道由</w:t>
      </w:r>
      <w:r>
        <w:rPr>
          <w:rFonts w:hint="default" w:ascii="Times New Roman" w:hAnsi="Times New Roman" w:eastAsia="宋体" w:cs="Times New Roman"/>
          <w:color w:val="auto"/>
          <w:sz w:val="24"/>
          <w:highlight w:val="none"/>
          <w:lang w:eastAsia="zh-CN"/>
        </w:rPr>
        <w:t>南</w:t>
      </w:r>
      <w:r>
        <w:rPr>
          <w:rFonts w:hint="default" w:ascii="Times New Roman" w:hAnsi="Times New Roman" w:eastAsia="宋体" w:cs="Times New Roman"/>
          <w:color w:val="auto"/>
          <w:sz w:val="24"/>
          <w:highlight w:val="none"/>
        </w:rPr>
        <w:t>至</w:t>
      </w:r>
      <w:r>
        <w:rPr>
          <w:rFonts w:hint="default" w:ascii="Times New Roman" w:hAnsi="Times New Roman" w:eastAsia="宋体" w:cs="Times New Roman"/>
          <w:color w:val="auto"/>
          <w:sz w:val="24"/>
          <w:highlight w:val="none"/>
          <w:lang w:eastAsia="zh-CN"/>
        </w:rPr>
        <w:t>北</w:t>
      </w:r>
      <w:r>
        <w:rPr>
          <w:rFonts w:hint="default" w:ascii="Times New Roman" w:hAnsi="Times New Roman" w:eastAsia="宋体" w:cs="Times New Roman"/>
          <w:color w:val="auto"/>
          <w:sz w:val="24"/>
          <w:highlight w:val="none"/>
        </w:rPr>
        <w:t>走向</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则溃坝后</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尾矿砂向为沿河道向尾矿库下游</w:t>
      </w:r>
      <w:r>
        <w:rPr>
          <w:rFonts w:hint="default" w:ascii="Times New Roman" w:hAnsi="Times New Roman" w:eastAsia="宋体" w:cs="Times New Roman"/>
          <w:color w:val="auto"/>
          <w:sz w:val="24"/>
          <w:highlight w:val="none"/>
          <w:lang w:eastAsia="zh-CN"/>
        </w:rPr>
        <w:t>北</w:t>
      </w:r>
      <w:r>
        <w:rPr>
          <w:rFonts w:hint="default" w:ascii="Times New Roman" w:hAnsi="Times New Roman" w:eastAsia="宋体" w:cs="Times New Roman"/>
          <w:color w:val="auto"/>
          <w:sz w:val="24"/>
          <w:highlight w:val="none"/>
        </w:rPr>
        <w:t>向流动。</w:t>
      </w:r>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尾矿库下游主要敏感目标为尾矿砂下泄路线流经的地表植被和</w:t>
      </w:r>
      <w:r>
        <w:rPr>
          <w:rFonts w:hint="default" w:ascii="Times New Roman" w:hAnsi="Times New Roman" w:eastAsia="宋体" w:cs="Times New Roman"/>
          <w:color w:val="auto"/>
          <w:sz w:val="24"/>
          <w:highlight w:val="none"/>
          <w:lang w:eastAsia="zh-CN"/>
        </w:rPr>
        <w:t>居民，</w:t>
      </w:r>
      <w:r>
        <w:rPr>
          <w:rFonts w:hint="default" w:ascii="Times New Roman" w:hAnsi="Times New Roman" w:eastAsia="宋体" w:cs="Times New Roman"/>
          <w:color w:val="auto"/>
          <w:sz w:val="24"/>
          <w:highlight w:val="none"/>
        </w:rPr>
        <w:t>距离本项目最近的敏感目标为下游</w:t>
      </w:r>
      <w:r>
        <w:rPr>
          <w:rFonts w:hint="default" w:ascii="Times New Roman" w:hAnsi="Times New Roman" w:eastAsia="宋体" w:cs="Times New Roman"/>
          <w:color w:val="auto"/>
          <w:sz w:val="24"/>
          <w:highlight w:val="none"/>
          <w:lang w:val="en-US" w:eastAsia="zh-CN"/>
        </w:rPr>
        <w:t>0.8</w:t>
      </w:r>
      <w:r>
        <w:rPr>
          <w:rFonts w:hint="default" w:ascii="Times New Roman" w:hAnsi="Times New Roman" w:eastAsia="宋体" w:cs="Times New Roman"/>
          <w:color w:val="auto"/>
          <w:sz w:val="24"/>
          <w:highlight w:val="none"/>
        </w:rPr>
        <w:t>km</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不会对村庄人员造成伤害。</w:t>
      </w:r>
    </w:p>
    <w:p>
      <w:pPr>
        <w:pStyle w:val="5"/>
        <w:pageBreakBefore w:val="0"/>
        <w:numPr>
          <w:ilvl w:val="2"/>
          <w:numId w:val="0"/>
        </w:numPr>
        <w:wordWrap/>
        <w:bidi w:val="0"/>
        <w:ind w:left="0" w:leftChars="0" w:right="0" w:rightChars="0"/>
        <w:rPr>
          <w:rFonts w:hint="default" w:ascii="Times New Roman" w:hAnsi="Times New Roman" w:eastAsia="宋体" w:cs="Times New Roman"/>
          <w:b/>
          <w:bCs/>
          <w:color w:val="auto"/>
          <w:highlight w:val="none"/>
        </w:rPr>
      </w:pPr>
      <w:bookmarkStart w:id="1224" w:name="_Toc31619"/>
      <w:bookmarkStart w:id="1225" w:name="_Toc19909"/>
      <w:bookmarkStart w:id="1226" w:name="_Toc28049"/>
      <w:r>
        <w:rPr>
          <w:rFonts w:hint="default" w:ascii="Times New Roman" w:hAnsi="Times New Roman" w:eastAsia="宋体" w:cs="Times New Roman"/>
          <w:b/>
          <w:bCs/>
          <w:i w:val="0"/>
          <w:iCs w:val="0"/>
          <w:caps w:val="0"/>
          <w:smallCaps w:val="0"/>
          <w:strike w:val="0"/>
          <w:dstrike w:val="0"/>
          <w:vanish w:val="0"/>
          <w:color w:val="auto"/>
          <w:spacing w:val="0"/>
          <w:kern w:val="2"/>
          <w:position w:val="0"/>
          <w:sz w:val="24"/>
          <w:szCs w:val="24"/>
          <w:highlight w:val="none"/>
          <w:u w:val="none"/>
          <w:vertAlign w:val="baseline"/>
          <w:lang w:val="en-US" w:eastAsia="zh-CN" w:bidi="ar-SA"/>
          <w14:shadow w14:blurRad="0" w14:dist="0" w14:dir="0" w14:sx="0" w14:sy="0" w14:kx="0" w14:ky="0" w14:algn="none">
            <w14:srgbClr w14:val="000000"/>
          </w14:shadow>
        </w:rPr>
        <w:t>8.4.2</w:t>
      </w:r>
      <w:r>
        <w:rPr>
          <w:rFonts w:hint="default" w:ascii="Times New Roman" w:hAnsi="Times New Roman" w:eastAsia="宋体" w:cs="Times New Roman"/>
          <w:b/>
          <w:bCs/>
          <w:color w:val="auto"/>
          <w:highlight w:val="none"/>
        </w:rPr>
        <w:t>尾矿库溃坝事故影响预测</w:t>
      </w:r>
      <w:bookmarkEnd w:id="1224"/>
      <w:bookmarkEnd w:id="1225"/>
      <w:bookmarkEnd w:id="1226"/>
    </w:p>
    <w:p>
      <w:pPr>
        <w:pageBreakBefore w:val="0"/>
        <w:wordWrap/>
        <w:bidi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根据源项分析</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尾矿库对环境造成最大危害事故为瞬时溃坝</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因此以下主要分析溃坝事故影响。</w:t>
      </w:r>
    </w:p>
    <w:p>
      <w:pPr>
        <w:pageBreakBefore w:val="0"/>
        <w:wordWrap/>
        <w:bidi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尾矿坝溃坝所产生的泥石流是由尾矿（包括尾粉细砂、尾粉砂、尾粉土等三类型</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和水组成的混合物</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根据尾矿库中的尾矿特性和已有垮坝的实际经验</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本项目选取了近年来发生的</w:t>
      </w:r>
      <w:r>
        <w:rPr>
          <w:rFonts w:hint="default" w:ascii="Times New Roman" w:hAnsi="Times New Roman" w:eastAsia="宋体" w:cs="Times New Roman"/>
          <w:color w:val="auto"/>
          <w:sz w:val="24"/>
          <w:highlight w:val="none"/>
          <w:lang w:eastAsia="zh-CN"/>
        </w:rPr>
        <w:t>三起</w:t>
      </w:r>
      <w:r>
        <w:rPr>
          <w:rFonts w:hint="default" w:ascii="Times New Roman" w:hAnsi="Times New Roman" w:eastAsia="宋体" w:cs="Times New Roman"/>
          <w:color w:val="auto"/>
          <w:sz w:val="24"/>
          <w:highlight w:val="none"/>
        </w:rPr>
        <w:t>溃坝案例进行分析</w:t>
      </w:r>
      <w:r>
        <w:rPr>
          <w:rFonts w:hint="default" w:ascii="Times New Roman" w:hAnsi="Times New Roman" w:eastAsia="宋体" w:cs="Times New Roman"/>
          <w:color w:val="auto"/>
          <w:sz w:val="24"/>
          <w:highlight w:val="none"/>
          <w:lang w:eastAsia="zh-CN"/>
        </w:rPr>
        <w:t>：</w:t>
      </w:r>
    </w:p>
    <w:p>
      <w:pPr>
        <w:pageBreakBefore w:val="0"/>
        <w:wordWrap/>
        <w:bidi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案例1</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陕西镇安金矿尾矿库溃坝</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坝高54m</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下游坡度</w:t>
      </w:r>
      <w:r>
        <w:rPr>
          <w:rFonts w:hint="default" w:ascii="Times New Roman" w:hAnsi="Times New Roman" w:eastAsia="宋体" w:cs="Times New Roman"/>
          <w:color w:val="auto"/>
          <w:sz w:val="24"/>
          <w:highlight w:val="none"/>
          <w:lang w:eastAsia="zh-CN"/>
        </w:rPr>
        <w:t>2%～5%，</w:t>
      </w:r>
      <w:r>
        <w:rPr>
          <w:rFonts w:hint="default" w:ascii="Times New Roman" w:hAnsi="Times New Roman" w:eastAsia="宋体" w:cs="Times New Roman"/>
          <w:color w:val="auto"/>
          <w:sz w:val="24"/>
          <w:highlight w:val="none"/>
        </w:rPr>
        <w:t>溃坝后下游淤积范围约为坝下350m的范围</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是坝高的6.5倍</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环境影响范围约700m</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是坝高的13倍。</w:t>
      </w:r>
    </w:p>
    <w:p>
      <w:pPr>
        <w:pageBreakBefore w:val="0"/>
        <w:wordWrap/>
        <w:bidi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案例2</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山西襄汾尾矿库溃坝</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坝高52.4m</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下游坡度10%</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溃坝后下游淤积约为坝下1km的范围</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是坝高的19倍</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环境影响范围2km</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是坝高的38倍。</w:t>
      </w:r>
    </w:p>
    <w:p>
      <w:pPr>
        <w:pageBreakBefore w:val="0"/>
        <w:wordWrap/>
        <w:bidi w:val="0"/>
        <w:snapToGrid w:val="0"/>
        <w:spacing w:line="360" w:lineRule="auto"/>
        <w:ind w:left="0" w:leftChars="0" w:right="0" w:rightChars="0"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案例</w:t>
      </w:r>
      <w:r>
        <w:rPr>
          <w:rFonts w:hint="default" w:ascii="Times New Roman" w:hAnsi="Times New Roman" w:eastAsia="宋体"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highlight w:val="none"/>
        </w:rPr>
        <w:t>2021年4月16日晚9点</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现有钼矿</w:t>
      </w:r>
      <w:r>
        <w:rPr>
          <w:rFonts w:hint="default" w:ascii="Times New Roman" w:hAnsi="Times New Roman" w:eastAsia="宋体" w:cs="Times New Roman"/>
          <w:color w:val="auto"/>
          <w:sz w:val="24"/>
          <w:highlight w:val="none"/>
          <w:lang w:eastAsia="zh-CN"/>
        </w:rPr>
        <w:t>尾矿库溢流井拱板破损，造成尾矿砂泄漏。</w:t>
      </w:r>
      <w:r>
        <w:rPr>
          <w:rFonts w:hint="default" w:ascii="Times New Roman" w:hAnsi="Times New Roman" w:eastAsia="宋体" w:cs="Times New Roman"/>
          <w:color w:val="auto"/>
          <w:sz w:val="24"/>
          <w:szCs w:val="32"/>
          <w:highlight w:val="none"/>
          <w:lang w:eastAsia="zh-CN"/>
        </w:rPr>
        <w:t>泄露后尾矿浆进入下游泄洪通道，占用和堵塞了泄洪通道，针对尾矿水，乌拉特前旗政府协调相关乡镇通过沿线筑坝围堵等措施，末端水流向前蔓延趋势已得到控制，未造成大面积草原和土地环境污染。</w:t>
      </w:r>
      <w:r>
        <w:rPr>
          <w:rFonts w:hint="default" w:ascii="Times New Roman" w:hAnsi="Times New Roman" w:eastAsia="宋体" w:cs="Times New Roman"/>
          <w:color w:val="auto"/>
          <w:sz w:val="24"/>
          <w:highlight w:val="none"/>
          <w:lang w:eastAsia="zh-CN"/>
        </w:rPr>
        <w:t>事件发生后，立即启动尾矿库应急预案，</w:t>
      </w:r>
      <w:r>
        <w:rPr>
          <w:rFonts w:hint="default" w:ascii="Times New Roman" w:hAnsi="Times New Roman" w:eastAsia="宋体" w:cs="Times New Roman"/>
          <w:color w:val="auto"/>
          <w:sz w:val="24"/>
          <w:highlight w:val="none"/>
          <w:lang w:val="en-US" w:eastAsia="zh-CN"/>
        </w:rPr>
        <w:t>对3#溢流井进行</w:t>
      </w:r>
      <w:r>
        <w:rPr>
          <w:rFonts w:hint="default" w:ascii="Times New Roman" w:hAnsi="Times New Roman" w:eastAsia="宋体" w:cs="Times New Roman"/>
          <w:color w:val="auto"/>
          <w:sz w:val="24"/>
          <w:highlight w:val="none"/>
        </w:rPr>
        <w:t>封堵</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szCs w:val="32"/>
          <w:highlight w:val="none"/>
          <w:lang w:val="en-US" w:eastAsia="zh-CN"/>
        </w:rPr>
        <w:t>建设单位</w:t>
      </w:r>
      <w:r>
        <w:rPr>
          <w:rFonts w:hint="default" w:ascii="Times New Roman" w:hAnsi="Times New Roman" w:eastAsia="宋体" w:cs="Times New Roman"/>
          <w:color w:val="auto"/>
          <w:sz w:val="24"/>
          <w:highlight w:val="none"/>
          <w:lang w:val="en-US" w:eastAsia="zh-CN"/>
        </w:rPr>
        <w:t>按照应急要求对尾矿水、周边土壤、地下水进行采样监测；</w:t>
      </w:r>
      <w:r>
        <w:rPr>
          <w:rFonts w:hint="default" w:ascii="Times New Roman" w:hAnsi="Times New Roman" w:eastAsia="宋体" w:cs="Times New Roman"/>
          <w:color w:val="auto"/>
          <w:sz w:val="24"/>
          <w:szCs w:val="32"/>
          <w:highlight w:val="none"/>
        </w:rPr>
        <w:t>建设单位委托具有甲级工业建筑设计资质的设计单位根据现场的工况重新核定进水井拱板的安全可靠度，结论符合尾矿库各设计要求，具备安全生产条件，消除了隐患</w:t>
      </w:r>
      <w:r>
        <w:rPr>
          <w:rFonts w:hint="default" w:ascii="Times New Roman" w:hAnsi="Times New Roman" w:eastAsia="宋体" w:cs="Times New Roman"/>
          <w:color w:val="auto"/>
          <w:sz w:val="24"/>
          <w:szCs w:val="32"/>
          <w:highlight w:val="none"/>
          <w:lang w:eastAsia="zh-CN"/>
        </w:rPr>
        <w:t>。</w:t>
      </w:r>
    </w:p>
    <w:p>
      <w:pPr>
        <w:pageBreakBefore w:val="0"/>
        <w:wordWrap/>
        <w:bidi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由此可见</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溃坝影响范围与坝高和下游坡度有较大的关系</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一般溃坝影响范围是坝高的10~50倍。同时</w:t>
      </w:r>
      <w:r>
        <w:rPr>
          <w:rFonts w:hint="default" w:ascii="Times New Roman" w:hAnsi="Times New Roman" w:eastAsia="宋体" w:cs="Times New Roman"/>
          <w:bCs/>
          <w:color w:val="auto"/>
          <w:sz w:val="24"/>
          <w:highlight w:val="none"/>
        </w:rPr>
        <w:t>根据</w:t>
      </w:r>
      <w:r>
        <w:rPr>
          <w:rFonts w:hint="default" w:ascii="Times New Roman" w:hAnsi="Times New Roman" w:eastAsia="宋体" w:cs="Times New Roman"/>
          <w:color w:val="auto"/>
          <w:sz w:val="24"/>
          <w:highlight w:val="none"/>
        </w:rPr>
        <w:t>《尾矿库环境风险评估技术导则（试行</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》（HJ740-2015</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bCs/>
          <w:color w:val="auto"/>
          <w:sz w:val="24"/>
          <w:highlight w:val="none"/>
        </w:rPr>
        <w:t>中规定“山谷型、傍山型、截河型尾矿库风险评估范围为尾矿库下游不小于80倍坝高”</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因此本项目尾矿库溃坝后尾矿砂淹没影响区为</w:t>
      </w:r>
      <w:r>
        <w:rPr>
          <w:rFonts w:hint="default" w:ascii="Times New Roman" w:hAnsi="Times New Roman" w:eastAsia="宋体" w:cs="Times New Roman"/>
          <w:bCs/>
          <w:color w:val="auto"/>
          <w:sz w:val="24"/>
          <w:highlight w:val="none"/>
          <w:lang w:eastAsia="zh-CN"/>
        </w:rPr>
        <w:t>10.32</w:t>
      </w:r>
      <w:r>
        <w:rPr>
          <w:rFonts w:hint="default" w:ascii="Times New Roman" w:hAnsi="Times New Roman" w:eastAsia="宋体" w:cs="Times New Roman"/>
          <w:bCs/>
          <w:color w:val="auto"/>
          <w:sz w:val="24"/>
          <w:highlight w:val="none"/>
        </w:rPr>
        <w:t>km。</w:t>
      </w:r>
    </w:p>
    <w:p>
      <w:pPr>
        <w:pageBreakBefore w:val="0"/>
        <w:wordWrap/>
        <w:bidi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在最不利条件下</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洪水漫顶引起尾矿坝溃坝</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根据经验估算</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尾矿库下泄的尾矿量一般约为库容的1/10。本项目有效库容为</w:t>
      </w:r>
      <w:r>
        <w:rPr>
          <w:rFonts w:hint="default" w:ascii="Times New Roman" w:hAnsi="Times New Roman" w:eastAsia="宋体" w:cs="Times New Roman"/>
          <w:color w:val="auto"/>
          <w:sz w:val="24"/>
          <w:highlight w:val="none"/>
          <w:lang w:val="en-US" w:eastAsia="zh-CN"/>
        </w:rPr>
        <w:t>1660.78</w:t>
      </w:r>
      <w:r>
        <w:rPr>
          <w:rFonts w:hint="default" w:ascii="Times New Roman" w:hAnsi="Times New Roman" w:eastAsia="宋体" w:cs="Times New Roman"/>
          <w:color w:val="auto"/>
          <w:sz w:val="24"/>
          <w:highlight w:val="none"/>
        </w:rPr>
        <w:t>×10</w:t>
      </w:r>
      <w:r>
        <w:rPr>
          <w:rFonts w:hint="default" w:ascii="Times New Roman" w:hAnsi="Times New Roman" w:eastAsia="宋体" w:cs="Times New Roman"/>
          <w:color w:val="auto"/>
          <w:sz w:val="24"/>
          <w:highlight w:val="none"/>
          <w:vertAlign w:val="superscript"/>
        </w:rPr>
        <w:t>4</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。因此</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在堆满尾矿的最不利条件下</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下泄尾矿量约为</w:t>
      </w:r>
      <w:r>
        <w:rPr>
          <w:rFonts w:hint="default" w:ascii="Times New Roman" w:hAnsi="Times New Roman" w:eastAsia="宋体" w:cs="Times New Roman"/>
          <w:color w:val="auto"/>
          <w:sz w:val="24"/>
          <w:highlight w:val="none"/>
          <w:lang w:eastAsia="zh-CN"/>
        </w:rPr>
        <w:t>166.078</w:t>
      </w:r>
      <w:r>
        <w:rPr>
          <w:rFonts w:hint="default" w:ascii="Times New Roman" w:hAnsi="Times New Roman" w:eastAsia="宋体" w:cs="Times New Roman"/>
          <w:color w:val="auto"/>
          <w:sz w:val="24"/>
          <w:highlight w:val="none"/>
        </w:rPr>
        <w:t>万m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w:t>
      </w:r>
    </w:p>
    <w:p>
      <w:pPr>
        <w:pageBreakBefore w:val="0"/>
        <w:wordWrap/>
        <w:bidi w:val="0"/>
        <w:snapToGrid w:val="0"/>
        <w:spacing w:line="360" w:lineRule="auto"/>
        <w:ind w:left="0" w:leftChars="0" w:right="0" w:rightChars="0" w:firstLine="480" w:firstLineChars="200"/>
        <w:rPr>
          <w:rFonts w:hint="default" w:ascii="Times New Roman" w:hAnsi="Times New Roman" w:eastAsia="宋体" w:cs="Times New Roman"/>
          <w:snapToGrid w:val="0"/>
          <w:color w:val="auto"/>
          <w:sz w:val="24"/>
          <w:highlight w:val="none"/>
          <w:lang w:eastAsia="zh-CN"/>
        </w:rPr>
      </w:pPr>
      <w:r>
        <w:rPr>
          <w:rFonts w:hint="default" w:ascii="Times New Roman" w:hAnsi="Times New Roman" w:eastAsia="宋体" w:cs="Times New Roman"/>
          <w:snapToGrid w:val="0"/>
          <w:color w:val="auto"/>
          <w:sz w:val="24"/>
          <w:highlight w:val="none"/>
        </w:rPr>
        <w:t>本项目尾矿库发生溃坝风险预测如下</w:t>
      </w:r>
      <w:r>
        <w:rPr>
          <w:rFonts w:hint="default" w:ascii="Times New Roman" w:hAnsi="Times New Roman" w:eastAsia="宋体" w:cs="Times New Roman"/>
          <w:snapToGrid w:val="0"/>
          <w:color w:val="auto"/>
          <w:sz w:val="24"/>
          <w:highlight w:val="none"/>
          <w:lang w:eastAsia="zh-CN"/>
        </w:rPr>
        <w:t>：</w:t>
      </w:r>
    </w:p>
    <w:p>
      <w:pPr>
        <w:pageBreakBefore w:val="0"/>
        <w:wordWrap/>
        <w:bidi w:val="0"/>
        <w:snapToGrid w:val="0"/>
        <w:spacing w:line="360" w:lineRule="auto"/>
        <w:ind w:left="0" w:leftChars="0" w:right="0" w:rightChars="0" w:firstLine="480" w:firstLineChars="200"/>
        <w:outlineLvl w:val="1"/>
        <w:rPr>
          <w:rFonts w:hint="default" w:ascii="Times New Roman" w:hAnsi="Times New Roman" w:eastAsia="宋体" w:cs="Times New Roman"/>
          <w:color w:val="auto"/>
          <w:sz w:val="24"/>
          <w:highlight w:val="none"/>
        </w:rPr>
      </w:pPr>
      <w:bookmarkStart w:id="1227" w:name="_Toc3466"/>
      <w:bookmarkStart w:id="1228" w:name="_Toc7518"/>
      <w:r>
        <w:rPr>
          <w:rFonts w:hint="default" w:ascii="Times New Roman" w:hAnsi="Times New Roman" w:eastAsia="宋体" w:cs="Times New Roman"/>
          <w:color w:val="auto"/>
          <w:sz w:val="24"/>
          <w:highlight w:val="none"/>
        </w:rPr>
        <w:t>1、溃坝泄流量预测</w:t>
      </w:r>
      <w:bookmarkEnd w:id="1227"/>
      <w:bookmarkEnd w:id="1228"/>
    </w:p>
    <w:p>
      <w:pPr>
        <w:pageBreakBefore w:val="0"/>
        <w:wordWrap/>
        <w:bidi w:val="0"/>
        <w:snapToGrid w:val="0"/>
        <w:spacing w:line="360" w:lineRule="auto"/>
        <w:ind w:left="0" w:leftChars="0" w:right="0" w:rightChars="0" w:firstLine="480" w:firstLineChars="200"/>
        <w:outlineLvl w:val="2"/>
        <w:rPr>
          <w:rFonts w:hint="default" w:ascii="Times New Roman" w:hAnsi="Times New Roman" w:eastAsia="宋体" w:cs="Times New Roman"/>
          <w:color w:val="auto"/>
          <w:sz w:val="24"/>
          <w:highlight w:val="none"/>
        </w:rPr>
      </w:pPr>
      <w:bookmarkStart w:id="1229" w:name="_Toc29741"/>
      <w:bookmarkStart w:id="1230" w:name="_Toc19583"/>
      <w:r>
        <w:rPr>
          <w:rFonts w:hint="default" w:ascii="Times New Roman" w:hAnsi="Times New Roman" w:eastAsia="宋体" w:cs="Times New Roman"/>
          <w:color w:val="auto"/>
          <w:sz w:val="24"/>
          <w:highlight w:val="none"/>
        </w:rPr>
        <w:t>①溃口宽度计算</w:t>
      </w:r>
      <w:bookmarkEnd w:id="1229"/>
      <w:bookmarkEnd w:id="1230"/>
    </w:p>
    <w:p>
      <w:pPr>
        <w:pageBreakBefore w:val="0"/>
        <w:wordWrap/>
        <w:bidi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采用黄河水利委员会经验公式</w:t>
      </w:r>
      <w:r>
        <w:rPr>
          <w:rFonts w:hint="default" w:ascii="Times New Roman" w:hAnsi="Times New Roman" w:eastAsia="宋体" w:cs="Times New Roman"/>
          <w:color w:val="auto"/>
          <w:sz w:val="24"/>
          <w:highlight w:val="none"/>
          <w:lang w:eastAsia="zh-CN"/>
        </w:rPr>
        <w:t>：</w:t>
      </w:r>
    </w:p>
    <w:p>
      <w:pPr>
        <w:pageBreakBefore w:val="0"/>
        <w:wordWrap/>
        <w:bidi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b=0.1KW</w:t>
      </w:r>
      <w:r>
        <w:rPr>
          <w:rFonts w:hint="default" w:ascii="Times New Roman" w:hAnsi="Times New Roman" w:eastAsia="宋体" w:cs="Times New Roman"/>
          <w:color w:val="auto"/>
          <w:sz w:val="24"/>
          <w:highlight w:val="none"/>
          <w:vertAlign w:val="superscript"/>
        </w:rPr>
        <w:t>1/4</w:t>
      </w:r>
      <w:r>
        <w:rPr>
          <w:rFonts w:hint="default" w:ascii="Times New Roman" w:hAnsi="Times New Roman" w:eastAsia="宋体" w:cs="Times New Roman"/>
          <w:color w:val="auto"/>
          <w:sz w:val="24"/>
          <w:highlight w:val="none"/>
        </w:rPr>
        <w:t>B</w:t>
      </w:r>
      <w:r>
        <w:rPr>
          <w:rFonts w:hint="default" w:ascii="Times New Roman" w:hAnsi="Times New Roman" w:eastAsia="宋体" w:cs="Times New Roman"/>
          <w:color w:val="auto"/>
          <w:sz w:val="24"/>
          <w:highlight w:val="none"/>
          <w:vertAlign w:val="superscript"/>
        </w:rPr>
        <w:t>1/4</w:t>
      </w:r>
      <w:r>
        <w:rPr>
          <w:rFonts w:hint="default" w:ascii="Times New Roman" w:hAnsi="Times New Roman" w:eastAsia="宋体" w:cs="Times New Roman"/>
          <w:color w:val="auto"/>
          <w:sz w:val="24"/>
          <w:highlight w:val="none"/>
        </w:rPr>
        <w:t>H</w:t>
      </w:r>
      <w:r>
        <w:rPr>
          <w:rFonts w:hint="default" w:ascii="Times New Roman" w:hAnsi="Times New Roman" w:eastAsia="宋体" w:cs="Times New Roman"/>
          <w:color w:val="auto"/>
          <w:sz w:val="24"/>
          <w:highlight w:val="none"/>
          <w:vertAlign w:val="superscript"/>
        </w:rPr>
        <w:t>1/2</w:t>
      </w:r>
    </w:p>
    <w:p>
      <w:pPr>
        <w:pageBreakBefore w:val="0"/>
        <w:wordWrap/>
        <w:bidi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式中</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b——溃口宽度</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m；</w:t>
      </w:r>
    </w:p>
    <w:p>
      <w:pPr>
        <w:pageBreakBefore w:val="0"/>
        <w:wordWrap/>
        <w:bidi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K——经验系数</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粘土类取0.65</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壤土取1.30（本项目取0.65</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w:t>
      </w:r>
    </w:p>
    <w:p>
      <w:pPr>
        <w:pageBreakBefore w:val="0"/>
        <w:wordWrap/>
        <w:bidi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W——尾矿库总库容</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（本项目取</w:t>
      </w:r>
      <w:r>
        <w:rPr>
          <w:rFonts w:hint="default" w:ascii="Times New Roman" w:hAnsi="Times New Roman" w:eastAsia="宋体" w:cs="Times New Roman"/>
          <w:color w:val="auto"/>
          <w:sz w:val="24"/>
          <w:highlight w:val="none"/>
          <w:lang w:val="en-US" w:eastAsia="zh-CN"/>
        </w:rPr>
        <w:t>1660.78</w:t>
      </w:r>
      <w:r>
        <w:rPr>
          <w:rFonts w:hint="default" w:ascii="Times New Roman" w:hAnsi="Times New Roman" w:eastAsia="宋体" w:cs="Times New Roman"/>
          <w:color w:val="auto"/>
          <w:sz w:val="24"/>
          <w:highlight w:val="none"/>
        </w:rPr>
        <w:t>万m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w:t>
      </w:r>
    </w:p>
    <w:p>
      <w:pPr>
        <w:pageBreakBefore w:val="0"/>
        <w:wordWrap/>
        <w:bidi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B——主坝长度</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m（长度取298m</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w:t>
      </w:r>
    </w:p>
    <w:p>
      <w:pPr>
        <w:pageBreakBefore w:val="0"/>
        <w:wordWrap/>
        <w:bidi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H——坝高</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m（本项目取</w:t>
      </w:r>
      <w:r>
        <w:rPr>
          <w:rFonts w:hint="default" w:ascii="Times New Roman" w:hAnsi="Times New Roman" w:eastAsia="宋体" w:cs="Times New Roman"/>
          <w:color w:val="auto"/>
          <w:sz w:val="24"/>
          <w:highlight w:val="none"/>
          <w:lang w:val="en-US" w:eastAsia="zh-CN"/>
        </w:rPr>
        <w:t>129</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w:t>
      </w:r>
    </w:p>
    <w:p>
      <w:pPr>
        <w:pageBreakBefore w:val="0"/>
        <w:wordWrap/>
        <w:bidi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经计算</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溃口宽度为</w:t>
      </w:r>
      <w:r>
        <w:rPr>
          <w:rFonts w:hint="default" w:ascii="Times New Roman" w:hAnsi="Times New Roman" w:eastAsia="宋体" w:cs="Times New Roman"/>
          <w:color w:val="auto"/>
          <w:sz w:val="24"/>
          <w:highlight w:val="none"/>
          <w:lang w:val="en-US" w:eastAsia="zh-CN"/>
        </w:rPr>
        <w:t>20.8</w:t>
      </w:r>
      <w:r>
        <w:rPr>
          <w:rFonts w:hint="default" w:ascii="Times New Roman" w:hAnsi="Times New Roman" w:eastAsia="宋体" w:cs="Times New Roman"/>
          <w:color w:val="auto"/>
          <w:sz w:val="24"/>
          <w:highlight w:val="none"/>
        </w:rPr>
        <w:t>m。</w:t>
      </w:r>
    </w:p>
    <w:p>
      <w:pPr>
        <w:pageBreakBefore w:val="0"/>
        <w:wordWrap/>
        <w:bidi w:val="0"/>
        <w:snapToGrid w:val="0"/>
        <w:spacing w:line="360" w:lineRule="auto"/>
        <w:ind w:left="0" w:leftChars="0" w:right="0" w:rightChars="0" w:firstLine="480" w:firstLineChars="200"/>
        <w:outlineLvl w:val="2"/>
        <w:rPr>
          <w:rFonts w:hint="default" w:ascii="Times New Roman" w:hAnsi="Times New Roman" w:eastAsia="宋体" w:cs="Times New Roman"/>
          <w:color w:val="auto"/>
          <w:sz w:val="24"/>
          <w:highlight w:val="none"/>
        </w:rPr>
      </w:pPr>
      <w:bookmarkStart w:id="1231" w:name="_Toc3759"/>
      <w:bookmarkStart w:id="1232" w:name="_Toc28506"/>
      <w:r>
        <w:rPr>
          <w:rFonts w:hint="default" w:ascii="Times New Roman" w:hAnsi="Times New Roman" w:eastAsia="宋体" w:cs="Times New Roman"/>
          <w:color w:val="auto"/>
          <w:sz w:val="24"/>
          <w:highlight w:val="none"/>
        </w:rPr>
        <w:t>②溃口坝址最大泄流量估算</w:t>
      </w:r>
      <w:bookmarkEnd w:id="1231"/>
      <w:bookmarkEnd w:id="1232"/>
    </w:p>
    <w:p>
      <w:pPr>
        <w:pageBreakBefore w:val="0"/>
        <w:wordWrap/>
        <w:bidi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对于尾矿库溃坝来说</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考虑到溃决时往往为库内水位较高</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尾矿处于液态</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为安全计</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最大泄流量可根据肖克列奇经验公式计算</w:t>
      </w:r>
      <w:r>
        <w:rPr>
          <w:rFonts w:hint="default" w:ascii="Times New Roman" w:hAnsi="Times New Roman" w:eastAsia="宋体" w:cs="Times New Roman"/>
          <w:color w:val="auto"/>
          <w:sz w:val="24"/>
          <w:highlight w:val="none"/>
          <w:lang w:eastAsia="zh-CN"/>
        </w:rPr>
        <w:t>：</w:t>
      </w:r>
    </w:p>
    <w:p>
      <w:pPr>
        <w:pageBreakBefore w:val="0"/>
        <w:wordWrap/>
        <w:bidi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drawing>
          <wp:anchor distT="0" distB="0" distL="114300" distR="114300" simplePos="0" relativeHeight="251661312" behindDoc="0" locked="0" layoutInCell="1" allowOverlap="1">
            <wp:simplePos x="0" y="0"/>
            <wp:positionH relativeFrom="column">
              <wp:posOffset>2171700</wp:posOffset>
            </wp:positionH>
            <wp:positionV relativeFrom="paragraph">
              <wp:posOffset>23495</wp:posOffset>
            </wp:positionV>
            <wp:extent cx="1651000" cy="469900"/>
            <wp:effectExtent l="0" t="0" r="0" b="0"/>
            <wp:wrapNone/>
            <wp:docPr id="480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2" name="Picture 27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a:xfrm>
                      <a:off x="0" y="0"/>
                      <a:ext cx="1651000" cy="469900"/>
                    </a:xfrm>
                    <a:prstGeom prst="rect">
                      <a:avLst/>
                    </a:prstGeom>
                    <a:noFill/>
                    <a:ln>
                      <a:noFill/>
                    </a:ln>
                  </pic:spPr>
                </pic:pic>
              </a:graphicData>
            </a:graphic>
          </wp:anchor>
        </w:drawing>
      </w:r>
    </w:p>
    <w:p>
      <w:pPr>
        <w:pageBreakBefore w:val="0"/>
        <w:wordWrap/>
        <w:bidi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p>
    <w:p>
      <w:pPr>
        <w:pageBreakBefore w:val="0"/>
        <w:wordWrap/>
        <w:bidi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式中</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Qmax——溃口坝址最大泄流量</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/s；</w:t>
      </w:r>
    </w:p>
    <w:p>
      <w:pPr>
        <w:pageBreakBefore w:val="0"/>
        <w:wordWrap/>
        <w:bidi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g——重力加速度</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9.8m/s；</w:t>
      </w:r>
    </w:p>
    <w:p>
      <w:pPr>
        <w:pageBreakBefore w:val="0"/>
        <w:wordWrap/>
        <w:bidi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B——主坝长度</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m（本项目取298m</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w:t>
      </w:r>
    </w:p>
    <w:p>
      <w:pPr>
        <w:pageBreakBefore w:val="0"/>
        <w:wordWrap/>
        <w:bidi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b——溃口宽度</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m（据计算</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本项目取</w:t>
      </w:r>
      <w:r>
        <w:rPr>
          <w:rFonts w:hint="default" w:ascii="Times New Roman" w:hAnsi="Times New Roman" w:eastAsia="宋体" w:cs="Times New Roman"/>
          <w:color w:val="auto"/>
          <w:sz w:val="24"/>
          <w:highlight w:val="none"/>
          <w:lang w:val="en-US" w:eastAsia="zh-CN"/>
        </w:rPr>
        <w:t>20.8</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w:t>
      </w:r>
    </w:p>
    <w:p>
      <w:pPr>
        <w:pageBreakBefore w:val="0"/>
        <w:wordWrap/>
        <w:bidi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H</w:t>
      </w:r>
      <w:r>
        <w:rPr>
          <w:rFonts w:hint="default" w:ascii="Times New Roman" w:hAnsi="Times New Roman" w:eastAsia="宋体" w:cs="Times New Roman"/>
          <w:color w:val="auto"/>
          <w:sz w:val="24"/>
          <w:highlight w:val="none"/>
          <w:vertAlign w:val="subscript"/>
        </w:rPr>
        <w:t>0</w:t>
      </w:r>
      <w:r>
        <w:rPr>
          <w:rFonts w:hint="default" w:ascii="Times New Roman" w:hAnsi="Times New Roman" w:eastAsia="宋体" w:cs="Times New Roman"/>
          <w:color w:val="auto"/>
          <w:sz w:val="24"/>
          <w:highlight w:val="none"/>
        </w:rPr>
        <w:t>——溃坝前上游水深</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m（本项目取12.5m</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w:t>
      </w:r>
    </w:p>
    <w:p>
      <w:pPr>
        <w:pageBreakBefore w:val="0"/>
        <w:wordWrap/>
        <w:bidi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经计算</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溃口坝址最大泄流量为</w:t>
      </w:r>
      <w:r>
        <w:rPr>
          <w:rFonts w:hint="default" w:ascii="Times New Roman" w:hAnsi="Times New Roman" w:eastAsia="宋体" w:cs="Times New Roman"/>
          <w:color w:val="auto"/>
          <w:sz w:val="24"/>
          <w:highlight w:val="none"/>
          <w:lang w:eastAsia="zh-CN"/>
        </w:rPr>
        <w:t>1656.5</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/s。</w:t>
      </w:r>
    </w:p>
    <w:p>
      <w:pPr>
        <w:pageBreakBefore w:val="0"/>
        <w:wordWrap/>
        <w:bidi w:val="0"/>
        <w:snapToGrid w:val="0"/>
        <w:spacing w:line="360" w:lineRule="auto"/>
        <w:ind w:left="0" w:leftChars="0" w:right="0" w:rightChars="0" w:firstLine="480" w:firstLineChars="200"/>
        <w:outlineLvl w:val="1"/>
        <w:rPr>
          <w:rFonts w:hint="default" w:ascii="Times New Roman" w:hAnsi="Times New Roman" w:eastAsia="宋体" w:cs="Times New Roman"/>
          <w:color w:val="auto"/>
          <w:sz w:val="24"/>
          <w:highlight w:val="none"/>
        </w:rPr>
      </w:pPr>
      <w:bookmarkStart w:id="1233" w:name="_Toc19906"/>
      <w:bookmarkStart w:id="1234" w:name="_Toc30674"/>
      <w:r>
        <w:rPr>
          <w:rFonts w:hint="default" w:ascii="Times New Roman" w:hAnsi="Times New Roman" w:eastAsia="宋体" w:cs="Times New Roman"/>
          <w:color w:val="auto"/>
          <w:sz w:val="24"/>
          <w:highlight w:val="none"/>
        </w:rPr>
        <w:t>2、溃坝尾矿下泻最小总历时</w:t>
      </w:r>
      <w:bookmarkEnd w:id="1233"/>
      <w:bookmarkEnd w:id="1234"/>
    </w:p>
    <w:p>
      <w:pPr>
        <w:pageBreakBefore w:val="0"/>
        <w:wordWrap/>
        <w:bidi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根据尾矿泄漏量和最大泄砂流量可以计算</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溃坝尾矿下泻最小总历时</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计算公式如下</w:t>
      </w:r>
      <w:r>
        <w:rPr>
          <w:rFonts w:hint="default" w:ascii="Times New Roman" w:hAnsi="Times New Roman" w:eastAsia="宋体" w:cs="Times New Roman"/>
          <w:color w:val="auto"/>
          <w:sz w:val="24"/>
          <w:highlight w:val="none"/>
          <w:lang w:eastAsia="zh-CN"/>
        </w:rPr>
        <w:t>：</w:t>
      </w:r>
    </w:p>
    <w:p>
      <w:pPr>
        <w:pageBreakBefore w:val="0"/>
        <w:wordWrap/>
        <w:bidi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bookmarkStart w:id="1235" w:name="_Toc64558934"/>
      <w:bookmarkStart w:id="1236" w:name="_Toc72851010"/>
      <w:bookmarkStart w:id="1237" w:name="_Toc73719309"/>
      <w:bookmarkStart w:id="1238" w:name="_Toc64559122"/>
      <w:bookmarkStart w:id="1239" w:name="_Toc38557792"/>
      <w:bookmarkStart w:id="1240" w:name="_Toc62488440"/>
      <w:bookmarkStart w:id="1241" w:name="_Toc24511_WPSOffice_Level2"/>
      <w:bookmarkStart w:id="1242" w:name="_Toc37846899"/>
      <w:bookmarkStart w:id="1243" w:name="_Toc37595497"/>
      <w:bookmarkStart w:id="1244" w:name="_Toc37315975"/>
      <w:r>
        <w:rPr>
          <w:rFonts w:hint="default" w:ascii="Times New Roman" w:hAnsi="Times New Roman" w:eastAsia="宋体" w:cs="Times New Roman"/>
          <w:color w:val="auto"/>
          <w:sz w:val="24"/>
          <w:highlight w:val="none"/>
        </w:rPr>
        <w:t>T=V/Qmax</w:t>
      </w:r>
      <w:bookmarkEnd w:id="1235"/>
      <w:bookmarkEnd w:id="1236"/>
      <w:bookmarkEnd w:id="1237"/>
      <w:bookmarkEnd w:id="1238"/>
      <w:bookmarkEnd w:id="1239"/>
      <w:bookmarkEnd w:id="1240"/>
      <w:bookmarkEnd w:id="1241"/>
      <w:bookmarkEnd w:id="1242"/>
      <w:bookmarkEnd w:id="1243"/>
      <w:bookmarkEnd w:id="1244"/>
    </w:p>
    <w:p>
      <w:pPr>
        <w:pageBreakBefore w:val="0"/>
        <w:wordWrap/>
        <w:bidi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式中</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V－尾矿最大下泄量</w:t>
      </w:r>
      <w:r>
        <w:rPr>
          <w:rFonts w:hint="default" w:ascii="Times New Roman" w:hAnsi="Times New Roman" w:eastAsia="宋体" w:cs="Times New Roman"/>
          <w:color w:val="auto"/>
          <w:sz w:val="24"/>
          <w:highlight w:val="none"/>
          <w:lang w:eastAsia="zh-CN"/>
        </w:rPr>
        <w:t>，166.078</w:t>
      </w:r>
      <w:r>
        <w:rPr>
          <w:rFonts w:hint="default" w:ascii="Times New Roman" w:hAnsi="Times New Roman" w:eastAsia="宋体" w:cs="Times New Roman"/>
          <w:color w:val="auto"/>
          <w:sz w:val="24"/>
          <w:highlight w:val="none"/>
        </w:rPr>
        <w:t>万m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w:t>
      </w:r>
    </w:p>
    <w:p>
      <w:pPr>
        <w:pageBreakBefore w:val="0"/>
        <w:wordWrap/>
        <w:bidi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Qmax－最大泄砂流量</w:t>
      </w:r>
      <w:r>
        <w:rPr>
          <w:rFonts w:hint="default" w:ascii="Times New Roman" w:hAnsi="Times New Roman" w:eastAsia="宋体" w:cs="Times New Roman"/>
          <w:color w:val="auto"/>
          <w:sz w:val="24"/>
          <w:highlight w:val="none"/>
          <w:lang w:eastAsia="zh-CN"/>
        </w:rPr>
        <w:t>1656.5</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/s。</w:t>
      </w:r>
    </w:p>
    <w:p>
      <w:pPr>
        <w:pageBreakBefore w:val="0"/>
        <w:wordWrap/>
        <w:bidi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根据经验估算</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尾矿库下泄的尾矿量一般约为库容的1/10。在堆满尾矿的最不利条件下</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下泄尾矿量约为</w:t>
      </w:r>
      <w:r>
        <w:rPr>
          <w:rFonts w:hint="default" w:ascii="Times New Roman" w:hAnsi="Times New Roman" w:eastAsia="宋体" w:cs="Times New Roman"/>
          <w:color w:val="auto"/>
          <w:sz w:val="24"/>
          <w:highlight w:val="none"/>
          <w:lang w:eastAsia="zh-CN"/>
        </w:rPr>
        <w:t>166.078</w:t>
      </w:r>
      <w:r>
        <w:rPr>
          <w:rFonts w:hint="default" w:ascii="Times New Roman" w:hAnsi="Times New Roman" w:eastAsia="宋体" w:cs="Times New Roman"/>
          <w:color w:val="auto"/>
          <w:sz w:val="24"/>
          <w:highlight w:val="none"/>
        </w:rPr>
        <w:t>万m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溃坝尾矿</w:t>
      </w:r>
      <w:r>
        <w:rPr>
          <w:rFonts w:hint="default" w:ascii="Times New Roman" w:hAnsi="Times New Roman" w:eastAsia="宋体" w:cs="Times New Roman"/>
          <w:color w:val="auto"/>
          <w:sz w:val="24"/>
          <w:highlight w:val="none"/>
          <w:lang w:eastAsia="zh-CN"/>
        </w:rPr>
        <w:t>下泄</w:t>
      </w:r>
      <w:r>
        <w:rPr>
          <w:rFonts w:hint="default" w:ascii="Times New Roman" w:hAnsi="Times New Roman" w:eastAsia="宋体" w:cs="Times New Roman"/>
          <w:color w:val="auto"/>
          <w:sz w:val="24"/>
          <w:highlight w:val="none"/>
        </w:rPr>
        <w:t>最小总历时为</w:t>
      </w:r>
      <w:r>
        <w:rPr>
          <w:rFonts w:hint="default" w:ascii="Times New Roman" w:hAnsi="Times New Roman" w:eastAsia="宋体" w:cs="Times New Roman"/>
          <w:color w:val="auto"/>
          <w:sz w:val="24"/>
          <w:highlight w:val="none"/>
          <w:lang w:val="en-US" w:eastAsia="zh-CN"/>
        </w:rPr>
        <w:t>1002.6s</w:t>
      </w:r>
      <w:r>
        <w:rPr>
          <w:rFonts w:hint="default" w:ascii="Times New Roman" w:hAnsi="Times New Roman" w:eastAsia="宋体" w:cs="Times New Roman"/>
          <w:color w:val="auto"/>
          <w:sz w:val="24"/>
          <w:highlight w:val="none"/>
        </w:rPr>
        <w:t>。</w:t>
      </w:r>
    </w:p>
    <w:p>
      <w:pPr>
        <w:pageBreakBefore w:val="0"/>
        <w:wordWrap/>
        <w:bidi w:val="0"/>
        <w:adjustRightInd w:val="0"/>
        <w:snapToGrid w:val="0"/>
        <w:spacing w:line="360" w:lineRule="auto"/>
        <w:ind w:left="0" w:leftChars="0" w:right="0" w:rightChars="0" w:firstLine="480" w:firstLineChars="200"/>
        <w:outlineLvl w:val="1"/>
        <w:rPr>
          <w:rFonts w:hint="default" w:ascii="Times New Roman" w:hAnsi="Times New Roman" w:eastAsia="宋体" w:cs="Times New Roman"/>
          <w:color w:val="auto"/>
          <w:sz w:val="24"/>
          <w:highlight w:val="none"/>
        </w:rPr>
      </w:pPr>
      <w:bookmarkStart w:id="1245" w:name="_Toc27436"/>
      <w:bookmarkStart w:id="1246" w:name="_Toc4613"/>
      <w:bookmarkStart w:id="1247" w:name="_Toc32445_WPSOffice_Level3"/>
      <w:r>
        <w:rPr>
          <w:rFonts w:hint="default" w:ascii="Times New Roman" w:hAnsi="Times New Roman" w:eastAsia="宋体" w:cs="Times New Roman"/>
          <w:color w:val="auto"/>
          <w:sz w:val="24"/>
          <w:highlight w:val="none"/>
        </w:rPr>
        <w:t>3、各断面最大流量</w:t>
      </w:r>
      <w:bookmarkEnd w:id="1245"/>
      <w:bookmarkEnd w:id="1246"/>
      <w:bookmarkEnd w:id="1247"/>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溃坝洪水向下游演进</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各断面的最大流量根据实验公式为</w:t>
      </w:r>
      <w:r>
        <w:rPr>
          <w:rFonts w:hint="default" w:ascii="Times New Roman" w:hAnsi="Times New Roman" w:eastAsia="宋体" w:cs="Times New Roman"/>
          <w:color w:val="auto"/>
          <w:sz w:val="24"/>
          <w:highlight w:val="none"/>
          <w:lang w:eastAsia="zh-CN"/>
        </w:rPr>
        <w:t>：</w:t>
      </w:r>
    </w:p>
    <w:p>
      <w:pPr>
        <w:pageBreakBefore w:val="0"/>
        <w:wordWrap/>
        <w:bidi w:val="0"/>
        <w:adjustRightInd w:val="0"/>
        <w:snapToGrid w:val="0"/>
        <w:spacing w:line="360" w:lineRule="auto"/>
        <w:ind w:left="0" w:leftChars="0" w:right="0" w:rightChars="0" w:firstLine="480" w:firstLineChars="200"/>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drawing>
          <wp:inline distT="0" distB="0" distL="0" distR="0">
            <wp:extent cx="2438400" cy="243840"/>
            <wp:effectExtent l="0" t="0" r="0" b="0"/>
            <wp:docPr id="29"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a:xfrm>
                      <a:off x="0" y="0"/>
                      <a:ext cx="2438400" cy="243840"/>
                    </a:xfrm>
                    <a:prstGeom prst="rect">
                      <a:avLst/>
                    </a:prstGeom>
                    <a:noFill/>
                    <a:ln>
                      <a:noFill/>
                    </a:ln>
                  </pic:spPr>
                </pic:pic>
              </a:graphicData>
            </a:graphic>
          </wp:inline>
        </w:drawing>
      </w:r>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式中Q</w:t>
      </w:r>
      <w:r>
        <w:rPr>
          <w:rFonts w:hint="default" w:ascii="Times New Roman" w:hAnsi="Times New Roman" w:eastAsia="宋体" w:cs="Times New Roman"/>
          <w:color w:val="auto"/>
          <w:sz w:val="24"/>
          <w:highlight w:val="none"/>
          <w:vertAlign w:val="subscript"/>
        </w:rPr>
        <w:t>L</w:t>
      </w:r>
      <w:r>
        <w:rPr>
          <w:rFonts w:hint="default" w:ascii="Times New Roman" w:hAnsi="Times New Roman" w:eastAsia="宋体" w:cs="Times New Roman"/>
          <w:color w:val="auto"/>
          <w:sz w:val="24"/>
          <w:highlight w:val="none"/>
        </w:rPr>
        <w:t>—当溃坝最大流量演进至距坝址为L处时</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在该处出现的最大流量</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/s；</w:t>
      </w:r>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W—尾矿库溃坝时的库容（m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本项目为</w:t>
      </w:r>
      <w:r>
        <w:rPr>
          <w:rFonts w:hint="default" w:ascii="Times New Roman" w:hAnsi="Times New Roman" w:eastAsia="宋体" w:cs="Times New Roman"/>
          <w:color w:val="auto"/>
          <w:sz w:val="24"/>
          <w:highlight w:val="none"/>
          <w:lang w:eastAsia="zh-CN"/>
        </w:rPr>
        <w:t>166.078</w:t>
      </w:r>
      <w:r>
        <w:rPr>
          <w:rFonts w:hint="default" w:ascii="Times New Roman" w:hAnsi="Times New Roman" w:eastAsia="宋体" w:cs="Times New Roman"/>
          <w:color w:val="auto"/>
          <w:sz w:val="24"/>
          <w:highlight w:val="none"/>
        </w:rPr>
        <w:t>万m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w:t>
      </w:r>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Q</w:t>
      </w:r>
      <w:r>
        <w:rPr>
          <w:rFonts w:hint="default" w:ascii="Times New Roman" w:hAnsi="Times New Roman" w:eastAsia="宋体" w:cs="Times New Roman"/>
          <w:color w:val="auto"/>
          <w:sz w:val="24"/>
          <w:highlight w:val="none"/>
          <w:vertAlign w:val="subscript"/>
        </w:rPr>
        <w:t>max</w:t>
      </w:r>
      <w:r>
        <w:rPr>
          <w:rFonts w:hint="default" w:ascii="Times New Roman" w:hAnsi="Times New Roman" w:eastAsia="宋体" w:cs="Times New Roman"/>
          <w:color w:val="auto"/>
          <w:sz w:val="24"/>
          <w:highlight w:val="none"/>
        </w:rPr>
        <w:t>—坝址处的溃坝最大流量</w:t>
      </w:r>
      <w:r>
        <w:rPr>
          <w:rFonts w:hint="default" w:ascii="Times New Roman" w:hAnsi="Times New Roman" w:eastAsia="宋体" w:cs="Times New Roman"/>
          <w:color w:val="auto"/>
          <w:sz w:val="24"/>
          <w:highlight w:val="none"/>
          <w:lang w:eastAsia="zh-CN"/>
        </w:rPr>
        <w:t>，1656.5</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/s；</w:t>
      </w:r>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bookmarkStart w:id="1248" w:name="_Toc16344_WPSOffice_Level3"/>
      <w:bookmarkStart w:id="1249" w:name="_Toc23095_WPSOffice_Level2"/>
      <w:r>
        <w:rPr>
          <w:rFonts w:hint="default" w:ascii="Times New Roman" w:hAnsi="Times New Roman" w:eastAsia="宋体" w:cs="Times New Roman"/>
          <w:color w:val="auto"/>
          <w:sz w:val="24"/>
          <w:highlight w:val="none"/>
        </w:rPr>
        <w:t>L—距坝址处</w:t>
      </w:r>
      <w:r>
        <w:rPr>
          <w:rFonts w:hint="default" w:ascii="Times New Roman" w:hAnsi="Times New Roman" w:eastAsia="宋体" w:cs="Times New Roman"/>
          <w:color w:val="auto"/>
          <w:sz w:val="24"/>
          <w:highlight w:val="none"/>
          <w:lang w:eastAsia="zh-CN"/>
        </w:rPr>
        <w:t>的</w:t>
      </w:r>
      <w:r>
        <w:rPr>
          <w:rFonts w:hint="default" w:ascii="Times New Roman" w:hAnsi="Times New Roman" w:eastAsia="宋体" w:cs="Times New Roman"/>
          <w:color w:val="auto"/>
          <w:sz w:val="24"/>
          <w:highlight w:val="none"/>
        </w:rPr>
        <w:t>距离</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m；</w:t>
      </w:r>
      <w:bookmarkEnd w:id="1248"/>
      <w:bookmarkEnd w:id="1249"/>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Vmax—河道洪水期断面最大平均流速</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在有资料地区V</w:t>
      </w:r>
      <w:r>
        <w:rPr>
          <w:rFonts w:hint="default" w:ascii="Times New Roman" w:hAnsi="Times New Roman" w:eastAsia="宋体" w:cs="Times New Roman"/>
          <w:color w:val="auto"/>
          <w:sz w:val="24"/>
          <w:highlight w:val="none"/>
          <w:vertAlign w:val="subscript"/>
        </w:rPr>
        <w:t>max</w:t>
      </w:r>
      <w:r>
        <w:rPr>
          <w:rFonts w:hint="default" w:ascii="Times New Roman" w:hAnsi="Times New Roman" w:eastAsia="宋体" w:cs="Times New Roman"/>
          <w:color w:val="auto"/>
          <w:sz w:val="24"/>
          <w:highlight w:val="none"/>
        </w:rPr>
        <w:t>可采用历史上的最大值</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如无资料一般山区可采用3.0-5.0m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/s；半山区可用2.0-3.0m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/s；平原区可采用1.0-2.0m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/s；本次取3.0m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/s；</w:t>
      </w:r>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K—经验系数</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山区K=1.1-1.5</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半山区K=1.0</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平原区K=0.8-0.9。本次取1.3。</w:t>
      </w:r>
    </w:p>
    <w:p>
      <w:pPr>
        <w:pageBreakBefore w:val="0"/>
        <w:wordWrap/>
        <w:bidi w:val="0"/>
        <w:adjustRightInd w:val="0"/>
        <w:snapToGrid w:val="0"/>
        <w:spacing w:line="360" w:lineRule="auto"/>
        <w:ind w:left="0" w:leftChars="0" w:right="0" w:rightChars="0" w:firstLine="480" w:firstLineChars="200"/>
        <w:outlineLvl w:val="1"/>
        <w:rPr>
          <w:rFonts w:hint="default" w:ascii="Times New Roman" w:hAnsi="Times New Roman" w:eastAsia="宋体" w:cs="Times New Roman"/>
          <w:color w:val="auto"/>
          <w:sz w:val="24"/>
          <w:highlight w:val="none"/>
        </w:rPr>
      </w:pPr>
      <w:bookmarkStart w:id="1250" w:name="_Toc12217"/>
      <w:bookmarkStart w:id="1251" w:name="_Toc21640"/>
      <w:bookmarkStart w:id="1252" w:name="_Toc860_WPSOffice_Level3"/>
      <w:bookmarkStart w:id="1253" w:name="_Toc22693_WPSOffice_Level3"/>
      <w:r>
        <w:rPr>
          <w:rFonts w:hint="default" w:ascii="Times New Roman" w:hAnsi="Times New Roman" w:eastAsia="宋体" w:cs="Times New Roman"/>
          <w:color w:val="auto"/>
          <w:sz w:val="24"/>
          <w:highlight w:val="none"/>
        </w:rPr>
        <w:t>4、传播时间</w:t>
      </w:r>
      <w:bookmarkEnd w:id="1250"/>
      <w:bookmarkEnd w:id="1251"/>
      <w:bookmarkEnd w:id="1252"/>
      <w:bookmarkEnd w:id="1253"/>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尾矿库溃坝尾矿砂流到达时间估算公式</w:t>
      </w:r>
      <w:r>
        <w:rPr>
          <w:rFonts w:hint="default" w:ascii="Times New Roman" w:hAnsi="Times New Roman" w:eastAsia="宋体" w:cs="Times New Roman"/>
          <w:color w:val="auto"/>
          <w:sz w:val="24"/>
          <w:highlight w:val="none"/>
          <w:lang w:eastAsia="zh-CN"/>
        </w:rPr>
        <w:t>：</w:t>
      </w:r>
    </w:p>
    <w:p>
      <w:pPr>
        <w:pageBreakBefore w:val="0"/>
        <w:wordWrap/>
        <w:bidi w:val="0"/>
        <w:snapToGrid w:val="0"/>
        <w:spacing w:line="360" w:lineRule="auto"/>
        <w:ind w:left="0" w:leftChars="0" w:right="0" w:rightChars="0" w:firstLine="480" w:firstLineChars="200"/>
        <w:jc w:val="center"/>
        <w:outlineLvl w:val="2"/>
        <w:rPr>
          <w:rFonts w:hint="default" w:ascii="Times New Roman" w:hAnsi="Times New Roman" w:eastAsia="宋体" w:cs="Times New Roman"/>
          <w:color w:val="auto"/>
          <w:sz w:val="24"/>
          <w:highlight w:val="none"/>
          <w:vertAlign w:val="superscript"/>
        </w:rPr>
      </w:pPr>
      <w:bookmarkStart w:id="1254" w:name="_Toc25560"/>
      <w:bookmarkStart w:id="1255" w:name="_Toc37846900"/>
      <w:bookmarkStart w:id="1256" w:name="_Toc5517"/>
      <w:bookmarkStart w:id="1257" w:name="_Toc64559123"/>
      <w:bookmarkStart w:id="1258" w:name="_Toc64558935"/>
      <w:bookmarkStart w:id="1259" w:name="_Toc18082"/>
      <w:bookmarkStart w:id="1260" w:name="_Toc37315976"/>
      <w:bookmarkStart w:id="1261" w:name="_Toc62488441"/>
      <w:bookmarkStart w:id="1262" w:name="_Toc72851011"/>
      <w:bookmarkStart w:id="1263" w:name="_Toc7356"/>
      <w:bookmarkStart w:id="1264" w:name="_Toc37595498"/>
      <w:bookmarkStart w:id="1265" w:name="_Toc73719310"/>
      <w:bookmarkStart w:id="1266" w:name="_Toc38557793"/>
      <w:bookmarkStart w:id="1267" w:name="_Toc30628"/>
      <w:bookmarkStart w:id="1268" w:name="_Toc3037"/>
      <w:bookmarkStart w:id="1269" w:name="_Toc26213_WPSOffice_Level2"/>
      <w:bookmarkStart w:id="1270" w:name="_Toc4931"/>
      <w:r>
        <w:rPr>
          <w:rFonts w:hint="default" w:ascii="Times New Roman" w:hAnsi="Times New Roman" w:eastAsia="宋体" w:cs="Times New Roman"/>
          <w:color w:val="auto"/>
          <w:sz w:val="24"/>
          <w:highlight w:val="none"/>
        </w:rPr>
        <w:t>T=K</w:t>
      </w:r>
      <w:r>
        <w:rPr>
          <w:rFonts w:hint="default" w:ascii="Times New Roman" w:hAnsi="Times New Roman" w:eastAsia="宋体" w:cs="Times New Roman"/>
          <w:color w:val="auto"/>
          <w:sz w:val="24"/>
          <w:highlight w:val="none"/>
          <w:vertAlign w:val="subscript"/>
        </w:rPr>
        <w:t>1</w:t>
      </w:r>
      <w:r>
        <w:rPr>
          <w:rFonts w:hint="default" w:ascii="Times New Roman" w:hAnsi="Times New Roman" w:eastAsia="宋体" w:cs="Times New Roman"/>
          <w:color w:val="auto"/>
          <w:sz w:val="24"/>
          <w:highlight w:val="none"/>
        </w:rPr>
        <w:t>*L</w:t>
      </w:r>
      <w:r>
        <w:rPr>
          <w:rFonts w:hint="default" w:ascii="Times New Roman" w:hAnsi="Times New Roman" w:eastAsia="宋体" w:cs="Times New Roman"/>
          <w:color w:val="auto"/>
          <w:sz w:val="24"/>
          <w:highlight w:val="none"/>
          <w:vertAlign w:val="superscript"/>
        </w:rPr>
        <w:t>1.75*</w:t>
      </w:r>
      <w:r>
        <w:rPr>
          <w:rFonts w:hint="default" w:ascii="Times New Roman" w:hAnsi="Times New Roman" w:eastAsia="宋体" w:cs="Times New Roman"/>
          <w:color w:val="auto"/>
          <w:sz w:val="24"/>
          <w:highlight w:val="none"/>
        </w:rPr>
        <w:t>10</w:t>
      </w:r>
      <w:r>
        <w:rPr>
          <w:rFonts w:hint="default" w:ascii="Times New Roman" w:hAnsi="Times New Roman" w:eastAsia="宋体" w:cs="Times New Roman"/>
          <w:color w:val="auto"/>
          <w:sz w:val="24"/>
          <w:highlight w:val="none"/>
          <w:vertAlign w:val="superscript"/>
        </w:rPr>
        <w:t>1.3</w:t>
      </w:r>
      <w:r>
        <w:rPr>
          <w:rFonts w:hint="default" w:ascii="Times New Roman" w:hAnsi="Times New Roman" w:eastAsia="宋体" w:cs="Times New Roman"/>
          <w:color w:val="auto"/>
          <w:sz w:val="24"/>
          <w:highlight w:val="none"/>
        </w:rPr>
        <w:t>/W</w:t>
      </w:r>
      <w:r>
        <w:rPr>
          <w:rFonts w:hint="default" w:ascii="Times New Roman" w:hAnsi="Times New Roman" w:eastAsia="宋体" w:cs="Times New Roman"/>
          <w:color w:val="auto"/>
          <w:sz w:val="24"/>
          <w:highlight w:val="none"/>
          <w:vertAlign w:val="superscript"/>
        </w:rPr>
        <w:t>0.2</w:t>
      </w:r>
      <w:r>
        <w:rPr>
          <w:rFonts w:hint="default" w:ascii="Times New Roman" w:hAnsi="Times New Roman" w:eastAsia="宋体" w:cs="Times New Roman"/>
          <w:color w:val="auto"/>
          <w:sz w:val="24"/>
          <w:highlight w:val="none"/>
        </w:rPr>
        <w:t>H</w:t>
      </w:r>
      <w:r>
        <w:rPr>
          <w:rFonts w:hint="default" w:ascii="Times New Roman" w:hAnsi="Times New Roman" w:eastAsia="宋体" w:cs="Times New Roman"/>
          <w:color w:val="auto"/>
          <w:sz w:val="24"/>
          <w:highlight w:val="none"/>
          <w:vertAlign w:val="subscript"/>
        </w:rPr>
        <w:t>0</w:t>
      </w:r>
      <w:r>
        <w:rPr>
          <w:rFonts w:hint="default" w:ascii="Times New Roman" w:hAnsi="Times New Roman" w:eastAsia="宋体" w:cs="Times New Roman"/>
          <w:color w:val="auto"/>
          <w:sz w:val="24"/>
          <w:highlight w:val="none"/>
          <w:vertAlign w:val="superscript"/>
        </w:rPr>
        <w:t>0.35</w:t>
      </w:r>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式中</w:t>
      </w:r>
      <w:r>
        <w:rPr>
          <w:rFonts w:hint="default" w:ascii="Times New Roman" w:hAnsi="Times New Roman" w:eastAsia="宋体" w:cs="Times New Roman"/>
          <w:color w:val="auto"/>
          <w:sz w:val="24"/>
          <w:highlight w:val="none"/>
          <w:lang w:eastAsia="zh-CN"/>
        </w:rPr>
        <w:t>：</w:t>
      </w:r>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bookmarkStart w:id="1271" w:name="_Toc11857_WPSOffice_Level2"/>
      <w:bookmarkStart w:id="1272" w:name="_Toc1741_WPSOffice_Level2"/>
      <w:bookmarkStart w:id="1273" w:name="_Toc9437_WPSOffice_Level3"/>
      <w:bookmarkStart w:id="1274" w:name="_Toc11849_WPSOffice_Level3"/>
      <w:bookmarkStart w:id="1275" w:name="_Toc2024_WPSOffice_Level3"/>
      <w:r>
        <w:rPr>
          <w:rFonts w:hint="default" w:ascii="Times New Roman" w:hAnsi="Times New Roman" w:eastAsia="宋体" w:cs="Times New Roman"/>
          <w:color w:val="auto"/>
          <w:sz w:val="24"/>
          <w:highlight w:val="none"/>
        </w:rPr>
        <w:t>K</w:t>
      </w:r>
      <w:r>
        <w:rPr>
          <w:rFonts w:hint="default" w:ascii="Times New Roman" w:hAnsi="Times New Roman" w:eastAsia="宋体" w:cs="Times New Roman"/>
          <w:color w:val="auto"/>
          <w:sz w:val="24"/>
          <w:highlight w:val="none"/>
          <w:vertAlign w:val="subscript"/>
        </w:rPr>
        <w:t>1</w:t>
      </w:r>
      <w:r>
        <w:rPr>
          <w:rFonts w:hint="default" w:ascii="Times New Roman" w:hAnsi="Times New Roman" w:eastAsia="宋体" w:cs="Times New Roman"/>
          <w:color w:val="auto"/>
          <w:sz w:val="24"/>
          <w:highlight w:val="none"/>
        </w:rPr>
        <w:t>为相关系数</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取值0.7×10</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w:t>
      </w:r>
      <w:bookmarkEnd w:id="1271"/>
      <w:bookmarkEnd w:id="1272"/>
      <w:bookmarkEnd w:id="1273"/>
      <w:bookmarkEnd w:id="1274"/>
      <w:bookmarkEnd w:id="1275"/>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L—距坝址处</w:t>
      </w:r>
      <w:r>
        <w:rPr>
          <w:rFonts w:hint="default" w:ascii="Times New Roman" w:hAnsi="Times New Roman" w:eastAsia="宋体" w:cs="Times New Roman"/>
          <w:color w:val="auto"/>
          <w:sz w:val="24"/>
          <w:highlight w:val="none"/>
          <w:lang w:eastAsia="zh-CN"/>
        </w:rPr>
        <w:t>的</w:t>
      </w:r>
      <w:r>
        <w:rPr>
          <w:rFonts w:hint="default" w:ascii="Times New Roman" w:hAnsi="Times New Roman" w:eastAsia="宋体" w:cs="Times New Roman"/>
          <w:color w:val="auto"/>
          <w:sz w:val="24"/>
          <w:highlight w:val="none"/>
        </w:rPr>
        <w:t>距离</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m；</w:t>
      </w:r>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bookmarkStart w:id="1276" w:name="_Toc17437_WPSOffice_Level3"/>
      <w:bookmarkStart w:id="1277" w:name="_Toc5082_WPSOffice_Level3"/>
      <w:bookmarkStart w:id="1278" w:name="_Toc7719_WPSOffice_Level3"/>
      <w:r>
        <w:rPr>
          <w:rFonts w:hint="default" w:ascii="Times New Roman" w:hAnsi="Times New Roman" w:eastAsia="宋体" w:cs="Times New Roman"/>
          <w:color w:val="auto"/>
          <w:sz w:val="24"/>
          <w:highlight w:val="none"/>
        </w:rPr>
        <w:t>W—</w:t>
      </w:r>
      <w:bookmarkEnd w:id="1276"/>
      <w:bookmarkEnd w:id="1277"/>
      <w:bookmarkEnd w:id="1278"/>
      <w:r>
        <w:rPr>
          <w:rFonts w:hint="default" w:ascii="Times New Roman" w:hAnsi="Times New Roman" w:eastAsia="宋体" w:cs="Times New Roman"/>
          <w:color w:val="auto"/>
          <w:sz w:val="24"/>
          <w:highlight w:val="none"/>
        </w:rPr>
        <w:t>尾矿库溃坝时的库容（m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本项目为</w:t>
      </w:r>
      <w:r>
        <w:rPr>
          <w:rFonts w:hint="default" w:ascii="Times New Roman" w:hAnsi="Times New Roman" w:eastAsia="宋体" w:cs="Times New Roman"/>
          <w:color w:val="auto"/>
          <w:sz w:val="24"/>
          <w:highlight w:val="none"/>
          <w:lang w:eastAsia="zh-CN"/>
        </w:rPr>
        <w:t>166.078</w:t>
      </w:r>
      <w:r>
        <w:rPr>
          <w:rFonts w:hint="default" w:ascii="Times New Roman" w:hAnsi="Times New Roman" w:eastAsia="宋体" w:cs="Times New Roman"/>
          <w:color w:val="auto"/>
          <w:sz w:val="24"/>
          <w:highlight w:val="none"/>
        </w:rPr>
        <w:t>万m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rPr>
        <w:t>；</w:t>
      </w:r>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H</w:t>
      </w:r>
      <w:r>
        <w:rPr>
          <w:rFonts w:hint="default" w:ascii="Times New Roman" w:hAnsi="Times New Roman" w:eastAsia="宋体" w:cs="Times New Roman"/>
          <w:color w:val="auto"/>
          <w:sz w:val="24"/>
          <w:highlight w:val="none"/>
          <w:vertAlign w:val="subscript"/>
        </w:rPr>
        <w:t>0</w:t>
      </w:r>
      <w:r>
        <w:rPr>
          <w:rFonts w:hint="default" w:ascii="Times New Roman" w:hAnsi="Times New Roman" w:eastAsia="宋体" w:cs="Times New Roman"/>
          <w:color w:val="auto"/>
          <w:sz w:val="24"/>
          <w:highlight w:val="none"/>
        </w:rPr>
        <w:t>—溃坝时坝前水深</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m。取值12.5m。</w:t>
      </w:r>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color w:val="auto"/>
          <w:sz w:val="24"/>
          <w:highlight w:val="none"/>
        </w:rPr>
        <w:t>根据以上公式</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计算尾矿库溃坝后砂流情况如下表</w:t>
      </w:r>
      <w:r>
        <w:rPr>
          <w:rFonts w:hint="default" w:ascii="Times New Roman" w:hAnsi="Times New Roman" w:eastAsia="宋体" w:cs="Times New Roman"/>
          <w:color w:val="auto"/>
          <w:sz w:val="24"/>
          <w:highlight w:val="none"/>
          <w:lang w:eastAsia="zh-CN"/>
        </w:rPr>
        <w:t>：</w:t>
      </w:r>
    </w:p>
    <w:p>
      <w:pPr>
        <w:pageBreakBefore w:val="0"/>
        <w:tabs>
          <w:tab w:val="left" w:pos="3062"/>
        </w:tabs>
        <w:wordWrap/>
        <w:bidi w:val="0"/>
        <w:spacing w:line="360" w:lineRule="auto"/>
        <w:ind w:left="0" w:leftChars="0" w:right="0" w:rightChars="0"/>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表8-12溃坝后砂流情况预测表</w:t>
      </w:r>
    </w:p>
    <w:tbl>
      <w:tblPr>
        <w:tblStyle w:val="54"/>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15" w:type="dxa"/>
          <w:left w:w="15" w:type="dxa"/>
          <w:bottom w:w="15" w:type="dxa"/>
          <w:right w:w="15" w:type="dxa"/>
        </w:tblCellMar>
      </w:tblPr>
      <w:tblGrid>
        <w:gridCol w:w="2058"/>
        <w:gridCol w:w="2717"/>
        <w:gridCol w:w="3561"/>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2050" w:type="dxa"/>
            <w:tcBorders>
              <w:top w:val="single" w:color="auto" w:sz="4" w:space="0"/>
              <w:left w:val="single" w:color="auto" w:sz="4" w:space="0"/>
              <w:bottom w:val="single" w:color="auto" w:sz="4" w:space="0"/>
              <w:right w:val="single" w:color="auto" w:sz="4" w:space="0"/>
            </w:tcBorders>
            <w:vAlign w:val="center"/>
          </w:tcPr>
          <w:p>
            <w:pPr>
              <w:pageBreakBefore w:val="0"/>
              <w:widowControl/>
              <w:wordWrap/>
              <w:bidi w:val="0"/>
              <w:adjustRightInd w:val="0"/>
              <w:snapToGrid w:val="0"/>
              <w:spacing w:line="240" w:lineRule="auto"/>
              <w:ind w:left="0" w:leftChars="0" w:right="0" w:rightChars="0"/>
              <w:jc w:val="center"/>
              <w:textAlignment w:val="top"/>
              <w:rPr>
                <w:rFonts w:hint="default" w:ascii="Times New Roman" w:hAnsi="Times New Roman" w:eastAsia="宋体" w:cs="Times New Roman"/>
                <w:b/>
                <w:color w:val="auto"/>
                <w:szCs w:val="21"/>
                <w:highlight w:val="none"/>
                <w:lang w:eastAsia="zh-CN"/>
              </w:rPr>
            </w:pPr>
            <w:r>
              <w:rPr>
                <w:rFonts w:hint="default" w:ascii="Times New Roman" w:hAnsi="Times New Roman" w:eastAsia="宋体" w:cs="Times New Roman"/>
                <w:b/>
                <w:color w:val="auto"/>
                <w:kern w:val="0"/>
                <w:szCs w:val="21"/>
                <w:highlight w:val="none"/>
              </w:rPr>
              <w:t>距离L</w:t>
            </w:r>
            <w:r>
              <w:rPr>
                <w:rFonts w:hint="default" w:ascii="Times New Roman" w:hAnsi="Times New Roman" w:eastAsia="宋体" w:cs="Times New Roman"/>
                <w:b/>
                <w:color w:val="auto"/>
                <w:szCs w:val="21"/>
                <w:highlight w:val="none"/>
              </w:rPr>
              <w:t>（m</w:t>
            </w:r>
            <w:r>
              <w:rPr>
                <w:rFonts w:hint="default" w:ascii="Times New Roman" w:hAnsi="Times New Roman" w:eastAsia="宋体" w:cs="Times New Roman"/>
                <w:b/>
                <w:color w:val="auto"/>
                <w:szCs w:val="21"/>
                <w:highlight w:val="none"/>
                <w:lang w:eastAsia="zh-CN"/>
              </w:rPr>
              <w:t>）</w:t>
            </w:r>
          </w:p>
        </w:tc>
        <w:tc>
          <w:tcPr>
            <w:tcW w:w="2705" w:type="dxa"/>
            <w:tcBorders>
              <w:top w:val="single" w:color="auto" w:sz="4" w:space="0"/>
              <w:left w:val="single" w:color="auto" w:sz="4" w:space="0"/>
              <w:bottom w:val="single" w:color="auto" w:sz="4" w:space="0"/>
              <w:right w:val="single" w:color="auto" w:sz="4" w:space="0"/>
            </w:tcBorders>
            <w:vAlign w:val="center"/>
          </w:tcPr>
          <w:p>
            <w:pPr>
              <w:pageBreakBefore w:val="0"/>
              <w:widowControl/>
              <w:wordWrap/>
              <w:bidi w:val="0"/>
              <w:adjustRightInd w:val="0"/>
              <w:snapToGrid w:val="0"/>
              <w:spacing w:line="240" w:lineRule="auto"/>
              <w:ind w:left="0" w:leftChars="0" w:right="0" w:rightChars="0"/>
              <w:jc w:val="center"/>
              <w:textAlignment w:val="top"/>
              <w:rPr>
                <w:rFonts w:hint="default" w:ascii="Times New Roman" w:hAnsi="Times New Roman" w:eastAsia="宋体" w:cs="Times New Roman"/>
                <w:b/>
                <w:color w:val="auto"/>
                <w:szCs w:val="21"/>
                <w:highlight w:val="none"/>
                <w:lang w:eastAsia="zh-CN"/>
              </w:rPr>
            </w:pPr>
            <w:r>
              <w:rPr>
                <w:rFonts w:hint="default" w:ascii="Times New Roman" w:hAnsi="Times New Roman" w:eastAsia="宋体" w:cs="Times New Roman"/>
                <w:b/>
                <w:color w:val="auto"/>
                <w:kern w:val="0"/>
                <w:szCs w:val="21"/>
                <w:highlight w:val="none"/>
              </w:rPr>
              <w:t>Q</w:t>
            </w:r>
            <w:r>
              <w:rPr>
                <w:rFonts w:hint="default" w:ascii="Times New Roman" w:hAnsi="Times New Roman" w:eastAsia="宋体" w:cs="Times New Roman"/>
                <w:b/>
                <w:color w:val="auto"/>
                <w:szCs w:val="21"/>
                <w:highlight w:val="none"/>
                <w:vertAlign w:val="subscript"/>
              </w:rPr>
              <w:t>L</w:t>
            </w:r>
            <w:r>
              <w:rPr>
                <w:rFonts w:hint="default" w:ascii="Times New Roman" w:hAnsi="Times New Roman" w:eastAsia="宋体" w:cs="Times New Roman"/>
                <w:b/>
                <w:color w:val="auto"/>
                <w:szCs w:val="21"/>
                <w:highlight w:val="none"/>
              </w:rPr>
              <w:t>（m</w:t>
            </w:r>
            <w:r>
              <w:rPr>
                <w:rStyle w:val="193"/>
                <w:rFonts w:hint="default" w:ascii="Times New Roman" w:hAnsi="Times New Roman" w:eastAsia="宋体" w:cs="Times New Roman"/>
                <w:b/>
                <w:color w:val="auto"/>
                <w:sz w:val="21"/>
                <w:szCs w:val="21"/>
                <w:highlight w:val="none"/>
                <w:vertAlign w:val="superscript"/>
              </w:rPr>
              <w:t>3</w:t>
            </w:r>
            <w:r>
              <w:rPr>
                <w:rFonts w:hint="default" w:ascii="Times New Roman" w:hAnsi="Times New Roman" w:eastAsia="宋体" w:cs="Times New Roman"/>
                <w:b/>
                <w:color w:val="auto"/>
                <w:szCs w:val="21"/>
                <w:highlight w:val="none"/>
              </w:rPr>
              <w:t>/s</w:t>
            </w:r>
            <w:r>
              <w:rPr>
                <w:rFonts w:hint="default" w:ascii="Times New Roman" w:hAnsi="Times New Roman" w:eastAsia="宋体" w:cs="Times New Roman"/>
                <w:b/>
                <w:color w:val="auto"/>
                <w:szCs w:val="21"/>
                <w:highlight w:val="none"/>
                <w:lang w:eastAsia="zh-CN"/>
              </w:rPr>
              <w:t>）</w:t>
            </w:r>
          </w:p>
        </w:tc>
        <w:tc>
          <w:tcPr>
            <w:tcW w:w="3546" w:type="dxa"/>
            <w:tcBorders>
              <w:top w:val="single" w:color="auto" w:sz="4" w:space="0"/>
              <w:left w:val="single" w:color="auto" w:sz="4" w:space="0"/>
              <w:bottom w:val="single" w:color="auto" w:sz="4" w:space="0"/>
              <w:right w:val="single" w:color="auto" w:sz="4" w:space="0"/>
            </w:tcBorders>
            <w:vAlign w:val="center"/>
          </w:tcPr>
          <w:p>
            <w:pPr>
              <w:pageBreakBefore w:val="0"/>
              <w:widowControl/>
              <w:wordWrap/>
              <w:bidi w:val="0"/>
              <w:adjustRightInd w:val="0"/>
              <w:snapToGrid w:val="0"/>
              <w:spacing w:line="240" w:lineRule="auto"/>
              <w:ind w:left="0" w:leftChars="0" w:right="0" w:rightChars="0"/>
              <w:jc w:val="center"/>
              <w:textAlignment w:val="top"/>
              <w:rPr>
                <w:rFonts w:hint="default" w:ascii="Times New Roman" w:hAnsi="Times New Roman" w:eastAsia="宋体" w:cs="Times New Roman"/>
                <w:b/>
                <w:color w:val="auto"/>
                <w:szCs w:val="21"/>
                <w:highlight w:val="none"/>
                <w:lang w:eastAsia="zh-CN"/>
              </w:rPr>
            </w:pPr>
            <w:r>
              <w:rPr>
                <w:rFonts w:hint="default" w:ascii="Times New Roman" w:hAnsi="Times New Roman" w:eastAsia="宋体" w:cs="Times New Roman"/>
                <w:b/>
                <w:color w:val="auto"/>
                <w:kern w:val="0"/>
                <w:szCs w:val="21"/>
                <w:highlight w:val="none"/>
              </w:rPr>
              <w:t>到达时间（s</w:t>
            </w:r>
            <w:r>
              <w:rPr>
                <w:rFonts w:hint="default" w:ascii="Times New Roman" w:hAnsi="Times New Roman" w:eastAsia="宋体" w:cs="Times New Roman"/>
                <w:b/>
                <w:color w:val="auto"/>
                <w:szCs w:val="21"/>
                <w:highlight w:val="none"/>
                <w:lang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2050" w:type="dxa"/>
            <w:tcBorders>
              <w:top w:val="single" w:color="auto" w:sz="4" w:space="0"/>
              <w:left w:val="single" w:color="auto" w:sz="4" w:space="0"/>
              <w:bottom w:val="single" w:color="auto" w:sz="4" w:space="0"/>
              <w:right w:val="single" w:color="auto" w:sz="4" w:space="0"/>
            </w:tcBorders>
            <w:vAlign w:val="center"/>
          </w:tcPr>
          <w:p>
            <w:pPr>
              <w:pageBreakBefore w:val="0"/>
              <w:widowControl/>
              <w:wordWrap/>
              <w:bidi w:val="0"/>
              <w:adjustRightInd w:val="0"/>
              <w:snapToGrid w:val="0"/>
              <w:spacing w:line="240" w:lineRule="auto"/>
              <w:ind w:left="0" w:leftChars="0" w:right="0" w:rightChars="0"/>
              <w:jc w:val="center"/>
              <w:textAlignment w:val="top"/>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kern w:val="0"/>
                <w:szCs w:val="21"/>
                <w:highlight w:val="none"/>
              </w:rPr>
              <w:t>50</w:t>
            </w:r>
          </w:p>
        </w:tc>
        <w:tc>
          <w:tcPr>
            <w:tcW w:w="2705" w:type="dxa"/>
            <w:tcBorders>
              <w:top w:val="single" w:color="auto" w:sz="4" w:space="0"/>
              <w:left w:val="single" w:color="auto" w:sz="4" w:space="0"/>
              <w:bottom w:val="single" w:color="auto" w:sz="4" w:space="0"/>
              <w:right w:val="single" w:color="auto" w:sz="4" w:space="0"/>
            </w:tcBorders>
            <w:vAlign w:val="center"/>
          </w:tcPr>
          <w:p>
            <w:pPr>
              <w:pageBreakBefore w:val="0"/>
              <w:widowControl/>
              <w:wordWrap/>
              <w:bidi w:val="0"/>
              <w:adjustRightInd w:val="0"/>
              <w:snapToGrid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Cs w:val="21"/>
                <w:highlight w:val="none"/>
              </w:rPr>
              <w:t>673.4</w:t>
            </w:r>
          </w:p>
        </w:tc>
        <w:tc>
          <w:tcPr>
            <w:tcW w:w="3546" w:type="dxa"/>
            <w:tcBorders>
              <w:top w:val="single" w:color="auto" w:sz="4" w:space="0"/>
              <w:left w:val="single" w:color="auto" w:sz="4" w:space="0"/>
              <w:bottom w:val="single" w:color="auto" w:sz="4" w:space="0"/>
              <w:right w:val="single" w:color="auto" w:sz="4" w:space="0"/>
            </w:tcBorders>
            <w:vAlign w:val="center"/>
          </w:tcPr>
          <w:p>
            <w:pPr>
              <w:pageBreakBefore w:val="0"/>
              <w:widowControl/>
              <w:wordWrap/>
              <w:bidi w:val="0"/>
              <w:adjustRightInd w:val="0"/>
              <w:snapToGrid w:val="0"/>
              <w:spacing w:line="240" w:lineRule="auto"/>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Cs w:val="21"/>
                <w:highlight w:val="none"/>
              </w:rPr>
              <w:t>15.1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2050" w:type="dxa"/>
            <w:tcBorders>
              <w:top w:val="single" w:color="auto" w:sz="4" w:space="0"/>
              <w:left w:val="single" w:color="auto" w:sz="4" w:space="0"/>
              <w:bottom w:val="single" w:color="auto" w:sz="4" w:space="0"/>
              <w:right w:val="single" w:color="auto" w:sz="4" w:space="0"/>
            </w:tcBorders>
            <w:vAlign w:val="center"/>
          </w:tcPr>
          <w:p>
            <w:pPr>
              <w:pageBreakBefore w:val="0"/>
              <w:widowControl/>
              <w:wordWrap/>
              <w:bidi w:val="0"/>
              <w:adjustRightInd w:val="0"/>
              <w:snapToGrid w:val="0"/>
              <w:spacing w:line="240" w:lineRule="auto"/>
              <w:ind w:left="0" w:leftChars="0" w:right="0" w:rightChars="0"/>
              <w:jc w:val="center"/>
              <w:textAlignment w:val="top"/>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kern w:val="0"/>
                <w:szCs w:val="21"/>
                <w:highlight w:val="none"/>
              </w:rPr>
              <w:t>100</w:t>
            </w:r>
          </w:p>
        </w:tc>
        <w:tc>
          <w:tcPr>
            <w:tcW w:w="2705" w:type="dxa"/>
            <w:tcBorders>
              <w:top w:val="single" w:color="auto" w:sz="4" w:space="0"/>
              <w:left w:val="single" w:color="auto" w:sz="4" w:space="0"/>
              <w:bottom w:val="single" w:color="auto" w:sz="4" w:space="0"/>
              <w:right w:val="single" w:color="auto" w:sz="4" w:space="0"/>
            </w:tcBorders>
            <w:vAlign w:val="center"/>
          </w:tcPr>
          <w:p>
            <w:pPr>
              <w:pageBreakBefore w:val="0"/>
              <w:widowControl/>
              <w:wordWrap/>
              <w:bidi w:val="0"/>
              <w:adjustRightInd w:val="0"/>
              <w:snapToGrid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369.65</w:t>
            </w:r>
          </w:p>
        </w:tc>
        <w:tc>
          <w:tcPr>
            <w:tcW w:w="3546" w:type="dxa"/>
            <w:tcBorders>
              <w:top w:val="single" w:color="auto" w:sz="4" w:space="0"/>
              <w:left w:val="single" w:color="auto" w:sz="4" w:space="0"/>
              <w:bottom w:val="single" w:color="auto" w:sz="4" w:space="0"/>
              <w:right w:val="single" w:color="auto" w:sz="4" w:space="0"/>
            </w:tcBorders>
            <w:vAlign w:val="center"/>
          </w:tcPr>
          <w:p>
            <w:pPr>
              <w:pageBreakBefore w:val="0"/>
              <w:widowControl/>
              <w:wordWrap/>
              <w:bidi w:val="0"/>
              <w:adjustRightInd w:val="0"/>
              <w:snapToGrid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61.43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2050" w:type="dxa"/>
            <w:tcBorders>
              <w:top w:val="single" w:color="auto" w:sz="4" w:space="0"/>
              <w:left w:val="single" w:color="auto" w:sz="4" w:space="0"/>
              <w:bottom w:val="single" w:color="auto" w:sz="4" w:space="0"/>
              <w:right w:val="single" w:color="auto" w:sz="4" w:space="0"/>
            </w:tcBorders>
            <w:vAlign w:val="center"/>
          </w:tcPr>
          <w:p>
            <w:pPr>
              <w:pageBreakBefore w:val="0"/>
              <w:widowControl/>
              <w:wordWrap/>
              <w:bidi w:val="0"/>
              <w:adjustRightInd w:val="0"/>
              <w:snapToGrid w:val="0"/>
              <w:spacing w:line="240" w:lineRule="auto"/>
              <w:ind w:left="0" w:leftChars="0" w:right="0" w:rightChars="0"/>
              <w:jc w:val="center"/>
              <w:textAlignment w:val="top"/>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kern w:val="0"/>
                <w:szCs w:val="21"/>
                <w:highlight w:val="none"/>
              </w:rPr>
              <w:t>500</w:t>
            </w:r>
          </w:p>
        </w:tc>
        <w:tc>
          <w:tcPr>
            <w:tcW w:w="2705" w:type="dxa"/>
            <w:tcBorders>
              <w:top w:val="single" w:color="auto" w:sz="4" w:space="0"/>
              <w:left w:val="single" w:color="auto" w:sz="4" w:space="0"/>
              <w:bottom w:val="single" w:color="auto" w:sz="4" w:space="0"/>
              <w:right w:val="single" w:color="auto" w:sz="4" w:space="0"/>
            </w:tcBorders>
            <w:vAlign w:val="center"/>
          </w:tcPr>
          <w:p>
            <w:pPr>
              <w:pageBreakBefore w:val="0"/>
              <w:widowControl/>
              <w:wordWrap/>
              <w:bidi w:val="0"/>
              <w:adjustRightInd w:val="0"/>
              <w:snapToGrid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80.21</w:t>
            </w:r>
          </w:p>
        </w:tc>
        <w:tc>
          <w:tcPr>
            <w:tcW w:w="3546" w:type="dxa"/>
            <w:tcBorders>
              <w:top w:val="single" w:color="auto" w:sz="4" w:space="0"/>
              <w:left w:val="single" w:color="auto" w:sz="4" w:space="0"/>
              <w:bottom w:val="single" w:color="auto" w:sz="4" w:space="0"/>
              <w:right w:val="single" w:color="auto" w:sz="4" w:space="0"/>
            </w:tcBorders>
            <w:vAlign w:val="center"/>
          </w:tcPr>
          <w:p>
            <w:pPr>
              <w:pageBreakBefore w:val="0"/>
              <w:widowControl/>
              <w:wordWrap/>
              <w:bidi w:val="0"/>
              <w:adjustRightInd w:val="0"/>
              <w:snapToGrid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212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2050" w:type="dxa"/>
            <w:tcBorders>
              <w:top w:val="single" w:color="auto" w:sz="4" w:space="0"/>
              <w:left w:val="single" w:color="auto" w:sz="4" w:space="0"/>
              <w:bottom w:val="single" w:color="auto" w:sz="4" w:space="0"/>
              <w:right w:val="single" w:color="auto" w:sz="4" w:space="0"/>
            </w:tcBorders>
            <w:vAlign w:val="center"/>
          </w:tcPr>
          <w:p>
            <w:pPr>
              <w:pageBreakBefore w:val="0"/>
              <w:widowControl/>
              <w:wordWrap/>
              <w:bidi w:val="0"/>
              <w:adjustRightInd w:val="0"/>
              <w:snapToGrid w:val="0"/>
              <w:spacing w:line="240" w:lineRule="auto"/>
              <w:ind w:left="0" w:leftChars="0" w:right="0" w:rightChars="0"/>
              <w:jc w:val="center"/>
              <w:textAlignment w:val="top"/>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1000</w:t>
            </w:r>
          </w:p>
        </w:tc>
        <w:tc>
          <w:tcPr>
            <w:tcW w:w="2705" w:type="dxa"/>
            <w:tcBorders>
              <w:top w:val="single" w:color="auto" w:sz="4" w:space="0"/>
              <w:left w:val="single" w:color="auto" w:sz="4" w:space="0"/>
              <w:bottom w:val="single" w:color="auto" w:sz="4" w:space="0"/>
              <w:right w:val="single" w:color="auto" w:sz="4" w:space="0"/>
            </w:tcBorders>
            <w:vAlign w:val="center"/>
          </w:tcPr>
          <w:p>
            <w:pPr>
              <w:pageBreakBefore w:val="0"/>
              <w:widowControl/>
              <w:wordWrap/>
              <w:bidi w:val="0"/>
              <w:adjustRightInd w:val="0"/>
              <w:snapToGrid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40.53</w:t>
            </w:r>
          </w:p>
        </w:tc>
        <w:tc>
          <w:tcPr>
            <w:tcW w:w="3546" w:type="dxa"/>
            <w:tcBorders>
              <w:top w:val="single" w:color="auto" w:sz="4" w:space="0"/>
              <w:left w:val="single" w:color="auto" w:sz="4" w:space="0"/>
              <w:bottom w:val="single" w:color="auto" w:sz="4" w:space="0"/>
              <w:right w:val="single" w:color="auto" w:sz="4" w:space="0"/>
            </w:tcBorders>
            <w:vAlign w:val="center"/>
          </w:tcPr>
          <w:p>
            <w:pPr>
              <w:pageBreakBefore w:val="0"/>
              <w:widowControl/>
              <w:wordWrap/>
              <w:bidi w:val="0"/>
              <w:adjustRightInd w:val="0"/>
              <w:snapToGrid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713.8</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2050" w:type="dxa"/>
            <w:tcBorders>
              <w:top w:val="single" w:color="auto" w:sz="4" w:space="0"/>
              <w:left w:val="single" w:color="auto" w:sz="4" w:space="0"/>
              <w:bottom w:val="single" w:color="auto" w:sz="4" w:space="0"/>
              <w:right w:val="single" w:color="auto" w:sz="4" w:space="0"/>
            </w:tcBorders>
            <w:vAlign w:val="center"/>
          </w:tcPr>
          <w:p>
            <w:pPr>
              <w:pageBreakBefore w:val="0"/>
              <w:widowControl/>
              <w:wordWrap/>
              <w:bidi w:val="0"/>
              <w:adjustRightInd w:val="0"/>
              <w:snapToGrid w:val="0"/>
              <w:spacing w:line="240" w:lineRule="auto"/>
              <w:ind w:left="0" w:leftChars="0" w:right="0" w:rightChars="0"/>
              <w:jc w:val="center"/>
              <w:textAlignment w:val="top"/>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kern w:val="0"/>
                <w:szCs w:val="21"/>
                <w:highlight w:val="none"/>
              </w:rPr>
              <w:t>2000</w:t>
            </w:r>
          </w:p>
        </w:tc>
        <w:tc>
          <w:tcPr>
            <w:tcW w:w="2705" w:type="dxa"/>
            <w:tcBorders>
              <w:top w:val="single" w:color="auto" w:sz="4" w:space="0"/>
              <w:left w:val="single" w:color="auto" w:sz="4" w:space="0"/>
              <w:bottom w:val="single" w:color="auto" w:sz="4" w:space="0"/>
              <w:right w:val="single" w:color="auto" w:sz="4" w:space="0"/>
            </w:tcBorders>
            <w:vAlign w:val="center"/>
          </w:tcPr>
          <w:p>
            <w:pPr>
              <w:pageBreakBefore w:val="0"/>
              <w:widowControl/>
              <w:wordWrap/>
              <w:bidi w:val="0"/>
              <w:adjustRightInd w:val="0"/>
              <w:snapToGrid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20.38</w:t>
            </w:r>
          </w:p>
        </w:tc>
        <w:tc>
          <w:tcPr>
            <w:tcW w:w="3546" w:type="dxa"/>
            <w:tcBorders>
              <w:top w:val="single" w:color="auto" w:sz="4" w:space="0"/>
              <w:left w:val="single" w:color="auto" w:sz="4" w:space="0"/>
              <w:bottom w:val="single" w:color="auto" w:sz="4" w:space="0"/>
              <w:right w:val="single" w:color="auto" w:sz="4" w:space="0"/>
            </w:tcBorders>
            <w:vAlign w:val="center"/>
          </w:tcPr>
          <w:p>
            <w:pPr>
              <w:pageBreakBefore w:val="0"/>
              <w:widowControl/>
              <w:wordWrap/>
              <w:bidi w:val="0"/>
              <w:adjustRightInd w:val="0"/>
              <w:snapToGrid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2400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2050" w:type="dxa"/>
            <w:tcBorders>
              <w:top w:val="single" w:color="auto" w:sz="4" w:space="0"/>
              <w:left w:val="single" w:color="auto" w:sz="4" w:space="0"/>
              <w:bottom w:val="single" w:color="auto" w:sz="4" w:space="0"/>
              <w:right w:val="single" w:color="auto" w:sz="4" w:space="0"/>
            </w:tcBorders>
            <w:vAlign w:val="center"/>
          </w:tcPr>
          <w:p>
            <w:pPr>
              <w:pageBreakBefore w:val="0"/>
              <w:widowControl/>
              <w:wordWrap/>
              <w:bidi w:val="0"/>
              <w:adjustRightInd w:val="0"/>
              <w:snapToGrid w:val="0"/>
              <w:spacing w:line="240" w:lineRule="auto"/>
              <w:ind w:left="0" w:leftChars="0" w:right="0" w:rightChars="0"/>
              <w:jc w:val="center"/>
              <w:textAlignment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3000</w:t>
            </w:r>
          </w:p>
        </w:tc>
        <w:tc>
          <w:tcPr>
            <w:tcW w:w="2705" w:type="dxa"/>
            <w:tcBorders>
              <w:top w:val="single" w:color="auto" w:sz="4" w:space="0"/>
              <w:left w:val="single" w:color="auto" w:sz="4" w:space="0"/>
              <w:bottom w:val="single" w:color="auto" w:sz="4" w:space="0"/>
              <w:right w:val="single" w:color="auto" w:sz="4" w:space="0"/>
            </w:tcBorders>
            <w:vAlign w:val="center"/>
          </w:tcPr>
          <w:p>
            <w:pPr>
              <w:pageBreakBefore w:val="0"/>
              <w:widowControl/>
              <w:wordWrap/>
              <w:bidi w:val="0"/>
              <w:adjustRightInd w:val="0"/>
              <w:snapToGrid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13.61</w:t>
            </w:r>
          </w:p>
        </w:tc>
        <w:tc>
          <w:tcPr>
            <w:tcW w:w="3546" w:type="dxa"/>
            <w:tcBorders>
              <w:top w:val="single" w:color="auto" w:sz="4" w:space="0"/>
              <w:left w:val="single" w:color="auto" w:sz="4" w:space="0"/>
              <w:bottom w:val="single" w:color="auto" w:sz="4" w:space="0"/>
              <w:right w:val="single" w:color="auto" w:sz="4" w:space="0"/>
            </w:tcBorders>
            <w:vAlign w:val="center"/>
          </w:tcPr>
          <w:p>
            <w:pPr>
              <w:pageBreakBefore w:val="0"/>
              <w:widowControl/>
              <w:wordWrap/>
              <w:bidi w:val="0"/>
              <w:adjustRightInd w:val="0"/>
              <w:snapToGrid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4881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0" w:hRule="atLeast"/>
          <w:jc w:val="center"/>
        </w:trPr>
        <w:tc>
          <w:tcPr>
            <w:tcW w:w="2050" w:type="dxa"/>
            <w:tcBorders>
              <w:top w:val="single" w:color="auto" w:sz="4" w:space="0"/>
              <w:left w:val="single" w:color="auto" w:sz="4" w:space="0"/>
              <w:bottom w:val="single" w:color="auto" w:sz="4" w:space="0"/>
              <w:right w:val="single" w:color="auto" w:sz="4" w:space="0"/>
            </w:tcBorders>
            <w:vAlign w:val="center"/>
          </w:tcPr>
          <w:p>
            <w:pPr>
              <w:pageBreakBefore w:val="0"/>
              <w:widowControl/>
              <w:wordWrap/>
              <w:bidi w:val="0"/>
              <w:adjustRightInd w:val="0"/>
              <w:snapToGrid w:val="0"/>
              <w:spacing w:line="240" w:lineRule="auto"/>
              <w:ind w:left="0" w:leftChars="0" w:right="0" w:rightChars="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kern w:val="0"/>
                <w:szCs w:val="21"/>
                <w:highlight w:val="none"/>
              </w:rPr>
              <w:t>4800</w:t>
            </w:r>
          </w:p>
        </w:tc>
        <w:tc>
          <w:tcPr>
            <w:tcW w:w="2705" w:type="dxa"/>
            <w:tcBorders>
              <w:top w:val="single" w:color="auto" w:sz="4" w:space="0"/>
              <w:left w:val="single" w:color="auto" w:sz="4" w:space="0"/>
              <w:bottom w:val="single" w:color="auto" w:sz="4" w:space="0"/>
              <w:right w:val="single" w:color="auto" w:sz="4" w:space="0"/>
            </w:tcBorders>
            <w:vAlign w:val="center"/>
          </w:tcPr>
          <w:p>
            <w:pPr>
              <w:pageBreakBefore w:val="0"/>
              <w:widowControl/>
              <w:wordWrap/>
              <w:bidi w:val="0"/>
              <w:adjustRightInd w:val="0"/>
              <w:snapToGrid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8.52</w:t>
            </w:r>
          </w:p>
        </w:tc>
        <w:tc>
          <w:tcPr>
            <w:tcW w:w="3546" w:type="dxa"/>
            <w:tcBorders>
              <w:top w:val="single" w:color="auto" w:sz="4" w:space="0"/>
              <w:left w:val="single" w:color="auto" w:sz="4" w:space="0"/>
              <w:bottom w:val="single" w:color="auto" w:sz="4" w:space="0"/>
              <w:right w:val="single" w:color="auto" w:sz="4" w:space="0"/>
            </w:tcBorders>
            <w:vAlign w:val="center"/>
          </w:tcPr>
          <w:p>
            <w:pPr>
              <w:pageBreakBefore w:val="0"/>
              <w:widowControl/>
              <w:wordWrap/>
              <w:bidi w:val="0"/>
              <w:adjustRightInd w:val="0"/>
              <w:snapToGrid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11111.9</w:t>
            </w:r>
          </w:p>
        </w:tc>
      </w:tr>
    </w:tbl>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根据前述分析</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本项目尾矿库下游为一条干枯的</w:t>
      </w:r>
      <w:r>
        <w:rPr>
          <w:rFonts w:hint="default" w:ascii="Times New Roman" w:hAnsi="Times New Roman" w:eastAsia="宋体" w:cs="Times New Roman"/>
          <w:color w:val="auto"/>
          <w:sz w:val="24"/>
          <w:szCs w:val="24"/>
          <w:highlight w:val="none"/>
          <w:lang w:eastAsia="zh-CN"/>
        </w:rPr>
        <w:t>泄洪沟</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宽度为30～50m</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一旦尾矿库溃坝</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溃决尾矿将以很快的速度向下游泄流</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开阔的河道对尾矿产生的冲量有一定的消能作用</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且尾矿库下游河道下游地势平坦、坡度较小</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尾矿浆对下游两岸山坡冲击波浪不大。随着溃坝洪峰过后</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大量</w:t>
      </w:r>
      <w:r>
        <w:rPr>
          <w:rFonts w:hint="default" w:ascii="Times New Roman" w:hAnsi="Times New Roman" w:eastAsia="宋体" w:cs="Times New Roman"/>
          <w:color w:val="auto"/>
          <w:sz w:val="24"/>
          <w:highlight w:val="none"/>
          <w:lang w:eastAsia="zh-CN"/>
        </w:rPr>
        <w:t>尾矿砂</w:t>
      </w:r>
      <w:r>
        <w:rPr>
          <w:rFonts w:hint="default" w:ascii="Times New Roman" w:hAnsi="Times New Roman" w:eastAsia="宋体" w:cs="Times New Roman"/>
          <w:color w:val="auto"/>
          <w:sz w:val="24"/>
          <w:highlight w:val="none"/>
        </w:rPr>
        <w:t>淤积在下游沟道之中。本次评价根据尾矿库下游地形情况</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并参照相关设计经验和国内尾矿坝实际垮坝的影响</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对尾矿库溃坝下游相应距离的尾矿淤积高度进行了估算。本项目尾矿库溃坝后</w:t>
      </w:r>
      <w:r>
        <w:rPr>
          <w:rFonts w:hint="default" w:ascii="Times New Roman" w:hAnsi="Times New Roman" w:eastAsia="宋体" w:cs="Times New Roman"/>
          <w:color w:val="auto"/>
          <w:sz w:val="24"/>
          <w:highlight w:val="none"/>
          <w:lang w:eastAsia="zh-CN"/>
        </w:rPr>
        <w:t>尾矿砂</w:t>
      </w:r>
      <w:r>
        <w:rPr>
          <w:rFonts w:hint="default" w:ascii="Times New Roman" w:hAnsi="Times New Roman" w:eastAsia="宋体" w:cs="Times New Roman"/>
          <w:color w:val="auto"/>
          <w:sz w:val="24"/>
          <w:highlight w:val="none"/>
        </w:rPr>
        <w:t>淹没影响区为下游</w:t>
      </w:r>
      <w:r>
        <w:rPr>
          <w:rFonts w:hint="default" w:ascii="Times New Roman" w:hAnsi="Times New Roman" w:eastAsia="宋体" w:cs="Times New Roman"/>
          <w:color w:val="auto"/>
          <w:sz w:val="24"/>
          <w:highlight w:val="none"/>
          <w:lang w:eastAsia="zh-CN"/>
        </w:rPr>
        <w:t>10.32</w:t>
      </w:r>
      <w:r>
        <w:rPr>
          <w:rFonts w:hint="default" w:ascii="Times New Roman" w:hAnsi="Times New Roman" w:eastAsia="宋体" w:cs="Times New Roman"/>
          <w:color w:val="auto"/>
          <w:sz w:val="24"/>
          <w:highlight w:val="none"/>
        </w:rPr>
        <w:t>km范围内</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根据本项目尾矿库下游地形条件</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尾矿淤积高度由溃决口向下游逐渐降低</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最终停止向下流动</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尾矿砂浆流经之处</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将破坏开阔地带的植被</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将之全部掩埋。</w:t>
      </w:r>
    </w:p>
    <w:p>
      <w:pPr>
        <w:pStyle w:val="5"/>
        <w:pageBreakBefore w:val="0"/>
        <w:numPr>
          <w:ilvl w:val="2"/>
          <w:numId w:val="0"/>
        </w:numPr>
        <w:wordWrap/>
        <w:bidi w:val="0"/>
        <w:ind w:left="0" w:leftChars="0" w:right="0" w:rightChars="0"/>
        <w:rPr>
          <w:rFonts w:hint="default" w:ascii="Times New Roman" w:hAnsi="Times New Roman" w:eastAsia="宋体" w:cs="Times New Roman"/>
          <w:b/>
          <w:bCs/>
          <w:color w:val="auto"/>
          <w:highlight w:val="none"/>
        </w:rPr>
      </w:pPr>
      <w:bookmarkStart w:id="1279" w:name="_Toc23391"/>
      <w:bookmarkStart w:id="1280" w:name="_Toc38557794"/>
      <w:bookmarkStart w:id="1281" w:name="_Toc62488442"/>
      <w:bookmarkStart w:id="1282" w:name="_Toc37315977"/>
      <w:bookmarkStart w:id="1283" w:name="_Toc21196"/>
      <w:bookmarkStart w:id="1284" w:name="_Toc37846901"/>
      <w:bookmarkStart w:id="1285" w:name="_Toc28351"/>
      <w:bookmarkStart w:id="1286" w:name="_Toc37595499"/>
      <w:r>
        <w:rPr>
          <w:rFonts w:hint="default" w:ascii="Times New Roman" w:hAnsi="Times New Roman" w:eastAsia="宋体" w:cs="Times New Roman"/>
          <w:b/>
          <w:bCs/>
          <w:i w:val="0"/>
          <w:iCs w:val="0"/>
          <w:caps w:val="0"/>
          <w:smallCaps w:val="0"/>
          <w:strike w:val="0"/>
          <w:dstrike w:val="0"/>
          <w:vanish w:val="0"/>
          <w:color w:val="auto"/>
          <w:spacing w:val="0"/>
          <w:kern w:val="2"/>
          <w:position w:val="0"/>
          <w:sz w:val="24"/>
          <w:szCs w:val="24"/>
          <w:highlight w:val="none"/>
          <w:u w:val="none"/>
          <w:vertAlign w:val="baseline"/>
          <w:lang w:val="en-US" w:eastAsia="zh-CN" w:bidi="ar-SA"/>
          <w14:shadow w14:blurRad="0" w14:dist="0" w14:dir="0" w14:sx="0" w14:sy="0" w14:kx="0" w14:ky="0" w14:algn="none">
            <w14:srgbClr w14:val="000000"/>
          </w14:shadow>
        </w:rPr>
        <w:t>8.4.3</w:t>
      </w:r>
      <w:r>
        <w:rPr>
          <w:rFonts w:hint="default" w:ascii="Times New Roman" w:hAnsi="Times New Roman" w:eastAsia="宋体" w:cs="Times New Roman"/>
          <w:b/>
          <w:bCs/>
          <w:color w:val="auto"/>
          <w:highlight w:val="none"/>
        </w:rPr>
        <w:t>尾矿库溃坝环境风险影响分析</w:t>
      </w:r>
      <w:bookmarkEnd w:id="1279"/>
      <w:bookmarkEnd w:id="1280"/>
      <w:bookmarkEnd w:id="1281"/>
      <w:bookmarkEnd w:id="1282"/>
      <w:bookmarkEnd w:id="1283"/>
      <w:bookmarkEnd w:id="1284"/>
      <w:bookmarkEnd w:id="1285"/>
      <w:bookmarkEnd w:id="1286"/>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根据源项分析</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尾矿库对环境造成最大危害事故为瞬时溃坝。</w:t>
      </w:r>
      <w:r>
        <w:rPr>
          <w:rFonts w:hint="default" w:ascii="Times New Roman" w:hAnsi="Times New Roman" w:eastAsia="宋体" w:cs="Times New Roman"/>
          <w:color w:val="auto"/>
          <w:sz w:val="24"/>
          <w:highlight w:val="none"/>
          <w:lang w:eastAsia="zh-CN"/>
        </w:rPr>
        <w:t>其他诸如</w:t>
      </w:r>
      <w:r>
        <w:rPr>
          <w:rFonts w:hint="default" w:ascii="Times New Roman" w:hAnsi="Times New Roman" w:eastAsia="宋体" w:cs="Times New Roman"/>
          <w:color w:val="auto"/>
          <w:sz w:val="24"/>
          <w:highlight w:val="none"/>
        </w:rPr>
        <w:t>涨坝、管涌等坝体失事等对下游环境危害小且缓慢。因此以下主要分析溃坝事故影响。</w:t>
      </w:r>
    </w:p>
    <w:p>
      <w:pPr>
        <w:pageBreakBefore w:val="0"/>
        <w:wordWrap/>
        <w:bidi w:val="0"/>
        <w:spacing w:line="360" w:lineRule="auto"/>
        <w:ind w:left="0" w:leftChars="0" w:right="0" w:rightChars="0" w:firstLine="480" w:firstLineChars="200"/>
        <w:outlineLvl w:val="0"/>
        <w:rPr>
          <w:rFonts w:hint="default" w:ascii="Times New Roman" w:hAnsi="Times New Roman" w:eastAsia="宋体" w:cs="Times New Roman"/>
          <w:color w:val="auto"/>
          <w:sz w:val="24"/>
          <w:highlight w:val="none"/>
        </w:rPr>
      </w:pPr>
      <w:bookmarkStart w:id="1287" w:name="_Toc62488443"/>
      <w:bookmarkStart w:id="1288" w:name="_Toc37595500"/>
      <w:bookmarkStart w:id="1289" w:name="_Toc18730"/>
      <w:bookmarkStart w:id="1290" w:name="_Toc37315978"/>
      <w:bookmarkStart w:id="1291" w:name="_Toc38557795"/>
      <w:bookmarkStart w:id="1292" w:name="_Toc2806"/>
      <w:bookmarkStart w:id="1293" w:name="_Toc37846902"/>
      <w:r>
        <w:rPr>
          <w:rFonts w:hint="default" w:ascii="Times New Roman" w:hAnsi="Times New Roman" w:eastAsia="宋体" w:cs="Times New Roman"/>
          <w:color w:val="auto"/>
          <w:sz w:val="24"/>
          <w:highlight w:val="none"/>
          <w:lang w:eastAsia="zh-CN"/>
        </w:rPr>
        <w:t>（1）</w:t>
      </w:r>
      <w:r>
        <w:rPr>
          <w:rFonts w:hint="default" w:ascii="Times New Roman" w:hAnsi="Times New Roman" w:eastAsia="宋体" w:cs="Times New Roman"/>
          <w:color w:val="auto"/>
          <w:sz w:val="24"/>
          <w:highlight w:val="none"/>
        </w:rPr>
        <w:t>对下游村庄的影响分析</w:t>
      </w:r>
      <w:bookmarkEnd w:id="1287"/>
      <w:bookmarkEnd w:id="1288"/>
      <w:bookmarkEnd w:id="1289"/>
      <w:bookmarkEnd w:id="1290"/>
      <w:bookmarkEnd w:id="1291"/>
      <w:bookmarkEnd w:id="1292"/>
      <w:bookmarkEnd w:id="1293"/>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本项目尾矿库下游为一条干枯的河道</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宽度为30</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50m</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一旦尾矿库溃坝</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溃决尾矿将以很快的速度向下游泄流</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开阔的河道对尾矿产生的冲量有一定的消能作用</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且尾矿库下游河道下游地势平坦、坡度较小</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尾矿浆对下游两岸山坡冲击较小。尾矿库溃坝淹没范围为尾矿库下游</w:t>
      </w:r>
      <w:r>
        <w:rPr>
          <w:rFonts w:hint="default" w:ascii="Times New Roman" w:hAnsi="Times New Roman" w:eastAsia="宋体" w:cs="Times New Roman"/>
          <w:color w:val="auto"/>
          <w:sz w:val="24"/>
          <w:highlight w:val="none"/>
          <w:lang w:eastAsia="zh-CN"/>
        </w:rPr>
        <w:t>10.32</w:t>
      </w:r>
      <w:r>
        <w:rPr>
          <w:rFonts w:hint="default" w:ascii="Times New Roman" w:hAnsi="Times New Roman" w:eastAsia="宋体" w:cs="Times New Roman"/>
          <w:color w:val="auto"/>
          <w:sz w:val="24"/>
          <w:highlight w:val="none"/>
        </w:rPr>
        <w:t>km</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经现场踏勘</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距离最近的敏感目标为尾矿库下游</w:t>
      </w:r>
      <w:r>
        <w:rPr>
          <w:rFonts w:hint="default" w:ascii="Times New Roman" w:hAnsi="Times New Roman" w:eastAsia="宋体" w:cs="Times New Roman"/>
          <w:color w:val="auto"/>
          <w:sz w:val="24"/>
          <w:highlight w:val="none"/>
          <w:lang w:val="en-US" w:eastAsia="zh-CN"/>
        </w:rPr>
        <w:t>0.8</w:t>
      </w:r>
      <w:r>
        <w:rPr>
          <w:rFonts w:hint="default" w:ascii="Times New Roman" w:hAnsi="Times New Roman" w:eastAsia="宋体" w:cs="Times New Roman"/>
          <w:color w:val="auto"/>
          <w:sz w:val="24"/>
          <w:highlight w:val="none"/>
        </w:rPr>
        <w:t>km</w:t>
      </w:r>
      <w:r>
        <w:rPr>
          <w:rFonts w:hint="default" w:ascii="Times New Roman" w:hAnsi="Times New Roman" w:eastAsia="宋体" w:cs="Times New Roman"/>
          <w:color w:val="auto"/>
          <w:sz w:val="24"/>
          <w:highlight w:val="none"/>
          <w:lang w:eastAsia="zh-CN"/>
        </w:rPr>
        <w:t>，其标高高于尾矿砂下泄路线约</w:t>
      </w:r>
      <w:r>
        <w:rPr>
          <w:rFonts w:hint="default" w:ascii="Times New Roman" w:hAnsi="Times New Roman" w:eastAsia="宋体" w:cs="Times New Roman"/>
          <w:color w:val="auto"/>
          <w:sz w:val="24"/>
          <w:highlight w:val="none"/>
          <w:lang w:val="en-US" w:eastAsia="zh-CN"/>
        </w:rPr>
        <w:t>4</w:t>
      </w:r>
      <w:r>
        <w:rPr>
          <w:rFonts w:hint="default" w:ascii="Times New Roman" w:hAnsi="Times New Roman" w:eastAsia="宋体" w:cs="Times New Roman"/>
          <w:color w:val="auto"/>
          <w:sz w:val="24"/>
          <w:highlight w:val="none"/>
          <w:lang w:eastAsia="zh-CN"/>
        </w:rPr>
        <w:t>m，</w:t>
      </w:r>
      <w:r>
        <w:rPr>
          <w:rFonts w:hint="default" w:ascii="Times New Roman" w:hAnsi="Times New Roman" w:eastAsia="宋体" w:cs="Times New Roman"/>
          <w:color w:val="auto"/>
          <w:sz w:val="24"/>
          <w:highlight w:val="none"/>
          <w:lang w:val="en-US" w:eastAsia="zh-CN"/>
        </w:rPr>
        <w:t>因此，</w:t>
      </w:r>
      <w:r>
        <w:rPr>
          <w:rFonts w:hint="default" w:ascii="Times New Roman" w:hAnsi="Times New Roman" w:eastAsia="宋体" w:cs="Times New Roman"/>
          <w:color w:val="auto"/>
          <w:sz w:val="24"/>
          <w:highlight w:val="none"/>
        </w:rPr>
        <w:t>不会对村庄人员造成伤害。</w:t>
      </w:r>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为进一步避免项目尾矿库发生溃坝事故时对下游居民的影响</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企业应严格按照相关设计要求对尾矿库进行建设</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并聘请相关资质单位编制尾矿库安全评价</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经安全部门评审；运</w:t>
      </w:r>
      <w:r>
        <w:rPr>
          <w:rFonts w:hint="default" w:ascii="Times New Roman" w:hAnsi="Times New Roman" w:eastAsia="宋体" w:cs="Times New Roman"/>
          <w:color w:val="auto"/>
          <w:sz w:val="24"/>
          <w:highlight w:val="none"/>
          <w:lang w:eastAsia="zh-CN"/>
        </w:rPr>
        <w:t>营</w:t>
      </w:r>
      <w:r>
        <w:rPr>
          <w:rFonts w:hint="default" w:ascii="Times New Roman" w:hAnsi="Times New Roman" w:eastAsia="宋体" w:cs="Times New Roman"/>
          <w:color w:val="auto"/>
          <w:sz w:val="24"/>
          <w:highlight w:val="none"/>
        </w:rPr>
        <w:t>期间加强管理</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并聘请有相关资质单位</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按照《尾矿库环境风险评估技术导则（试行</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》（HJ740-2015</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要求对尾矿库进行风险评估。</w:t>
      </w:r>
    </w:p>
    <w:p>
      <w:pPr>
        <w:pageBreakBefore w:val="0"/>
        <w:wordWrap/>
        <w:bidi w:val="0"/>
        <w:spacing w:line="360" w:lineRule="auto"/>
        <w:ind w:left="0" w:leftChars="0" w:right="0" w:rightChars="0" w:firstLine="480" w:firstLineChars="200"/>
        <w:outlineLvl w:val="0"/>
        <w:rPr>
          <w:rFonts w:hint="default" w:ascii="Times New Roman" w:hAnsi="Times New Roman" w:eastAsia="宋体" w:cs="Times New Roman"/>
          <w:color w:val="auto"/>
          <w:sz w:val="24"/>
          <w:highlight w:val="none"/>
        </w:rPr>
      </w:pPr>
      <w:bookmarkStart w:id="1294" w:name="_Toc37846903"/>
      <w:bookmarkStart w:id="1295" w:name="_Toc62488444"/>
      <w:bookmarkStart w:id="1296" w:name="_Toc85"/>
      <w:bookmarkStart w:id="1297" w:name="_Toc37595501"/>
      <w:bookmarkStart w:id="1298" w:name="_Toc37315979"/>
      <w:bookmarkStart w:id="1299" w:name="_Toc4741"/>
      <w:bookmarkStart w:id="1300" w:name="_Toc38557796"/>
      <w:r>
        <w:rPr>
          <w:rFonts w:hint="default" w:ascii="Times New Roman" w:hAnsi="Times New Roman" w:eastAsia="宋体" w:cs="Times New Roman"/>
          <w:color w:val="auto"/>
          <w:sz w:val="24"/>
          <w:highlight w:val="none"/>
          <w:lang w:eastAsia="zh-CN"/>
        </w:rPr>
        <w:t>（2）</w:t>
      </w:r>
      <w:r>
        <w:rPr>
          <w:rFonts w:hint="default" w:ascii="Times New Roman" w:hAnsi="Times New Roman" w:eastAsia="宋体" w:cs="Times New Roman"/>
          <w:color w:val="auto"/>
          <w:sz w:val="24"/>
          <w:highlight w:val="none"/>
        </w:rPr>
        <w:t>对周边土壤、环境空气的影响分析</w:t>
      </w:r>
      <w:bookmarkEnd w:id="1294"/>
      <w:bookmarkEnd w:id="1295"/>
      <w:bookmarkEnd w:id="1296"/>
      <w:bookmarkEnd w:id="1297"/>
      <w:bookmarkEnd w:id="1298"/>
      <w:bookmarkEnd w:id="1299"/>
      <w:bookmarkEnd w:id="1300"/>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尾矿库下游下泄路线尾矿砂如淤积时间较长</w:t>
      </w:r>
      <w:r>
        <w:rPr>
          <w:rFonts w:hint="default" w:ascii="Times New Roman" w:hAnsi="Times New Roman" w:eastAsia="宋体" w:cs="Times New Roman"/>
          <w:color w:val="auto"/>
          <w:sz w:val="24"/>
          <w:highlight w:val="none"/>
          <w:lang w:eastAsia="zh-CN"/>
        </w:rPr>
        <w:t>，尾矿砂</w:t>
      </w:r>
      <w:r>
        <w:rPr>
          <w:rFonts w:hint="default" w:ascii="Times New Roman" w:hAnsi="Times New Roman" w:eastAsia="宋体" w:cs="Times New Roman"/>
          <w:color w:val="auto"/>
          <w:sz w:val="24"/>
          <w:highlight w:val="none"/>
        </w:rPr>
        <w:t>中的</w:t>
      </w:r>
      <w:r>
        <w:rPr>
          <w:rFonts w:hint="default" w:ascii="Times New Roman" w:hAnsi="Times New Roman" w:eastAsia="宋体" w:cs="Times New Roman"/>
          <w:color w:val="auto"/>
          <w:sz w:val="24"/>
          <w:highlight w:val="none"/>
          <w:lang w:eastAsia="zh-CN"/>
        </w:rPr>
        <w:t>金属成分</w:t>
      </w:r>
      <w:r>
        <w:rPr>
          <w:rFonts w:hint="default" w:ascii="Times New Roman" w:hAnsi="Times New Roman" w:eastAsia="宋体" w:cs="Times New Roman"/>
          <w:color w:val="auto"/>
          <w:sz w:val="24"/>
          <w:highlight w:val="none"/>
        </w:rPr>
        <w:t>会渗入地下</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恶化占地内及周边土壤环境</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影响地表植物生长。另外</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裸露的尾矿砂经暴晒后也会成为新的空气扬尘污染源</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进而对周围土壤环境产生影响。因此必须坚决杜绝溃坝事故发生。</w:t>
      </w:r>
    </w:p>
    <w:p>
      <w:pPr>
        <w:pageBreakBefore w:val="0"/>
        <w:wordWrap/>
        <w:bidi w:val="0"/>
        <w:spacing w:line="360" w:lineRule="auto"/>
        <w:ind w:left="0" w:leftChars="0" w:right="0" w:rightChars="0" w:firstLine="480" w:firstLineChars="200"/>
        <w:outlineLvl w:val="0"/>
        <w:rPr>
          <w:rFonts w:hint="default" w:ascii="Times New Roman" w:hAnsi="Times New Roman" w:eastAsia="宋体" w:cs="Times New Roman"/>
          <w:color w:val="auto"/>
          <w:sz w:val="24"/>
          <w:highlight w:val="none"/>
        </w:rPr>
      </w:pPr>
      <w:bookmarkStart w:id="1301" w:name="_Toc38557797"/>
      <w:bookmarkStart w:id="1302" w:name="_Toc62488445"/>
      <w:bookmarkStart w:id="1303" w:name="_Toc9516"/>
      <w:bookmarkStart w:id="1304" w:name="_Toc37846904"/>
      <w:bookmarkStart w:id="1305" w:name="_Toc32722"/>
      <w:bookmarkStart w:id="1306" w:name="_Toc37595502"/>
      <w:bookmarkStart w:id="1307" w:name="_Toc37315980"/>
      <w:r>
        <w:rPr>
          <w:rFonts w:hint="default" w:ascii="Times New Roman" w:hAnsi="Times New Roman" w:eastAsia="宋体" w:cs="Times New Roman"/>
          <w:color w:val="auto"/>
          <w:sz w:val="24"/>
          <w:highlight w:val="none"/>
          <w:lang w:eastAsia="zh-CN"/>
        </w:rPr>
        <w:t>（3）</w:t>
      </w:r>
      <w:r>
        <w:rPr>
          <w:rFonts w:hint="default" w:ascii="Times New Roman" w:hAnsi="Times New Roman" w:eastAsia="宋体" w:cs="Times New Roman"/>
          <w:color w:val="auto"/>
          <w:sz w:val="24"/>
          <w:highlight w:val="none"/>
        </w:rPr>
        <w:t>对周边地下水的影响分析</w:t>
      </w:r>
      <w:bookmarkEnd w:id="1301"/>
      <w:bookmarkEnd w:id="1302"/>
      <w:bookmarkEnd w:id="1303"/>
      <w:bookmarkEnd w:id="1304"/>
      <w:bookmarkEnd w:id="1305"/>
      <w:bookmarkEnd w:id="1306"/>
      <w:bookmarkEnd w:id="1307"/>
    </w:p>
    <w:p>
      <w:pPr>
        <w:pageBreakBefore w:val="0"/>
        <w:wordWrap/>
        <w:bidi w:val="0"/>
        <w:adjustRightInd w:val="0"/>
        <w:snapToGrid w:val="0"/>
        <w:spacing w:line="360" w:lineRule="auto"/>
        <w:ind w:left="0" w:leftChars="0" w:right="0" w:rightChars="0" w:firstLine="480" w:firstLineChars="200"/>
        <w:textAlignment w:val="top"/>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尾矿库溃坝下泄尾矿砂如淤积时间较长</w:t>
      </w:r>
      <w:r>
        <w:rPr>
          <w:rFonts w:hint="default" w:ascii="Times New Roman" w:hAnsi="Times New Roman" w:eastAsia="宋体" w:cs="Times New Roman"/>
          <w:color w:val="auto"/>
          <w:sz w:val="24"/>
          <w:highlight w:val="none"/>
          <w:lang w:eastAsia="zh-CN"/>
        </w:rPr>
        <w:t>，尾矿砂</w:t>
      </w:r>
      <w:r>
        <w:rPr>
          <w:rFonts w:hint="default" w:ascii="Times New Roman" w:hAnsi="Times New Roman" w:eastAsia="宋体" w:cs="Times New Roman"/>
          <w:color w:val="auto"/>
          <w:sz w:val="24"/>
          <w:highlight w:val="none"/>
        </w:rPr>
        <w:t>中的</w:t>
      </w:r>
      <w:r>
        <w:rPr>
          <w:rFonts w:hint="default" w:ascii="Times New Roman" w:hAnsi="Times New Roman" w:eastAsia="宋体" w:cs="Times New Roman"/>
          <w:color w:val="auto"/>
          <w:sz w:val="24"/>
          <w:highlight w:val="none"/>
          <w:lang w:eastAsia="zh-CN"/>
        </w:rPr>
        <w:t>金属成分</w:t>
      </w:r>
      <w:r>
        <w:rPr>
          <w:rFonts w:hint="default" w:ascii="Times New Roman" w:hAnsi="Times New Roman" w:eastAsia="宋体" w:cs="Times New Roman"/>
          <w:color w:val="auto"/>
          <w:sz w:val="24"/>
          <w:highlight w:val="none"/>
        </w:rPr>
        <w:t>会渗入地下</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影响地下水质。本项目尾矿砂下泄范围内饮用水井较少</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且本项目</w:t>
      </w:r>
      <w:r>
        <w:rPr>
          <w:rFonts w:hint="default" w:ascii="Times New Roman" w:hAnsi="Times New Roman" w:eastAsia="宋体" w:cs="Times New Roman"/>
          <w:color w:val="auto"/>
          <w:sz w:val="24"/>
          <w:highlight w:val="none"/>
          <w:lang w:eastAsia="zh-CN"/>
        </w:rPr>
        <w:t>尾矿砂</w:t>
      </w:r>
      <w:r>
        <w:rPr>
          <w:rFonts w:hint="default" w:ascii="Times New Roman" w:hAnsi="Times New Roman" w:eastAsia="宋体" w:cs="Times New Roman"/>
          <w:color w:val="auto"/>
          <w:sz w:val="24"/>
          <w:highlight w:val="none"/>
        </w:rPr>
        <w:t>为第</w:t>
      </w:r>
      <w:r>
        <w:rPr>
          <w:rFonts w:hint="default" w:ascii="Times New Roman" w:hAnsi="Times New Roman" w:eastAsia="宋体" w:cs="Times New Roman"/>
          <w:color w:val="auto"/>
          <w:sz w:val="24"/>
          <w:szCs w:val="32"/>
          <w:highlight w:val="none"/>
        </w:rPr>
        <w:t>I</w:t>
      </w:r>
      <w:r>
        <w:rPr>
          <w:rFonts w:hint="default" w:ascii="Times New Roman" w:hAnsi="Times New Roman" w:eastAsia="宋体" w:cs="Times New Roman"/>
          <w:color w:val="auto"/>
          <w:sz w:val="24"/>
          <w:highlight w:val="none"/>
        </w:rPr>
        <w:t>类一般工业固体废物</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外泄的</w:t>
      </w:r>
      <w:r>
        <w:rPr>
          <w:rFonts w:hint="default" w:ascii="Times New Roman" w:hAnsi="Times New Roman" w:eastAsia="宋体" w:cs="Times New Roman"/>
          <w:color w:val="auto"/>
          <w:sz w:val="24"/>
          <w:highlight w:val="none"/>
          <w:lang w:eastAsia="zh-CN"/>
        </w:rPr>
        <w:t>尾矿砂</w:t>
      </w:r>
      <w:r>
        <w:rPr>
          <w:rFonts w:hint="default" w:ascii="Times New Roman" w:hAnsi="Times New Roman" w:eastAsia="宋体" w:cs="Times New Roman"/>
          <w:color w:val="auto"/>
          <w:sz w:val="24"/>
          <w:highlight w:val="none"/>
        </w:rPr>
        <w:t>对当地地下水环境会产生一定影响</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但影响较小。</w:t>
      </w:r>
    </w:p>
    <w:p>
      <w:pPr>
        <w:pageBreakBefore w:val="0"/>
        <w:wordWrap/>
        <w:bidi w:val="0"/>
        <w:spacing w:line="360" w:lineRule="auto"/>
        <w:ind w:left="0" w:leftChars="0" w:right="0" w:rightChars="0" w:firstLine="480" w:firstLineChars="200"/>
        <w:outlineLvl w:val="0"/>
        <w:rPr>
          <w:rFonts w:hint="default" w:ascii="Times New Roman" w:hAnsi="Times New Roman" w:eastAsia="宋体" w:cs="Times New Roman"/>
          <w:color w:val="auto"/>
          <w:sz w:val="24"/>
          <w:highlight w:val="none"/>
        </w:rPr>
      </w:pPr>
      <w:bookmarkStart w:id="1308" w:name="_Toc37595503"/>
      <w:bookmarkStart w:id="1309" w:name="_Toc27709"/>
      <w:bookmarkStart w:id="1310" w:name="_Toc37846905"/>
      <w:bookmarkStart w:id="1311" w:name="_Toc30460"/>
      <w:bookmarkStart w:id="1312" w:name="_Toc37315981"/>
      <w:bookmarkStart w:id="1313" w:name="_Toc38557798"/>
      <w:bookmarkStart w:id="1314" w:name="_Toc62488446"/>
      <w:r>
        <w:rPr>
          <w:rFonts w:hint="default" w:ascii="Times New Roman" w:hAnsi="Times New Roman" w:eastAsia="宋体" w:cs="Times New Roman"/>
          <w:color w:val="auto"/>
          <w:sz w:val="24"/>
          <w:highlight w:val="none"/>
          <w:lang w:eastAsia="zh-CN"/>
        </w:rPr>
        <w:t>（4）</w:t>
      </w:r>
      <w:r>
        <w:rPr>
          <w:rFonts w:hint="default" w:ascii="Times New Roman" w:hAnsi="Times New Roman" w:eastAsia="宋体" w:cs="Times New Roman"/>
          <w:color w:val="auto"/>
          <w:sz w:val="24"/>
          <w:highlight w:val="none"/>
        </w:rPr>
        <w:t>对植被的影响</w:t>
      </w:r>
      <w:bookmarkEnd w:id="1308"/>
      <w:bookmarkEnd w:id="1309"/>
      <w:bookmarkEnd w:id="1310"/>
      <w:bookmarkEnd w:id="1311"/>
      <w:bookmarkEnd w:id="1312"/>
      <w:bookmarkEnd w:id="1313"/>
      <w:bookmarkEnd w:id="1314"/>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尾矿库溃坝会使库里的尾矿砂冲毁下游植被</w:t>
      </w:r>
      <w:r>
        <w:rPr>
          <w:rFonts w:hint="default" w:ascii="Times New Roman" w:hAnsi="Times New Roman" w:eastAsia="宋体" w:cs="Times New Roman"/>
          <w:color w:val="auto"/>
          <w:sz w:val="24"/>
          <w:highlight w:val="none"/>
          <w:lang w:eastAsia="zh-CN"/>
        </w:rPr>
        <w:t>，尾矿砂</w:t>
      </w:r>
      <w:r>
        <w:rPr>
          <w:rFonts w:hint="default" w:ascii="Times New Roman" w:hAnsi="Times New Roman" w:eastAsia="宋体" w:cs="Times New Roman"/>
          <w:color w:val="auto"/>
          <w:sz w:val="24"/>
          <w:highlight w:val="none"/>
        </w:rPr>
        <w:t>长期堆存在地表对植被的生长也会产生一定的阻碍作用；另外该项目尾矿库事故排放的废水pH值较高</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对漫盖的植物产生一定影响。植物受强碱性废水危害时</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叶色浓绿</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地上部生长受抑制</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生育停滞</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叶片出现赤枯状斑点。</w:t>
      </w:r>
    </w:p>
    <w:p>
      <w:pPr>
        <w:pageBreakBefore w:val="0"/>
        <w:wordWrap/>
        <w:bidi w:val="0"/>
        <w:spacing w:line="360" w:lineRule="auto"/>
        <w:ind w:left="0" w:leftChars="0" w:right="0" w:rightChars="0" w:firstLine="480" w:firstLineChars="200"/>
        <w:outlineLvl w:val="0"/>
        <w:rPr>
          <w:rFonts w:hint="default" w:ascii="Times New Roman" w:hAnsi="Times New Roman" w:eastAsia="宋体" w:cs="Times New Roman"/>
          <w:color w:val="auto"/>
          <w:sz w:val="24"/>
          <w:highlight w:val="none"/>
        </w:rPr>
      </w:pPr>
      <w:bookmarkStart w:id="1315" w:name="_Toc37595504"/>
      <w:bookmarkStart w:id="1316" w:name="_Toc62488447"/>
      <w:bookmarkStart w:id="1317" w:name="_Toc30829"/>
      <w:bookmarkStart w:id="1318" w:name="_Toc13133"/>
      <w:bookmarkStart w:id="1319" w:name="_Toc37315982"/>
      <w:bookmarkStart w:id="1320" w:name="_Toc38557799"/>
      <w:bookmarkStart w:id="1321" w:name="_Toc37846906"/>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5</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尾矿砂中重金</w:t>
      </w:r>
      <w:r>
        <w:rPr>
          <w:rFonts w:hint="default" w:ascii="Times New Roman" w:hAnsi="Times New Roman" w:eastAsia="宋体" w:cs="Times New Roman"/>
          <w:color w:val="auto"/>
          <w:sz w:val="24"/>
          <w:highlight w:val="none"/>
          <w:lang w:eastAsia="zh-CN"/>
        </w:rPr>
        <w:t>属</w:t>
      </w:r>
      <w:r>
        <w:rPr>
          <w:rFonts w:hint="default" w:ascii="Times New Roman" w:hAnsi="Times New Roman" w:eastAsia="宋体" w:cs="Times New Roman"/>
          <w:color w:val="auto"/>
          <w:sz w:val="24"/>
          <w:highlight w:val="none"/>
        </w:rPr>
        <w:t>因子运移影响分析</w:t>
      </w:r>
      <w:bookmarkEnd w:id="1315"/>
      <w:bookmarkEnd w:id="1316"/>
      <w:bookmarkEnd w:id="1317"/>
      <w:bookmarkEnd w:id="1318"/>
      <w:bookmarkEnd w:id="1319"/>
      <w:bookmarkEnd w:id="1320"/>
      <w:bookmarkEnd w:id="1321"/>
    </w:p>
    <w:p>
      <w:pPr>
        <w:pageBreakBefore w:val="0"/>
        <w:wordWrap/>
        <w:bidi w:val="0"/>
        <w:adjustRightInd w:val="0"/>
        <w:snapToGrid w:val="0"/>
        <w:spacing w:line="360" w:lineRule="auto"/>
        <w:ind w:left="0" w:leftChars="0" w:right="0" w:rightChars="0" w:firstLine="480" w:firstLineChars="200"/>
        <w:textAlignment w:val="top"/>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本项目尾矿库</w:t>
      </w:r>
      <w:r>
        <w:rPr>
          <w:rFonts w:hint="default" w:ascii="Times New Roman" w:hAnsi="Times New Roman" w:eastAsia="宋体" w:cs="Times New Roman"/>
          <w:color w:val="auto"/>
          <w:sz w:val="24"/>
          <w:highlight w:val="none"/>
          <w:lang w:eastAsia="zh-CN"/>
        </w:rPr>
        <w:t>尾矿砂</w:t>
      </w:r>
      <w:r>
        <w:rPr>
          <w:rFonts w:hint="default" w:ascii="Times New Roman" w:hAnsi="Times New Roman" w:eastAsia="宋体" w:cs="Times New Roman"/>
          <w:color w:val="auto"/>
          <w:sz w:val="24"/>
          <w:highlight w:val="none"/>
        </w:rPr>
        <w:t>为第I类一般工业固体废物</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重金</w:t>
      </w:r>
      <w:r>
        <w:rPr>
          <w:rFonts w:hint="default" w:ascii="Times New Roman" w:hAnsi="Times New Roman" w:eastAsia="宋体" w:cs="Times New Roman"/>
          <w:color w:val="auto"/>
          <w:sz w:val="24"/>
          <w:highlight w:val="none"/>
          <w:lang w:eastAsia="zh-CN"/>
        </w:rPr>
        <w:t>属</w:t>
      </w:r>
      <w:r>
        <w:rPr>
          <w:rFonts w:hint="default" w:ascii="Times New Roman" w:hAnsi="Times New Roman" w:eastAsia="宋体" w:cs="Times New Roman"/>
          <w:color w:val="auto"/>
          <w:sz w:val="24"/>
          <w:highlight w:val="none"/>
        </w:rPr>
        <w:t>含量</w:t>
      </w:r>
      <w:r>
        <w:rPr>
          <w:rFonts w:hint="default" w:ascii="Times New Roman" w:hAnsi="Times New Roman" w:eastAsia="宋体" w:cs="Times New Roman"/>
          <w:color w:val="auto"/>
          <w:sz w:val="24"/>
          <w:highlight w:val="none"/>
          <w:lang w:eastAsia="zh-CN"/>
        </w:rPr>
        <w:t>很少，</w:t>
      </w:r>
      <w:r>
        <w:rPr>
          <w:rFonts w:hint="default" w:ascii="Times New Roman" w:hAnsi="Times New Roman" w:eastAsia="宋体" w:cs="Times New Roman"/>
          <w:color w:val="auto"/>
          <w:sz w:val="24"/>
          <w:highlight w:val="none"/>
        </w:rPr>
        <w:t>正常情况下</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不会发生重金</w:t>
      </w:r>
      <w:r>
        <w:rPr>
          <w:rFonts w:hint="default" w:ascii="Times New Roman" w:hAnsi="Times New Roman" w:eastAsia="宋体" w:cs="Times New Roman"/>
          <w:color w:val="auto"/>
          <w:sz w:val="24"/>
          <w:highlight w:val="none"/>
          <w:lang w:eastAsia="zh-CN"/>
        </w:rPr>
        <w:t>属</w:t>
      </w:r>
      <w:r>
        <w:rPr>
          <w:rFonts w:hint="default" w:ascii="Times New Roman" w:hAnsi="Times New Roman" w:eastAsia="宋体" w:cs="Times New Roman"/>
          <w:color w:val="auto"/>
          <w:sz w:val="24"/>
          <w:highlight w:val="none"/>
        </w:rPr>
        <w:t>污染。</w:t>
      </w:r>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kern w:val="0"/>
          <w:sz w:val="24"/>
          <w:highlight w:val="none"/>
        </w:rPr>
        <w:t>而且就算考虑重金</w:t>
      </w:r>
      <w:r>
        <w:rPr>
          <w:rFonts w:hint="default" w:ascii="Times New Roman" w:hAnsi="Times New Roman" w:eastAsia="宋体" w:cs="Times New Roman"/>
          <w:color w:val="auto"/>
          <w:kern w:val="0"/>
          <w:sz w:val="24"/>
          <w:highlight w:val="none"/>
          <w:lang w:eastAsia="zh-CN"/>
        </w:rPr>
        <w:t>属，</w:t>
      </w:r>
      <w:r>
        <w:rPr>
          <w:rFonts w:hint="default" w:ascii="Times New Roman" w:hAnsi="Times New Roman" w:eastAsia="宋体" w:cs="Times New Roman"/>
          <w:color w:val="auto"/>
          <w:kern w:val="0"/>
          <w:sz w:val="24"/>
          <w:highlight w:val="none"/>
        </w:rPr>
        <w:t>土壤胶体对重金</w:t>
      </w:r>
      <w:r>
        <w:rPr>
          <w:rFonts w:hint="default" w:ascii="Times New Roman" w:hAnsi="Times New Roman" w:eastAsia="宋体" w:cs="Times New Roman"/>
          <w:color w:val="auto"/>
          <w:kern w:val="0"/>
          <w:sz w:val="24"/>
          <w:highlight w:val="none"/>
          <w:lang w:eastAsia="zh-CN"/>
        </w:rPr>
        <w:t>属</w:t>
      </w:r>
      <w:r>
        <w:rPr>
          <w:rFonts w:hint="default" w:ascii="Times New Roman" w:hAnsi="Times New Roman" w:eastAsia="宋体" w:cs="Times New Roman"/>
          <w:color w:val="auto"/>
          <w:kern w:val="0"/>
          <w:sz w:val="24"/>
          <w:highlight w:val="none"/>
        </w:rPr>
        <w:t>的运移也会产生重要影响。土壤胶体如黏土、金</w:t>
      </w:r>
      <w:r>
        <w:rPr>
          <w:rFonts w:hint="default" w:ascii="Times New Roman" w:hAnsi="Times New Roman" w:eastAsia="宋体" w:cs="Times New Roman"/>
          <w:color w:val="auto"/>
          <w:kern w:val="0"/>
          <w:sz w:val="24"/>
          <w:highlight w:val="none"/>
          <w:lang w:eastAsia="zh-CN"/>
        </w:rPr>
        <w:t>属</w:t>
      </w:r>
      <w:r>
        <w:rPr>
          <w:rFonts w:hint="default" w:ascii="Times New Roman" w:hAnsi="Times New Roman" w:eastAsia="宋体" w:cs="Times New Roman"/>
          <w:color w:val="auto"/>
          <w:kern w:val="0"/>
          <w:sz w:val="24"/>
          <w:highlight w:val="none"/>
        </w:rPr>
        <w:t>氧化物和氢氧化物、金</w:t>
      </w:r>
      <w:r>
        <w:rPr>
          <w:rFonts w:hint="default" w:ascii="Times New Roman" w:hAnsi="Times New Roman" w:eastAsia="宋体" w:cs="Times New Roman"/>
          <w:color w:val="auto"/>
          <w:kern w:val="0"/>
          <w:sz w:val="24"/>
          <w:highlight w:val="none"/>
          <w:lang w:eastAsia="zh-CN"/>
        </w:rPr>
        <w:t>属</w:t>
      </w:r>
      <w:r>
        <w:rPr>
          <w:rFonts w:hint="default" w:ascii="Times New Roman" w:hAnsi="Times New Roman" w:eastAsia="宋体" w:cs="Times New Roman"/>
          <w:color w:val="auto"/>
          <w:kern w:val="0"/>
          <w:sz w:val="24"/>
          <w:highlight w:val="none"/>
        </w:rPr>
        <w:t>碳酸盐和磷酸盐等是重金</w:t>
      </w:r>
      <w:r>
        <w:rPr>
          <w:rFonts w:hint="default" w:ascii="Times New Roman" w:hAnsi="Times New Roman" w:eastAsia="宋体" w:cs="Times New Roman"/>
          <w:color w:val="auto"/>
          <w:kern w:val="0"/>
          <w:sz w:val="24"/>
          <w:highlight w:val="none"/>
          <w:lang w:eastAsia="zh-CN"/>
        </w:rPr>
        <w:t>属</w:t>
      </w:r>
      <w:r>
        <w:rPr>
          <w:rFonts w:hint="default" w:ascii="Times New Roman" w:hAnsi="Times New Roman" w:eastAsia="宋体" w:cs="Times New Roman"/>
          <w:color w:val="auto"/>
          <w:kern w:val="0"/>
          <w:sz w:val="24"/>
          <w:highlight w:val="none"/>
        </w:rPr>
        <w:t>吸附的重要界面。当土壤发生变化时</w:t>
      </w:r>
      <w:r>
        <w:rPr>
          <w:rFonts w:hint="default" w:ascii="Times New Roman" w:hAnsi="Times New Roman" w:eastAsia="宋体" w:cs="Times New Roman"/>
          <w:color w:val="auto"/>
          <w:kern w:val="0"/>
          <w:sz w:val="24"/>
          <w:highlight w:val="none"/>
          <w:lang w:eastAsia="zh-CN"/>
        </w:rPr>
        <w:t>，</w:t>
      </w:r>
      <w:r>
        <w:rPr>
          <w:rFonts w:hint="default" w:ascii="Times New Roman" w:hAnsi="Times New Roman" w:eastAsia="宋体" w:cs="Times New Roman"/>
          <w:color w:val="auto"/>
          <w:kern w:val="0"/>
          <w:sz w:val="24"/>
          <w:highlight w:val="none"/>
        </w:rPr>
        <w:t>土壤胶体会从土壤基质上释放到土壤溶液中</w:t>
      </w:r>
      <w:r>
        <w:rPr>
          <w:rFonts w:hint="default" w:ascii="Times New Roman" w:hAnsi="Times New Roman" w:eastAsia="宋体" w:cs="Times New Roman"/>
          <w:color w:val="auto"/>
          <w:kern w:val="0"/>
          <w:sz w:val="24"/>
          <w:highlight w:val="none"/>
          <w:lang w:eastAsia="zh-CN"/>
        </w:rPr>
        <w:t>，</w:t>
      </w:r>
      <w:r>
        <w:rPr>
          <w:rFonts w:hint="default" w:ascii="Times New Roman" w:hAnsi="Times New Roman" w:eastAsia="宋体" w:cs="Times New Roman"/>
          <w:color w:val="auto"/>
          <w:kern w:val="0"/>
          <w:sz w:val="24"/>
          <w:highlight w:val="none"/>
        </w:rPr>
        <w:t>或者溶液中的土壤胶体会沉积到土壤基质上</w:t>
      </w:r>
      <w:r>
        <w:rPr>
          <w:rFonts w:hint="default" w:ascii="Times New Roman" w:hAnsi="Times New Roman" w:eastAsia="宋体" w:cs="Times New Roman"/>
          <w:color w:val="auto"/>
          <w:kern w:val="0"/>
          <w:sz w:val="24"/>
          <w:highlight w:val="none"/>
          <w:lang w:eastAsia="zh-CN"/>
        </w:rPr>
        <w:t>，</w:t>
      </w:r>
      <w:r>
        <w:rPr>
          <w:rFonts w:hint="default" w:ascii="Times New Roman" w:hAnsi="Times New Roman" w:eastAsia="宋体" w:cs="Times New Roman"/>
          <w:color w:val="auto"/>
          <w:kern w:val="0"/>
          <w:sz w:val="24"/>
          <w:highlight w:val="none"/>
        </w:rPr>
        <w:t>增强土壤胶体对重金</w:t>
      </w:r>
      <w:r>
        <w:rPr>
          <w:rFonts w:hint="default" w:ascii="Times New Roman" w:hAnsi="Times New Roman" w:eastAsia="宋体" w:cs="Times New Roman"/>
          <w:color w:val="auto"/>
          <w:kern w:val="0"/>
          <w:sz w:val="24"/>
          <w:highlight w:val="none"/>
          <w:lang w:eastAsia="zh-CN"/>
        </w:rPr>
        <w:t>属</w:t>
      </w:r>
      <w:r>
        <w:rPr>
          <w:rFonts w:hint="default" w:ascii="Times New Roman" w:hAnsi="Times New Roman" w:eastAsia="宋体" w:cs="Times New Roman"/>
          <w:color w:val="auto"/>
          <w:kern w:val="0"/>
          <w:sz w:val="24"/>
          <w:highlight w:val="none"/>
        </w:rPr>
        <w:t>的吸附能力</w:t>
      </w:r>
      <w:r>
        <w:rPr>
          <w:rFonts w:hint="default" w:ascii="Times New Roman" w:hAnsi="Times New Roman" w:eastAsia="宋体" w:cs="Times New Roman"/>
          <w:color w:val="auto"/>
          <w:kern w:val="0"/>
          <w:sz w:val="24"/>
          <w:highlight w:val="none"/>
          <w:lang w:eastAsia="zh-CN"/>
        </w:rPr>
        <w:t>，</w:t>
      </w:r>
      <w:r>
        <w:rPr>
          <w:rFonts w:hint="default" w:ascii="Times New Roman" w:hAnsi="Times New Roman" w:eastAsia="宋体" w:cs="Times New Roman"/>
          <w:color w:val="auto"/>
          <w:kern w:val="0"/>
          <w:sz w:val="24"/>
          <w:highlight w:val="none"/>
        </w:rPr>
        <w:t>减少重金</w:t>
      </w:r>
      <w:r>
        <w:rPr>
          <w:rFonts w:hint="default" w:ascii="Times New Roman" w:hAnsi="Times New Roman" w:eastAsia="宋体" w:cs="Times New Roman"/>
          <w:color w:val="auto"/>
          <w:kern w:val="0"/>
          <w:sz w:val="24"/>
          <w:highlight w:val="none"/>
          <w:lang w:eastAsia="zh-CN"/>
        </w:rPr>
        <w:t>属</w:t>
      </w:r>
      <w:r>
        <w:rPr>
          <w:rFonts w:hint="default" w:ascii="Times New Roman" w:hAnsi="Times New Roman" w:eastAsia="宋体" w:cs="Times New Roman"/>
          <w:color w:val="auto"/>
          <w:kern w:val="0"/>
          <w:sz w:val="24"/>
          <w:highlight w:val="none"/>
        </w:rPr>
        <w:t>下渗量</w:t>
      </w:r>
      <w:r>
        <w:rPr>
          <w:rFonts w:hint="default" w:ascii="Times New Roman" w:hAnsi="Times New Roman" w:eastAsia="宋体" w:cs="Times New Roman"/>
          <w:color w:val="auto"/>
          <w:kern w:val="0"/>
          <w:sz w:val="24"/>
          <w:highlight w:val="none"/>
          <w:lang w:eastAsia="zh-CN"/>
        </w:rPr>
        <w:t>，</w:t>
      </w:r>
      <w:r>
        <w:rPr>
          <w:rFonts w:hint="default" w:ascii="Times New Roman" w:hAnsi="Times New Roman" w:eastAsia="宋体" w:cs="Times New Roman"/>
          <w:color w:val="auto"/>
          <w:kern w:val="0"/>
          <w:sz w:val="24"/>
          <w:highlight w:val="none"/>
        </w:rPr>
        <w:t>降低对地下水的污染。在发生溃坝事故时</w:t>
      </w:r>
      <w:r>
        <w:rPr>
          <w:rFonts w:hint="default" w:ascii="Times New Roman" w:hAnsi="Times New Roman" w:eastAsia="宋体" w:cs="Times New Roman"/>
          <w:color w:val="auto"/>
          <w:kern w:val="0"/>
          <w:sz w:val="24"/>
          <w:highlight w:val="none"/>
          <w:lang w:eastAsia="zh-CN"/>
        </w:rPr>
        <w:t>，</w:t>
      </w:r>
      <w:r>
        <w:rPr>
          <w:rFonts w:hint="default" w:ascii="Times New Roman" w:hAnsi="Times New Roman" w:eastAsia="宋体" w:cs="Times New Roman"/>
          <w:color w:val="auto"/>
          <w:kern w:val="0"/>
          <w:sz w:val="24"/>
          <w:highlight w:val="none"/>
        </w:rPr>
        <w:t>及时采取有效措施</w:t>
      </w:r>
      <w:r>
        <w:rPr>
          <w:rFonts w:hint="default" w:ascii="Times New Roman" w:hAnsi="Times New Roman" w:eastAsia="宋体" w:cs="Times New Roman"/>
          <w:color w:val="auto"/>
          <w:kern w:val="0"/>
          <w:sz w:val="24"/>
          <w:highlight w:val="none"/>
          <w:lang w:eastAsia="zh-CN"/>
        </w:rPr>
        <w:t>，</w:t>
      </w:r>
      <w:r>
        <w:rPr>
          <w:rFonts w:hint="default" w:ascii="Times New Roman" w:hAnsi="Times New Roman" w:eastAsia="宋体" w:cs="Times New Roman"/>
          <w:color w:val="auto"/>
          <w:kern w:val="0"/>
          <w:sz w:val="24"/>
          <w:highlight w:val="none"/>
        </w:rPr>
        <w:t>修补溃坝坝体</w:t>
      </w:r>
      <w:r>
        <w:rPr>
          <w:rFonts w:hint="default" w:ascii="Times New Roman" w:hAnsi="Times New Roman" w:eastAsia="宋体" w:cs="Times New Roman"/>
          <w:color w:val="auto"/>
          <w:kern w:val="0"/>
          <w:sz w:val="24"/>
          <w:highlight w:val="none"/>
          <w:lang w:eastAsia="zh-CN"/>
        </w:rPr>
        <w:t>，</w:t>
      </w:r>
      <w:r>
        <w:rPr>
          <w:rFonts w:hint="default" w:ascii="Times New Roman" w:hAnsi="Times New Roman" w:eastAsia="宋体" w:cs="Times New Roman"/>
          <w:color w:val="auto"/>
          <w:kern w:val="0"/>
          <w:sz w:val="24"/>
          <w:highlight w:val="none"/>
        </w:rPr>
        <w:t>减少</w:t>
      </w:r>
      <w:r>
        <w:rPr>
          <w:rFonts w:hint="default" w:ascii="Times New Roman" w:hAnsi="Times New Roman" w:eastAsia="宋体" w:cs="Times New Roman"/>
          <w:color w:val="auto"/>
          <w:kern w:val="0"/>
          <w:sz w:val="24"/>
          <w:highlight w:val="none"/>
          <w:lang w:eastAsia="zh-CN"/>
        </w:rPr>
        <w:t>尾矿砂</w:t>
      </w:r>
      <w:r>
        <w:rPr>
          <w:rFonts w:hint="default" w:ascii="Times New Roman" w:hAnsi="Times New Roman" w:eastAsia="宋体" w:cs="Times New Roman"/>
          <w:color w:val="auto"/>
          <w:kern w:val="0"/>
          <w:sz w:val="24"/>
          <w:highlight w:val="none"/>
        </w:rPr>
        <w:t>的泄漏量。事故发生后</w:t>
      </w:r>
      <w:r>
        <w:rPr>
          <w:rFonts w:hint="default" w:ascii="Times New Roman" w:hAnsi="Times New Roman" w:eastAsia="宋体" w:cs="Times New Roman"/>
          <w:color w:val="auto"/>
          <w:kern w:val="0"/>
          <w:sz w:val="24"/>
          <w:highlight w:val="none"/>
          <w:lang w:eastAsia="zh-CN"/>
        </w:rPr>
        <w:t>，</w:t>
      </w:r>
      <w:r>
        <w:rPr>
          <w:rFonts w:hint="default" w:ascii="Times New Roman" w:hAnsi="Times New Roman" w:eastAsia="宋体" w:cs="Times New Roman"/>
          <w:color w:val="auto"/>
          <w:kern w:val="0"/>
          <w:sz w:val="24"/>
          <w:highlight w:val="none"/>
        </w:rPr>
        <w:t>及时对下泄路线范围内的残存</w:t>
      </w:r>
      <w:r>
        <w:rPr>
          <w:rFonts w:hint="default" w:ascii="Times New Roman" w:hAnsi="Times New Roman" w:eastAsia="宋体" w:cs="Times New Roman"/>
          <w:color w:val="auto"/>
          <w:kern w:val="0"/>
          <w:sz w:val="24"/>
          <w:highlight w:val="none"/>
          <w:lang w:eastAsia="zh-CN"/>
        </w:rPr>
        <w:t>尾矿砂</w:t>
      </w:r>
      <w:r>
        <w:rPr>
          <w:rFonts w:hint="default" w:ascii="Times New Roman" w:hAnsi="Times New Roman" w:eastAsia="宋体" w:cs="Times New Roman"/>
          <w:color w:val="auto"/>
          <w:kern w:val="0"/>
          <w:sz w:val="24"/>
          <w:highlight w:val="none"/>
        </w:rPr>
        <w:t>进行回收清理</w:t>
      </w:r>
      <w:r>
        <w:rPr>
          <w:rFonts w:hint="default" w:ascii="Times New Roman" w:hAnsi="Times New Roman" w:eastAsia="宋体" w:cs="Times New Roman"/>
          <w:color w:val="auto"/>
          <w:kern w:val="0"/>
          <w:sz w:val="24"/>
          <w:highlight w:val="none"/>
          <w:lang w:eastAsia="zh-CN"/>
        </w:rPr>
        <w:t>，</w:t>
      </w:r>
      <w:r>
        <w:rPr>
          <w:rFonts w:hint="default" w:ascii="Times New Roman" w:hAnsi="Times New Roman" w:eastAsia="宋体" w:cs="Times New Roman"/>
          <w:color w:val="auto"/>
          <w:kern w:val="0"/>
          <w:sz w:val="24"/>
          <w:highlight w:val="none"/>
        </w:rPr>
        <w:t>清理至尾矿库</w:t>
      </w:r>
      <w:r>
        <w:rPr>
          <w:rFonts w:hint="default" w:ascii="Times New Roman" w:hAnsi="Times New Roman" w:eastAsia="宋体" w:cs="Times New Roman"/>
          <w:color w:val="auto"/>
          <w:kern w:val="0"/>
          <w:sz w:val="24"/>
          <w:highlight w:val="none"/>
          <w:lang w:eastAsia="zh-CN"/>
        </w:rPr>
        <w:t>，</w:t>
      </w:r>
      <w:r>
        <w:rPr>
          <w:rFonts w:hint="default" w:ascii="Times New Roman" w:hAnsi="Times New Roman" w:eastAsia="宋体" w:cs="Times New Roman"/>
          <w:color w:val="auto"/>
          <w:kern w:val="0"/>
          <w:sz w:val="24"/>
          <w:highlight w:val="none"/>
        </w:rPr>
        <w:t>避免</w:t>
      </w:r>
      <w:r>
        <w:rPr>
          <w:rFonts w:hint="default" w:ascii="Times New Roman" w:hAnsi="Times New Roman" w:eastAsia="宋体" w:cs="Times New Roman"/>
          <w:color w:val="auto"/>
          <w:sz w:val="24"/>
          <w:highlight w:val="none"/>
        </w:rPr>
        <w:t>裸露的尾矿砂的堆存时间。采取上述措施后</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尾矿砂中重金</w:t>
      </w:r>
      <w:r>
        <w:rPr>
          <w:rFonts w:hint="default" w:ascii="Times New Roman" w:hAnsi="Times New Roman" w:eastAsia="宋体" w:cs="Times New Roman"/>
          <w:color w:val="auto"/>
          <w:sz w:val="24"/>
          <w:highlight w:val="none"/>
          <w:lang w:eastAsia="zh-CN"/>
        </w:rPr>
        <w:t>属</w:t>
      </w:r>
      <w:r>
        <w:rPr>
          <w:rFonts w:hint="default" w:ascii="Times New Roman" w:hAnsi="Times New Roman" w:eastAsia="宋体" w:cs="Times New Roman"/>
          <w:color w:val="auto"/>
          <w:sz w:val="24"/>
          <w:highlight w:val="none"/>
        </w:rPr>
        <w:t>因子运移对周边土壤、地下水环境影响较小。</w:t>
      </w:r>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kern w:val="0"/>
          <w:sz w:val="24"/>
          <w:highlight w:val="none"/>
          <w:lang w:val="en-US" w:eastAsia="zh-CN"/>
        </w:rPr>
      </w:pPr>
      <w:r>
        <w:rPr>
          <w:rFonts w:hint="default" w:ascii="Times New Roman" w:hAnsi="Times New Roman" w:eastAsia="宋体" w:cs="Times New Roman"/>
          <w:color w:val="auto"/>
          <w:kern w:val="0"/>
          <w:sz w:val="24"/>
          <w:highlight w:val="none"/>
        </w:rPr>
        <w:t>综上所述</w:t>
      </w:r>
      <w:r>
        <w:rPr>
          <w:rFonts w:hint="default" w:ascii="Times New Roman" w:hAnsi="Times New Roman" w:eastAsia="宋体" w:cs="Times New Roman"/>
          <w:color w:val="auto"/>
          <w:kern w:val="0"/>
          <w:sz w:val="24"/>
          <w:highlight w:val="none"/>
          <w:lang w:eastAsia="zh-CN"/>
        </w:rPr>
        <w:t>，</w:t>
      </w:r>
      <w:r>
        <w:rPr>
          <w:rFonts w:hint="default" w:ascii="Times New Roman" w:hAnsi="Times New Roman" w:eastAsia="宋体" w:cs="Times New Roman"/>
          <w:color w:val="auto"/>
          <w:kern w:val="0"/>
          <w:sz w:val="24"/>
          <w:highlight w:val="none"/>
        </w:rPr>
        <w:t>本项目实施后的尾矿库严格按可研设计要求进行施工</w:t>
      </w:r>
      <w:r>
        <w:rPr>
          <w:rFonts w:hint="default" w:ascii="Times New Roman" w:hAnsi="Times New Roman" w:eastAsia="宋体" w:cs="Times New Roman"/>
          <w:color w:val="auto"/>
          <w:kern w:val="0"/>
          <w:sz w:val="24"/>
          <w:highlight w:val="none"/>
          <w:lang w:eastAsia="zh-CN"/>
        </w:rPr>
        <w:t>，</w:t>
      </w:r>
      <w:r>
        <w:rPr>
          <w:rFonts w:hint="default" w:ascii="Times New Roman" w:hAnsi="Times New Roman" w:eastAsia="宋体" w:cs="Times New Roman"/>
          <w:color w:val="auto"/>
          <w:kern w:val="0"/>
          <w:sz w:val="24"/>
          <w:highlight w:val="none"/>
        </w:rPr>
        <w:t>经安全、环保等部门验收后再投入使用。日常严格按照《尾矿库安全监督管理规定》及一般工业固废应执行《一般工业固体废物贮存和填埋污染控制标准》（GB18599-2020</w:t>
      </w:r>
      <w:r>
        <w:rPr>
          <w:rFonts w:hint="default" w:ascii="Times New Roman" w:hAnsi="Times New Roman" w:eastAsia="宋体" w:cs="Times New Roman"/>
          <w:color w:val="auto"/>
          <w:kern w:val="0"/>
          <w:sz w:val="24"/>
          <w:highlight w:val="none"/>
          <w:lang w:eastAsia="zh-CN"/>
        </w:rPr>
        <w:t>）</w:t>
      </w:r>
      <w:r>
        <w:rPr>
          <w:rFonts w:hint="default" w:ascii="Times New Roman" w:hAnsi="Times New Roman" w:eastAsia="宋体" w:cs="Times New Roman"/>
          <w:color w:val="auto"/>
          <w:kern w:val="0"/>
          <w:sz w:val="24"/>
          <w:highlight w:val="none"/>
        </w:rPr>
        <w:t>中的要求进行管理</w:t>
      </w:r>
      <w:r>
        <w:rPr>
          <w:rFonts w:hint="default" w:ascii="Times New Roman" w:hAnsi="Times New Roman" w:eastAsia="宋体" w:cs="Times New Roman"/>
          <w:color w:val="auto"/>
          <w:kern w:val="0"/>
          <w:sz w:val="24"/>
          <w:highlight w:val="none"/>
          <w:lang w:eastAsia="zh-CN"/>
        </w:rPr>
        <w:t>，</w:t>
      </w:r>
      <w:r>
        <w:rPr>
          <w:rFonts w:hint="default" w:ascii="Times New Roman" w:hAnsi="Times New Roman" w:eastAsia="宋体" w:cs="Times New Roman"/>
          <w:color w:val="auto"/>
          <w:kern w:val="0"/>
          <w:sz w:val="24"/>
          <w:highlight w:val="none"/>
        </w:rPr>
        <w:t>规范尾矿砂的处理工序。采取以上措施后</w:t>
      </w:r>
      <w:r>
        <w:rPr>
          <w:rFonts w:hint="default" w:ascii="Times New Roman" w:hAnsi="Times New Roman" w:eastAsia="宋体" w:cs="Times New Roman"/>
          <w:color w:val="auto"/>
          <w:kern w:val="0"/>
          <w:sz w:val="24"/>
          <w:highlight w:val="none"/>
          <w:lang w:eastAsia="zh-CN"/>
        </w:rPr>
        <w:t>，</w:t>
      </w:r>
      <w:r>
        <w:rPr>
          <w:rFonts w:hint="default" w:ascii="Times New Roman" w:hAnsi="Times New Roman" w:eastAsia="宋体" w:cs="Times New Roman"/>
          <w:color w:val="auto"/>
          <w:kern w:val="0"/>
          <w:sz w:val="24"/>
          <w:highlight w:val="none"/>
        </w:rPr>
        <w:t>尾矿库发生事故的可能性会大大降低</w:t>
      </w:r>
      <w:r>
        <w:rPr>
          <w:rFonts w:hint="default" w:ascii="Times New Roman" w:hAnsi="Times New Roman" w:eastAsia="宋体" w:cs="Times New Roman"/>
          <w:color w:val="auto"/>
          <w:kern w:val="0"/>
          <w:sz w:val="24"/>
          <w:highlight w:val="none"/>
          <w:lang w:val="en-US" w:eastAsia="zh-CN"/>
        </w:rPr>
        <w:t>。</w:t>
      </w:r>
    </w:p>
    <w:p>
      <w:pPr>
        <w:pStyle w:val="4"/>
        <w:pageBreakBefore w:val="0"/>
        <w:numPr>
          <w:ilvl w:val="1"/>
          <w:numId w:val="0"/>
        </w:numPr>
        <w:wordWrap/>
        <w:bidi w:val="0"/>
        <w:ind w:left="0" w:leftChars="0" w:right="0" w:rightChars="0" w:firstLine="0" w:firstLineChars="0"/>
        <w:rPr>
          <w:rFonts w:hint="default" w:ascii="Times New Roman" w:hAnsi="Times New Roman" w:eastAsia="宋体" w:cs="Times New Roman"/>
          <w:b/>
          <w:bCs/>
          <w:color w:val="auto"/>
          <w:highlight w:val="none"/>
        </w:rPr>
      </w:pPr>
      <w:bookmarkStart w:id="1322" w:name="_Toc20589"/>
      <w:bookmarkStart w:id="1323" w:name="_Toc385615777"/>
      <w:bookmarkStart w:id="1324" w:name="_Toc439257882"/>
      <w:bookmarkStart w:id="1325" w:name="_Toc426048356"/>
      <w:bookmarkStart w:id="1326" w:name="_Toc477086287"/>
      <w:bookmarkStart w:id="1327" w:name="_Toc37315983"/>
      <w:bookmarkStart w:id="1328" w:name="_Toc10510_WPSOffice_Level2"/>
      <w:bookmarkStart w:id="1329" w:name="_Toc392663580"/>
      <w:bookmarkStart w:id="1330" w:name="_Toc26231"/>
      <w:bookmarkStart w:id="1331" w:name="_Toc3385_WPSOffice_Level2"/>
      <w:bookmarkStart w:id="1332" w:name="_Toc3665"/>
      <w:bookmarkStart w:id="1333" w:name="_Toc381868553"/>
      <w:bookmarkStart w:id="1334" w:name="_Toc20705"/>
      <w:r>
        <w:rPr>
          <w:rFonts w:hint="default" w:ascii="Times New Roman" w:hAnsi="Times New Roman" w:eastAsia="宋体" w:cs="Times New Roman"/>
          <w:b/>
          <w:bCs/>
          <w:i w:val="0"/>
          <w:color w:val="auto"/>
          <w:kern w:val="2"/>
          <w:sz w:val="28"/>
          <w:szCs w:val="28"/>
          <w:highlight w:val="none"/>
          <w:lang w:val="en-US" w:eastAsia="zh-CN" w:bidi="ar-SA"/>
        </w:rPr>
        <w:t>8.5</w:t>
      </w:r>
      <w:r>
        <w:rPr>
          <w:rFonts w:hint="default" w:ascii="Times New Roman" w:hAnsi="Times New Roman" w:eastAsia="宋体" w:cs="Times New Roman"/>
          <w:b/>
          <w:bCs/>
          <w:color w:val="auto"/>
          <w:highlight w:val="none"/>
        </w:rPr>
        <w:t>环境风险防治措施</w:t>
      </w:r>
      <w:bookmarkEnd w:id="1322"/>
      <w:bookmarkEnd w:id="1323"/>
      <w:bookmarkEnd w:id="1324"/>
      <w:bookmarkEnd w:id="1325"/>
      <w:bookmarkEnd w:id="1326"/>
      <w:bookmarkEnd w:id="1327"/>
      <w:bookmarkEnd w:id="1328"/>
      <w:bookmarkEnd w:id="1329"/>
      <w:bookmarkEnd w:id="1330"/>
      <w:bookmarkEnd w:id="1331"/>
      <w:bookmarkEnd w:id="1332"/>
      <w:bookmarkEnd w:id="1333"/>
      <w:bookmarkEnd w:id="1334"/>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企业经</w:t>
      </w:r>
      <w:r>
        <w:rPr>
          <w:rFonts w:hint="default" w:ascii="Times New Roman" w:hAnsi="Times New Roman" w:eastAsia="宋体" w:cs="Times New Roman"/>
          <w:color w:val="auto"/>
          <w:sz w:val="24"/>
          <w:highlight w:val="none"/>
          <w:lang w:eastAsia="zh-CN"/>
        </w:rPr>
        <w:t>营</w:t>
      </w:r>
      <w:r>
        <w:rPr>
          <w:rFonts w:hint="default" w:ascii="Times New Roman" w:hAnsi="Times New Roman" w:eastAsia="宋体" w:cs="Times New Roman"/>
          <w:color w:val="auto"/>
          <w:sz w:val="24"/>
          <w:highlight w:val="none"/>
        </w:rPr>
        <w:t>管理者作为尾矿库安全生产第一责任人</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应设立相应的机构</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制定规章制度</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配备专业技术人员负责尾矿库安全工作。放矿应有专人管理；尾矿库应有专人看守、巡视</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特别是汛期更应加强。尾矿库进行妥善管理和维护</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停止生产时应将输浆、回水管路以及集水、回水池清空</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以</w:t>
      </w:r>
      <w:r>
        <w:rPr>
          <w:rFonts w:hint="default" w:ascii="Times New Roman" w:hAnsi="Times New Roman" w:eastAsia="宋体" w:cs="Times New Roman"/>
          <w:color w:val="auto"/>
          <w:sz w:val="24"/>
          <w:highlight w:val="none"/>
          <w:lang w:eastAsia="zh-CN"/>
        </w:rPr>
        <w:t>防冻胀</w:t>
      </w:r>
      <w:r>
        <w:rPr>
          <w:rFonts w:hint="default" w:ascii="Times New Roman" w:hAnsi="Times New Roman" w:eastAsia="宋体" w:cs="Times New Roman"/>
          <w:color w:val="auto"/>
          <w:sz w:val="24"/>
          <w:highlight w:val="none"/>
        </w:rPr>
        <w:t>对上述设施造成破坏。</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1、必须经常对各输水管网和回水管网的防渗保护措施进行可靠性检查</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严禁使用一般的渗井、渗坑排水。</w:t>
      </w:r>
    </w:p>
    <w:p>
      <w:pPr>
        <w:pageBreakBefore w:val="0"/>
        <w:wordWrap/>
        <w:bidi w:val="0"/>
        <w:spacing w:line="360" w:lineRule="auto"/>
        <w:ind w:left="0" w:leftChars="0" w:right="0" w:rightChars="0" w:firstLine="480" w:firstLineChars="200"/>
        <w:outlineLvl w:val="2"/>
        <w:rPr>
          <w:rFonts w:hint="default" w:ascii="Times New Roman" w:hAnsi="Times New Roman" w:eastAsia="宋体" w:cs="Times New Roman"/>
          <w:color w:val="auto"/>
          <w:sz w:val="24"/>
          <w:highlight w:val="none"/>
        </w:rPr>
      </w:pPr>
      <w:bookmarkStart w:id="1335" w:name="_Toc62488449"/>
      <w:bookmarkStart w:id="1336" w:name="_Toc22227"/>
      <w:bookmarkStart w:id="1337" w:name="_Toc37846908"/>
      <w:bookmarkStart w:id="1338" w:name="_Toc4296"/>
      <w:bookmarkStart w:id="1339" w:name="_Toc38557801"/>
      <w:bookmarkStart w:id="1340" w:name="_Toc37315984"/>
      <w:bookmarkStart w:id="1341" w:name="_Toc37595506"/>
      <w:r>
        <w:rPr>
          <w:rFonts w:hint="default" w:ascii="Times New Roman" w:hAnsi="Times New Roman" w:eastAsia="宋体" w:cs="Times New Roman"/>
          <w:color w:val="auto"/>
          <w:sz w:val="24"/>
          <w:highlight w:val="none"/>
        </w:rPr>
        <w:t>2、应建立尾矿库检查维护制度；</w:t>
      </w:r>
      <w:bookmarkEnd w:id="1335"/>
      <w:bookmarkEnd w:id="1336"/>
      <w:bookmarkEnd w:id="1337"/>
      <w:bookmarkEnd w:id="1338"/>
      <w:bookmarkEnd w:id="1339"/>
      <w:bookmarkEnd w:id="1340"/>
      <w:bookmarkEnd w:id="1341"/>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3、回水排水系统检查</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严格按照设计文件的要求和有关技术规范</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做好回水排水系统的日常检查；做好防汛度汛、抗震等安全检查；清理好排洪、截洪设施。</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4、设施检查</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规范工作人员操作</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密切观察尾矿库排水斜槽、</w:t>
      </w:r>
      <w:r>
        <w:rPr>
          <w:rFonts w:hint="default" w:ascii="Times New Roman" w:hAnsi="Times New Roman" w:eastAsia="宋体" w:cs="Times New Roman"/>
          <w:color w:val="auto"/>
          <w:sz w:val="24"/>
          <w:highlight w:val="none"/>
          <w:lang w:eastAsia="zh-CN"/>
        </w:rPr>
        <w:t>回水池</w:t>
      </w:r>
      <w:r>
        <w:rPr>
          <w:rFonts w:hint="default" w:ascii="Times New Roman" w:hAnsi="Times New Roman" w:eastAsia="宋体" w:cs="Times New Roman"/>
          <w:color w:val="auto"/>
          <w:sz w:val="24"/>
          <w:highlight w:val="none"/>
        </w:rPr>
        <w:t>等的排水情况</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调节、保持沉淀水面高度</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防止废水溢出。定期检查维护放矿设施、堤坝和高位水池等</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发现有损坏或异常时</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应及时采取措施</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保障正常运行。</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5、选矿厂至尾矿库间铺设输浆管路（一备一用</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采用坝上均匀放矿方式</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使尾矿砂由底向上逐渐在坝前形成干滩</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保证</w:t>
      </w:r>
      <w:r>
        <w:rPr>
          <w:rFonts w:hint="default" w:ascii="Times New Roman" w:hAnsi="Times New Roman" w:eastAsia="宋体" w:cs="Times New Roman"/>
          <w:color w:val="auto"/>
          <w:sz w:val="24"/>
          <w:highlight w:val="none"/>
          <w:lang w:eastAsia="zh-CN"/>
        </w:rPr>
        <w:t>尾矿水</w:t>
      </w:r>
      <w:r>
        <w:rPr>
          <w:rFonts w:hint="default" w:ascii="Times New Roman" w:hAnsi="Times New Roman" w:eastAsia="宋体" w:cs="Times New Roman"/>
          <w:color w:val="auto"/>
          <w:sz w:val="24"/>
          <w:highlight w:val="none"/>
        </w:rPr>
        <w:t>不直接浸润坝体</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尾矿库采用上游筑坝法</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不得坝后或坝侧放矿。尾矿库最小安全超高应不小于0.5m</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坝顶至库内水位高差不小于2m。另外</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尾矿库的滩顶高程必须满足生产、防汛以及回水的要求。</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6、企业应做好防洪度汛工作</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定期检查维护堤、坝、导流渠等设施</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发现有损坏可能或异常</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应及时采取必要措施</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以确保尾矿库的安全有效</w:t>
      </w:r>
      <w:r>
        <w:rPr>
          <w:rFonts w:hint="default" w:ascii="Times New Roman" w:hAnsi="Times New Roman" w:eastAsia="宋体" w:cs="Times New Roman"/>
          <w:color w:val="auto"/>
          <w:sz w:val="24"/>
          <w:highlight w:val="none"/>
          <w:lang w:eastAsia="zh-CN"/>
        </w:rPr>
        <w:t>地</w:t>
      </w:r>
      <w:r>
        <w:rPr>
          <w:rFonts w:hint="default" w:ascii="Times New Roman" w:hAnsi="Times New Roman" w:eastAsia="宋体" w:cs="Times New Roman"/>
          <w:color w:val="auto"/>
          <w:sz w:val="24"/>
          <w:highlight w:val="none"/>
        </w:rPr>
        <w:t>运</w:t>
      </w:r>
      <w:r>
        <w:rPr>
          <w:rFonts w:hint="default" w:ascii="Times New Roman" w:hAnsi="Times New Roman" w:eastAsia="宋体" w:cs="Times New Roman"/>
          <w:color w:val="auto"/>
          <w:sz w:val="24"/>
          <w:highlight w:val="none"/>
          <w:lang w:eastAsia="zh-CN"/>
        </w:rPr>
        <w:t>营</w:t>
      </w:r>
      <w:r>
        <w:rPr>
          <w:rFonts w:hint="default" w:ascii="Times New Roman" w:hAnsi="Times New Roman" w:eastAsia="宋体" w:cs="Times New Roman"/>
          <w:color w:val="auto"/>
          <w:sz w:val="24"/>
          <w:highlight w:val="none"/>
        </w:rPr>
        <w:t>。</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7、对坝体稳定性不足的</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要采取削坡、压坡、降低浸润线等措施</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使坝体稳定性满足要求；完善坝面排水沟和土石覆盖</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有条件的要平整库面</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覆土并恢复植被。</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8、按照《尾矿库安全监督管理规定》</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在企业运</w:t>
      </w:r>
      <w:r>
        <w:rPr>
          <w:rFonts w:hint="default" w:ascii="Times New Roman" w:hAnsi="Times New Roman" w:eastAsia="宋体" w:cs="Times New Roman"/>
          <w:color w:val="auto"/>
          <w:sz w:val="24"/>
          <w:highlight w:val="none"/>
          <w:lang w:eastAsia="zh-CN"/>
        </w:rPr>
        <w:t>营</w:t>
      </w:r>
      <w:r>
        <w:rPr>
          <w:rFonts w:hint="default" w:ascii="Times New Roman" w:hAnsi="Times New Roman" w:eastAsia="宋体" w:cs="Times New Roman"/>
          <w:color w:val="auto"/>
          <w:sz w:val="24"/>
          <w:highlight w:val="none"/>
        </w:rPr>
        <w:t>过程中</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尾矿库应当每三年至少进行一次安全评价。评价内容应包括现场调查、资料收集、危险因素识别、相关安全性验算以及编写安全评价报告。</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9、尾矿库坝体在使用到最终设计高程的1/2到2/3时</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必须进行一次尾矿库安全评价</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对坝体进行稳定验算</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确保大坝安全。对坝体稳定性不足的</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采取削坡、压坡、降低浸润线等措施</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使坝体稳定性满足要求。</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10、项目运</w:t>
      </w:r>
      <w:r>
        <w:rPr>
          <w:rFonts w:hint="default" w:ascii="Times New Roman" w:hAnsi="Times New Roman" w:eastAsia="宋体" w:cs="Times New Roman"/>
          <w:color w:val="auto"/>
          <w:sz w:val="24"/>
          <w:highlight w:val="none"/>
          <w:lang w:eastAsia="zh-CN"/>
        </w:rPr>
        <w:t>营</w:t>
      </w:r>
      <w:r>
        <w:rPr>
          <w:rFonts w:hint="default" w:ascii="Times New Roman" w:hAnsi="Times New Roman" w:eastAsia="宋体" w:cs="Times New Roman"/>
          <w:color w:val="auto"/>
          <w:sz w:val="24"/>
          <w:highlight w:val="none"/>
        </w:rPr>
        <w:t>期间监测所有监控井</w:t>
      </w:r>
      <w:r>
        <w:rPr>
          <w:rFonts w:hint="default" w:ascii="Times New Roman" w:hAnsi="Times New Roman" w:eastAsia="宋体" w:cs="Times New Roman"/>
          <w:color w:val="auto"/>
          <w:sz w:val="24"/>
          <w:highlight w:val="none"/>
          <w:lang w:eastAsia="zh-CN"/>
        </w:rPr>
        <w:t>（1#E109°25'32.33"，N40°48'56.79"；2#E109°26'06.67"，N40°48'16.35"；3#E109°25'16.02"，N40°47'18.73"；）</w:t>
      </w:r>
      <w:r>
        <w:rPr>
          <w:rFonts w:hint="default" w:ascii="Times New Roman" w:hAnsi="Times New Roman" w:eastAsia="宋体" w:cs="Times New Roman"/>
          <w:color w:val="auto"/>
          <w:sz w:val="24"/>
          <w:highlight w:val="none"/>
        </w:rPr>
        <w:t>井中目前井水的本底值后并按照本报告书提出的环境监测监控计划定期对井内水质进行监测</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若发现异常或污染</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应立即停产向有关部门上报</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并及时采取补救措施</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将污染危害控制在最低限度。</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11、尾矿库应按《环境保护图形标志—固体废物贮存（处置</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场》设置环境保护图形标志</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并按其规定进行检查和维护。并在其终点线上游建设围栏</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禁止人群进入、防止牲畜误入。</w:t>
      </w:r>
    </w:p>
    <w:p>
      <w:pPr>
        <w:pageBreakBefore w:val="0"/>
        <w:wordWrap/>
        <w:bidi w:val="0"/>
        <w:spacing w:line="360" w:lineRule="auto"/>
        <w:ind w:left="0" w:leftChars="0" w:right="0" w:rightChars="0" w:firstLine="480" w:firstLineChars="200"/>
        <w:outlineLvl w:val="2"/>
        <w:rPr>
          <w:rFonts w:hint="default" w:ascii="Times New Roman" w:hAnsi="Times New Roman" w:eastAsia="宋体" w:cs="Times New Roman"/>
          <w:color w:val="auto"/>
          <w:sz w:val="24"/>
          <w:highlight w:val="none"/>
        </w:rPr>
      </w:pPr>
      <w:bookmarkStart w:id="1342" w:name="_Toc37595507"/>
      <w:bookmarkStart w:id="1343" w:name="_Toc62488450"/>
      <w:bookmarkStart w:id="1344" w:name="_Toc38557802"/>
      <w:bookmarkStart w:id="1345" w:name="_Toc13550"/>
      <w:bookmarkStart w:id="1346" w:name="_Toc13633"/>
      <w:bookmarkStart w:id="1347" w:name="_Toc37846909"/>
      <w:bookmarkStart w:id="1348" w:name="_Toc37315985"/>
      <w:r>
        <w:rPr>
          <w:rFonts w:hint="default" w:ascii="Times New Roman" w:hAnsi="Times New Roman" w:eastAsia="宋体" w:cs="Times New Roman"/>
          <w:color w:val="auto"/>
          <w:sz w:val="24"/>
          <w:highlight w:val="none"/>
        </w:rPr>
        <w:t>12、尾矿库闭库及后续建设</w:t>
      </w:r>
      <w:bookmarkEnd w:id="1342"/>
      <w:bookmarkEnd w:id="1343"/>
      <w:bookmarkEnd w:id="1344"/>
      <w:bookmarkEnd w:id="1345"/>
      <w:bookmarkEnd w:id="1346"/>
      <w:bookmarkEnd w:id="1347"/>
      <w:bookmarkEnd w:id="1348"/>
    </w:p>
    <w:p>
      <w:pPr>
        <w:pageBreakBefore w:val="0"/>
        <w:wordWrap/>
        <w:bidi w:val="0"/>
        <w:adjustRightIn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（1</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尾矿库剩余服务年限为</w:t>
      </w:r>
      <w:r>
        <w:rPr>
          <w:rFonts w:hint="default" w:ascii="Times New Roman" w:hAnsi="Times New Roman" w:eastAsia="宋体" w:cs="Times New Roman"/>
          <w:color w:val="auto"/>
          <w:sz w:val="24"/>
          <w:highlight w:val="none"/>
          <w:lang w:val="en-US" w:eastAsia="zh-CN"/>
        </w:rPr>
        <w:t>4.6</w:t>
      </w:r>
      <w:r>
        <w:rPr>
          <w:rFonts w:hint="default" w:ascii="Times New Roman" w:hAnsi="Times New Roman" w:eastAsia="宋体" w:cs="Times New Roman"/>
          <w:color w:val="auto"/>
          <w:sz w:val="24"/>
          <w:highlight w:val="none"/>
        </w:rPr>
        <w:t>年</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闭库后对库区进行复垦</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恢复植被。评价要求在该尾矿库服务期满前进行后续设计</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以满足矿山服务年限内尾矿砂的堆存处置要求。</w:t>
      </w:r>
    </w:p>
    <w:p>
      <w:pPr>
        <w:pageBreakBefore w:val="0"/>
        <w:wordWrap/>
        <w:bidi w:val="0"/>
        <w:adjustRightIn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（2</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矿山后期开采产生的尾矿砂堆存活动应严格按照尾矿库设计要求进行堆放</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尾矿库坝体在使用到最终设计高程前1年</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企业必须进行闭库整治设计</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闭库安全评价必须在闭库前一年完成</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确保尾矿库闭库后的防洪能力和尾矿坝稳定系数满足《尾矿库安全技术规程》（AQ2006-2005</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的要求。</w:t>
      </w:r>
    </w:p>
    <w:p>
      <w:pPr>
        <w:pageBreakBefore w:val="0"/>
        <w:wordWrap/>
        <w:bidi w:val="0"/>
        <w:adjustRightIn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（3</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尾矿库闭库设计和闭库施工方案</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未经省级以上安全生产监督管理部门审查或审查不合格的</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企业不得进行尾矿库闭库施工。尾矿库闭库工程结束后</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报安全生产监督管理部门组织安全验收</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验收合格后方可关闭尾矿库</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负责闭库后的尾矿库安全管理工作。本评价要求在该尾矿库服务期满前进行后续设计</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以满足选矿厂服务年限内尾矿砂的堆存处置要求。</w:t>
      </w:r>
    </w:p>
    <w:p>
      <w:pPr>
        <w:pageBreakBefore w:val="0"/>
        <w:wordWrap/>
        <w:bidi w:val="0"/>
        <w:adjustRightInd w:val="0"/>
        <w:spacing w:line="360" w:lineRule="auto"/>
        <w:ind w:left="0" w:leftChars="0" w:right="0" w:rightChars="0" w:firstLine="480" w:firstLineChars="200"/>
        <w:outlineLvl w:val="0"/>
        <w:rPr>
          <w:rFonts w:hint="default" w:ascii="Times New Roman" w:hAnsi="Times New Roman" w:eastAsia="宋体" w:cs="Times New Roman"/>
          <w:color w:val="auto"/>
          <w:sz w:val="24"/>
          <w:highlight w:val="none"/>
        </w:rPr>
      </w:pPr>
      <w:bookmarkStart w:id="1349" w:name="_Toc728"/>
      <w:bookmarkStart w:id="1350" w:name="_Toc7695"/>
      <w:r>
        <w:rPr>
          <w:rFonts w:hint="default" w:ascii="Times New Roman" w:hAnsi="Times New Roman" w:eastAsia="宋体" w:cs="Times New Roman"/>
          <w:color w:val="auto"/>
          <w:sz w:val="24"/>
          <w:highlight w:val="none"/>
        </w:rPr>
        <w:t>（4</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封场后</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地下水监测系统应继续维持正常运转。</w:t>
      </w:r>
      <w:bookmarkEnd w:id="1349"/>
      <w:bookmarkEnd w:id="1350"/>
    </w:p>
    <w:p>
      <w:pPr>
        <w:pageBreakBefore w:val="0"/>
        <w:wordWrap/>
        <w:bidi w:val="0"/>
        <w:adjustRightIn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尾矿库封场后</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仍需继续维护管理</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直到稳定为止。封场后</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应设置标志物</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注明关闭或封场时间</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以及使用该土地时应注意的事项</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并进行植被恢复工作。</w:t>
      </w:r>
    </w:p>
    <w:p>
      <w:pPr>
        <w:pStyle w:val="4"/>
        <w:pageBreakBefore w:val="0"/>
        <w:numPr>
          <w:ilvl w:val="1"/>
          <w:numId w:val="0"/>
        </w:numPr>
        <w:wordWrap/>
        <w:bidi w:val="0"/>
        <w:ind w:left="0" w:leftChars="0" w:right="0" w:rightChars="0" w:firstLine="0" w:firstLineChars="0"/>
        <w:rPr>
          <w:rFonts w:hint="default" w:ascii="Times New Roman" w:hAnsi="Times New Roman" w:eastAsia="宋体" w:cs="Times New Roman"/>
          <w:b/>
          <w:bCs/>
          <w:color w:val="auto"/>
          <w:sz w:val="28"/>
          <w:szCs w:val="28"/>
          <w:highlight w:val="none"/>
        </w:rPr>
      </w:pPr>
      <w:bookmarkStart w:id="1351" w:name="_Toc392663581"/>
      <w:bookmarkStart w:id="1352" w:name="_Toc381868554"/>
      <w:bookmarkStart w:id="1353" w:name="_Toc10065"/>
      <w:bookmarkStart w:id="1354" w:name="_Toc426048357"/>
      <w:bookmarkStart w:id="1355" w:name="_Toc28730_WPSOffice_Level2"/>
      <w:bookmarkStart w:id="1356" w:name="_Toc477086288"/>
      <w:bookmarkStart w:id="1357" w:name="_Toc385615778"/>
      <w:bookmarkStart w:id="1358" w:name="_Toc1699"/>
      <w:bookmarkStart w:id="1359" w:name="_Toc28136"/>
      <w:bookmarkStart w:id="1360" w:name="_Toc439257889"/>
      <w:bookmarkStart w:id="1361" w:name="_Toc124"/>
      <w:bookmarkStart w:id="1362" w:name="_Toc13949_WPSOffice_Level2"/>
      <w:r>
        <w:rPr>
          <w:rFonts w:hint="default" w:ascii="Times New Roman" w:hAnsi="Times New Roman" w:eastAsia="宋体" w:cs="Times New Roman"/>
          <w:b/>
          <w:bCs/>
          <w:i w:val="0"/>
          <w:color w:val="auto"/>
          <w:kern w:val="2"/>
          <w:sz w:val="28"/>
          <w:szCs w:val="28"/>
          <w:highlight w:val="none"/>
          <w:lang w:val="en-US" w:eastAsia="zh-CN" w:bidi="ar-SA"/>
        </w:rPr>
        <w:t>8.6</w:t>
      </w:r>
      <w:r>
        <w:rPr>
          <w:rFonts w:hint="default" w:ascii="Times New Roman" w:hAnsi="Times New Roman" w:eastAsia="宋体" w:cs="Times New Roman"/>
          <w:b/>
          <w:bCs/>
          <w:color w:val="auto"/>
          <w:sz w:val="28"/>
          <w:szCs w:val="28"/>
          <w:highlight w:val="none"/>
        </w:rPr>
        <w:t>应急预案</w:t>
      </w:r>
      <w:bookmarkEnd w:id="1351"/>
      <w:bookmarkEnd w:id="1352"/>
      <w:bookmarkEnd w:id="1353"/>
      <w:bookmarkEnd w:id="1354"/>
      <w:bookmarkEnd w:id="1355"/>
      <w:bookmarkEnd w:id="1356"/>
      <w:bookmarkEnd w:id="1357"/>
      <w:bookmarkEnd w:id="1358"/>
      <w:bookmarkEnd w:id="1359"/>
      <w:bookmarkEnd w:id="1360"/>
      <w:bookmarkEnd w:id="1361"/>
      <w:bookmarkEnd w:id="1362"/>
    </w:p>
    <w:p>
      <w:pPr>
        <w:pageBreakBefore w:val="0"/>
        <w:wordWrap/>
        <w:bidi w:val="0"/>
        <w:adjustRightInd w:val="0"/>
        <w:snapToGrid w:val="0"/>
        <w:spacing w:line="360" w:lineRule="auto"/>
        <w:ind w:left="0" w:leftChars="0" w:right="0" w:rightChars="0" w:firstLine="482" w:firstLineChars="200"/>
        <w:outlineLvl w:val="2"/>
        <w:rPr>
          <w:rFonts w:hint="default" w:ascii="Times New Roman" w:hAnsi="Times New Roman" w:eastAsia="宋体" w:cs="Times New Roman"/>
          <w:b/>
          <w:color w:val="auto"/>
          <w:sz w:val="24"/>
          <w:highlight w:val="none"/>
          <w:lang w:val="en-GB"/>
        </w:rPr>
      </w:pPr>
      <w:bookmarkStart w:id="1363" w:name="_Toc12463_WPSOffice_Level3"/>
      <w:bookmarkStart w:id="1364" w:name="_Toc62488452"/>
      <w:bookmarkStart w:id="1365" w:name="_Toc37846911"/>
      <w:bookmarkStart w:id="1366" w:name="_Toc37315987"/>
      <w:bookmarkStart w:id="1367" w:name="_Toc29596_WPSOffice_Level3"/>
      <w:bookmarkStart w:id="1368" w:name="_Toc31476"/>
      <w:bookmarkStart w:id="1369" w:name="_Toc13956_WPSOffice_Level3"/>
      <w:bookmarkStart w:id="1370" w:name="_Toc38557804"/>
      <w:bookmarkStart w:id="1371" w:name="_Toc37595509"/>
      <w:bookmarkStart w:id="1372" w:name="_Toc1"/>
      <w:r>
        <w:rPr>
          <w:rFonts w:hint="default" w:ascii="Times New Roman" w:hAnsi="Times New Roman" w:eastAsia="宋体" w:cs="Times New Roman"/>
          <w:b/>
          <w:color w:val="auto"/>
          <w:sz w:val="24"/>
          <w:highlight w:val="none"/>
          <w:lang w:val="en-GB"/>
        </w:rPr>
        <w:t>1、应急救援指挥部的组成、职责及分工</w:t>
      </w:r>
      <w:bookmarkEnd w:id="1363"/>
      <w:bookmarkEnd w:id="1364"/>
      <w:bookmarkEnd w:id="1365"/>
      <w:bookmarkEnd w:id="1366"/>
      <w:bookmarkEnd w:id="1367"/>
      <w:bookmarkEnd w:id="1368"/>
      <w:bookmarkEnd w:id="1369"/>
      <w:bookmarkEnd w:id="1370"/>
      <w:bookmarkEnd w:id="1371"/>
      <w:bookmarkEnd w:id="1372"/>
    </w:p>
    <w:p>
      <w:pPr>
        <w:pageBreakBefore w:val="0"/>
        <w:wordWrap/>
        <w:bidi w:val="0"/>
        <w:adjustRightInd w:val="0"/>
        <w:snapToGrid w:val="0"/>
        <w:spacing w:line="360" w:lineRule="auto"/>
        <w:ind w:left="0" w:leftChars="0" w:right="0" w:rightChars="0" w:firstLine="456" w:firstLineChars="200"/>
        <w:rPr>
          <w:rFonts w:hint="default" w:ascii="Times New Roman" w:hAnsi="Times New Roman" w:eastAsia="宋体" w:cs="Times New Roman"/>
          <w:color w:val="auto"/>
          <w:spacing w:val="-6"/>
          <w:sz w:val="24"/>
          <w:highlight w:val="none"/>
          <w:lang w:val="en-GB"/>
        </w:rPr>
      </w:pPr>
      <w:r>
        <w:rPr>
          <w:rFonts w:hint="default" w:ascii="Times New Roman" w:hAnsi="Times New Roman" w:eastAsia="宋体" w:cs="Times New Roman"/>
          <w:color w:val="auto"/>
          <w:spacing w:val="-6"/>
          <w:sz w:val="24"/>
          <w:highlight w:val="none"/>
          <w:lang w:val="en-GB"/>
        </w:rPr>
        <w:t>①企业的应急救援指挥部应由公司总经理任总指挥</w:t>
      </w:r>
      <w:r>
        <w:rPr>
          <w:rFonts w:hint="default" w:ascii="Times New Roman" w:hAnsi="Times New Roman" w:eastAsia="宋体" w:cs="Times New Roman"/>
          <w:color w:val="auto"/>
          <w:spacing w:val="-6"/>
          <w:sz w:val="24"/>
          <w:highlight w:val="none"/>
          <w:lang w:val="en-GB" w:eastAsia="zh-CN"/>
        </w:rPr>
        <w:t>，</w:t>
      </w:r>
      <w:r>
        <w:rPr>
          <w:rFonts w:hint="default" w:ascii="Times New Roman" w:hAnsi="Times New Roman" w:eastAsia="宋体" w:cs="Times New Roman"/>
          <w:color w:val="auto"/>
          <w:spacing w:val="-6"/>
          <w:sz w:val="24"/>
          <w:highlight w:val="none"/>
          <w:lang w:val="en-GB"/>
        </w:rPr>
        <w:t>各部门领导出任副总指挥；</w:t>
      </w:r>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lang w:val="en-GB"/>
        </w:rPr>
      </w:pPr>
      <w:r>
        <w:rPr>
          <w:rFonts w:hint="default" w:ascii="Times New Roman" w:hAnsi="Times New Roman" w:eastAsia="宋体" w:cs="Times New Roman"/>
          <w:color w:val="auto"/>
          <w:sz w:val="24"/>
          <w:highlight w:val="none"/>
          <w:lang w:val="en-GB"/>
        </w:rPr>
        <w:t>②制定事故应急救援预案；</w:t>
      </w:r>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lang w:val="en-GB"/>
        </w:rPr>
      </w:pPr>
      <w:r>
        <w:rPr>
          <w:rFonts w:hint="default" w:ascii="Times New Roman" w:hAnsi="Times New Roman" w:eastAsia="宋体" w:cs="Times New Roman"/>
          <w:color w:val="auto"/>
          <w:sz w:val="24"/>
          <w:highlight w:val="none"/>
          <w:lang w:val="en-GB"/>
        </w:rPr>
        <w:t>③组成应急救援专业队伍</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监督检查和做好各项救援准备工作；</w:t>
      </w:r>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lang w:val="en-GB"/>
        </w:rPr>
      </w:pPr>
      <w:r>
        <w:rPr>
          <w:rFonts w:hint="default" w:ascii="Times New Roman" w:hAnsi="Times New Roman" w:eastAsia="宋体" w:cs="Times New Roman"/>
          <w:color w:val="auto"/>
          <w:sz w:val="24"/>
          <w:highlight w:val="none"/>
          <w:lang w:val="en-GB"/>
        </w:rPr>
        <w:t>④发布和解除应急救援令</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指挥应急队伍</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实施应急行动；</w:t>
      </w:r>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lang w:val="en-GB"/>
        </w:rPr>
      </w:pPr>
      <w:r>
        <w:rPr>
          <w:rFonts w:hint="default" w:ascii="Times New Roman" w:hAnsi="Times New Roman" w:eastAsia="宋体" w:cs="Times New Roman"/>
          <w:color w:val="auto"/>
          <w:sz w:val="24"/>
          <w:highlight w:val="none"/>
          <w:lang w:val="en-GB"/>
        </w:rPr>
        <w:t>⑤向上级汇报并向社会救援组织通报事故情况；</w:t>
      </w:r>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lang w:val="en-GB"/>
        </w:rPr>
      </w:pPr>
      <w:r>
        <w:rPr>
          <w:rFonts w:hint="default" w:ascii="Times New Roman" w:hAnsi="Times New Roman" w:eastAsia="宋体" w:cs="Times New Roman"/>
          <w:color w:val="auto"/>
          <w:sz w:val="24"/>
          <w:highlight w:val="none"/>
          <w:lang w:val="en-GB"/>
        </w:rPr>
        <w:t>⑥组织调查事故原因</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总结应急救援工作的经验教训</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并做好善后工作；</w:t>
      </w:r>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lang w:val="en-GB"/>
        </w:rPr>
      </w:pPr>
      <w:r>
        <w:rPr>
          <w:rFonts w:hint="default" w:ascii="Times New Roman" w:hAnsi="Times New Roman" w:eastAsia="宋体" w:cs="Times New Roman"/>
          <w:color w:val="auto"/>
          <w:sz w:val="24"/>
          <w:highlight w:val="none"/>
          <w:lang w:val="en-GB"/>
        </w:rPr>
        <w:t>⑦设有专人负责事故报警、报告及事故处理工作；协助领导做好事故处理及布置安全、环保防范措施</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落实事故现场环境监测工作；组织成立抢险、抢修队</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负责现场抢险、抢险工作；负责治安、警戒、疏散人群和现场保卫工作；负责现场医疗救护</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受伤人员抢救及护送工作。</w:t>
      </w:r>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lang w:val="en-GB" w:eastAsia="zh-CN"/>
        </w:rPr>
      </w:pPr>
      <w:r>
        <w:rPr>
          <w:rFonts w:hint="default" w:ascii="Times New Roman" w:hAnsi="Times New Roman" w:eastAsia="宋体" w:cs="Times New Roman"/>
          <w:color w:val="auto"/>
          <w:sz w:val="24"/>
          <w:highlight w:val="none"/>
          <w:lang w:val="en-GB"/>
        </w:rPr>
        <w:t>⑧尾矿库要设有专门的管理人员</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当尾矿库出现重大险情时</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应当立即报告安全生产监督管理部门和当地政府</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启动应急预案</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进行应急抢险救援</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防止险情扩大</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避免人员伤亡。重大险情包括</w:t>
      </w:r>
      <w:r>
        <w:rPr>
          <w:rFonts w:hint="default" w:ascii="Times New Roman" w:hAnsi="Times New Roman" w:eastAsia="宋体" w:cs="Times New Roman"/>
          <w:color w:val="auto"/>
          <w:sz w:val="24"/>
          <w:highlight w:val="none"/>
          <w:lang w:val="en-GB" w:eastAsia="zh-CN"/>
        </w:rPr>
        <w:t>：</w:t>
      </w:r>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lang w:val="en-GB"/>
        </w:rPr>
      </w:pPr>
      <w:r>
        <w:rPr>
          <w:rFonts w:hint="default" w:ascii="Times New Roman" w:hAnsi="Times New Roman" w:eastAsia="宋体" w:cs="Times New Roman"/>
          <w:color w:val="auto"/>
          <w:sz w:val="24"/>
          <w:highlight w:val="none"/>
          <w:lang w:val="en-GB"/>
        </w:rPr>
        <w:t>a</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库内水位超过限制的最高洪水位</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有洪水漫顶危险的；</w:t>
      </w:r>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lang w:val="en-GB"/>
        </w:rPr>
      </w:pPr>
      <w:r>
        <w:rPr>
          <w:rFonts w:hint="default" w:ascii="Times New Roman" w:hAnsi="Times New Roman" w:eastAsia="宋体" w:cs="Times New Roman"/>
          <w:color w:val="auto"/>
          <w:sz w:val="24"/>
          <w:highlight w:val="none"/>
          <w:lang w:val="en-GB"/>
        </w:rPr>
        <w:t>b</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尾矿库发生坝体坍塌、洪水漫顶等事故时；</w:t>
      </w:r>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lang w:val="en-GB"/>
        </w:rPr>
      </w:pPr>
      <w:r>
        <w:rPr>
          <w:rFonts w:hint="default" w:ascii="Times New Roman" w:hAnsi="Times New Roman" w:eastAsia="宋体" w:cs="Times New Roman"/>
          <w:color w:val="auto"/>
          <w:sz w:val="24"/>
          <w:highlight w:val="none"/>
          <w:lang w:val="en-GB"/>
        </w:rPr>
        <w:t>c</w:t>
      </w:r>
      <w:r>
        <w:rPr>
          <w:rFonts w:hint="default" w:ascii="Times New Roman" w:hAnsi="Times New Roman" w:eastAsia="宋体" w:cs="Times New Roman"/>
          <w:color w:val="auto"/>
          <w:sz w:val="24"/>
          <w:highlight w:val="none"/>
          <w:lang w:val="en-GB" w:eastAsia="zh-CN"/>
        </w:rPr>
        <w:t>.其他</w:t>
      </w:r>
      <w:r>
        <w:rPr>
          <w:rFonts w:hint="default" w:ascii="Times New Roman" w:hAnsi="Times New Roman" w:eastAsia="宋体" w:cs="Times New Roman"/>
          <w:color w:val="auto"/>
          <w:sz w:val="24"/>
          <w:highlight w:val="none"/>
          <w:lang w:val="en-GB"/>
        </w:rPr>
        <w:t>危及尾矿库安全的险情。</w:t>
      </w:r>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lang w:val="en-GB"/>
        </w:rPr>
      </w:pPr>
      <w:r>
        <w:rPr>
          <w:rFonts w:hint="default" w:ascii="Times New Roman" w:hAnsi="Times New Roman" w:eastAsia="宋体" w:cs="Times New Roman"/>
          <w:color w:val="auto"/>
          <w:sz w:val="24"/>
          <w:highlight w:val="none"/>
          <w:lang w:val="en-GB"/>
        </w:rPr>
        <w:t>企业在发生事故后</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应进行事故后果评价</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并将有关情况通报上级环保主管部门。</w:t>
      </w:r>
    </w:p>
    <w:p>
      <w:pPr>
        <w:pageBreakBefore w:val="0"/>
        <w:wordWrap/>
        <w:bidi w:val="0"/>
        <w:adjustRightInd w:val="0"/>
        <w:snapToGrid w:val="0"/>
        <w:spacing w:line="360" w:lineRule="auto"/>
        <w:ind w:left="0" w:leftChars="0" w:right="0" w:rightChars="0" w:firstLine="482" w:firstLineChars="200"/>
        <w:outlineLvl w:val="2"/>
        <w:rPr>
          <w:rFonts w:hint="default" w:ascii="Times New Roman" w:hAnsi="Times New Roman" w:eastAsia="宋体" w:cs="Times New Roman"/>
          <w:b/>
          <w:color w:val="auto"/>
          <w:sz w:val="24"/>
          <w:highlight w:val="none"/>
          <w:lang w:val="en-GB"/>
        </w:rPr>
      </w:pPr>
      <w:bookmarkStart w:id="1373" w:name="_Toc1430_WPSOffice_Level3"/>
      <w:bookmarkStart w:id="1374" w:name="_Toc26198"/>
      <w:bookmarkStart w:id="1375" w:name="_Toc6823_WPSOffice_Level3"/>
      <w:bookmarkStart w:id="1376" w:name="_Toc10249"/>
      <w:bookmarkStart w:id="1377" w:name="_Toc12720_WPSOffice_Level3"/>
      <w:r>
        <w:rPr>
          <w:rFonts w:hint="default" w:ascii="Times New Roman" w:hAnsi="Times New Roman" w:eastAsia="宋体" w:cs="Times New Roman"/>
          <w:b/>
          <w:color w:val="auto"/>
          <w:sz w:val="24"/>
          <w:highlight w:val="none"/>
          <w:lang w:val="en-GB"/>
        </w:rPr>
        <w:t>2、预防与预警</w:t>
      </w:r>
      <w:bookmarkEnd w:id="1373"/>
      <w:bookmarkEnd w:id="1374"/>
      <w:bookmarkEnd w:id="1375"/>
      <w:bookmarkEnd w:id="1376"/>
      <w:bookmarkEnd w:id="1377"/>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lang w:val="en-GB"/>
        </w:rPr>
      </w:pPr>
      <w:r>
        <w:rPr>
          <w:rFonts w:hint="default" w:ascii="Times New Roman" w:hAnsi="Times New Roman" w:eastAsia="宋体" w:cs="Times New Roman"/>
          <w:color w:val="auto"/>
          <w:sz w:val="24"/>
          <w:highlight w:val="none"/>
          <w:lang w:val="en-GB"/>
        </w:rPr>
        <w:t>根据突发事件的严重性、紧急程度和可能波及的范围</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划分预警级别（突发环境事件的预警分为四级</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预警级别由低到高</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颜色依次为蓝色、黄色、橙色、红色</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并根据事态的发展情况和采取措施的效果</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提高或者降低应激预警级别。</w:t>
      </w:r>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lang w:val="en-GB"/>
        </w:rPr>
      </w:pPr>
      <w:r>
        <w:rPr>
          <w:rFonts w:hint="default" w:ascii="Times New Roman" w:hAnsi="Times New Roman" w:eastAsia="宋体" w:cs="Times New Roman"/>
          <w:color w:val="auto"/>
          <w:sz w:val="24"/>
          <w:highlight w:val="none"/>
          <w:lang w:val="en-GB"/>
        </w:rPr>
        <w:t>一般（级</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尾矿库出现浅裂缝、滑坡等一般事故。</w:t>
      </w:r>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lang w:val="en-GB"/>
        </w:rPr>
      </w:pPr>
      <w:r>
        <w:rPr>
          <w:rFonts w:hint="default" w:ascii="Times New Roman" w:hAnsi="Times New Roman" w:eastAsia="宋体" w:cs="Times New Roman"/>
          <w:color w:val="auto"/>
          <w:sz w:val="24"/>
          <w:highlight w:val="none"/>
          <w:lang w:val="en-GB"/>
        </w:rPr>
        <w:t>较大（</w:t>
      </w:r>
      <w:r>
        <w:rPr>
          <w:rFonts w:hint="default" w:ascii="Times New Roman" w:hAnsi="Times New Roman" w:eastAsia="宋体" w:cs="Times New Roman"/>
          <w:color w:val="auto"/>
          <w:sz w:val="24"/>
          <w:highlight w:val="none"/>
          <w:lang w:eastAsia="zh-CN"/>
        </w:rPr>
        <w:t>Ⅲ</w:t>
      </w:r>
      <w:r>
        <w:rPr>
          <w:rFonts w:hint="default" w:ascii="Times New Roman" w:hAnsi="Times New Roman" w:eastAsia="宋体" w:cs="Times New Roman"/>
          <w:color w:val="auto"/>
          <w:sz w:val="24"/>
          <w:highlight w:val="none"/>
        </w:rPr>
        <w:t>级</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尾矿坝出现中深裂缝、输送管线泄漏等较大事故。</w:t>
      </w:r>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lang w:val="en-GB"/>
        </w:rPr>
      </w:pPr>
      <w:r>
        <w:rPr>
          <w:rFonts w:hint="default" w:ascii="Times New Roman" w:hAnsi="Times New Roman" w:eastAsia="宋体" w:cs="Times New Roman"/>
          <w:color w:val="auto"/>
          <w:sz w:val="24"/>
          <w:highlight w:val="none"/>
          <w:lang w:val="en-GB"/>
        </w:rPr>
        <w:t>重大（</w:t>
      </w:r>
      <w:r>
        <w:rPr>
          <w:rFonts w:hint="default" w:ascii="Times New Roman" w:hAnsi="Times New Roman" w:eastAsia="宋体" w:cs="Times New Roman"/>
          <w:color w:val="auto"/>
          <w:sz w:val="24"/>
          <w:highlight w:val="none"/>
          <w:lang w:val="en-GB" w:eastAsia="zh-CN"/>
        </w:rPr>
        <w:t>Ⅱ级）：</w:t>
      </w:r>
      <w:r>
        <w:rPr>
          <w:rFonts w:hint="default" w:ascii="Times New Roman" w:hAnsi="Times New Roman" w:eastAsia="宋体" w:cs="Times New Roman"/>
          <w:color w:val="auto"/>
          <w:sz w:val="24"/>
          <w:highlight w:val="none"/>
          <w:lang w:val="en-GB"/>
        </w:rPr>
        <w:t>尾矿库出现洪水漫顶、管涌、较深裂缝等重大事故。</w:t>
      </w:r>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lang w:val="en-GB"/>
        </w:rPr>
      </w:pPr>
      <w:r>
        <w:rPr>
          <w:rFonts w:hint="default" w:ascii="Times New Roman" w:hAnsi="Times New Roman" w:eastAsia="宋体" w:cs="Times New Roman"/>
          <w:color w:val="auto"/>
          <w:sz w:val="24"/>
          <w:highlight w:val="none"/>
          <w:lang w:val="en-GB"/>
        </w:rPr>
        <w:t>特大（</w:t>
      </w:r>
      <w:r>
        <w:rPr>
          <w:rFonts w:hint="default" w:ascii="Times New Roman" w:hAnsi="Times New Roman" w:eastAsia="宋体" w:cs="Times New Roman"/>
          <w:color w:val="auto"/>
          <w:sz w:val="24"/>
          <w:highlight w:val="none"/>
        </w:rPr>
        <w:t>I级</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尾矿库发生溃坝重大事故。</w:t>
      </w:r>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lang w:val="en-GB"/>
        </w:rPr>
      </w:pPr>
      <w:r>
        <w:rPr>
          <w:rFonts w:hint="default" w:ascii="Times New Roman" w:hAnsi="Times New Roman" w:eastAsia="宋体" w:cs="Times New Roman"/>
          <w:color w:val="auto"/>
          <w:sz w:val="24"/>
          <w:highlight w:val="none"/>
          <w:lang w:val="en-GB"/>
        </w:rPr>
        <w:t>突发环境事件即将发生或发生的可能性增大时</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按照应急预案执行。</w:t>
      </w:r>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lang w:val="en-GB" w:eastAsia="zh-CN"/>
        </w:rPr>
      </w:pPr>
      <w:r>
        <w:rPr>
          <w:rFonts w:hint="default" w:ascii="Times New Roman" w:hAnsi="Times New Roman" w:eastAsia="宋体" w:cs="Times New Roman"/>
          <w:color w:val="auto"/>
          <w:sz w:val="24"/>
          <w:highlight w:val="none"/>
          <w:lang w:val="en-GB"/>
        </w:rPr>
        <w:t>进入预警状态后</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将采取以下措施</w:t>
      </w:r>
      <w:r>
        <w:rPr>
          <w:rFonts w:hint="default" w:ascii="Times New Roman" w:hAnsi="Times New Roman" w:eastAsia="宋体" w:cs="Times New Roman"/>
          <w:color w:val="auto"/>
          <w:sz w:val="24"/>
          <w:highlight w:val="none"/>
          <w:lang w:val="en-GB" w:eastAsia="zh-CN"/>
        </w:rPr>
        <w:t>：</w:t>
      </w:r>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lang w:val="en-GB"/>
        </w:rPr>
      </w:pPr>
      <w:r>
        <w:rPr>
          <w:rFonts w:hint="default" w:ascii="Times New Roman" w:hAnsi="Times New Roman" w:eastAsia="宋体" w:cs="Times New Roman"/>
          <w:color w:val="auto"/>
          <w:sz w:val="24"/>
          <w:highlight w:val="none"/>
          <w:lang w:val="en-GB"/>
        </w:rPr>
        <w:t>（1</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立即启动应急预案；</w:t>
      </w:r>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lang w:val="en-GB"/>
        </w:rPr>
      </w:pPr>
      <w:r>
        <w:rPr>
          <w:rFonts w:hint="default" w:ascii="Times New Roman" w:hAnsi="Times New Roman" w:eastAsia="宋体" w:cs="Times New Roman"/>
          <w:color w:val="auto"/>
          <w:sz w:val="24"/>
          <w:highlight w:val="none"/>
          <w:lang w:val="en-GB"/>
        </w:rPr>
        <w:t>（2</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发布预警公告；</w:t>
      </w:r>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lang w:val="en-GB"/>
        </w:rPr>
      </w:pPr>
      <w:r>
        <w:rPr>
          <w:rFonts w:hint="default" w:ascii="Times New Roman" w:hAnsi="Times New Roman" w:eastAsia="宋体" w:cs="Times New Roman"/>
          <w:color w:val="auto"/>
          <w:sz w:val="24"/>
          <w:highlight w:val="none"/>
          <w:lang w:val="en-GB"/>
        </w:rPr>
        <w:t>（3</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转移、撤离或者疏散可能受到危害的人员（除尾矿库作业人员外</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还要及时通知、组织尾矿库下游下泄距离范围内的人员</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及时撤离到安全地点</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并进行妥善安置；</w:t>
      </w:r>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lang w:val="en-GB"/>
        </w:rPr>
      </w:pPr>
      <w:r>
        <w:rPr>
          <w:rFonts w:hint="default" w:ascii="Times New Roman" w:hAnsi="Times New Roman" w:eastAsia="宋体" w:cs="Times New Roman"/>
          <w:color w:val="auto"/>
          <w:sz w:val="24"/>
          <w:highlight w:val="none"/>
          <w:lang w:val="en-GB"/>
        </w:rPr>
        <w:t>（4</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指令环境应急救援队伍进入应急状态；</w:t>
      </w:r>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lang w:val="en-GB"/>
        </w:rPr>
      </w:pPr>
      <w:r>
        <w:rPr>
          <w:rFonts w:hint="default" w:ascii="Times New Roman" w:hAnsi="Times New Roman" w:eastAsia="宋体" w:cs="Times New Roman"/>
          <w:color w:val="auto"/>
          <w:sz w:val="24"/>
          <w:highlight w:val="none"/>
          <w:lang w:val="en-GB"/>
        </w:rPr>
        <w:t>（5</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调集环境应急所需物资和设备</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确保应急保障工作。</w:t>
      </w:r>
    </w:p>
    <w:p>
      <w:pPr>
        <w:pageBreakBefore w:val="0"/>
        <w:wordWrap/>
        <w:bidi w:val="0"/>
        <w:adjustRightInd w:val="0"/>
        <w:snapToGrid w:val="0"/>
        <w:spacing w:line="360" w:lineRule="auto"/>
        <w:ind w:left="0" w:leftChars="0" w:right="0" w:rightChars="0" w:firstLine="482" w:firstLineChars="200"/>
        <w:outlineLvl w:val="2"/>
        <w:rPr>
          <w:rFonts w:hint="default" w:ascii="Times New Roman" w:hAnsi="Times New Roman" w:eastAsia="宋体" w:cs="Times New Roman"/>
          <w:b/>
          <w:color w:val="auto"/>
          <w:sz w:val="24"/>
          <w:highlight w:val="none"/>
        </w:rPr>
      </w:pPr>
      <w:bookmarkStart w:id="1378" w:name="_Toc31611_WPSOffice_Level3"/>
      <w:bookmarkStart w:id="1379" w:name="_Toc30353_WPSOffice_Level3"/>
      <w:bookmarkStart w:id="1380" w:name="_Toc14878_WPSOffice_Level3"/>
      <w:bookmarkStart w:id="1381" w:name="_Toc23035"/>
      <w:bookmarkStart w:id="1382" w:name="_Toc1562"/>
      <w:r>
        <w:rPr>
          <w:rFonts w:hint="default" w:ascii="Times New Roman" w:hAnsi="Times New Roman" w:eastAsia="宋体" w:cs="Times New Roman"/>
          <w:b/>
          <w:color w:val="auto"/>
          <w:sz w:val="24"/>
          <w:highlight w:val="none"/>
          <w:lang w:val="en-GB"/>
        </w:rPr>
        <w:t>3、</w:t>
      </w:r>
      <w:r>
        <w:rPr>
          <w:rFonts w:hint="default" w:ascii="Times New Roman" w:hAnsi="Times New Roman" w:eastAsia="宋体" w:cs="Times New Roman"/>
          <w:b/>
          <w:color w:val="auto"/>
          <w:sz w:val="24"/>
          <w:highlight w:val="none"/>
        </w:rPr>
        <w:t>应急响应</w:t>
      </w:r>
      <w:bookmarkEnd w:id="1378"/>
      <w:bookmarkEnd w:id="1379"/>
      <w:bookmarkEnd w:id="1380"/>
      <w:bookmarkEnd w:id="1381"/>
      <w:bookmarkEnd w:id="1382"/>
    </w:p>
    <w:p>
      <w:pPr>
        <w:pageBreakBefore w:val="0"/>
        <w:wordWrap/>
        <w:bidi w:val="0"/>
        <w:adjustRightInd w:val="0"/>
        <w:snapToGrid w:val="0"/>
        <w:spacing w:line="360" w:lineRule="auto"/>
        <w:ind w:left="0" w:leftChars="0" w:right="0" w:rightChars="0" w:firstLine="480" w:firstLineChars="200"/>
        <w:outlineLvl w:val="0"/>
        <w:rPr>
          <w:rFonts w:hint="default" w:ascii="Times New Roman" w:hAnsi="Times New Roman" w:eastAsia="宋体" w:cs="Times New Roman"/>
          <w:color w:val="auto"/>
          <w:sz w:val="24"/>
          <w:highlight w:val="none"/>
        </w:rPr>
      </w:pPr>
      <w:bookmarkStart w:id="1383" w:name="_Toc29008"/>
      <w:bookmarkStart w:id="1384" w:name="_Toc32421"/>
      <w:r>
        <w:rPr>
          <w:rFonts w:hint="default" w:ascii="Times New Roman" w:hAnsi="Times New Roman" w:eastAsia="宋体" w:cs="Times New Roman"/>
          <w:color w:val="auto"/>
          <w:sz w:val="24"/>
          <w:highlight w:val="none"/>
        </w:rPr>
        <w:t>（1</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响应流程</w:t>
      </w:r>
      <w:bookmarkEnd w:id="1383"/>
      <w:bookmarkEnd w:id="1384"/>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lang w:val="en-GB"/>
        </w:rPr>
      </w:pPr>
      <w:r>
        <w:rPr>
          <w:rFonts w:hint="default" w:ascii="Times New Roman" w:hAnsi="Times New Roman" w:eastAsia="宋体" w:cs="Times New Roman"/>
          <w:color w:val="auto"/>
          <w:sz w:val="24"/>
          <w:highlight w:val="none"/>
        </w:rPr>
        <w:t>按照事故的可控性、严重程度和影响范围</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应急响应级别分为I级、</w:t>
      </w:r>
      <w:r>
        <w:rPr>
          <w:rFonts w:hint="default" w:ascii="Times New Roman" w:hAnsi="Times New Roman" w:eastAsia="宋体" w:cs="Times New Roman"/>
          <w:color w:val="auto"/>
          <w:sz w:val="24"/>
          <w:highlight w:val="none"/>
          <w:lang w:eastAsia="zh-CN"/>
        </w:rPr>
        <w:t>Ⅱ级</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eastAsia="zh-CN"/>
        </w:rPr>
        <w:t>Ⅲ</w:t>
      </w:r>
      <w:r>
        <w:rPr>
          <w:rFonts w:hint="default" w:ascii="Times New Roman" w:hAnsi="Times New Roman" w:eastAsia="宋体" w:cs="Times New Roman"/>
          <w:color w:val="auto"/>
          <w:sz w:val="24"/>
          <w:highlight w:val="none"/>
        </w:rPr>
        <w:t>级、Ⅳ</w:t>
      </w:r>
      <w:r>
        <w:rPr>
          <w:rFonts w:hint="default" w:ascii="Times New Roman" w:hAnsi="Times New Roman" w:eastAsia="宋体" w:cs="Times New Roman"/>
          <w:color w:val="auto"/>
          <w:sz w:val="24"/>
          <w:highlight w:val="none"/>
          <w:lang w:val="en-GB"/>
        </w:rPr>
        <w:t>级响应。</w:t>
      </w:r>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lang w:val="en-GB"/>
        </w:rPr>
      </w:pPr>
      <w:r>
        <w:rPr>
          <w:rFonts w:hint="default" w:ascii="Times New Roman" w:hAnsi="Times New Roman" w:eastAsia="宋体" w:cs="Times New Roman"/>
          <w:color w:val="auto"/>
          <w:sz w:val="24"/>
          <w:highlight w:val="none"/>
        </w:rPr>
        <w:t>①发生了I级、</w:t>
      </w:r>
      <w:r>
        <w:rPr>
          <w:rFonts w:hint="default" w:ascii="Times New Roman" w:hAnsi="Times New Roman" w:eastAsia="宋体" w:cs="Times New Roman"/>
          <w:color w:val="auto"/>
          <w:sz w:val="24"/>
          <w:highlight w:val="none"/>
          <w:lang w:eastAsia="zh-CN"/>
        </w:rPr>
        <w:t>Ⅱ级</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eastAsia="zh-CN"/>
        </w:rPr>
        <w:t>Ⅲ</w:t>
      </w:r>
      <w:r>
        <w:rPr>
          <w:rFonts w:hint="default" w:ascii="Times New Roman" w:hAnsi="Times New Roman" w:eastAsia="宋体" w:cs="Times New Roman"/>
          <w:color w:val="auto"/>
          <w:sz w:val="24"/>
          <w:highlight w:val="none"/>
        </w:rPr>
        <w:t>级、Ⅳ</w:t>
      </w:r>
      <w:r>
        <w:rPr>
          <w:rFonts w:hint="default" w:ascii="Times New Roman" w:hAnsi="Times New Roman" w:eastAsia="宋体" w:cs="Times New Roman"/>
          <w:color w:val="auto"/>
          <w:sz w:val="24"/>
          <w:highlight w:val="none"/>
          <w:lang w:val="en-GB"/>
        </w:rPr>
        <w:t>级响应所规定的事故</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启动公司级及其以下应急救援预案。</w:t>
      </w:r>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lang w:val="en-GB"/>
        </w:rPr>
      </w:pPr>
      <w:r>
        <w:rPr>
          <w:rFonts w:hint="default" w:ascii="Times New Roman" w:hAnsi="Times New Roman" w:eastAsia="宋体" w:cs="Times New Roman"/>
          <w:color w:val="auto"/>
          <w:sz w:val="24"/>
          <w:highlight w:val="none"/>
          <w:lang w:val="en-GB"/>
        </w:rPr>
        <w:t>②在尚未确定响应级别</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实施分级响应之前</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由公司应急办公室联系当地政府</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按照预警处置的要求</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根据实际情况进行先期处置。</w:t>
      </w:r>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lang w:val="en-GB"/>
        </w:rPr>
      </w:pPr>
      <w:r>
        <w:rPr>
          <w:rFonts w:hint="default" w:ascii="Times New Roman" w:hAnsi="Times New Roman" w:eastAsia="宋体" w:cs="Times New Roman"/>
          <w:color w:val="auto"/>
          <w:sz w:val="24"/>
          <w:highlight w:val="none"/>
          <w:lang w:val="en-GB"/>
        </w:rPr>
        <w:t>③公司应急办公室接到</w:t>
      </w:r>
      <w:r>
        <w:rPr>
          <w:rFonts w:hint="default" w:ascii="Times New Roman" w:hAnsi="Times New Roman" w:eastAsia="宋体" w:cs="Times New Roman"/>
          <w:color w:val="auto"/>
          <w:sz w:val="24"/>
          <w:highlight w:val="none"/>
        </w:rPr>
        <w:t>I级、</w:t>
      </w:r>
      <w:r>
        <w:rPr>
          <w:rFonts w:hint="default" w:ascii="Times New Roman" w:hAnsi="Times New Roman" w:eastAsia="宋体" w:cs="Times New Roman"/>
          <w:color w:val="auto"/>
          <w:sz w:val="24"/>
          <w:highlight w:val="none"/>
          <w:lang w:eastAsia="zh-CN"/>
        </w:rPr>
        <w:t>Ⅱ级</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eastAsia="zh-CN"/>
        </w:rPr>
        <w:t>Ⅲ</w:t>
      </w:r>
      <w:r>
        <w:rPr>
          <w:rFonts w:hint="default" w:ascii="Times New Roman" w:hAnsi="Times New Roman" w:eastAsia="宋体" w:cs="Times New Roman"/>
          <w:color w:val="auto"/>
          <w:sz w:val="24"/>
          <w:highlight w:val="none"/>
        </w:rPr>
        <w:t>级、Ⅳ</w:t>
      </w:r>
      <w:r>
        <w:rPr>
          <w:rFonts w:hint="default" w:ascii="Times New Roman" w:hAnsi="Times New Roman" w:eastAsia="宋体" w:cs="Times New Roman"/>
          <w:color w:val="auto"/>
          <w:sz w:val="24"/>
          <w:highlight w:val="none"/>
          <w:lang w:val="en-GB"/>
        </w:rPr>
        <w:t>级响应所规定的事故报告后</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立即上报</w:t>
      </w:r>
      <w:r>
        <w:rPr>
          <w:rFonts w:hint="default" w:ascii="Times New Roman" w:hAnsi="Times New Roman" w:eastAsia="宋体" w:cs="Times New Roman"/>
          <w:color w:val="auto"/>
          <w:sz w:val="24"/>
          <w:highlight w:val="none"/>
          <w:lang w:val="en-GB" w:eastAsia="zh-CN"/>
        </w:rPr>
        <w:t>公司</w:t>
      </w:r>
      <w:r>
        <w:rPr>
          <w:rFonts w:hint="default" w:ascii="Times New Roman" w:hAnsi="Times New Roman" w:eastAsia="宋体" w:cs="Times New Roman"/>
          <w:color w:val="auto"/>
          <w:sz w:val="24"/>
          <w:highlight w:val="none"/>
          <w:lang w:val="en-GB"/>
        </w:rPr>
        <w:t>应急救援指挥部</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经指挥长批准同意后</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由指挥长宣布启动公司应急救援工作。公司应急救援指挥部应及时向镇、县、市应急救援机构报告。</w:t>
      </w:r>
    </w:p>
    <w:p>
      <w:pPr>
        <w:pageBreakBefore w:val="0"/>
        <w:wordWrap/>
        <w:bidi w:val="0"/>
        <w:adjustRightInd w:val="0"/>
        <w:snapToGrid w:val="0"/>
        <w:spacing w:line="360" w:lineRule="auto"/>
        <w:ind w:left="0" w:leftChars="0" w:right="0" w:rightChars="0" w:firstLine="480" w:firstLineChars="200"/>
        <w:outlineLvl w:val="0"/>
        <w:rPr>
          <w:rFonts w:hint="default" w:ascii="Times New Roman" w:hAnsi="Times New Roman" w:eastAsia="宋体" w:cs="Times New Roman"/>
          <w:color w:val="auto"/>
          <w:sz w:val="24"/>
          <w:szCs w:val="24"/>
          <w:highlight w:val="none"/>
        </w:rPr>
      </w:pPr>
      <w:bookmarkStart w:id="1385" w:name="_Toc38557805"/>
      <w:bookmarkStart w:id="1386" w:name="_Toc62488453"/>
      <w:bookmarkStart w:id="1387" w:name="_Toc37595510"/>
      <w:bookmarkStart w:id="1388" w:name="_Toc25075"/>
      <w:bookmarkStart w:id="1389" w:name="_Toc37315988"/>
      <w:bookmarkStart w:id="1390" w:name="_Toc37846912"/>
      <w:bookmarkStart w:id="1391" w:name="_Toc21692"/>
      <w:r>
        <w:rPr>
          <w:rFonts w:hint="default" w:ascii="Times New Roman" w:hAnsi="Times New Roman" w:eastAsia="宋体" w:cs="Times New Roman"/>
          <w:color w:val="auto"/>
          <w:sz w:val="24"/>
          <w:szCs w:val="24"/>
          <w:highlight w:val="none"/>
        </w:rPr>
        <w:t>（2</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响应升级</w:t>
      </w:r>
      <w:bookmarkEnd w:id="1385"/>
      <w:bookmarkEnd w:id="1386"/>
      <w:bookmarkEnd w:id="1387"/>
      <w:bookmarkEnd w:id="1388"/>
      <w:bookmarkEnd w:id="1389"/>
      <w:bookmarkEnd w:id="1390"/>
      <w:bookmarkEnd w:id="1391"/>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szCs w:val="24"/>
          <w:highlight w:val="none"/>
          <w:lang w:val="en-GB"/>
        </w:rPr>
      </w:pPr>
      <w:r>
        <w:rPr>
          <w:rFonts w:hint="default" w:ascii="Times New Roman" w:hAnsi="Times New Roman" w:eastAsia="宋体" w:cs="Times New Roman"/>
          <w:color w:val="auto"/>
          <w:sz w:val="24"/>
          <w:szCs w:val="24"/>
          <w:highlight w:val="none"/>
          <w:lang w:val="en-GB"/>
        </w:rPr>
        <w:t>各级应急机构应及时掌握事故的发展状况</w:t>
      </w:r>
      <w:r>
        <w:rPr>
          <w:rFonts w:hint="default" w:ascii="Times New Roman" w:hAnsi="Times New Roman" w:eastAsia="宋体" w:cs="Times New Roman"/>
          <w:color w:val="auto"/>
          <w:sz w:val="24"/>
          <w:szCs w:val="24"/>
          <w:highlight w:val="none"/>
          <w:lang w:val="en-GB" w:eastAsia="zh-CN"/>
        </w:rPr>
        <w:t>，</w:t>
      </w:r>
      <w:r>
        <w:rPr>
          <w:rFonts w:hint="default" w:ascii="Times New Roman" w:hAnsi="Times New Roman" w:eastAsia="宋体" w:cs="Times New Roman"/>
          <w:color w:val="auto"/>
          <w:sz w:val="24"/>
          <w:szCs w:val="24"/>
          <w:highlight w:val="none"/>
          <w:lang w:val="en-GB"/>
        </w:rPr>
        <w:t>超出本级应急处置能力的</w:t>
      </w:r>
      <w:r>
        <w:rPr>
          <w:rFonts w:hint="default" w:ascii="Times New Roman" w:hAnsi="Times New Roman" w:eastAsia="宋体" w:cs="Times New Roman"/>
          <w:color w:val="auto"/>
          <w:sz w:val="24"/>
          <w:szCs w:val="24"/>
          <w:highlight w:val="none"/>
          <w:lang w:val="en-GB" w:eastAsia="zh-CN"/>
        </w:rPr>
        <w:t>，</w:t>
      </w:r>
      <w:r>
        <w:rPr>
          <w:rFonts w:hint="default" w:ascii="Times New Roman" w:hAnsi="Times New Roman" w:eastAsia="宋体" w:cs="Times New Roman"/>
          <w:color w:val="auto"/>
          <w:sz w:val="24"/>
          <w:szCs w:val="24"/>
          <w:highlight w:val="none"/>
          <w:lang w:val="en-GB"/>
        </w:rPr>
        <w:t>必须及时报告上一级应急机构启动上一级应急救援预案。发生了</w:t>
      </w:r>
      <w:r>
        <w:rPr>
          <w:rFonts w:hint="default" w:ascii="Times New Roman" w:hAnsi="Times New Roman" w:eastAsia="宋体" w:cs="Times New Roman"/>
          <w:color w:val="auto"/>
          <w:sz w:val="24"/>
          <w:szCs w:val="24"/>
          <w:highlight w:val="none"/>
        </w:rPr>
        <w:t>I级、</w:t>
      </w:r>
      <w:r>
        <w:rPr>
          <w:rFonts w:hint="default" w:ascii="Times New Roman" w:hAnsi="Times New Roman" w:eastAsia="宋体" w:cs="Times New Roman"/>
          <w:color w:val="auto"/>
          <w:sz w:val="24"/>
          <w:szCs w:val="24"/>
          <w:highlight w:val="none"/>
          <w:lang w:eastAsia="zh-CN"/>
        </w:rPr>
        <w:t>Ⅱ级</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eastAsia="zh-CN"/>
        </w:rPr>
        <w:t>Ⅲ</w:t>
      </w:r>
      <w:r>
        <w:rPr>
          <w:rFonts w:hint="default" w:ascii="Times New Roman" w:hAnsi="Times New Roman" w:eastAsia="宋体" w:cs="Times New Roman"/>
          <w:color w:val="auto"/>
          <w:sz w:val="24"/>
          <w:szCs w:val="24"/>
          <w:highlight w:val="none"/>
        </w:rPr>
        <w:t>级响应所规定的事故时</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由公司应急救援指挥部报请县、市和省</w:t>
      </w:r>
      <w:r>
        <w:rPr>
          <w:rFonts w:hint="default" w:ascii="Times New Roman" w:hAnsi="Times New Roman" w:eastAsia="宋体" w:cs="Times New Roman"/>
          <w:color w:val="auto"/>
          <w:sz w:val="24"/>
          <w:szCs w:val="24"/>
          <w:highlight w:val="none"/>
          <w:lang w:val="en-GB"/>
        </w:rPr>
        <w:t>应急救援机构启动相关行政级别应急救援预案。上一级应急救援预案启动后</w:t>
      </w:r>
      <w:r>
        <w:rPr>
          <w:rFonts w:hint="default" w:ascii="Times New Roman" w:hAnsi="Times New Roman" w:eastAsia="宋体" w:cs="Times New Roman"/>
          <w:color w:val="auto"/>
          <w:sz w:val="24"/>
          <w:szCs w:val="24"/>
          <w:highlight w:val="none"/>
          <w:lang w:val="en-GB" w:eastAsia="zh-CN"/>
        </w:rPr>
        <w:t>，</w:t>
      </w:r>
      <w:r>
        <w:rPr>
          <w:rFonts w:hint="default" w:ascii="Times New Roman" w:hAnsi="Times New Roman" w:eastAsia="宋体" w:cs="Times New Roman"/>
          <w:color w:val="auto"/>
          <w:sz w:val="24"/>
          <w:szCs w:val="24"/>
          <w:highlight w:val="none"/>
          <w:lang w:val="en-GB"/>
        </w:rPr>
        <w:t>相关的下级应急救援预案随之启动。</w:t>
      </w:r>
    </w:p>
    <w:p>
      <w:pPr>
        <w:pageBreakBefore w:val="0"/>
        <w:wordWrap/>
        <w:bidi w:val="0"/>
        <w:adjustRightInd w:val="0"/>
        <w:snapToGrid w:val="0"/>
        <w:spacing w:line="360" w:lineRule="auto"/>
        <w:ind w:left="0" w:leftChars="0" w:right="0" w:rightChars="0" w:firstLine="482" w:firstLineChars="200"/>
        <w:outlineLvl w:val="1"/>
        <w:rPr>
          <w:rFonts w:hint="default" w:ascii="Times New Roman" w:hAnsi="Times New Roman" w:eastAsia="宋体" w:cs="Times New Roman"/>
          <w:b/>
          <w:color w:val="auto"/>
          <w:sz w:val="24"/>
          <w:highlight w:val="none"/>
          <w:lang w:val="en-GB"/>
        </w:rPr>
      </w:pPr>
      <w:bookmarkStart w:id="1392" w:name="_Toc37315989"/>
      <w:bookmarkStart w:id="1393" w:name="_Toc27518"/>
      <w:bookmarkStart w:id="1394" w:name="_Toc37595511"/>
      <w:bookmarkStart w:id="1395" w:name="_Toc19528_WPSOffice_Level3"/>
      <w:bookmarkStart w:id="1396" w:name="_Toc37846913"/>
      <w:bookmarkStart w:id="1397" w:name="_Toc21932_WPSOffice_Level3"/>
      <w:bookmarkStart w:id="1398" w:name="_Toc19397_WPSOffice_Level3"/>
      <w:bookmarkStart w:id="1399" w:name="_Toc979"/>
      <w:bookmarkStart w:id="1400" w:name="_Toc62488454"/>
      <w:bookmarkStart w:id="1401" w:name="_Toc38557806"/>
      <w:r>
        <w:rPr>
          <w:rFonts w:hint="default" w:ascii="Times New Roman" w:hAnsi="Times New Roman" w:eastAsia="宋体" w:cs="Times New Roman"/>
          <w:b/>
          <w:color w:val="auto"/>
          <w:sz w:val="24"/>
          <w:highlight w:val="none"/>
          <w:lang w:val="en-GB"/>
        </w:rPr>
        <w:t>4、应急监测</w:t>
      </w:r>
      <w:bookmarkEnd w:id="1392"/>
      <w:bookmarkEnd w:id="1393"/>
      <w:bookmarkEnd w:id="1394"/>
      <w:bookmarkEnd w:id="1395"/>
      <w:bookmarkEnd w:id="1396"/>
      <w:bookmarkEnd w:id="1397"/>
      <w:bookmarkEnd w:id="1398"/>
      <w:bookmarkEnd w:id="1399"/>
      <w:bookmarkEnd w:id="1400"/>
      <w:bookmarkEnd w:id="1401"/>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现场应急监测由环境保护部门负责。</w:t>
      </w:r>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监测点位置</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本项目事故监测主要是进行尾矿库下游地下水环境和土壤环境监测。</w:t>
      </w:r>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监测项目包括</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地下水</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pH、总硬度、溶解性总固体、硫酸盐、氟化物、氯化物、硝酸盐氮、亚硝酸盐氮、挥发性酚、硫化物、NH</w:t>
      </w:r>
      <w:r>
        <w:rPr>
          <w:rFonts w:hint="default" w:ascii="Times New Roman" w:hAnsi="Times New Roman" w:eastAsia="宋体" w:cs="Times New Roman"/>
          <w:color w:val="auto"/>
          <w:sz w:val="24"/>
          <w:highlight w:val="none"/>
          <w:vertAlign w:val="subscript"/>
        </w:rPr>
        <w:t>3</w:t>
      </w:r>
      <w:r>
        <w:rPr>
          <w:rFonts w:hint="default" w:ascii="Times New Roman" w:hAnsi="Times New Roman" w:eastAsia="宋体" w:cs="Times New Roman"/>
          <w:color w:val="auto"/>
          <w:sz w:val="24"/>
          <w:highlight w:val="none"/>
        </w:rPr>
        <w:t>-N、Pb、As、Hg、Cr</w:t>
      </w:r>
      <w:r>
        <w:rPr>
          <w:rFonts w:hint="default" w:ascii="Times New Roman" w:hAnsi="Times New Roman" w:eastAsia="宋体" w:cs="Times New Roman"/>
          <w:color w:val="auto"/>
          <w:sz w:val="24"/>
          <w:highlight w:val="none"/>
          <w:vertAlign w:val="superscript"/>
        </w:rPr>
        <w:t>6+</w:t>
      </w:r>
      <w:r>
        <w:rPr>
          <w:rFonts w:hint="default" w:ascii="Times New Roman" w:hAnsi="Times New Roman" w:eastAsia="宋体" w:cs="Times New Roman"/>
          <w:color w:val="auto"/>
          <w:sz w:val="24"/>
          <w:highlight w:val="none"/>
        </w:rPr>
        <w:t>、镉、高锰酸盐指数、大肠菌群、</w:t>
      </w:r>
      <w:r>
        <w:rPr>
          <w:rFonts w:hint="default" w:ascii="Times New Roman" w:hAnsi="Times New Roman" w:eastAsia="宋体" w:cs="Times New Roman"/>
          <w:color w:val="auto"/>
          <w:sz w:val="24"/>
          <w:highlight w:val="none"/>
          <w:lang w:eastAsia="zh-CN"/>
        </w:rPr>
        <w:t>菌落总数</w:t>
      </w:r>
      <w:r>
        <w:rPr>
          <w:rFonts w:hint="default" w:ascii="Times New Roman" w:hAnsi="Times New Roman" w:eastAsia="宋体" w:cs="Times New Roman"/>
          <w:color w:val="auto"/>
          <w:sz w:val="24"/>
          <w:highlight w:val="none"/>
        </w:rPr>
        <w:t>等；土壤</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pH、铜、锌、铅、镉、总铬、汞、砷、阳离子交换量</w:t>
      </w:r>
      <w:r>
        <w:rPr>
          <w:rFonts w:hint="default" w:ascii="Times New Roman" w:hAnsi="Times New Roman" w:eastAsia="宋体" w:cs="Times New Roman"/>
          <w:color w:val="auto"/>
          <w:sz w:val="24"/>
          <w:highlight w:val="none"/>
          <w:lang w:eastAsia="zh-CN"/>
        </w:rPr>
        <w:t>、钼</w:t>
      </w:r>
      <w:r>
        <w:rPr>
          <w:rFonts w:hint="default" w:ascii="Times New Roman" w:hAnsi="Times New Roman" w:eastAsia="宋体" w:cs="Times New Roman"/>
          <w:color w:val="auto"/>
          <w:sz w:val="24"/>
          <w:highlight w:val="none"/>
        </w:rPr>
        <w:t>。</w:t>
      </w:r>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lang w:val="en-GB"/>
        </w:rPr>
      </w:pPr>
      <w:r>
        <w:rPr>
          <w:rFonts w:hint="default" w:ascii="Times New Roman" w:hAnsi="Times New Roman" w:eastAsia="宋体" w:cs="Times New Roman"/>
          <w:color w:val="auto"/>
          <w:sz w:val="24"/>
          <w:highlight w:val="none"/>
          <w:lang w:val="en-GB"/>
        </w:rPr>
        <w:t>在事件发生初期</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要根据事件发生地的监测能力和突发事件的严重程度</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适当增加监测点位和频次</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随着污染物的扩散情况和监测结果的变化趋势</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调整监测频次和监测点位。</w:t>
      </w:r>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lang w:val="en-GB"/>
        </w:rPr>
      </w:pPr>
      <w:r>
        <w:rPr>
          <w:rFonts w:hint="default" w:ascii="Times New Roman" w:hAnsi="Times New Roman" w:eastAsia="宋体" w:cs="Times New Roman"/>
          <w:color w:val="auto"/>
          <w:sz w:val="24"/>
          <w:highlight w:val="none"/>
          <w:lang w:val="en-GB"/>
        </w:rPr>
        <w:t>根据监测结果</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综合分析尾矿库突发环境事件污染变化趋势</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并通过专家咨询和讨论的方式</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预测、报告尾矿库突发环境事件的发展情况和污染物的变化情况</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为政府应急决策提供技术支撑。</w:t>
      </w:r>
    </w:p>
    <w:p>
      <w:pPr>
        <w:pageBreakBefore w:val="0"/>
        <w:wordWrap/>
        <w:bidi w:val="0"/>
        <w:adjustRightInd w:val="0"/>
        <w:snapToGrid w:val="0"/>
        <w:spacing w:line="360" w:lineRule="auto"/>
        <w:ind w:left="0" w:leftChars="0" w:right="0" w:rightChars="0" w:firstLine="482" w:firstLineChars="200"/>
        <w:outlineLvl w:val="1"/>
        <w:rPr>
          <w:rFonts w:hint="default" w:ascii="Times New Roman" w:hAnsi="Times New Roman" w:eastAsia="宋体" w:cs="Times New Roman"/>
          <w:b/>
          <w:color w:val="auto"/>
          <w:sz w:val="24"/>
          <w:highlight w:val="none"/>
          <w:lang w:val="en-GB"/>
        </w:rPr>
      </w:pPr>
      <w:bookmarkStart w:id="1402" w:name="_Toc37595512"/>
      <w:bookmarkStart w:id="1403" w:name="_Toc14596_WPSOffice_Level3"/>
      <w:bookmarkStart w:id="1404" w:name="_Toc5011"/>
      <w:bookmarkStart w:id="1405" w:name="_Toc15302"/>
      <w:bookmarkStart w:id="1406" w:name="_Toc2971_WPSOffice_Level3"/>
      <w:bookmarkStart w:id="1407" w:name="_Toc37315990"/>
      <w:bookmarkStart w:id="1408" w:name="_Toc38557807"/>
      <w:bookmarkStart w:id="1409" w:name="_Toc1642_WPSOffice_Level3"/>
      <w:bookmarkStart w:id="1410" w:name="_Toc62488455"/>
      <w:bookmarkStart w:id="1411" w:name="_Toc37846914"/>
      <w:r>
        <w:rPr>
          <w:rFonts w:hint="default" w:ascii="Times New Roman" w:hAnsi="Times New Roman" w:eastAsia="宋体" w:cs="Times New Roman"/>
          <w:b/>
          <w:color w:val="auto"/>
          <w:sz w:val="24"/>
          <w:highlight w:val="none"/>
          <w:lang w:val="en-GB"/>
        </w:rPr>
        <w:t>5、现场处置</w:t>
      </w:r>
      <w:bookmarkEnd w:id="1402"/>
      <w:bookmarkEnd w:id="1403"/>
      <w:bookmarkEnd w:id="1404"/>
      <w:bookmarkEnd w:id="1405"/>
      <w:bookmarkEnd w:id="1406"/>
      <w:bookmarkEnd w:id="1407"/>
      <w:bookmarkEnd w:id="1408"/>
      <w:bookmarkEnd w:id="1409"/>
      <w:bookmarkEnd w:id="1410"/>
      <w:bookmarkEnd w:id="1411"/>
    </w:p>
    <w:p>
      <w:pPr>
        <w:pageBreakBefore w:val="0"/>
        <w:wordWrap/>
        <w:bidi w:val="0"/>
        <w:adjustRightInd w:val="0"/>
        <w:snapToGrid w:val="0"/>
        <w:spacing w:line="360" w:lineRule="auto"/>
        <w:ind w:left="0" w:leftChars="0" w:right="0" w:rightChars="0" w:firstLine="480" w:firstLineChars="200"/>
        <w:outlineLvl w:val="2"/>
        <w:rPr>
          <w:rFonts w:hint="default" w:ascii="Times New Roman" w:hAnsi="Times New Roman" w:eastAsia="宋体" w:cs="Times New Roman"/>
          <w:color w:val="auto"/>
          <w:sz w:val="24"/>
          <w:highlight w:val="none"/>
          <w:lang w:val="en-GB"/>
        </w:rPr>
      </w:pPr>
      <w:bookmarkStart w:id="1412" w:name="_Toc28662"/>
      <w:bookmarkStart w:id="1413" w:name="_Toc4196"/>
      <w:r>
        <w:rPr>
          <w:rFonts w:hint="default" w:ascii="Times New Roman" w:hAnsi="Times New Roman" w:eastAsia="宋体" w:cs="Times New Roman"/>
          <w:color w:val="auto"/>
          <w:sz w:val="24"/>
          <w:highlight w:val="none"/>
          <w:lang w:val="en-GB"/>
        </w:rPr>
        <w:t>①尾矿库企业现场应急处置一般方法</w:t>
      </w:r>
      <w:bookmarkEnd w:id="1412"/>
      <w:bookmarkEnd w:id="1413"/>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lang w:val="en-GB" w:eastAsia="zh-CN"/>
        </w:rPr>
      </w:pPr>
      <w:r>
        <w:rPr>
          <w:rFonts w:hint="default" w:ascii="Times New Roman" w:hAnsi="Times New Roman" w:eastAsia="宋体" w:cs="Times New Roman"/>
          <w:color w:val="auto"/>
          <w:sz w:val="24"/>
          <w:highlight w:val="none"/>
          <w:lang w:val="en-GB"/>
        </w:rPr>
        <w:t>尾矿库突发环境事件发生后</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企业应立即启动本单位应急响应</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执行应急预案</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实施先期处置。救援队伍到达现场后立即了解情况</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确定警戒区和事故控制具体方案</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布置救援任务</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在救援过程中要佩戴好个人防护用品</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并设定警示标志。处置方法如下</w:t>
      </w:r>
      <w:r>
        <w:rPr>
          <w:rFonts w:hint="default" w:ascii="Times New Roman" w:hAnsi="Times New Roman" w:eastAsia="宋体" w:cs="Times New Roman"/>
          <w:color w:val="auto"/>
          <w:sz w:val="24"/>
          <w:highlight w:val="none"/>
          <w:lang w:val="en-GB" w:eastAsia="zh-CN"/>
        </w:rPr>
        <w:t>：</w:t>
      </w:r>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lang w:val="en-GB"/>
        </w:rPr>
      </w:pPr>
      <w:r>
        <w:rPr>
          <w:rFonts w:hint="default" w:ascii="Times New Roman" w:hAnsi="Times New Roman" w:eastAsia="宋体" w:cs="Times New Roman"/>
          <w:color w:val="auto"/>
          <w:sz w:val="24"/>
          <w:highlight w:val="none"/>
          <w:lang w:val="en-GB"/>
        </w:rPr>
        <w:t>抢险</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应急救援队伍到达现场后</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在企业应急指挥部的统一领导下</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应急技术组迅速查明事故性质、原因、影响范围等基本情况</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判断事故后果和可能发展的趋势</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拿出抢险和救援处置方案。事故救援组负责在紧急状态下的现场抢险作业</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及时控制危险区</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防止事故扩大。现场监测组迅速制定监测方案</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开展监测。后勤保障组负责事故现场物资、设备、工具的保障供给工作。</w:t>
      </w:r>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lang w:val="en-GB"/>
        </w:rPr>
      </w:pPr>
      <w:r>
        <w:rPr>
          <w:rFonts w:hint="default" w:ascii="Times New Roman" w:hAnsi="Times New Roman" w:eastAsia="宋体" w:cs="Times New Roman"/>
          <w:color w:val="auto"/>
          <w:sz w:val="24"/>
          <w:highlight w:val="none"/>
          <w:lang w:val="en-GB"/>
        </w:rPr>
        <w:t>疏散</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在尾矿库发生险情</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有溃坝危险时</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企业应急指挥部应立即上报当地政府和相关部门</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并由安全保卫组负责下游居民的疏散和两侧的警戒工作</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严禁车辆和行人通过</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维护事故现场秩序和社会治安。</w:t>
      </w:r>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lang w:val="en-GB"/>
        </w:rPr>
      </w:pPr>
      <w:r>
        <w:rPr>
          <w:rFonts w:hint="default" w:ascii="Times New Roman" w:hAnsi="Times New Roman" w:eastAsia="宋体" w:cs="Times New Roman"/>
          <w:color w:val="auto"/>
          <w:sz w:val="24"/>
          <w:highlight w:val="none"/>
          <w:lang w:val="en-GB"/>
        </w:rPr>
        <w:t>转移</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在事故救援中</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尾矿库有溃坝危险或有人员伤亡、财产损失时</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由安全保卫组、医疗救护组将受伤人员、居民财产向安全区域转移。转移过程中救援队伍应与现场应急指挥部保持联系。</w:t>
      </w:r>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lang w:val="en-GB"/>
        </w:rPr>
      </w:pPr>
      <w:r>
        <w:rPr>
          <w:rFonts w:hint="default" w:ascii="Times New Roman" w:hAnsi="Times New Roman" w:eastAsia="宋体" w:cs="Times New Roman"/>
          <w:color w:val="auto"/>
          <w:sz w:val="24"/>
          <w:highlight w:val="none"/>
          <w:lang w:val="en-GB"/>
        </w:rPr>
        <w:t>如果溃坝事故严重</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对周边环境的污染形势扩大</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现场环境应急指挥部应采取果断措施</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停止生产</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调动铲车、挖掘机等对污染物进行封堵、拦截</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并采取污染控制的有效措施</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同时请求地方政府增援。</w:t>
      </w:r>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lang w:val="en-GB"/>
        </w:rPr>
      </w:pPr>
      <w:r>
        <w:rPr>
          <w:rFonts w:hint="default" w:ascii="Times New Roman" w:hAnsi="Times New Roman" w:eastAsia="宋体" w:cs="Times New Roman"/>
          <w:color w:val="auto"/>
          <w:sz w:val="24"/>
          <w:highlight w:val="none"/>
          <w:lang w:val="en-GB"/>
        </w:rPr>
        <w:t>结束</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救援工作结束后</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各应急专业队伍必须经企业指挥部同意后</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方可撤离现场</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同时成立事故调查组</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对事故进行分析处理</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及时总结经验教训</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并整理事故档案</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修订应急预案。</w:t>
      </w:r>
    </w:p>
    <w:p>
      <w:pPr>
        <w:pageBreakBefore w:val="0"/>
        <w:wordWrap/>
        <w:bidi w:val="0"/>
        <w:adjustRightInd w:val="0"/>
        <w:snapToGrid w:val="0"/>
        <w:spacing w:line="360" w:lineRule="auto"/>
        <w:ind w:left="0" w:leftChars="0" w:right="0" w:rightChars="0" w:firstLine="480" w:firstLineChars="200"/>
        <w:outlineLvl w:val="2"/>
        <w:rPr>
          <w:rFonts w:hint="default" w:ascii="Times New Roman" w:hAnsi="Times New Roman" w:eastAsia="宋体" w:cs="Times New Roman"/>
          <w:color w:val="auto"/>
          <w:sz w:val="24"/>
          <w:highlight w:val="none"/>
          <w:lang w:val="en-GB"/>
        </w:rPr>
      </w:pPr>
      <w:bookmarkStart w:id="1414" w:name="_Toc20445"/>
      <w:bookmarkStart w:id="1415" w:name="_Toc23962"/>
      <w:r>
        <w:rPr>
          <w:rFonts w:hint="default" w:ascii="Times New Roman" w:hAnsi="Times New Roman" w:eastAsia="宋体" w:cs="Times New Roman"/>
          <w:color w:val="auto"/>
          <w:sz w:val="24"/>
          <w:highlight w:val="none"/>
          <w:lang w:val="en-GB"/>
        </w:rPr>
        <w:t>②尾矿库突发环境事件常见类型和处置措施</w:t>
      </w:r>
      <w:bookmarkEnd w:id="1414"/>
      <w:bookmarkEnd w:id="1415"/>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lang w:val="en-GB"/>
        </w:rPr>
      </w:pPr>
      <w:r>
        <w:rPr>
          <w:rFonts w:hint="default" w:ascii="Times New Roman" w:hAnsi="Times New Roman" w:eastAsia="宋体" w:cs="Times New Roman"/>
          <w:color w:val="auto"/>
          <w:sz w:val="24"/>
          <w:highlight w:val="none"/>
          <w:lang w:val="en-GB"/>
        </w:rPr>
        <w:t>尾矿库突发环境事件常见类型主要包括</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输送系统泄漏、排水设施堵塞或损坏、渗漏、管涌、裂缝、滑坡、溃坝等。</w:t>
      </w:r>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lang w:val="en-GB"/>
        </w:rPr>
      </w:pPr>
      <w:r>
        <w:rPr>
          <w:rFonts w:hint="default" w:ascii="Times New Roman" w:hAnsi="Times New Roman" w:eastAsia="宋体" w:cs="Times New Roman"/>
          <w:color w:val="auto"/>
          <w:sz w:val="24"/>
          <w:highlight w:val="none"/>
          <w:lang w:val="en-GB"/>
        </w:rPr>
        <w:t>企业按照应急预案确定的工程技术方案开展工作</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迅速启动包括封堵污染源、</w:t>
      </w:r>
      <w:r>
        <w:rPr>
          <w:rFonts w:hint="default" w:ascii="Times New Roman" w:hAnsi="Times New Roman" w:eastAsia="宋体" w:cs="Times New Roman"/>
          <w:color w:val="auto"/>
          <w:sz w:val="24"/>
          <w:highlight w:val="none"/>
          <w:lang w:val="en-GB" w:eastAsia="zh-CN"/>
        </w:rPr>
        <w:t>建筑</w:t>
      </w:r>
      <w:r>
        <w:rPr>
          <w:rFonts w:hint="default" w:ascii="Times New Roman" w:hAnsi="Times New Roman" w:eastAsia="宋体" w:cs="Times New Roman"/>
          <w:color w:val="auto"/>
          <w:sz w:val="24"/>
          <w:highlight w:val="none"/>
          <w:lang w:val="en-GB"/>
        </w:rPr>
        <w:t>拦截坝和污染物降解等防控措施。</w:t>
      </w:r>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lang w:val="en-GB"/>
        </w:rPr>
      </w:pPr>
      <w:r>
        <w:rPr>
          <w:rFonts w:hint="default" w:ascii="Times New Roman" w:hAnsi="Times New Roman" w:eastAsia="宋体" w:cs="Times New Roman"/>
          <w:color w:val="auto"/>
          <w:sz w:val="24"/>
          <w:highlight w:val="none"/>
          <w:lang w:val="en-GB"/>
        </w:rPr>
        <w:t>环境保护行政部门可根据现场情况</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报告政府启动流域级防控措施。</w:t>
      </w:r>
    </w:p>
    <w:p>
      <w:pPr>
        <w:pageBreakBefore w:val="0"/>
        <w:wordWrap/>
        <w:bidi w:val="0"/>
        <w:adjustRightInd w:val="0"/>
        <w:snapToGrid w:val="0"/>
        <w:spacing w:line="360" w:lineRule="auto"/>
        <w:ind w:left="0" w:leftChars="0" w:right="0" w:rightChars="0" w:firstLine="480" w:firstLineChars="200"/>
        <w:outlineLvl w:val="2"/>
        <w:rPr>
          <w:rFonts w:hint="default" w:ascii="Times New Roman" w:hAnsi="Times New Roman" w:eastAsia="宋体" w:cs="Times New Roman"/>
          <w:color w:val="auto"/>
          <w:sz w:val="24"/>
          <w:highlight w:val="none"/>
          <w:lang w:val="en-GB"/>
        </w:rPr>
      </w:pPr>
      <w:bookmarkStart w:id="1416" w:name="_Toc4983"/>
      <w:bookmarkStart w:id="1417" w:name="_Toc14376"/>
      <w:r>
        <w:rPr>
          <w:rFonts w:hint="default" w:ascii="Times New Roman" w:hAnsi="Times New Roman" w:eastAsia="宋体" w:cs="Times New Roman"/>
          <w:color w:val="auto"/>
          <w:sz w:val="24"/>
          <w:highlight w:val="none"/>
          <w:lang w:val="en-GB"/>
        </w:rPr>
        <w:t>③典型尾矿库突发环境事件涉及的特征污染物处置方法</w:t>
      </w:r>
      <w:bookmarkEnd w:id="1416"/>
      <w:bookmarkEnd w:id="1417"/>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lang w:val="en-GB"/>
        </w:rPr>
      </w:pPr>
      <w:r>
        <w:rPr>
          <w:rFonts w:hint="default" w:ascii="Times New Roman" w:hAnsi="Times New Roman" w:eastAsia="宋体" w:cs="Times New Roman"/>
          <w:color w:val="auto"/>
          <w:sz w:val="24"/>
          <w:highlight w:val="none"/>
          <w:lang w:val="en-GB"/>
        </w:rPr>
        <w:t>尾矿污染类型可以分为有机污染和无机污染两类</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有机污染主要是有机选矿药剂造成的污染</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无机污染主要是尾矿中的金</w:t>
      </w:r>
      <w:r>
        <w:rPr>
          <w:rFonts w:hint="default" w:ascii="Times New Roman" w:hAnsi="Times New Roman" w:eastAsia="宋体" w:cs="Times New Roman"/>
          <w:color w:val="auto"/>
          <w:sz w:val="24"/>
          <w:highlight w:val="none"/>
          <w:lang w:val="en-GB" w:eastAsia="zh-CN"/>
        </w:rPr>
        <w:t>属</w:t>
      </w:r>
      <w:r>
        <w:rPr>
          <w:rFonts w:hint="default" w:ascii="Times New Roman" w:hAnsi="Times New Roman" w:eastAsia="宋体" w:cs="Times New Roman"/>
          <w:color w:val="auto"/>
          <w:sz w:val="24"/>
          <w:highlight w:val="none"/>
          <w:lang w:val="en-GB"/>
        </w:rPr>
        <w:t>离子和选矿中使用的酸、碱药剂造成的污染。总体来讲</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有机污染采取投加粉末活性炭吸附的应急处置方法</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无机污染采取絮凝沉淀的应急处置方法</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药剂的投加量应根据监测数据确定。</w:t>
      </w:r>
    </w:p>
    <w:p>
      <w:pPr>
        <w:pageBreakBefore w:val="0"/>
        <w:wordWrap/>
        <w:bidi w:val="0"/>
        <w:adjustRightInd w:val="0"/>
        <w:snapToGrid w:val="0"/>
        <w:spacing w:line="360" w:lineRule="auto"/>
        <w:ind w:left="0" w:leftChars="0" w:right="0" w:rightChars="0" w:firstLine="482" w:firstLineChars="200"/>
        <w:outlineLvl w:val="1"/>
        <w:rPr>
          <w:rFonts w:hint="default" w:ascii="Times New Roman" w:hAnsi="Times New Roman" w:eastAsia="宋体" w:cs="Times New Roman"/>
          <w:b/>
          <w:color w:val="auto"/>
          <w:sz w:val="24"/>
          <w:highlight w:val="none"/>
          <w:lang w:val="en-GB"/>
        </w:rPr>
      </w:pPr>
      <w:bookmarkStart w:id="1418" w:name="_Toc29111"/>
      <w:bookmarkStart w:id="1419" w:name="_Toc37315991"/>
      <w:bookmarkStart w:id="1420" w:name="_Toc7535_WPSOffice_Level3"/>
      <w:bookmarkStart w:id="1421" w:name="_Toc38557808"/>
      <w:bookmarkStart w:id="1422" w:name="_Toc23888"/>
      <w:bookmarkStart w:id="1423" w:name="_Toc24296_WPSOffice_Level3"/>
      <w:bookmarkStart w:id="1424" w:name="_Toc37846915"/>
      <w:bookmarkStart w:id="1425" w:name="_Toc22616_WPSOffice_Level3"/>
      <w:bookmarkStart w:id="1426" w:name="_Toc62488456"/>
      <w:bookmarkStart w:id="1427" w:name="_Toc37595513"/>
      <w:r>
        <w:rPr>
          <w:rFonts w:hint="default" w:ascii="Times New Roman" w:hAnsi="Times New Roman" w:eastAsia="宋体" w:cs="Times New Roman"/>
          <w:b/>
          <w:color w:val="auto"/>
          <w:sz w:val="24"/>
          <w:highlight w:val="none"/>
          <w:lang w:val="en-GB"/>
        </w:rPr>
        <w:t>6、应急终止</w:t>
      </w:r>
      <w:bookmarkEnd w:id="1418"/>
      <w:bookmarkEnd w:id="1419"/>
      <w:bookmarkEnd w:id="1420"/>
      <w:bookmarkEnd w:id="1421"/>
      <w:bookmarkEnd w:id="1422"/>
      <w:bookmarkEnd w:id="1423"/>
      <w:bookmarkEnd w:id="1424"/>
      <w:bookmarkEnd w:id="1425"/>
      <w:bookmarkEnd w:id="1426"/>
      <w:bookmarkEnd w:id="1427"/>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lang w:val="en-GB"/>
        </w:rPr>
      </w:pPr>
      <w:r>
        <w:rPr>
          <w:rFonts w:hint="default" w:ascii="Times New Roman" w:hAnsi="Times New Roman" w:eastAsia="宋体" w:cs="Times New Roman"/>
          <w:color w:val="auto"/>
          <w:sz w:val="24"/>
          <w:highlight w:val="none"/>
          <w:lang w:val="en-GB"/>
        </w:rPr>
        <w:t>①现场环境应急指挥部确认终止时机</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或由事件责任单位提出、经现场环境应急指挥部核查后</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按尾矿库突发环境事件的响应级别</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报相关环境应急工作指挥部批准。</w:t>
      </w:r>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lang w:val="en-GB"/>
        </w:rPr>
      </w:pPr>
      <w:r>
        <w:rPr>
          <w:rFonts w:hint="default" w:ascii="Times New Roman" w:hAnsi="Times New Roman" w:eastAsia="宋体" w:cs="Times New Roman"/>
          <w:color w:val="auto"/>
          <w:sz w:val="24"/>
          <w:highlight w:val="none"/>
          <w:lang w:val="en-GB"/>
        </w:rPr>
        <w:t>②现场环境应急指挥部向所</w:t>
      </w:r>
      <w:r>
        <w:rPr>
          <w:rFonts w:hint="default" w:ascii="Times New Roman" w:hAnsi="Times New Roman" w:eastAsia="宋体" w:cs="Times New Roman"/>
          <w:color w:val="auto"/>
          <w:sz w:val="24"/>
          <w:highlight w:val="none"/>
          <w:lang w:val="en-GB" w:eastAsia="zh-CN"/>
        </w:rPr>
        <w:t>属</w:t>
      </w:r>
      <w:r>
        <w:rPr>
          <w:rFonts w:hint="default" w:ascii="Times New Roman" w:hAnsi="Times New Roman" w:eastAsia="宋体" w:cs="Times New Roman"/>
          <w:color w:val="auto"/>
          <w:sz w:val="24"/>
          <w:highlight w:val="none"/>
          <w:lang w:val="en-GB"/>
        </w:rPr>
        <w:t>各专业应急队伍下达环境应急终止命令。</w:t>
      </w:r>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lang w:val="en-GB"/>
        </w:rPr>
      </w:pPr>
      <w:r>
        <w:rPr>
          <w:rFonts w:hint="default" w:ascii="Times New Roman" w:hAnsi="Times New Roman" w:eastAsia="宋体" w:cs="Times New Roman"/>
          <w:color w:val="auto"/>
          <w:sz w:val="24"/>
          <w:highlight w:val="none"/>
          <w:lang w:val="en-GB"/>
        </w:rPr>
        <w:t>③应急状态终止后</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根据实际需要继续进行环境监测和评价工作</w:t>
      </w:r>
      <w:r>
        <w:rPr>
          <w:rFonts w:hint="default" w:ascii="Times New Roman" w:hAnsi="Times New Roman" w:eastAsia="宋体" w:cs="Times New Roman"/>
          <w:color w:val="auto"/>
          <w:sz w:val="24"/>
          <w:highlight w:val="none"/>
          <w:lang w:val="en-GB" w:eastAsia="zh-CN"/>
        </w:rPr>
        <w:t>，</w:t>
      </w:r>
      <w:r>
        <w:rPr>
          <w:rFonts w:hint="default" w:ascii="Times New Roman" w:hAnsi="Times New Roman" w:eastAsia="宋体" w:cs="Times New Roman"/>
          <w:color w:val="auto"/>
          <w:sz w:val="24"/>
          <w:highlight w:val="none"/>
          <w:lang w:val="en-GB"/>
        </w:rPr>
        <w:t>直至其他补救措施无需继续进行为止。</w:t>
      </w:r>
    </w:p>
    <w:p>
      <w:pPr>
        <w:pageBreakBefore w:val="0"/>
        <w:wordWrap/>
        <w:bidi w:val="0"/>
        <w:adjustRightInd w:val="0"/>
        <w:snapToGrid w:val="0"/>
        <w:spacing w:line="360" w:lineRule="auto"/>
        <w:ind w:left="0" w:leftChars="0" w:right="0" w:rightChars="0" w:firstLine="482" w:firstLineChars="200"/>
        <w:outlineLvl w:val="1"/>
        <w:rPr>
          <w:rFonts w:hint="default" w:ascii="Times New Roman" w:hAnsi="Times New Roman" w:eastAsia="宋体" w:cs="Times New Roman"/>
          <w:b/>
          <w:bCs/>
          <w:color w:val="auto"/>
          <w:sz w:val="24"/>
          <w:highlight w:val="none"/>
        </w:rPr>
      </w:pPr>
      <w:bookmarkStart w:id="1428" w:name="_Toc6400_WPSOffice_Level3"/>
      <w:bookmarkStart w:id="1429" w:name="_Toc3689"/>
      <w:bookmarkStart w:id="1430" w:name="_Toc12710"/>
      <w:bookmarkStart w:id="1431" w:name="_Toc32461_WPSOffice_Level3"/>
      <w:bookmarkStart w:id="1432" w:name="_Toc31792_WPSOffice_Level3"/>
      <w:r>
        <w:rPr>
          <w:rFonts w:hint="default" w:ascii="Times New Roman" w:hAnsi="Times New Roman" w:eastAsia="宋体" w:cs="Times New Roman"/>
          <w:b/>
          <w:bCs/>
          <w:color w:val="auto"/>
          <w:sz w:val="24"/>
          <w:highlight w:val="none"/>
        </w:rPr>
        <w:t>7、应急措施</w:t>
      </w:r>
      <w:bookmarkEnd w:id="1428"/>
      <w:bookmarkEnd w:id="1429"/>
      <w:bookmarkEnd w:id="1430"/>
      <w:bookmarkEnd w:id="1431"/>
      <w:bookmarkEnd w:id="1432"/>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鉴于项目生产的复杂性</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事故发生的可能性总是存在的</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为减少事故发生后造成的损失</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尤其是减少对环境造成严重的污染</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建设单位除一方面要落实已经制定的各种安全管理制度以及上述所列各项风险减缓措施</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另一方面</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建设单位还应对发生的各类风险事故采取必要的事故应急措施</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建议建设单位对以下几方面予以着重考虑</w:t>
      </w:r>
      <w:r>
        <w:rPr>
          <w:rFonts w:hint="default" w:ascii="Times New Roman" w:hAnsi="Times New Roman" w:eastAsia="宋体" w:cs="Times New Roman"/>
          <w:color w:val="auto"/>
          <w:sz w:val="24"/>
          <w:highlight w:val="none"/>
          <w:lang w:eastAsia="zh-CN"/>
        </w:rPr>
        <w:t>：</w:t>
      </w:r>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厂区设有专门的管理人员2人</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当尾矿库出现重大险情时</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应当立即报告安全生产监督管理部门和当地政府</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启动应急预案</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进行应急抢险救援</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撤离周围群众</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防止险情扩大</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避免人员伤亡</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重大险情为尾矿库溃坝。</w:t>
      </w:r>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企业在发生事故后</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应进行事故后果评价</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并将有关情况通报给上级环保主管部门。</w:t>
      </w:r>
    </w:p>
    <w:p>
      <w:pPr>
        <w:pageBreakBefore w:val="0"/>
        <w:wordWrap/>
        <w:bidi w:val="0"/>
        <w:adjustRightInd w:val="0"/>
        <w:snapToGrid w:val="0"/>
        <w:spacing w:line="360" w:lineRule="auto"/>
        <w:ind w:left="0" w:leftChars="0" w:right="0" w:rightChars="0" w:firstLine="482" w:firstLineChars="200"/>
        <w:outlineLvl w:val="1"/>
        <w:rPr>
          <w:rFonts w:hint="default" w:ascii="Times New Roman" w:hAnsi="Times New Roman" w:eastAsia="宋体" w:cs="Times New Roman"/>
          <w:b/>
          <w:bCs/>
          <w:color w:val="auto"/>
          <w:sz w:val="24"/>
          <w:highlight w:val="none"/>
        </w:rPr>
      </w:pPr>
      <w:bookmarkStart w:id="1433" w:name="_Toc14887"/>
      <w:bookmarkStart w:id="1434" w:name="_Toc14251_WPSOffice_Level3"/>
      <w:bookmarkStart w:id="1435" w:name="_Toc18797_WPSOffice_Level3"/>
      <w:bookmarkStart w:id="1436" w:name="_Toc13281_WPSOffice_Level3"/>
      <w:bookmarkStart w:id="1437" w:name="_Toc623"/>
      <w:r>
        <w:rPr>
          <w:rFonts w:hint="default" w:ascii="Times New Roman" w:hAnsi="Times New Roman" w:eastAsia="宋体" w:cs="Times New Roman"/>
          <w:b/>
          <w:bCs/>
          <w:color w:val="auto"/>
          <w:sz w:val="24"/>
          <w:highlight w:val="none"/>
        </w:rPr>
        <w:t>8、应急教育培训</w:t>
      </w:r>
      <w:bookmarkEnd w:id="1433"/>
      <w:bookmarkEnd w:id="1434"/>
      <w:bookmarkEnd w:id="1435"/>
      <w:bookmarkEnd w:id="1436"/>
      <w:bookmarkEnd w:id="1437"/>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定期举行应急培训活动</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对本项目相关人员进行事故应急救援培训</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提高事故发生后的应急处理能力。</w:t>
      </w:r>
    </w:p>
    <w:p>
      <w:pPr>
        <w:pStyle w:val="4"/>
        <w:pageBreakBefore w:val="0"/>
        <w:numPr>
          <w:ilvl w:val="1"/>
          <w:numId w:val="0"/>
        </w:numPr>
        <w:wordWrap/>
        <w:bidi w:val="0"/>
        <w:ind w:left="0" w:leftChars="0" w:right="0" w:rightChars="0" w:firstLine="0" w:firstLineChars="0"/>
        <w:outlineLvl w:val="2"/>
        <w:rPr>
          <w:rFonts w:hint="default" w:ascii="Times New Roman" w:hAnsi="Times New Roman" w:eastAsia="宋体" w:cs="Times New Roman"/>
          <w:b/>
          <w:bCs/>
          <w:color w:val="auto"/>
          <w:highlight w:val="none"/>
        </w:rPr>
      </w:pPr>
      <w:bookmarkStart w:id="1438" w:name="_Toc15464"/>
      <w:bookmarkStart w:id="1439" w:name="_Toc13060_WPSOffice_Level2"/>
      <w:bookmarkStart w:id="1440" w:name="_Toc477086289"/>
      <w:bookmarkStart w:id="1441" w:name="_Toc26898_WPSOffice_Level2"/>
      <w:bookmarkStart w:id="1442" w:name="_Toc13807"/>
      <w:bookmarkStart w:id="1443" w:name="_Toc426048358"/>
      <w:bookmarkStart w:id="1444" w:name="_Toc439257890"/>
      <w:bookmarkStart w:id="1445" w:name="_Toc19425"/>
      <w:bookmarkStart w:id="1446" w:name="_Toc19949"/>
      <w:bookmarkStart w:id="1447" w:name="_Toc392663582"/>
      <w:bookmarkStart w:id="1448" w:name="_Toc62488457"/>
      <w:bookmarkStart w:id="1449" w:name="_Toc381868555"/>
      <w:bookmarkStart w:id="1450" w:name="_Toc385615779"/>
      <w:r>
        <w:rPr>
          <w:rFonts w:hint="default" w:ascii="Times New Roman" w:hAnsi="Times New Roman" w:eastAsia="宋体" w:cs="Times New Roman"/>
          <w:b/>
          <w:bCs/>
          <w:i w:val="0"/>
          <w:color w:val="auto"/>
          <w:kern w:val="2"/>
          <w:sz w:val="28"/>
          <w:szCs w:val="28"/>
          <w:highlight w:val="none"/>
          <w:lang w:val="en-US" w:eastAsia="zh-CN" w:bidi="ar-SA"/>
        </w:rPr>
        <w:t>8.7</w:t>
      </w:r>
      <w:r>
        <w:rPr>
          <w:rFonts w:hint="default" w:ascii="Times New Roman" w:hAnsi="Times New Roman" w:eastAsia="宋体" w:cs="Times New Roman"/>
          <w:b/>
          <w:bCs/>
          <w:color w:val="auto"/>
          <w:highlight w:val="none"/>
        </w:rPr>
        <w:t>环境风险评价小结</w:t>
      </w:r>
      <w:bookmarkEnd w:id="1438"/>
      <w:bookmarkEnd w:id="1439"/>
      <w:bookmarkEnd w:id="1440"/>
      <w:bookmarkEnd w:id="1441"/>
      <w:bookmarkEnd w:id="1442"/>
      <w:bookmarkEnd w:id="1443"/>
      <w:bookmarkEnd w:id="1444"/>
      <w:bookmarkEnd w:id="1445"/>
      <w:bookmarkEnd w:id="1446"/>
      <w:bookmarkEnd w:id="1447"/>
      <w:bookmarkEnd w:id="1448"/>
      <w:bookmarkEnd w:id="1449"/>
      <w:bookmarkEnd w:id="1450"/>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为避免风险事故</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尤其是避免风险事故发生后对环境造成严重的污染</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建设单位应树立并强化环境风险意识</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增加对环境风险的防范措施</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并使这些措施在实际工作中得到落实</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为进一步</w:t>
      </w:r>
      <w:r>
        <w:rPr>
          <w:rFonts w:hint="default" w:ascii="Times New Roman" w:hAnsi="Times New Roman" w:eastAsia="宋体" w:cs="Times New Roman"/>
          <w:color w:val="auto"/>
          <w:sz w:val="24"/>
          <w:highlight w:val="none"/>
          <w:lang w:eastAsia="zh-CN"/>
        </w:rPr>
        <w:t>减少</w:t>
      </w:r>
      <w:r>
        <w:rPr>
          <w:rFonts w:hint="default" w:ascii="Times New Roman" w:hAnsi="Times New Roman" w:eastAsia="宋体" w:cs="Times New Roman"/>
          <w:color w:val="auto"/>
          <w:sz w:val="24"/>
          <w:highlight w:val="none"/>
        </w:rPr>
        <w:t>事故的发生</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减缓本项目在建设、运行过程中对环境的潜在威胁</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建议建设单位采取综合防范措施</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并从技术、工艺、管理等方面对以下予以重视。</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本项目尾矿库虽存在事故风险的可能性</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但建设单位只要按照设计要求严格施工</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并认真执行评价所提出的各项综合风险防范措施</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可把事故发生的概率降至最低</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采取有效的风险应急预案</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对项目工程风险事故的环境影响控制在可接受范围</w:t>
      </w:r>
      <w:r>
        <w:rPr>
          <w:rFonts w:hint="default" w:ascii="Times New Roman" w:hAnsi="Times New Roman" w:eastAsia="宋体" w:cs="Times New Roman"/>
          <w:color w:val="auto"/>
          <w:sz w:val="24"/>
          <w:highlight w:val="none"/>
          <w:lang w:eastAsia="zh-CN"/>
        </w:rPr>
        <w:t>。</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lang w:eastAsia="zh-CN"/>
        </w:rPr>
      </w:pP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lang w:eastAsia="zh-CN"/>
        </w:rPr>
      </w:pP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sectPr>
          <w:pgSz w:w="11906" w:h="16838"/>
          <w:pgMar w:top="1440" w:right="1800" w:bottom="1440" w:left="1800" w:header="851" w:footer="851" w:gutter="0"/>
          <w:pgNumType w:fmt="decimal"/>
          <w:cols w:space="720" w:num="1"/>
          <w:docGrid w:linePitch="312" w:charSpace="0"/>
        </w:sectPr>
      </w:pPr>
    </w:p>
    <w:p>
      <w:pPr>
        <w:pStyle w:val="3"/>
        <w:keepNext/>
        <w:keepLines/>
        <w:pageBreakBefore w:val="0"/>
        <w:widowControl w:val="0"/>
        <w:numPr>
          <w:ilvl w:val="0"/>
          <w:numId w:val="0"/>
        </w:numPr>
        <w:kinsoku/>
        <w:wordWrap/>
        <w:overflowPunct/>
        <w:topLinePunct w:val="0"/>
        <w:autoSpaceDE/>
        <w:autoSpaceDN/>
        <w:bidi w:val="0"/>
        <w:adjustRightInd/>
        <w:snapToGrid/>
        <w:ind w:left="0" w:leftChars="0" w:right="0" w:rightChars="0" w:firstLine="0" w:firstLineChars="0"/>
        <w:textAlignment w:val="auto"/>
        <w:outlineLvl w:val="1"/>
        <w:rPr>
          <w:rFonts w:hint="default" w:ascii="Times New Roman" w:hAnsi="Times New Roman" w:eastAsia="宋体" w:cs="Times New Roman"/>
          <w:b/>
          <w:bCs/>
          <w:color w:val="auto"/>
          <w:sz w:val="32"/>
          <w:szCs w:val="32"/>
          <w:highlight w:val="none"/>
        </w:rPr>
      </w:pPr>
      <w:bookmarkStart w:id="1451" w:name="_Toc288306248"/>
      <w:bookmarkStart w:id="1452" w:name="_Toc260567966"/>
      <w:bookmarkStart w:id="1453" w:name="_Toc2164"/>
      <w:bookmarkStart w:id="1454" w:name="_Toc9538"/>
      <w:r>
        <w:rPr>
          <w:rFonts w:hint="default" w:ascii="Times New Roman" w:hAnsi="Times New Roman" w:eastAsia="宋体" w:cs="Times New Roman"/>
          <w:b/>
          <w:bCs/>
          <w:i w:val="0"/>
          <w:color w:val="auto"/>
          <w:kern w:val="44"/>
          <w:sz w:val="32"/>
          <w:szCs w:val="32"/>
          <w:highlight w:val="none"/>
          <w:lang w:val="en-US" w:eastAsia="zh-CN" w:bidi="ar-SA"/>
        </w:rPr>
        <w:t>9</w:t>
      </w:r>
      <w:r>
        <w:rPr>
          <w:rFonts w:hint="default" w:ascii="Times New Roman" w:hAnsi="Times New Roman" w:eastAsia="宋体" w:cs="Times New Roman"/>
          <w:b/>
          <w:bCs/>
          <w:color w:val="auto"/>
          <w:sz w:val="32"/>
          <w:szCs w:val="32"/>
          <w:highlight w:val="none"/>
        </w:rPr>
        <w:t>环保措施及其可行性分析</w:t>
      </w:r>
      <w:bookmarkEnd w:id="1451"/>
      <w:bookmarkEnd w:id="1452"/>
      <w:bookmarkEnd w:id="1453"/>
      <w:bookmarkEnd w:id="1454"/>
    </w:p>
    <w:p>
      <w:pPr>
        <w:pStyle w:val="4"/>
        <w:keepNext/>
        <w:keepLines/>
        <w:pageBreakBefore w:val="0"/>
        <w:widowControl w:val="0"/>
        <w:numPr>
          <w:ilvl w:val="1"/>
          <w:numId w:val="0"/>
        </w:numPr>
        <w:kinsoku/>
        <w:wordWrap/>
        <w:overflowPunct/>
        <w:topLinePunct w:val="0"/>
        <w:autoSpaceDE/>
        <w:autoSpaceDN/>
        <w:bidi w:val="0"/>
        <w:adjustRightInd/>
        <w:snapToGrid/>
        <w:ind w:left="0" w:leftChars="0" w:right="0" w:rightChars="0" w:firstLine="0" w:firstLineChars="0"/>
        <w:textAlignment w:val="auto"/>
        <w:outlineLvl w:val="2"/>
        <w:rPr>
          <w:rFonts w:hint="default" w:ascii="Times New Roman" w:hAnsi="Times New Roman" w:eastAsia="宋体" w:cs="Times New Roman"/>
          <w:b/>
          <w:bCs/>
          <w:color w:val="auto"/>
          <w:sz w:val="28"/>
          <w:szCs w:val="28"/>
          <w:highlight w:val="none"/>
        </w:rPr>
      </w:pPr>
      <w:bookmarkStart w:id="1455" w:name="_Toc6576"/>
      <w:bookmarkStart w:id="1456" w:name="_Toc260567976"/>
      <w:bookmarkStart w:id="1457" w:name="_Toc31131"/>
      <w:bookmarkStart w:id="1458" w:name="_Toc288306258"/>
      <w:r>
        <w:rPr>
          <w:rFonts w:hint="default" w:ascii="Times New Roman" w:hAnsi="Times New Roman" w:eastAsia="宋体" w:cs="Times New Roman"/>
          <w:b/>
          <w:bCs/>
          <w:i w:val="0"/>
          <w:color w:val="auto"/>
          <w:kern w:val="2"/>
          <w:sz w:val="28"/>
          <w:szCs w:val="28"/>
          <w:highlight w:val="none"/>
          <w:lang w:val="en-US" w:eastAsia="zh-CN" w:bidi="ar-SA"/>
        </w:rPr>
        <w:t>9.1</w:t>
      </w:r>
      <w:r>
        <w:rPr>
          <w:rFonts w:hint="default" w:ascii="Times New Roman" w:hAnsi="Times New Roman" w:eastAsia="宋体" w:cs="Times New Roman"/>
          <w:b/>
          <w:bCs/>
          <w:color w:val="auto"/>
          <w:sz w:val="28"/>
          <w:szCs w:val="28"/>
          <w:highlight w:val="none"/>
        </w:rPr>
        <w:t>废气污染物防治措施及其可行性分析</w:t>
      </w:r>
      <w:bookmarkEnd w:id="1455"/>
      <w:bookmarkEnd w:id="1456"/>
      <w:bookmarkEnd w:id="1457"/>
      <w:bookmarkEnd w:id="1458"/>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本项目在运行过程中不产生废气</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该项目的主要大气污染物为尾矿堆场风蚀扬尘。</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尾矿堆场扬尘量是风速的非线性函数</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从产生的机理看</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尾矿砂的低含水率是产生扬尘的主要因素</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提高尾矿砂的含水率是抑制扬尘产生的最有效办法。因此</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采用</w:t>
      </w:r>
      <w:r>
        <w:rPr>
          <w:rFonts w:hint="default" w:ascii="Times New Roman" w:hAnsi="Times New Roman" w:eastAsia="宋体" w:cs="Times New Roman"/>
          <w:color w:val="auto"/>
          <w:sz w:val="24"/>
          <w:highlight w:val="none"/>
          <w:lang w:eastAsia="zh-CN"/>
        </w:rPr>
        <w:t>分散放矿，</w:t>
      </w:r>
      <w:r>
        <w:rPr>
          <w:rFonts w:hint="default" w:ascii="Times New Roman" w:hAnsi="Times New Roman" w:eastAsia="宋体" w:cs="Times New Roman"/>
          <w:color w:val="auto"/>
          <w:sz w:val="24"/>
          <w:highlight w:val="none"/>
        </w:rPr>
        <w:t>保持尾矿表面的湿润性</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以增加抵抗尾矿被风吹起的抑尘能力。目前</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国内针对尾矿库扬尘治理主要有两个方面</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一是提高尾矿库表面含水率</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二是对尾矿库表面产生扬尘的干滩面进行覆盖。</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eastAsia="zh-CN"/>
        </w:rPr>
        <w:t>扩建后</w:t>
      </w:r>
      <w:r>
        <w:rPr>
          <w:rFonts w:hint="default" w:ascii="Times New Roman" w:hAnsi="Times New Roman" w:eastAsia="宋体" w:cs="Times New Roman"/>
          <w:color w:val="auto"/>
          <w:sz w:val="24"/>
          <w:highlight w:val="none"/>
        </w:rPr>
        <w:t>尾矿库分区排放、分区治理。当一个工作区趋于干燥时</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立即调整放矿到该区域</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使湿的</w:t>
      </w:r>
      <w:r>
        <w:rPr>
          <w:rFonts w:hint="default" w:ascii="Times New Roman" w:hAnsi="Times New Roman" w:eastAsia="宋体" w:cs="Times New Roman"/>
          <w:color w:val="auto"/>
          <w:sz w:val="24"/>
          <w:highlight w:val="none"/>
          <w:lang w:eastAsia="zh-CN"/>
        </w:rPr>
        <w:t>尾矿砂</w:t>
      </w:r>
      <w:r>
        <w:rPr>
          <w:rFonts w:hint="default" w:ascii="Times New Roman" w:hAnsi="Times New Roman" w:eastAsia="宋体" w:cs="Times New Roman"/>
          <w:color w:val="auto"/>
          <w:sz w:val="24"/>
          <w:highlight w:val="none"/>
        </w:rPr>
        <w:t>覆盖于上方可有效防止干滩扬尘。对尾矿库表面较长久的干滩区进行洒水。</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本项目距离乌拉山自然保护区最近距离为</w:t>
      </w:r>
      <w:r>
        <w:rPr>
          <w:rFonts w:hint="default" w:ascii="Times New Roman" w:hAnsi="Times New Roman" w:eastAsia="宋体" w:cs="Times New Roman"/>
          <w:color w:val="auto"/>
          <w:sz w:val="24"/>
          <w:highlight w:val="none"/>
          <w:lang w:val="en-US" w:eastAsia="zh-CN"/>
        </w:rPr>
        <w:t>65</w:t>
      </w:r>
      <w:r>
        <w:rPr>
          <w:rFonts w:hint="default" w:ascii="Times New Roman" w:hAnsi="Times New Roman" w:eastAsia="宋体" w:cs="Times New Roman"/>
          <w:color w:val="auto"/>
          <w:sz w:val="24"/>
          <w:highlight w:val="none"/>
        </w:rPr>
        <w:t>0m，运营期加强</w:t>
      </w:r>
      <w:r>
        <w:rPr>
          <w:rFonts w:hint="default" w:ascii="Times New Roman" w:hAnsi="Times New Roman" w:eastAsia="宋体" w:cs="Times New Roman"/>
          <w:color w:val="auto"/>
          <w:sz w:val="24"/>
          <w:highlight w:val="none"/>
          <w:lang w:val="en-US" w:eastAsia="zh-CN"/>
        </w:rPr>
        <w:t>尾矿库</w:t>
      </w:r>
      <w:r>
        <w:rPr>
          <w:rFonts w:hint="default" w:ascii="Times New Roman" w:hAnsi="Times New Roman" w:eastAsia="宋体" w:cs="Times New Roman"/>
          <w:color w:val="auto"/>
          <w:sz w:val="24"/>
          <w:highlight w:val="none"/>
        </w:rPr>
        <w:t>装卸过程扬尘控制，减少粉尘排放。主要措施如下：</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（1）</w:t>
      </w:r>
      <w:r>
        <w:rPr>
          <w:rFonts w:hint="default" w:ascii="Times New Roman" w:hAnsi="Times New Roman" w:eastAsia="宋体" w:cs="Times New Roman"/>
          <w:color w:val="auto"/>
          <w:sz w:val="24"/>
          <w:highlight w:val="none"/>
          <w:lang w:val="en-US" w:eastAsia="zh-CN"/>
        </w:rPr>
        <w:t>增加</w:t>
      </w:r>
      <w:r>
        <w:rPr>
          <w:rFonts w:hint="default" w:ascii="Times New Roman" w:hAnsi="Times New Roman" w:eastAsia="宋体" w:cs="Times New Roman"/>
          <w:color w:val="auto"/>
          <w:sz w:val="24"/>
          <w:highlight w:val="none"/>
        </w:rPr>
        <w:t>洒水降尘</w:t>
      </w:r>
      <w:r>
        <w:rPr>
          <w:rFonts w:hint="default" w:ascii="Times New Roman" w:hAnsi="Times New Roman" w:eastAsia="宋体" w:cs="Times New Roman"/>
          <w:color w:val="auto"/>
          <w:sz w:val="24"/>
          <w:highlight w:val="none"/>
          <w:lang w:val="en-US" w:eastAsia="zh-CN"/>
        </w:rPr>
        <w:t>频次</w:t>
      </w:r>
      <w:r>
        <w:rPr>
          <w:rFonts w:hint="default" w:ascii="Times New Roman" w:hAnsi="Times New Roman" w:eastAsia="宋体" w:cs="Times New Roman"/>
          <w:color w:val="auto"/>
          <w:sz w:val="24"/>
          <w:highlight w:val="none"/>
        </w:rPr>
        <w:t>，保证</w:t>
      </w:r>
      <w:r>
        <w:rPr>
          <w:rFonts w:hint="default" w:ascii="Times New Roman" w:hAnsi="Times New Roman" w:eastAsia="宋体" w:cs="Times New Roman"/>
          <w:color w:val="auto"/>
          <w:sz w:val="24"/>
          <w:highlight w:val="none"/>
          <w:lang w:val="en-US" w:eastAsia="zh-CN"/>
        </w:rPr>
        <w:t>尾矿库</w:t>
      </w:r>
      <w:r>
        <w:rPr>
          <w:rFonts w:hint="default" w:ascii="Times New Roman" w:hAnsi="Times New Roman" w:eastAsia="宋体" w:cs="Times New Roman"/>
          <w:color w:val="auto"/>
          <w:sz w:val="24"/>
          <w:highlight w:val="none"/>
        </w:rPr>
        <w:t>表面湿度。</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2</w:t>
      </w:r>
      <w:r>
        <w:rPr>
          <w:rFonts w:hint="default" w:ascii="Times New Roman" w:hAnsi="Times New Roman" w:eastAsia="宋体" w:cs="Times New Roman"/>
          <w:color w:val="auto"/>
          <w:sz w:val="24"/>
          <w:highlight w:val="none"/>
        </w:rPr>
        <w:t>）封场后及时复垦绿化，风蚀扬尘得到控制。</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通过以上措施</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本项目尾矿库的干滩扬尘不会对周围环境产生较大影响。</w:t>
      </w:r>
    </w:p>
    <w:p>
      <w:pPr>
        <w:pStyle w:val="4"/>
        <w:keepNext/>
        <w:keepLines/>
        <w:pageBreakBefore w:val="0"/>
        <w:widowControl w:val="0"/>
        <w:numPr>
          <w:ilvl w:val="1"/>
          <w:numId w:val="0"/>
        </w:numPr>
        <w:kinsoku/>
        <w:wordWrap/>
        <w:overflowPunct/>
        <w:topLinePunct w:val="0"/>
        <w:autoSpaceDE/>
        <w:autoSpaceDN/>
        <w:bidi w:val="0"/>
        <w:adjustRightInd/>
        <w:snapToGrid/>
        <w:ind w:left="0" w:leftChars="0" w:right="0" w:rightChars="0" w:firstLine="0" w:firstLineChars="0"/>
        <w:textAlignment w:val="auto"/>
        <w:outlineLvl w:val="2"/>
        <w:rPr>
          <w:rFonts w:hint="default" w:ascii="Times New Roman" w:hAnsi="Times New Roman" w:eastAsia="宋体" w:cs="Times New Roman"/>
          <w:b/>
          <w:bCs/>
          <w:i w:val="0"/>
          <w:color w:val="auto"/>
          <w:kern w:val="2"/>
          <w:sz w:val="28"/>
          <w:szCs w:val="28"/>
          <w:highlight w:val="none"/>
          <w:lang w:val="en-US" w:eastAsia="zh-CN" w:bidi="ar-SA"/>
        </w:rPr>
      </w:pPr>
      <w:bookmarkStart w:id="1459" w:name="_Toc288306257"/>
      <w:bookmarkStart w:id="1460" w:name="_Toc260567975"/>
      <w:bookmarkStart w:id="1461" w:name="_Toc24802"/>
      <w:bookmarkStart w:id="1462" w:name="_Toc7348"/>
      <w:r>
        <w:rPr>
          <w:rFonts w:hint="default" w:ascii="Times New Roman" w:hAnsi="Times New Roman" w:eastAsia="宋体" w:cs="Times New Roman"/>
          <w:b/>
          <w:bCs/>
          <w:i w:val="0"/>
          <w:color w:val="auto"/>
          <w:kern w:val="2"/>
          <w:sz w:val="28"/>
          <w:szCs w:val="28"/>
          <w:highlight w:val="none"/>
          <w:lang w:val="en-US" w:eastAsia="zh-CN" w:bidi="ar-SA"/>
        </w:rPr>
        <w:t>9.2废水污染防治措施及其可行性分析</w:t>
      </w:r>
      <w:bookmarkEnd w:id="1459"/>
      <w:bookmarkEnd w:id="1460"/>
      <w:bookmarkEnd w:id="1461"/>
      <w:bookmarkEnd w:id="1462"/>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bCs/>
          <w:color w:val="auto"/>
          <w:sz w:val="24"/>
          <w:highlight w:val="none"/>
        </w:rPr>
        <w:t>项目</w:t>
      </w:r>
      <w:r>
        <w:rPr>
          <w:rFonts w:hint="default" w:ascii="Times New Roman" w:hAnsi="Times New Roman" w:eastAsia="宋体" w:cs="Times New Roman"/>
          <w:bCs/>
          <w:color w:val="auto"/>
          <w:sz w:val="24"/>
          <w:highlight w:val="none"/>
          <w:lang w:eastAsia="zh-CN"/>
        </w:rPr>
        <w:t>尾矿水先自流至新建回水池，再通过新建回水泵站泵送至选矿厂现有高位水池，</w:t>
      </w:r>
      <w:r>
        <w:rPr>
          <w:rFonts w:hint="default" w:ascii="Times New Roman" w:hAnsi="Times New Roman" w:eastAsia="宋体" w:cs="Times New Roman"/>
          <w:bCs/>
          <w:color w:val="auto"/>
          <w:sz w:val="24"/>
          <w:highlight w:val="none"/>
          <w:lang w:val="en-US" w:eastAsia="zh-CN"/>
        </w:rPr>
        <w:t>作为生产用水循环使用，</w:t>
      </w:r>
      <w:r>
        <w:rPr>
          <w:rFonts w:hint="default" w:ascii="Times New Roman" w:hAnsi="Times New Roman" w:eastAsia="宋体" w:cs="Times New Roman"/>
          <w:bCs/>
          <w:color w:val="auto"/>
          <w:sz w:val="24"/>
          <w:highlight w:val="none"/>
          <w:lang w:eastAsia="zh-CN"/>
        </w:rPr>
        <w:t>无废水排放；</w:t>
      </w:r>
      <w:r>
        <w:rPr>
          <w:rFonts w:hint="default" w:ascii="Times New Roman" w:hAnsi="Times New Roman" w:eastAsia="宋体" w:cs="Times New Roman"/>
          <w:bCs/>
          <w:color w:val="auto"/>
          <w:sz w:val="24"/>
          <w:highlight w:val="none"/>
        </w:rPr>
        <w:t>无新增生活污水产生</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对周围水环境影响较小</w:t>
      </w:r>
      <w:r>
        <w:rPr>
          <w:rFonts w:hint="default" w:ascii="Times New Roman" w:hAnsi="Times New Roman" w:eastAsia="宋体" w:cs="Times New Roman"/>
          <w:color w:val="auto"/>
          <w:sz w:val="24"/>
          <w:highlight w:val="none"/>
        </w:rPr>
        <w:t>。</w:t>
      </w:r>
    </w:p>
    <w:p>
      <w:pPr>
        <w:pStyle w:val="5"/>
        <w:keepNext/>
        <w:keepLines/>
        <w:pageBreakBefore w:val="0"/>
        <w:widowControl w:val="0"/>
        <w:numPr>
          <w:ilvl w:val="2"/>
          <w:numId w:val="0"/>
        </w:numPr>
        <w:kinsoku/>
        <w:wordWrap/>
        <w:overflowPunct/>
        <w:topLinePunct w:val="0"/>
        <w:autoSpaceDE/>
        <w:autoSpaceDN/>
        <w:bidi w:val="0"/>
        <w:adjustRightInd/>
        <w:snapToGrid/>
        <w:ind w:left="0" w:leftChars="0" w:right="0" w:rightChars="0" w:firstLine="0" w:firstLineChars="0"/>
        <w:textAlignment w:val="auto"/>
        <w:rPr>
          <w:rFonts w:hint="default" w:ascii="Times New Roman" w:hAnsi="Times New Roman" w:eastAsia="宋体" w:cs="Times New Roman"/>
          <w:b/>
          <w:bCs/>
          <w:color w:val="auto"/>
          <w:highlight w:val="none"/>
        </w:rPr>
      </w:pPr>
      <w:bookmarkStart w:id="1463" w:name="_Toc6861"/>
      <w:bookmarkStart w:id="1464" w:name="_Toc13402"/>
      <w:bookmarkStart w:id="1465" w:name="_Toc11372"/>
      <w:r>
        <w:rPr>
          <w:rFonts w:hint="default" w:ascii="Times New Roman" w:hAnsi="Times New Roman" w:eastAsia="宋体" w:cs="Times New Roman"/>
          <w:b/>
          <w:bCs/>
          <w:i w:val="0"/>
          <w:iCs w:val="0"/>
          <w:caps w:val="0"/>
          <w:smallCaps w:val="0"/>
          <w:strike w:val="0"/>
          <w:dstrike w:val="0"/>
          <w:vanish w:val="0"/>
          <w:color w:val="auto"/>
          <w:spacing w:val="0"/>
          <w:kern w:val="2"/>
          <w:position w:val="0"/>
          <w:sz w:val="24"/>
          <w:szCs w:val="24"/>
          <w:highlight w:val="none"/>
          <w:u w:val="none"/>
          <w:vertAlign w:val="baseline"/>
          <w:lang w:val="en-US" w:eastAsia="zh-CN" w:bidi="ar-SA"/>
          <w14:shadow w14:blurRad="0" w14:dist="0" w14:dir="0" w14:sx="0" w14:sy="0" w14:kx="0" w14:ky="0" w14:algn="none">
            <w14:srgbClr w14:val="000000"/>
          </w14:shadow>
        </w:rPr>
        <w:t>9.2.1</w:t>
      </w:r>
      <w:r>
        <w:rPr>
          <w:rFonts w:hint="default" w:ascii="Times New Roman" w:hAnsi="Times New Roman" w:eastAsia="宋体" w:cs="Times New Roman"/>
          <w:b/>
          <w:bCs/>
          <w:color w:val="auto"/>
          <w:highlight w:val="none"/>
          <w:lang w:eastAsia="zh-CN"/>
        </w:rPr>
        <w:t>尾矿水</w:t>
      </w:r>
      <w:bookmarkEnd w:id="1463"/>
      <w:bookmarkEnd w:id="1464"/>
      <w:bookmarkEnd w:id="1465"/>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现有工程选矿工艺为湿式磁选</w:t>
      </w:r>
      <w:r>
        <w:rPr>
          <w:rFonts w:hint="default" w:ascii="Times New Roman" w:hAnsi="Times New Roman" w:eastAsia="宋体" w:cs="Times New Roman"/>
          <w:color w:val="auto"/>
          <w:sz w:val="24"/>
          <w:highlight w:val="none"/>
          <w:lang w:eastAsia="zh-CN"/>
        </w:rPr>
        <w:t>，尾矿水</w:t>
      </w:r>
      <w:r>
        <w:rPr>
          <w:rFonts w:hint="default" w:ascii="Times New Roman" w:hAnsi="Times New Roman" w:eastAsia="宋体" w:cs="Times New Roman"/>
          <w:color w:val="auto"/>
          <w:sz w:val="24"/>
          <w:highlight w:val="none"/>
        </w:rPr>
        <w:t>中主要污染物为SS</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不含有其他化学药剂</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尾矿库内的回水通过溢流井、回水管、消力池进入回水池，通过输水管线输送到选矿厂现有高位水池，作为选矿厂生产用水</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本次工程无生产废水排放</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且无新增生活污水。</w:t>
      </w:r>
    </w:p>
    <w:p>
      <w:pPr>
        <w:pStyle w:val="5"/>
        <w:keepNext/>
        <w:keepLines/>
        <w:pageBreakBefore w:val="0"/>
        <w:widowControl w:val="0"/>
        <w:numPr>
          <w:ilvl w:val="2"/>
          <w:numId w:val="0"/>
        </w:numPr>
        <w:kinsoku/>
        <w:wordWrap/>
        <w:overflowPunct/>
        <w:topLinePunct w:val="0"/>
        <w:autoSpaceDE/>
        <w:autoSpaceDN/>
        <w:bidi w:val="0"/>
        <w:adjustRightInd/>
        <w:snapToGrid/>
        <w:ind w:left="0" w:leftChars="0" w:right="0" w:rightChars="0" w:firstLine="0" w:firstLineChars="0"/>
        <w:textAlignment w:val="auto"/>
        <w:rPr>
          <w:rFonts w:hint="default" w:ascii="Times New Roman" w:hAnsi="Times New Roman" w:eastAsia="宋体" w:cs="Times New Roman"/>
          <w:b/>
          <w:bCs/>
          <w:i w:val="0"/>
          <w:iCs w:val="0"/>
          <w:caps w:val="0"/>
          <w:smallCaps w:val="0"/>
          <w:strike w:val="0"/>
          <w:dstrike w:val="0"/>
          <w:vanish w:val="0"/>
          <w:color w:val="auto"/>
          <w:spacing w:val="0"/>
          <w:kern w:val="2"/>
          <w:position w:val="0"/>
          <w:sz w:val="24"/>
          <w:szCs w:val="24"/>
          <w:highlight w:val="none"/>
          <w:u w:val="none"/>
          <w:vertAlign w:val="baseline"/>
          <w:lang w:val="en-US" w:eastAsia="zh-CN" w:bidi="ar-SA"/>
          <w14:shadow w14:blurRad="0" w14:dist="0" w14:dir="0" w14:sx="0" w14:sy="0" w14:kx="0" w14:ky="0" w14:algn="none">
            <w14:srgbClr w14:val="000000"/>
          </w14:shadow>
        </w:rPr>
      </w:pPr>
      <w:bookmarkStart w:id="1466" w:name="_Toc1979"/>
      <w:bookmarkStart w:id="1467" w:name="_Toc15406"/>
      <w:bookmarkStart w:id="1468" w:name="_Toc1659"/>
      <w:r>
        <w:rPr>
          <w:rFonts w:hint="default" w:ascii="Times New Roman" w:hAnsi="Times New Roman" w:eastAsia="宋体" w:cs="Times New Roman"/>
          <w:b/>
          <w:bCs/>
          <w:i w:val="0"/>
          <w:iCs w:val="0"/>
          <w:caps w:val="0"/>
          <w:smallCaps w:val="0"/>
          <w:strike w:val="0"/>
          <w:dstrike w:val="0"/>
          <w:vanish w:val="0"/>
          <w:color w:val="auto"/>
          <w:spacing w:val="0"/>
          <w:kern w:val="2"/>
          <w:position w:val="0"/>
          <w:sz w:val="24"/>
          <w:szCs w:val="24"/>
          <w:highlight w:val="none"/>
          <w:u w:val="none"/>
          <w:vertAlign w:val="baseline"/>
          <w:lang w:val="en-US" w:eastAsia="zh-CN" w:bidi="ar-SA"/>
          <w14:shadow w14:blurRad="0" w14:dist="0" w14:dir="0" w14:sx="0" w14:sy="0" w14:kx="0" w14:ky="0" w14:algn="none">
            <w14:srgbClr w14:val="000000"/>
          </w14:shadow>
        </w:rPr>
        <w:t>9.2.2地下水污染防治</w:t>
      </w:r>
      <w:bookmarkEnd w:id="1466"/>
      <w:bookmarkEnd w:id="1467"/>
      <w:bookmarkEnd w:id="1468"/>
    </w:p>
    <w:p>
      <w:pPr>
        <w:pageBreakBefore w:val="0"/>
        <w:wordWrap/>
        <w:bidi w:val="0"/>
        <w:adjustRightInd w:val="0"/>
        <w:snapToGrid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针对项目可能造成的地下水污染</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地下水污染防治措施按照“源头控制、分区防治、污染监控、应急响应”相结合的原则</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从污染物的产生、入渗、扩散、应急响应全阶段进行控制。</w:t>
      </w:r>
    </w:p>
    <w:p>
      <w:pPr>
        <w:pageBreakBefore w:val="0"/>
        <w:wordWrap/>
        <w:bidi w:val="0"/>
        <w:adjustRightInd w:val="0"/>
        <w:snapToGrid w:val="0"/>
        <w:spacing w:line="360" w:lineRule="auto"/>
        <w:ind w:left="0" w:leftChars="0" w:right="0" w:rightChars="0" w:firstLine="480" w:firstLineChars="200"/>
        <w:textAlignment w:val="baseline"/>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sz w:val="24"/>
          <w:highlight w:val="none"/>
        </w:rPr>
        <w:t>项目以先进工艺、管道、设备、污水储存</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尽可能从源头上减少可能污染物产生。</w:t>
      </w:r>
      <w:r>
        <w:rPr>
          <w:rFonts w:hint="default" w:ascii="Times New Roman" w:hAnsi="Times New Roman" w:eastAsia="宋体" w:cs="Times New Roman"/>
          <w:color w:val="auto"/>
          <w:kern w:val="0"/>
          <w:sz w:val="24"/>
          <w:highlight w:val="none"/>
        </w:rPr>
        <w:t>采取分区防渗措施</w:t>
      </w:r>
      <w:r>
        <w:rPr>
          <w:rFonts w:hint="default" w:ascii="Times New Roman" w:hAnsi="Times New Roman" w:eastAsia="宋体" w:cs="Times New Roman"/>
          <w:color w:val="auto"/>
          <w:kern w:val="0"/>
          <w:sz w:val="24"/>
          <w:highlight w:val="none"/>
          <w:lang w:eastAsia="zh-CN"/>
        </w:rPr>
        <w:t>，</w:t>
      </w:r>
      <w:r>
        <w:rPr>
          <w:rFonts w:hint="default" w:ascii="Times New Roman" w:hAnsi="Times New Roman" w:eastAsia="宋体" w:cs="Times New Roman"/>
          <w:color w:val="auto"/>
          <w:kern w:val="0"/>
          <w:sz w:val="24"/>
          <w:highlight w:val="none"/>
        </w:rPr>
        <w:t>并设置监控井</w:t>
      </w:r>
      <w:r>
        <w:rPr>
          <w:rFonts w:hint="default" w:ascii="Times New Roman" w:hAnsi="Times New Roman" w:eastAsia="宋体" w:cs="Times New Roman"/>
          <w:color w:val="auto"/>
          <w:kern w:val="0"/>
          <w:sz w:val="24"/>
          <w:highlight w:val="none"/>
          <w:lang w:eastAsia="zh-CN"/>
        </w:rPr>
        <w:t>，</w:t>
      </w:r>
      <w:r>
        <w:rPr>
          <w:rFonts w:hint="default" w:ascii="Times New Roman" w:hAnsi="Times New Roman" w:eastAsia="宋体" w:cs="Times New Roman"/>
          <w:color w:val="auto"/>
          <w:kern w:val="0"/>
          <w:sz w:val="24"/>
          <w:highlight w:val="none"/>
        </w:rPr>
        <w:t>有效减小对地下水环境的影响。一旦发生地下水污染事故</w:t>
      </w:r>
      <w:r>
        <w:rPr>
          <w:rFonts w:hint="default" w:ascii="Times New Roman" w:hAnsi="Times New Roman" w:eastAsia="宋体" w:cs="Times New Roman"/>
          <w:color w:val="auto"/>
          <w:kern w:val="0"/>
          <w:sz w:val="24"/>
          <w:highlight w:val="none"/>
          <w:lang w:eastAsia="zh-CN"/>
        </w:rPr>
        <w:t>，</w:t>
      </w:r>
      <w:r>
        <w:rPr>
          <w:rFonts w:hint="default" w:ascii="Times New Roman" w:hAnsi="Times New Roman" w:eastAsia="宋体" w:cs="Times New Roman"/>
          <w:color w:val="auto"/>
          <w:kern w:val="0"/>
          <w:sz w:val="24"/>
          <w:highlight w:val="none"/>
        </w:rPr>
        <w:t>应立即启动应急预案；查明并切断污染源</w:t>
      </w:r>
      <w:r>
        <w:rPr>
          <w:rFonts w:hint="default" w:ascii="Times New Roman" w:hAnsi="Times New Roman" w:eastAsia="宋体" w:cs="Times New Roman"/>
          <w:color w:val="auto"/>
          <w:kern w:val="0"/>
          <w:sz w:val="24"/>
          <w:highlight w:val="none"/>
          <w:lang w:eastAsia="zh-CN"/>
        </w:rPr>
        <w:t>，</w:t>
      </w:r>
      <w:r>
        <w:rPr>
          <w:rFonts w:hint="default" w:ascii="Times New Roman" w:hAnsi="Times New Roman" w:eastAsia="宋体" w:cs="Times New Roman"/>
          <w:color w:val="auto"/>
          <w:kern w:val="0"/>
          <w:sz w:val="24"/>
          <w:highlight w:val="none"/>
        </w:rPr>
        <w:t>探明地下水污染深度、范围和污染程度；依据探明的地下水污染情况</w:t>
      </w:r>
      <w:r>
        <w:rPr>
          <w:rFonts w:hint="default" w:ascii="Times New Roman" w:hAnsi="Times New Roman" w:eastAsia="宋体" w:cs="Times New Roman"/>
          <w:color w:val="auto"/>
          <w:kern w:val="0"/>
          <w:sz w:val="24"/>
          <w:highlight w:val="none"/>
          <w:lang w:eastAsia="zh-CN"/>
        </w:rPr>
        <w:t>，</w:t>
      </w:r>
      <w:r>
        <w:rPr>
          <w:rFonts w:hint="default" w:ascii="Times New Roman" w:hAnsi="Times New Roman" w:eastAsia="宋体" w:cs="Times New Roman"/>
          <w:color w:val="auto"/>
          <w:kern w:val="0"/>
          <w:sz w:val="24"/>
          <w:highlight w:val="none"/>
        </w:rPr>
        <w:t>合理布置截渗井</w:t>
      </w:r>
      <w:r>
        <w:rPr>
          <w:rFonts w:hint="default" w:ascii="Times New Roman" w:hAnsi="Times New Roman" w:eastAsia="宋体" w:cs="Times New Roman"/>
          <w:color w:val="auto"/>
          <w:kern w:val="0"/>
          <w:sz w:val="24"/>
          <w:highlight w:val="none"/>
          <w:lang w:eastAsia="zh-CN"/>
        </w:rPr>
        <w:t>，</w:t>
      </w:r>
      <w:r>
        <w:rPr>
          <w:rFonts w:hint="default" w:ascii="Times New Roman" w:hAnsi="Times New Roman" w:eastAsia="宋体" w:cs="Times New Roman"/>
          <w:color w:val="auto"/>
          <w:kern w:val="0"/>
          <w:sz w:val="24"/>
          <w:highlight w:val="none"/>
        </w:rPr>
        <w:t>并进行试抽工作；依据抽水设计方案进行施工</w:t>
      </w:r>
      <w:r>
        <w:rPr>
          <w:rFonts w:hint="default" w:ascii="Times New Roman" w:hAnsi="Times New Roman" w:eastAsia="宋体" w:cs="Times New Roman"/>
          <w:color w:val="auto"/>
          <w:kern w:val="0"/>
          <w:sz w:val="24"/>
          <w:highlight w:val="none"/>
          <w:lang w:eastAsia="zh-CN"/>
        </w:rPr>
        <w:t>，</w:t>
      </w:r>
      <w:r>
        <w:rPr>
          <w:rFonts w:hint="default" w:ascii="Times New Roman" w:hAnsi="Times New Roman" w:eastAsia="宋体" w:cs="Times New Roman"/>
          <w:color w:val="auto"/>
          <w:kern w:val="0"/>
          <w:sz w:val="24"/>
          <w:highlight w:val="none"/>
        </w:rPr>
        <w:t>抽取被污染的地下水体</w:t>
      </w:r>
      <w:r>
        <w:rPr>
          <w:rFonts w:hint="default" w:ascii="Times New Roman" w:hAnsi="Times New Roman" w:eastAsia="宋体" w:cs="Times New Roman"/>
          <w:color w:val="auto"/>
          <w:kern w:val="0"/>
          <w:sz w:val="24"/>
          <w:highlight w:val="none"/>
          <w:lang w:eastAsia="zh-CN"/>
        </w:rPr>
        <w:t>，</w:t>
      </w:r>
      <w:r>
        <w:rPr>
          <w:rFonts w:hint="default" w:ascii="Times New Roman" w:hAnsi="Times New Roman" w:eastAsia="宋体" w:cs="Times New Roman"/>
          <w:color w:val="auto"/>
          <w:kern w:val="0"/>
          <w:sz w:val="24"/>
          <w:highlight w:val="none"/>
        </w:rPr>
        <w:t>并依据各井孔出水情况进行调整；将抽取的地下水进行集中收集处理</w:t>
      </w:r>
      <w:r>
        <w:rPr>
          <w:rFonts w:hint="default" w:ascii="Times New Roman" w:hAnsi="Times New Roman" w:eastAsia="宋体" w:cs="Times New Roman"/>
          <w:color w:val="auto"/>
          <w:kern w:val="0"/>
          <w:sz w:val="24"/>
          <w:highlight w:val="none"/>
          <w:lang w:eastAsia="zh-CN"/>
        </w:rPr>
        <w:t>，</w:t>
      </w:r>
      <w:r>
        <w:rPr>
          <w:rFonts w:hint="default" w:ascii="Times New Roman" w:hAnsi="Times New Roman" w:eastAsia="宋体" w:cs="Times New Roman"/>
          <w:color w:val="auto"/>
          <w:kern w:val="0"/>
          <w:sz w:val="24"/>
          <w:highlight w:val="none"/>
        </w:rPr>
        <w:t>并送实验室进行化验分析；当地下水中的特征污染物浓度满足地下水功能区划的标准后</w:t>
      </w:r>
      <w:r>
        <w:rPr>
          <w:rFonts w:hint="default" w:ascii="Times New Roman" w:hAnsi="Times New Roman" w:eastAsia="宋体" w:cs="Times New Roman"/>
          <w:color w:val="auto"/>
          <w:kern w:val="0"/>
          <w:sz w:val="24"/>
          <w:highlight w:val="none"/>
          <w:lang w:eastAsia="zh-CN"/>
        </w:rPr>
        <w:t>，</w:t>
      </w:r>
      <w:r>
        <w:rPr>
          <w:rFonts w:hint="default" w:ascii="Times New Roman" w:hAnsi="Times New Roman" w:eastAsia="宋体" w:cs="Times New Roman"/>
          <w:color w:val="auto"/>
          <w:kern w:val="0"/>
          <w:sz w:val="24"/>
          <w:highlight w:val="none"/>
        </w:rPr>
        <w:t>逐步停止抽水</w:t>
      </w:r>
      <w:r>
        <w:rPr>
          <w:rFonts w:hint="default" w:ascii="Times New Roman" w:hAnsi="Times New Roman" w:eastAsia="宋体" w:cs="Times New Roman"/>
          <w:color w:val="auto"/>
          <w:kern w:val="0"/>
          <w:sz w:val="24"/>
          <w:highlight w:val="none"/>
          <w:lang w:eastAsia="zh-CN"/>
        </w:rPr>
        <w:t>，</w:t>
      </w:r>
      <w:r>
        <w:rPr>
          <w:rFonts w:hint="default" w:ascii="Times New Roman" w:hAnsi="Times New Roman" w:eastAsia="宋体" w:cs="Times New Roman"/>
          <w:color w:val="auto"/>
          <w:kern w:val="0"/>
          <w:sz w:val="24"/>
          <w:highlight w:val="none"/>
        </w:rPr>
        <w:t>并进行土壤修复治理工作。</w:t>
      </w:r>
    </w:p>
    <w:p>
      <w:pPr>
        <w:pageBreakBefore w:val="0"/>
        <w:wordWrap/>
        <w:bidi w:val="0"/>
        <w:adjustRightInd w:val="0"/>
        <w:snapToGrid w:val="0"/>
        <w:spacing w:line="360" w:lineRule="auto"/>
        <w:ind w:left="0" w:leftChars="0" w:right="0" w:rightChars="0" w:firstLine="480" w:firstLineChars="200"/>
        <w:textAlignment w:val="baseline"/>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bCs/>
          <w:color w:val="auto"/>
          <w:sz w:val="24"/>
          <w:highlight w:val="none"/>
        </w:rPr>
        <w:t>项目</w:t>
      </w:r>
      <w:r>
        <w:rPr>
          <w:rFonts w:hint="default" w:ascii="Times New Roman" w:hAnsi="Times New Roman" w:eastAsia="宋体" w:cs="Times New Roman"/>
          <w:bCs/>
          <w:color w:val="auto"/>
          <w:sz w:val="24"/>
          <w:highlight w:val="none"/>
          <w:lang w:eastAsia="zh-CN"/>
        </w:rPr>
        <w:t>尾矿水先自流至新建回水池，再通过新建回水泵站泵送至选矿厂现有高位水池，</w:t>
      </w:r>
      <w:r>
        <w:rPr>
          <w:rFonts w:hint="default" w:ascii="Times New Roman" w:hAnsi="Times New Roman" w:eastAsia="宋体" w:cs="Times New Roman"/>
          <w:bCs/>
          <w:color w:val="auto"/>
          <w:sz w:val="24"/>
          <w:highlight w:val="none"/>
          <w:lang w:val="en-US" w:eastAsia="zh-CN"/>
        </w:rPr>
        <w:t>作为生产用水循环使用，</w:t>
      </w:r>
      <w:r>
        <w:rPr>
          <w:rFonts w:hint="default" w:ascii="Times New Roman" w:hAnsi="Times New Roman" w:eastAsia="宋体" w:cs="Times New Roman"/>
          <w:bCs/>
          <w:color w:val="auto"/>
          <w:sz w:val="24"/>
          <w:highlight w:val="none"/>
          <w:lang w:eastAsia="zh-CN"/>
        </w:rPr>
        <w:t>无废水排放；</w:t>
      </w:r>
      <w:r>
        <w:rPr>
          <w:rFonts w:hint="default" w:ascii="Times New Roman" w:hAnsi="Times New Roman" w:eastAsia="宋体" w:cs="Times New Roman"/>
          <w:color w:val="auto"/>
          <w:kern w:val="0"/>
          <w:sz w:val="24"/>
          <w:highlight w:val="none"/>
        </w:rPr>
        <w:t>根据内蒙古加通环境检测治理有限公司对本项目尾矿进行浸出毒性试验报告</w:t>
      </w:r>
      <w:r>
        <w:rPr>
          <w:rFonts w:hint="default" w:ascii="Times New Roman" w:hAnsi="Times New Roman" w:eastAsia="宋体" w:cs="Times New Roman"/>
          <w:color w:val="auto"/>
          <w:kern w:val="0"/>
          <w:sz w:val="24"/>
          <w:highlight w:val="none"/>
          <w:lang w:eastAsia="zh-CN"/>
        </w:rPr>
        <w:t>，</w:t>
      </w:r>
      <w:r>
        <w:rPr>
          <w:rFonts w:hint="default" w:ascii="Times New Roman" w:hAnsi="Times New Roman" w:eastAsia="宋体" w:cs="Times New Roman"/>
          <w:color w:val="auto"/>
          <w:kern w:val="0"/>
          <w:sz w:val="24"/>
          <w:highlight w:val="none"/>
        </w:rPr>
        <w:t>尾矿</w:t>
      </w:r>
      <w:r>
        <w:rPr>
          <w:rFonts w:hint="default" w:ascii="Times New Roman" w:hAnsi="Times New Roman" w:eastAsia="宋体" w:cs="Times New Roman"/>
          <w:color w:val="auto"/>
          <w:kern w:val="0"/>
          <w:sz w:val="24"/>
          <w:highlight w:val="none"/>
          <w:lang w:eastAsia="zh-CN"/>
        </w:rPr>
        <w:t>砂属</w:t>
      </w:r>
      <w:r>
        <w:rPr>
          <w:rFonts w:hint="default" w:ascii="Times New Roman" w:hAnsi="Times New Roman" w:eastAsia="宋体" w:cs="Times New Roman"/>
          <w:color w:val="auto"/>
          <w:kern w:val="0"/>
          <w:sz w:val="24"/>
          <w:highlight w:val="none"/>
        </w:rPr>
        <w:t>于第I类一般工业废物</w:t>
      </w:r>
      <w:r>
        <w:rPr>
          <w:rFonts w:hint="default" w:ascii="Times New Roman" w:hAnsi="Times New Roman" w:eastAsia="宋体" w:cs="Times New Roman"/>
          <w:color w:val="auto"/>
          <w:kern w:val="0"/>
          <w:sz w:val="24"/>
          <w:highlight w:val="none"/>
          <w:lang w:eastAsia="zh-CN"/>
        </w:rPr>
        <w:t>，</w:t>
      </w:r>
      <w:r>
        <w:rPr>
          <w:rFonts w:hint="default" w:ascii="Times New Roman" w:hAnsi="Times New Roman" w:eastAsia="宋体" w:cs="Times New Roman"/>
          <w:color w:val="auto"/>
          <w:kern w:val="0"/>
          <w:sz w:val="24"/>
          <w:highlight w:val="none"/>
        </w:rPr>
        <w:t>其渗出液无明显的</w:t>
      </w:r>
      <w:r>
        <w:rPr>
          <w:rFonts w:hint="default" w:ascii="Times New Roman" w:hAnsi="Times New Roman" w:eastAsia="宋体" w:cs="Times New Roman"/>
          <w:color w:val="auto"/>
          <w:kern w:val="0"/>
          <w:sz w:val="24"/>
          <w:highlight w:val="none"/>
          <w:lang w:eastAsia="zh-CN"/>
        </w:rPr>
        <w:t>有害成分，</w:t>
      </w:r>
      <w:r>
        <w:rPr>
          <w:rFonts w:hint="default" w:ascii="Times New Roman" w:hAnsi="Times New Roman" w:eastAsia="宋体" w:cs="Times New Roman"/>
          <w:color w:val="auto"/>
          <w:kern w:val="0"/>
          <w:sz w:val="24"/>
          <w:highlight w:val="none"/>
        </w:rPr>
        <w:t>对地下水环境影响较小。</w:t>
      </w:r>
    </w:p>
    <w:p>
      <w:pPr>
        <w:pageBreakBefore w:val="0"/>
        <w:wordWrap/>
        <w:bidi w:val="0"/>
        <w:adjustRightInd w:val="0"/>
        <w:snapToGrid w:val="0"/>
        <w:spacing w:line="360" w:lineRule="auto"/>
        <w:ind w:left="0" w:leftChars="0" w:right="0" w:rightChars="0" w:firstLine="480" w:firstLineChars="200"/>
        <w:textAlignment w:val="baseline"/>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本项目在运行期内的正常生产情况下</w:t>
      </w:r>
      <w:r>
        <w:rPr>
          <w:rFonts w:hint="default" w:ascii="Times New Roman" w:hAnsi="Times New Roman" w:eastAsia="宋体" w:cs="Times New Roman"/>
          <w:color w:val="auto"/>
          <w:kern w:val="0"/>
          <w:sz w:val="24"/>
          <w:highlight w:val="none"/>
          <w:lang w:eastAsia="zh-CN"/>
        </w:rPr>
        <w:t>，</w:t>
      </w:r>
      <w:r>
        <w:rPr>
          <w:rFonts w:hint="default" w:ascii="Times New Roman" w:hAnsi="Times New Roman" w:eastAsia="宋体" w:cs="Times New Roman"/>
          <w:color w:val="auto"/>
          <w:kern w:val="0"/>
          <w:sz w:val="24"/>
          <w:highlight w:val="none"/>
        </w:rPr>
        <w:t>对周围地下水环境不会产生明显影响。在非正常情况或者事故状态下</w:t>
      </w:r>
      <w:r>
        <w:rPr>
          <w:rFonts w:hint="default" w:ascii="Times New Roman" w:hAnsi="Times New Roman" w:eastAsia="宋体" w:cs="Times New Roman"/>
          <w:color w:val="auto"/>
          <w:kern w:val="0"/>
          <w:sz w:val="24"/>
          <w:highlight w:val="none"/>
          <w:lang w:eastAsia="zh-CN"/>
        </w:rPr>
        <w:t>，</w:t>
      </w:r>
      <w:r>
        <w:rPr>
          <w:rFonts w:hint="default" w:ascii="Times New Roman" w:hAnsi="Times New Roman" w:eastAsia="宋体" w:cs="Times New Roman"/>
          <w:color w:val="auto"/>
          <w:kern w:val="0"/>
          <w:sz w:val="24"/>
          <w:highlight w:val="none"/>
        </w:rPr>
        <w:t>预测污染因子在泄漏点附近一定范围出现超标现象</w:t>
      </w:r>
      <w:r>
        <w:rPr>
          <w:rFonts w:hint="default" w:ascii="Times New Roman" w:hAnsi="Times New Roman" w:eastAsia="宋体" w:cs="Times New Roman"/>
          <w:color w:val="auto"/>
          <w:kern w:val="0"/>
          <w:sz w:val="24"/>
          <w:highlight w:val="none"/>
          <w:lang w:eastAsia="zh-CN"/>
        </w:rPr>
        <w:t>，</w:t>
      </w:r>
      <w:r>
        <w:rPr>
          <w:rFonts w:hint="default" w:ascii="Times New Roman" w:hAnsi="Times New Roman" w:eastAsia="宋体" w:cs="Times New Roman"/>
          <w:color w:val="auto"/>
          <w:kern w:val="0"/>
          <w:sz w:val="24"/>
          <w:highlight w:val="none"/>
        </w:rPr>
        <w:t>但在采取定期监测、应急响应、地下水治理等环保措施后</w:t>
      </w:r>
      <w:r>
        <w:rPr>
          <w:rFonts w:hint="default" w:ascii="Times New Roman" w:hAnsi="Times New Roman" w:eastAsia="宋体" w:cs="Times New Roman"/>
          <w:color w:val="auto"/>
          <w:kern w:val="0"/>
          <w:sz w:val="24"/>
          <w:highlight w:val="none"/>
          <w:lang w:eastAsia="zh-CN"/>
        </w:rPr>
        <w:t>，</w:t>
      </w:r>
      <w:r>
        <w:rPr>
          <w:rFonts w:hint="default" w:ascii="Times New Roman" w:hAnsi="Times New Roman" w:eastAsia="宋体" w:cs="Times New Roman"/>
          <w:color w:val="auto"/>
          <w:kern w:val="0"/>
          <w:sz w:val="24"/>
          <w:highlight w:val="none"/>
        </w:rPr>
        <w:t>可以把超标范围控制在小范围地区</w:t>
      </w:r>
      <w:r>
        <w:rPr>
          <w:rFonts w:hint="default" w:ascii="Times New Roman" w:hAnsi="Times New Roman" w:eastAsia="宋体" w:cs="Times New Roman"/>
          <w:color w:val="auto"/>
          <w:kern w:val="0"/>
          <w:sz w:val="24"/>
          <w:highlight w:val="none"/>
          <w:lang w:eastAsia="zh-CN"/>
        </w:rPr>
        <w:t>，</w:t>
      </w:r>
      <w:r>
        <w:rPr>
          <w:rFonts w:hint="default" w:ascii="Times New Roman" w:hAnsi="Times New Roman" w:eastAsia="宋体" w:cs="Times New Roman"/>
          <w:color w:val="auto"/>
          <w:kern w:val="0"/>
          <w:sz w:val="24"/>
          <w:highlight w:val="none"/>
        </w:rPr>
        <w:t>不会对区域地下水资源构成威胁。</w:t>
      </w:r>
    </w:p>
    <w:p>
      <w:pPr>
        <w:pageBreakBefore w:val="0"/>
        <w:wordWrap/>
        <w:bidi w:val="0"/>
        <w:spacing w:line="360" w:lineRule="auto"/>
        <w:ind w:left="0" w:leftChars="0" w:right="0" w:rightChars="0"/>
        <w:rPr>
          <w:rFonts w:hint="default" w:ascii="Times New Roman" w:hAnsi="Times New Roman" w:eastAsia="宋体" w:cs="Times New Roman"/>
          <w:b/>
          <w:bCs/>
          <w:color w:val="auto"/>
          <w:sz w:val="24"/>
          <w:szCs w:val="32"/>
          <w:highlight w:val="none"/>
        </w:rPr>
      </w:pPr>
      <w:r>
        <w:rPr>
          <w:rFonts w:hint="default" w:ascii="Times New Roman" w:hAnsi="Times New Roman" w:eastAsia="宋体" w:cs="Times New Roman"/>
          <w:b/>
          <w:bCs/>
          <w:color w:val="auto"/>
          <w:sz w:val="24"/>
          <w:szCs w:val="32"/>
          <w:highlight w:val="none"/>
          <w:lang w:val="en-US" w:eastAsia="zh-CN"/>
        </w:rPr>
        <w:t>9.2.2.1</w:t>
      </w:r>
      <w:r>
        <w:rPr>
          <w:rFonts w:hint="default" w:ascii="Times New Roman" w:hAnsi="Times New Roman" w:eastAsia="宋体" w:cs="Times New Roman"/>
          <w:b/>
          <w:bCs/>
          <w:color w:val="auto"/>
          <w:sz w:val="24"/>
          <w:szCs w:val="32"/>
          <w:highlight w:val="none"/>
        </w:rPr>
        <w:t>地下水污染事故应急预案及应急措施</w:t>
      </w:r>
    </w:p>
    <w:p>
      <w:pPr>
        <w:pageBreakBefore w:val="0"/>
        <w:wordWrap/>
        <w:bidi w:val="0"/>
        <w:spacing w:line="360" w:lineRule="auto"/>
        <w:ind w:left="0" w:leftChars="0" w:right="0" w:rightChars="0" w:firstLine="480" w:firstLineChars="200"/>
        <w:outlineLvl w:val="1"/>
        <w:rPr>
          <w:rFonts w:hint="default" w:ascii="Times New Roman" w:hAnsi="Times New Roman" w:eastAsia="宋体" w:cs="Times New Roman"/>
          <w:color w:val="auto"/>
          <w:sz w:val="24"/>
          <w:highlight w:val="none"/>
        </w:rPr>
      </w:pPr>
      <w:bookmarkStart w:id="1469" w:name="_Toc27272"/>
      <w:bookmarkStart w:id="1470" w:name="_Toc4696"/>
      <w:r>
        <w:rPr>
          <w:rFonts w:hint="default" w:ascii="Times New Roman" w:hAnsi="Times New Roman" w:eastAsia="宋体" w:cs="Times New Roman"/>
          <w:color w:val="auto"/>
          <w:sz w:val="24"/>
          <w:highlight w:val="none"/>
        </w:rPr>
        <w:t>1、应急预案编制</w:t>
      </w:r>
      <w:bookmarkEnd w:id="1469"/>
      <w:bookmarkEnd w:id="1470"/>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在制定安全管理体制的基础上</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制定专门的地下水污染风险事故的应急措施</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并应与其他应急预案相协调。</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地下水应急预案应包括以下内容</w:t>
      </w:r>
      <w:r>
        <w:rPr>
          <w:rFonts w:hint="default" w:ascii="Times New Roman" w:hAnsi="Times New Roman" w:eastAsia="宋体" w:cs="Times New Roman"/>
          <w:color w:val="auto"/>
          <w:sz w:val="24"/>
          <w:highlight w:val="none"/>
          <w:lang w:eastAsia="zh-CN"/>
        </w:rPr>
        <w:t>：</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①应急预案的日常协调和指挥机构；</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②相关部门在应急预案中的职责和分工；</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③地下水环境保护目标的确定</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采取的紧急处置措施和潜在污染源评估；</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④事故应急救援组织状况和人员、装备情况</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平常的训练和演习；</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⑤事故的社会支持和援助</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应急救援的经费保障。</w:t>
      </w:r>
    </w:p>
    <w:p>
      <w:pPr>
        <w:pageBreakBefore w:val="0"/>
        <w:wordWrap/>
        <w:bidi w:val="0"/>
        <w:spacing w:line="360" w:lineRule="auto"/>
        <w:ind w:left="0" w:leftChars="0" w:right="0" w:rightChars="0" w:firstLine="480" w:firstLineChars="200"/>
        <w:outlineLvl w:val="1"/>
        <w:rPr>
          <w:rFonts w:hint="default" w:ascii="Times New Roman" w:hAnsi="Times New Roman" w:eastAsia="宋体" w:cs="Times New Roman"/>
          <w:color w:val="auto"/>
          <w:sz w:val="24"/>
          <w:highlight w:val="none"/>
        </w:rPr>
      </w:pPr>
      <w:bookmarkStart w:id="1471" w:name="_Toc30972"/>
      <w:bookmarkStart w:id="1472" w:name="_Toc13056"/>
      <w:r>
        <w:rPr>
          <w:rFonts w:hint="default" w:ascii="Times New Roman" w:hAnsi="Times New Roman" w:eastAsia="宋体" w:cs="Times New Roman"/>
          <w:color w:val="auto"/>
          <w:sz w:val="24"/>
          <w:highlight w:val="none"/>
        </w:rPr>
        <w:t>2、地下水污染应急措施</w:t>
      </w:r>
      <w:bookmarkEnd w:id="1471"/>
      <w:bookmarkEnd w:id="1472"/>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一旦发现地下水发生异常情况</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企业按照应急预案确定的工程技术方案开展工作</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迅速启动包括封堵污染源、筑建拦截坝和污染物降解等防控措施。</w:t>
      </w:r>
    </w:p>
    <w:p>
      <w:pPr>
        <w:pageBreakBefore w:val="0"/>
        <w:wordWrap/>
        <w:bidi w:val="0"/>
        <w:spacing w:line="360" w:lineRule="auto"/>
        <w:ind w:left="0" w:leftChars="0" w:right="0" w:rightChars="0" w:firstLine="480" w:firstLineChars="200"/>
        <w:outlineLvl w:val="2"/>
        <w:rPr>
          <w:rFonts w:hint="default" w:ascii="Times New Roman" w:hAnsi="Times New Roman" w:eastAsia="宋体" w:cs="Times New Roman"/>
          <w:color w:val="auto"/>
          <w:sz w:val="24"/>
          <w:highlight w:val="none"/>
        </w:rPr>
      </w:pPr>
      <w:bookmarkStart w:id="1473" w:name="_Toc12267"/>
      <w:bookmarkStart w:id="1474" w:name="_Toc23899"/>
      <w:r>
        <w:rPr>
          <w:rFonts w:hint="default" w:ascii="Times New Roman" w:hAnsi="Times New Roman" w:eastAsia="宋体" w:cs="Times New Roman"/>
          <w:color w:val="auto"/>
          <w:sz w:val="24"/>
          <w:highlight w:val="none"/>
        </w:rPr>
        <w:t>一、应急治理程序</w:t>
      </w:r>
      <w:bookmarkEnd w:id="1473"/>
      <w:bookmarkEnd w:id="1474"/>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制定风险事故应急预案的</w:t>
      </w:r>
      <w:r>
        <w:rPr>
          <w:rFonts w:hint="default" w:ascii="Times New Roman" w:hAnsi="Times New Roman" w:eastAsia="宋体" w:cs="Times New Roman"/>
          <w:color w:val="auto"/>
          <w:sz w:val="24"/>
          <w:highlight w:val="none"/>
          <w:lang w:eastAsia="zh-CN"/>
        </w:rPr>
        <w:t>目的是</w:t>
      </w:r>
      <w:r>
        <w:rPr>
          <w:rFonts w:hint="default" w:ascii="Times New Roman" w:hAnsi="Times New Roman" w:eastAsia="宋体" w:cs="Times New Roman"/>
          <w:color w:val="auto"/>
          <w:sz w:val="24"/>
          <w:highlight w:val="none"/>
        </w:rPr>
        <w:t>在发生风险事故时</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能以最快的速度发挥最大的效能</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有序地实施救援</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尽快控制事态的发展</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降低事故对潜水含水层的污染。针对应急工作需要</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参照相关技术导则</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结合地下水污染治理的技术特点</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制定地下水污染应急治理程序见图9-1。</w:t>
      </w:r>
    </w:p>
    <w:p>
      <w:pPr>
        <w:pageBreakBefore w:val="0"/>
        <w:wordWrap/>
        <w:bidi w:val="0"/>
        <w:spacing w:line="360" w:lineRule="auto"/>
        <w:ind w:left="0" w:leftChars="0" w:right="0" w:rightChars="0" w:firstLine="480" w:firstLineChars="200"/>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drawing>
          <wp:inline distT="0" distB="0" distL="0" distR="0">
            <wp:extent cx="3756660" cy="4884420"/>
            <wp:effectExtent l="0" t="0" r="0" b="0"/>
            <wp:docPr id="30" name="图片框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框 114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a:xfrm>
                      <a:off x="0" y="0"/>
                      <a:ext cx="3756660" cy="4884420"/>
                    </a:xfrm>
                    <a:prstGeom prst="rect">
                      <a:avLst/>
                    </a:prstGeom>
                    <a:noFill/>
                    <a:ln>
                      <a:noFill/>
                    </a:ln>
                  </pic:spPr>
                </pic:pic>
              </a:graphicData>
            </a:graphic>
          </wp:inline>
        </w:drawing>
      </w:r>
    </w:p>
    <w:p>
      <w:pPr>
        <w:pageBreakBefore w:val="0"/>
        <w:wordWrap/>
        <w:bidi w:val="0"/>
        <w:spacing w:line="360" w:lineRule="auto"/>
        <w:ind w:left="0" w:leftChars="0" w:right="0" w:rightChars="0" w:firstLine="482" w:firstLineChars="200"/>
        <w:jc w:val="center"/>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w:t>图9-1地下水污染应急治理程序图</w:t>
      </w:r>
    </w:p>
    <w:p>
      <w:pPr>
        <w:pageBreakBefore w:val="0"/>
        <w:wordWrap/>
        <w:bidi w:val="0"/>
        <w:spacing w:line="360" w:lineRule="auto"/>
        <w:ind w:left="0" w:leftChars="0" w:right="0" w:rightChars="0" w:firstLine="480" w:firstLineChars="200"/>
        <w:outlineLvl w:val="2"/>
        <w:rPr>
          <w:rFonts w:hint="default" w:ascii="Times New Roman" w:hAnsi="Times New Roman" w:eastAsia="宋体" w:cs="Times New Roman"/>
          <w:color w:val="auto"/>
          <w:sz w:val="24"/>
          <w:highlight w:val="none"/>
        </w:rPr>
      </w:pPr>
      <w:bookmarkStart w:id="1475" w:name="_Toc22949"/>
      <w:bookmarkStart w:id="1476" w:name="_Toc11335"/>
      <w:r>
        <w:rPr>
          <w:rFonts w:hint="default" w:ascii="Times New Roman" w:hAnsi="Times New Roman" w:eastAsia="宋体" w:cs="Times New Roman"/>
          <w:color w:val="auto"/>
          <w:sz w:val="24"/>
          <w:highlight w:val="none"/>
        </w:rPr>
        <w:t>二、地下水污染治理措施</w:t>
      </w:r>
      <w:bookmarkEnd w:id="1475"/>
      <w:bookmarkEnd w:id="1476"/>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在突发地下水污染事故情况下</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建议采取以下应急管理措施</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以保护地下水环境</w:t>
      </w:r>
      <w:r>
        <w:rPr>
          <w:rFonts w:hint="default" w:ascii="Times New Roman" w:hAnsi="Times New Roman" w:eastAsia="宋体" w:cs="Times New Roman"/>
          <w:color w:val="auto"/>
          <w:sz w:val="24"/>
          <w:highlight w:val="none"/>
          <w:lang w:eastAsia="zh-CN"/>
        </w:rPr>
        <w:t>：</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①一旦发生地下水污染事故</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应立即启动应急预案。</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②查明并切断污染源。</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③探明地下水污染深度、范围和污染程度。</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④依据探明的地下水污染情况和污染场地的岩性特征</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合理布置轻型井点的深度及间距</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并进行试抽工作。</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⑤依据抽水设计方案进行施工</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抽取被污染</w:t>
      </w:r>
      <w:r>
        <w:rPr>
          <w:rFonts w:hint="default" w:ascii="Times New Roman" w:hAnsi="Times New Roman" w:eastAsia="宋体" w:cs="Times New Roman"/>
          <w:color w:val="auto"/>
          <w:sz w:val="24"/>
          <w:highlight w:val="none"/>
          <w:lang w:val="en-US" w:eastAsia="zh-CN"/>
        </w:rPr>
        <w:t>的</w:t>
      </w:r>
      <w:r>
        <w:rPr>
          <w:rFonts w:hint="default" w:ascii="Times New Roman" w:hAnsi="Times New Roman" w:eastAsia="宋体" w:cs="Times New Roman"/>
          <w:color w:val="auto"/>
          <w:sz w:val="24"/>
          <w:highlight w:val="none"/>
        </w:rPr>
        <w:t>地下水</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并依据各井孔出水情况进行调整。</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⑥将抽取的地下水进行集中收集处理</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并送实验室进行化验分析。</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⑦当地下水中的特征污染物浓度满足治理要求后</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逐步停止井点抽水</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并进行土壤修复治理工作。</w:t>
      </w:r>
    </w:p>
    <w:p>
      <w:pPr>
        <w:pageBreakBefore w:val="0"/>
        <w:wordWrap/>
        <w:bidi w:val="0"/>
        <w:spacing w:line="360" w:lineRule="auto"/>
        <w:ind w:left="0" w:leftChars="0" w:right="0" w:rightChars="0" w:firstLine="480" w:firstLineChars="200"/>
        <w:outlineLvl w:val="2"/>
        <w:rPr>
          <w:rFonts w:hint="default" w:ascii="Times New Roman" w:hAnsi="Times New Roman" w:eastAsia="宋体" w:cs="Times New Roman"/>
          <w:color w:val="auto"/>
          <w:sz w:val="24"/>
          <w:highlight w:val="none"/>
        </w:rPr>
      </w:pPr>
      <w:bookmarkStart w:id="1477" w:name="_Toc20666"/>
      <w:bookmarkStart w:id="1478" w:name="_Toc15508"/>
      <w:r>
        <w:rPr>
          <w:rFonts w:hint="default" w:ascii="Times New Roman" w:hAnsi="Times New Roman" w:eastAsia="宋体" w:cs="Times New Roman"/>
          <w:color w:val="auto"/>
          <w:sz w:val="24"/>
          <w:highlight w:val="none"/>
        </w:rPr>
        <w:t>三、应急管理建议</w:t>
      </w:r>
      <w:bookmarkEnd w:id="1477"/>
      <w:bookmarkEnd w:id="1478"/>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（1</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地下水污染具有不易发现和一旦污染很难治理的特点</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因此地下水污染防控应遵循源头控制、防止渗漏、污染监测和事故应急处理的主动和被动防渗相结合的原则进行。</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（2</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地下水污染状况勘察是一项专业性很强的工作</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一旦发生污染事故</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应委托具有水文地质勘察资质的单位进行地下水污染勘察工作。</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（3</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当污染事故发生后</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污染物首先渗透到不饱和层</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然后依据污染物的特性、土壤结构以及场地状况等因素</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污染物可能渗透至含水层</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而污染地下水。为了预防项目实施产生意外泄漏</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建议在厂区铺设排污管道。</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（4</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项目区地处山区</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地表山高坡陡</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植被稀少</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暴雨洪水可能引发泥石流、滑坡的发生。每次降大到暴雨前后</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应当派专业人员及时观测项目区钻孔涌水量变化情况</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预测地质灾害发生的可能性。</w:t>
      </w:r>
    </w:p>
    <w:p>
      <w:pPr>
        <w:pageBreakBefore w:val="0"/>
        <w:wordWrap/>
        <w:bidi w:val="0"/>
        <w:spacing w:line="360" w:lineRule="auto"/>
        <w:ind w:left="0" w:leftChars="0" w:right="0" w:rightChars="0" w:firstLine="480" w:firstLineChars="200"/>
        <w:outlineLvl w:val="2"/>
        <w:rPr>
          <w:rFonts w:hint="default" w:ascii="Times New Roman" w:hAnsi="Times New Roman" w:eastAsia="宋体" w:cs="Times New Roman"/>
          <w:color w:val="auto"/>
          <w:sz w:val="24"/>
          <w:highlight w:val="none"/>
        </w:rPr>
      </w:pPr>
      <w:bookmarkStart w:id="1479" w:name="_Toc19873"/>
      <w:bookmarkStart w:id="1480" w:name="_Toc237"/>
      <w:r>
        <w:rPr>
          <w:rFonts w:hint="default" w:ascii="Times New Roman" w:hAnsi="Times New Roman" w:eastAsia="宋体" w:cs="Times New Roman"/>
          <w:color w:val="auto"/>
          <w:sz w:val="24"/>
          <w:highlight w:val="none"/>
        </w:rPr>
        <w:t>四、需注意的问题</w:t>
      </w:r>
      <w:bookmarkEnd w:id="1479"/>
      <w:bookmarkEnd w:id="1480"/>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地下水污染的治理相对于地表水来说更加复杂</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在进行具体的治理时</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还需要考虑以下因素</w:t>
      </w:r>
      <w:r>
        <w:rPr>
          <w:rFonts w:hint="default" w:ascii="Times New Roman" w:hAnsi="Times New Roman" w:eastAsia="宋体" w:cs="Times New Roman"/>
          <w:color w:val="auto"/>
          <w:sz w:val="24"/>
          <w:highlight w:val="none"/>
          <w:lang w:eastAsia="zh-CN"/>
        </w:rPr>
        <w:t>：</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①在具体的地下水污染治理中</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往往要多种技术结合使用。一般在治理初期</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先使用物理法或水动力控制法将污染区封闭</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然后尽量收集污水</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最后再使用抽出处理法或原位法进行治理。</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②因为污染区域的水文地质条件和地球化学特性都会影响到地下水污染的治理</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因此地下水污染的治理通常要以水文地质工作为前提。</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③受污染地下水的修复往往还要包括土壤的修复。地下水和土壤是相互作用的</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如果只治理了受污染的地下水而不治理土壤</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由于雨水的淋滤或地下水位的波动</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污染物会再次进入地下水体</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形成交叉污染</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使地下水的治理前功尽弃。</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④对事故后果进行评估</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并制定防止类似事件发生的措施。</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⑤必要时应请求社会应急力量协助处理。</w:t>
      </w:r>
    </w:p>
    <w:p>
      <w:pPr>
        <w:pStyle w:val="4"/>
        <w:keepNext/>
        <w:keepLines/>
        <w:pageBreakBefore w:val="0"/>
        <w:widowControl w:val="0"/>
        <w:numPr>
          <w:ilvl w:val="1"/>
          <w:numId w:val="0"/>
        </w:numPr>
        <w:kinsoku/>
        <w:wordWrap/>
        <w:overflowPunct/>
        <w:topLinePunct w:val="0"/>
        <w:autoSpaceDE/>
        <w:autoSpaceDN/>
        <w:bidi w:val="0"/>
        <w:adjustRightInd/>
        <w:snapToGrid/>
        <w:ind w:left="0" w:leftChars="0" w:right="0" w:rightChars="0" w:firstLine="0" w:firstLineChars="0"/>
        <w:textAlignment w:val="auto"/>
        <w:rPr>
          <w:rFonts w:hint="default" w:ascii="Times New Roman" w:hAnsi="Times New Roman" w:eastAsia="宋体" w:cs="Times New Roman"/>
          <w:b/>
          <w:bCs/>
          <w:i w:val="0"/>
          <w:color w:val="auto"/>
          <w:kern w:val="2"/>
          <w:sz w:val="28"/>
          <w:szCs w:val="28"/>
          <w:highlight w:val="none"/>
          <w:lang w:val="en-US" w:eastAsia="zh-CN" w:bidi="ar-SA"/>
        </w:rPr>
      </w:pPr>
      <w:bookmarkStart w:id="1481" w:name="_Toc21845"/>
      <w:bookmarkStart w:id="1482" w:name="_Toc20181"/>
      <w:r>
        <w:rPr>
          <w:rFonts w:hint="default" w:ascii="Times New Roman" w:hAnsi="Times New Roman" w:eastAsia="宋体" w:cs="Times New Roman"/>
          <w:b/>
          <w:bCs/>
          <w:i w:val="0"/>
          <w:color w:val="auto"/>
          <w:kern w:val="2"/>
          <w:sz w:val="28"/>
          <w:szCs w:val="28"/>
          <w:highlight w:val="none"/>
          <w:lang w:val="en-US" w:eastAsia="zh-CN" w:bidi="ar-SA"/>
        </w:rPr>
        <w:t>9.3噪声污染防治措施及可行性分析</w:t>
      </w:r>
      <w:bookmarkEnd w:id="1481"/>
      <w:bookmarkEnd w:id="1482"/>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本项目产生的噪声主要来源生产过程的各类泵的运转噪声；其特点是噪声源多、分散</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且分贝值高；为达到降噪的目的</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采取噪声防治措施如下</w:t>
      </w:r>
      <w:r>
        <w:rPr>
          <w:rFonts w:hint="default" w:ascii="Times New Roman" w:hAnsi="Times New Roman" w:eastAsia="宋体" w:cs="Times New Roman"/>
          <w:color w:val="auto"/>
          <w:sz w:val="24"/>
          <w:highlight w:val="none"/>
          <w:lang w:eastAsia="zh-CN"/>
        </w:rPr>
        <w:t>：</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①在设计和设备采购阶段</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应优先选用先进的低噪音设备</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从声源上降低设备本身噪音。</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②在设备安装时</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对高噪声设备采取</w:t>
      </w:r>
      <w:r>
        <w:rPr>
          <w:rFonts w:hint="default" w:ascii="Times New Roman" w:hAnsi="Times New Roman" w:eastAsia="宋体" w:cs="Times New Roman"/>
          <w:color w:val="auto"/>
          <w:sz w:val="24"/>
          <w:highlight w:val="none"/>
          <w:lang w:eastAsia="zh-CN"/>
        </w:rPr>
        <w:t>减振</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eastAsia="zh-CN"/>
        </w:rPr>
        <w:t>隔</w:t>
      </w:r>
      <w:r>
        <w:rPr>
          <w:rFonts w:hint="default" w:ascii="Times New Roman" w:hAnsi="Times New Roman" w:eastAsia="宋体" w:cs="Times New Roman"/>
          <w:color w:val="auto"/>
          <w:sz w:val="24"/>
          <w:highlight w:val="none"/>
          <w:lang w:val="en-US" w:eastAsia="zh-CN"/>
        </w:rPr>
        <w:t>声</w:t>
      </w:r>
      <w:r>
        <w:rPr>
          <w:rFonts w:hint="default" w:ascii="Times New Roman" w:hAnsi="Times New Roman" w:eastAsia="宋体" w:cs="Times New Roman"/>
          <w:color w:val="auto"/>
          <w:sz w:val="24"/>
          <w:highlight w:val="none"/>
        </w:rPr>
        <w:t>措施</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采用隔声屏或局部隔声罩；设备安装位置设置减振台</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将其噪声影响控制在最小范围内。</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③合理规划平面布置。重点噪声源均布置</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并尽量远离办公生活区。</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④日常生产需加强对各设备的维修、保养</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对其主要磨损部位要及时添加润滑油</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确保设备处于良好的运转状态</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杜绝因设备不正常运转而产生的高噪音现象。加强管理</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合理安排作业时间</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禁止夜间生产。</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本项目从源头、传播、易感人群等环节进行了噪声的防治</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采取这些措施后</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设备噪声得到有效</w:t>
      </w:r>
      <w:r>
        <w:rPr>
          <w:rFonts w:hint="default" w:ascii="Times New Roman" w:hAnsi="Times New Roman" w:eastAsia="宋体" w:cs="Times New Roman"/>
          <w:color w:val="auto"/>
          <w:sz w:val="24"/>
          <w:highlight w:val="none"/>
          <w:lang w:eastAsia="zh-CN"/>
        </w:rPr>
        <w:t>地</w:t>
      </w:r>
      <w:r>
        <w:rPr>
          <w:rFonts w:hint="default" w:ascii="Times New Roman" w:hAnsi="Times New Roman" w:eastAsia="宋体" w:cs="Times New Roman"/>
          <w:color w:val="auto"/>
          <w:sz w:val="24"/>
          <w:highlight w:val="none"/>
        </w:rPr>
        <w:t>控制</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设备噪声对周围环境噪声没有明显的影响</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经预测后</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噪声的贡献值低于《工业企业厂界环境噪声排放标准》（GB12348-2008</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2类标准。</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因此</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本项目的噪声防治措施是可行的。</w:t>
      </w:r>
    </w:p>
    <w:p>
      <w:pPr>
        <w:pStyle w:val="4"/>
        <w:keepNext/>
        <w:keepLines/>
        <w:pageBreakBefore w:val="0"/>
        <w:widowControl w:val="0"/>
        <w:numPr>
          <w:ilvl w:val="1"/>
          <w:numId w:val="0"/>
        </w:numPr>
        <w:kinsoku/>
        <w:wordWrap/>
        <w:overflowPunct/>
        <w:topLinePunct w:val="0"/>
        <w:autoSpaceDE/>
        <w:autoSpaceDN/>
        <w:bidi w:val="0"/>
        <w:adjustRightInd/>
        <w:snapToGrid/>
        <w:ind w:left="0" w:leftChars="0" w:right="0" w:rightChars="0" w:firstLine="0" w:firstLineChars="0"/>
        <w:textAlignment w:val="auto"/>
        <w:rPr>
          <w:rFonts w:hint="default" w:ascii="Times New Roman" w:hAnsi="Times New Roman" w:eastAsia="宋体" w:cs="Times New Roman"/>
          <w:b/>
          <w:bCs/>
          <w:i w:val="0"/>
          <w:color w:val="auto"/>
          <w:kern w:val="2"/>
          <w:sz w:val="28"/>
          <w:szCs w:val="28"/>
          <w:highlight w:val="none"/>
          <w:lang w:val="en-US" w:eastAsia="zh-CN" w:bidi="ar-SA"/>
        </w:rPr>
      </w:pPr>
      <w:bookmarkStart w:id="1483" w:name="_Toc25653"/>
      <w:bookmarkStart w:id="1484" w:name="_Toc288306260"/>
      <w:bookmarkStart w:id="1485" w:name="_Toc260567978"/>
      <w:bookmarkStart w:id="1486" w:name="_Toc16903"/>
      <w:r>
        <w:rPr>
          <w:rFonts w:hint="default" w:ascii="Times New Roman" w:hAnsi="Times New Roman" w:eastAsia="宋体" w:cs="Times New Roman"/>
          <w:b/>
          <w:bCs/>
          <w:i w:val="0"/>
          <w:color w:val="auto"/>
          <w:kern w:val="2"/>
          <w:sz w:val="28"/>
          <w:szCs w:val="28"/>
          <w:highlight w:val="none"/>
          <w:lang w:val="en-US" w:eastAsia="zh-CN" w:bidi="ar-SA"/>
        </w:rPr>
        <w:t>9.4固体废物治理措施</w:t>
      </w:r>
      <w:bookmarkEnd w:id="1483"/>
      <w:bookmarkEnd w:id="1484"/>
      <w:bookmarkEnd w:id="1485"/>
      <w:bookmarkEnd w:id="1486"/>
    </w:p>
    <w:p>
      <w:pPr>
        <w:pageBreakBefore w:val="0"/>
        <w:wordWrap/>
        <w:bidi w:val="0"/>
        <w:spacing w:line="360" w:lineRule="auto"/>
        <w:ind w:left="0" w:leftChars="0" w:right="0" w:rightChars="0" w:firstLine="480" w:firstLineChars="200"/>
        <w:rPr>
          <w:rFonts w:hint="default" w:ascii="Times New Roman" w:hAnsi="Times New Roman" w:eastAsia="宋体" w:cs="Times New Roman"/>
          <w:bCs/>
          <w:color w:val="auto"/>
          <w:sz w:val="24"/>
          <w:highlight w:val="none"/>
          <w:lang w:eastAsia="zh-CN"/>
        </w:rPr>
      </w:pPr>
      <w:r>
        <w:rPr>
          <w:rFonts w:hint="default" w:ascii="Times New Roman" w:hAnsi="Times New Roman" w:eastAsia="宋体" w:cs="Times New Roman"/>
          <w:bCs/>
          <w:color w:val="auto"/>
          <w:sz w:val="24"/>
          <w:highlight w:val="none"/>
        </w:rPr>
        <w:t>现有工程产生的尾矿砂年产生尾矿砂约299.46万</w:t>
      </w:r>
      <w:r>
        <w:rPr>
          <w:rFonts w:hint="default" w:ascii="Times New Roman" w:hAnsi="Times New Roman" w:eastAsia="宋体" w:cs="Times New Roman"/>
          <w:bCs/>
          <w:color w:val="auto"/>
          <w:sz w:val="24"/>
          <w:highlight w:val="none"/>
          <w:lang w:val="en-US" w:eastAsia="zh-CN"/>
        </w:rPr>
        <w:t>t</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bCs/>
          <w:color w:val="auto"/>
          <w:sz w:val="24"/>
          <w:highlight w:val="none"/>
        </w:rPr>
        <w:t>产生的尾矿砂排至尾矿库。本项目扩容后</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可增加有效库容926万m</w:t>
      </w:r>
      <w:r>
        <w:rPr>
          <w:rFonts w:hint="default" w:ascii="Times New Roman" w:hAnsi="Times New Roman" w:eastAsia="宋体" w:cs="Times New Roman"/>
          <w:bCs/>
          <w:color w:val="auto"/>
          <w:sz w:val="24"/>
          <w:highlight w:val="none"/>
          <w:vertAlign w:val="superscript"/>
        </w:rPr>
        <w:t>3</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color w:val="auto"/>
          <w:sz w:val="24"/>
          <w:szCs w:val="24"/>
          <w:highlight w:val="none"/>
          <w:lang w:val="en-GB" w:eastAsia="zh-CN"/>
        </w:rPr>
        <w:t>现有尾矿库剩余服务年限约0.9年，</w:t>
      </w:r>
      <w:r>
        <w:rPr>
          <w:rFonts w:hint="default" w:ascii="Times New Roman" w:hAnsi="Times New Roman" w:eastAsia="宋体" w:cs="Times New Roman"/>
          <w:color w:val="auto"/>
          <w:sz w:val="24"/>
          <w:szCs w:val="24"/>
          <w:highlight w:val="none"/>
        </w:rPr>
        <w:t>扩建尾矿库服务年限约</w:t>
      </w:r>
      <w:r>
        <w:rPr>
          <w:rFonts w:hint="default" w:ascii="Times New Roman" w:hAnsi="Times New Roman" w:eastAsia="宋体" w:cs="Times New Roman"/>
          <w:color w:val="auto"/>
          <w:sz w:val="24"/>
          <w:szCs w:val="24"/>
          <w:highlight w:val="none"/>
          <w:lang w:eastAsia="zh-CN"/>
        </w:rPr>
        <w:t>3.7</w:t>
      </w:r>
      <w:r>
        <w:rPr>
          <w:rFonts w:hint="default" w:ascii="Times New Roman" w:hAnsi="Times New Roman" w:eastAsia="宋体" w:cs="Times New Roman"/>
          <w:color w:val="auto"/>
          <w:sz w:val="24"/>
          <w:szCs w:val="24"/>
          <w:highlight w:val="none"/>
        </w:rPr>
        <w:t>年</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扩建后尾矿库</w:t>
      </w:r>
      <w:r>
        <w:rPr>
          <w:rFonts w:hint="default" w:ascii="Times New Roman" w:hAnsi="Times New Roman" w:eastAsia="宋体" w:cs="Times New Roman"/>
          <w:color w:val="auto"/>
          <w:sz w:val="24"/>
          <w:szCs w:val="24"/>
          <w:highlight w:val="none"/>
        </w:rPr>
        <w:t>服务年限约</w:t>
      </w:r>
      <w:r>
        <w:rPr>
          <w:rFonts w:hint="default" w:ascii="Times New Roman" w:hAnsi="Times New Roman" w:eastAsia="宋体" w:cs="Times New Roman"/>
          <w:color w:val="auto"/>
          <w:sz w:val="24"/>
          <w:szCs w:val="24"/>
          <w:highlight w:val="none"/>
          <w:lang w:val="en-US" w:eastAsia="zh-CN"/>
        </w:rPr>
        <w:t>4.6</w:t>
      </w:r>
      <w:r>
        <w:rPr>
          <w:rFonts w:hint="default" w:ascii="Times New Roman" w:hAnsi="Times New Roman" w:eastAsia="宋体" w:cs="Times New Roman"/>
          <w:color w:val="auto"/>
          <w:sz w:val="24"/>
          <w:szCs w:val="24"/>
          <w:highlight w:val="none"/>
        </w:rPr>
        <w:t>年</w:t>
      </w:r>
      <w:r>
        <w:rPr>
          <w:rFonts w:hint="default" w:ascii="Times New Roman" w:hAnsi="Times New Roman" w:eastAsia="宋体" w:cs="Times New Roman"/>
          <w:color w:val="auto"/>
          <w:sz w:val="24"/>
          <w:szCs w:val="24"/>
          <w:highlight w:val="none"/>
          <w:lang w:val="en-US" w:eastAsia="zh-CN"/>
        </w:rPr>
        <w:t>。</w:t>
      </w:r>
    </w:p>
    <w:p>
      <w:pPr>
        <w:pageBreakBefore w:val="0"/>
        <w:wordWrap/>
        <w:bidi w:val="0"/>
        <w:spacing w:line="360" w:lineRule="auto"/>
        <w:ind w:left="0" w:leftChars="0" w:right="0" w:rightChars="0" w:firstLine="480" w:firstLineChars="200"/>
        <w:rPr>
          <w:rFonts w:hint="default" w:ascii="Times New Roman" w:hAnsi="Times New Roman" w:eastAsia="宋体" w:cs="Times New Roman"/>
          <w:bCs/>
          <w:color w:val="auto"/>
          <w:sz w:val="24"/>
          <w:highlight w:val="none"/>
          <w:lang w:eastAsia="zh-CN"/>
        </w:rPr>
      </w:pPr>
      <w:r>
        <w:rPr>
          <w:rFonts w:hint="default" w:ascii="Times New Roman" w:hAnsi="Times New Roman" w:eastAsia="宋体" w:cs="Times New Roman"/>
          <w:color w:val="auto"/>
          <w:sz w:val="24"/>
          <w:highlight w:val="none"/>
          <w:lang w:eastAsia="zh-CN"/>
        </w:rPr>
        <w:t>根据</w:t>
      </w:r>
      <w:r>
        <w:rPr>
          <w:rFonts w:hint="default" w:ascii="Times New Roman" w:hAnsi="Times New Roman" w:eastAsia="宋体" w:cs="Times New Roman"/>
          <w:bCs/>
          <w:color w:val="auto"/>
          <w:sz w:val="24"/>
          <w:szCs w:val="24"/>
          <w:highlight w:val="none"/>
        </w:rPr>
        <w:t>内蒙古加通环境检测治理有限公司</w:t>
      </w:r>
      <w:r>
        <w:rPr>
          <w:rFonts w:hint="default" w:ascii="Times New Roman" w:hAnsi="Times New Roman" w:eastAsia="宋体" w:cs="Times New Roman"/>
          <w:color w:val="auto"/>
          <w:sz w:val="24"/>
          <w:highlight w:val="none"/>
          <w:lang w:val="en-US" w:eastAsia="zh-CN"/>
        </w:rPr>
        <w:t>2023年4月出具的《监测报告》，对西沙德盖钼业公司尾矿样品进行浸出测试：①根据《危险废物鉴别标准通则》（GB5085.7-2019）、《危险废物鉴别标准浸出毒性鉴别》（GB5085.3-2007）进行了浸出毒性实验，浸出液中各项监测指标均未超过《危险废物鉴别标准浸出毒性鉴别》（GB5085.3-2007）表1浸出毒性鉴别标准值，因此钼矿尾矿不属于危险废物；②根据《固体废物浸出毒性浸出方法水平振荡法》（HJ557-2010）进行了浸出毒性实验，浸出液中各项监测指标均未超过《污水综合排放标准》（GB8978-1996）最高允许排放浓度（第二类污染物最高允许排放浓度按照一级标准执行），且pH值在6～9范围之内，因此钼矿尾矿属于</w:t>
      </w:r>
      <w:r>
        <w:rPr>
          <w:rFonts w:hint="default" w:ascii="Times New Roman" w:hAnsi="Times New Roman" w:eastAsia="宋体" w:cs="Times New Roman"/>
          <w:color w:val="auto"/>
          <w:sz w:val="24"/>
          <w:highlight w:val="none"/>
        </w:rPr>
        <w:t>第</w:t>
      </w:r>
      <w:r>
        <w:rPr>
          <w:rFonts w:hint="default" w:ascii="Times New Roman" w:hAnsi="Times New Roman" w:eastAsia="宋体" w:cs="Times New Roman"/>
          <w:color w:val="auto"/>
          <w:sz w:val="24"/>
          <w:highlight w:val="none"/>
          <w:lang w:val="en-US" w:eastAsia="zh-CN"/>
        </w:rPr>
        <w:t>I</w:t>
      </w:r>
      <w:r>
        <w:rPr>
          <w:rFonts w:hint="default" w:ascii="Times New Roman" w:hAnsi="Times New Roman" w:eastAsia="宋体" w:cs="Times New Roman"/>
          <w:color w:val="auto"/>
          <w:sz w:val="24"/>
          <w:highlight w:val="none"/>
        </w:rPr>
        <w:t>类一般工业固体废物</w:t>
      </w:r>
      <w:r>
        <w:rPr>
          <w:rFonts w:hint="default" w:ascii="Times New Roman" w:hAnsi="Times New Roman" w:eastAsia="宋体" w:cs="Times New Roman"/>
          <w:color w:val="auto"/>
          <w:sz w:val="24"/>
          <w:highlight w:val="none"/>
          <w:lang w:val="en-US" w:eastAsia="zh-CN"/>
        </w:rPr>
        <w:t>。</w:t>
      </w:r>
    </w:p>
    <w:p>
      <w:pPr>
        <w:keepNext w:val="0"/>
        <w:keepLines w:val="0"/>
        <w:pageBreakBefore w:val="0"/>
        <w:widowControl w:val="0"/>
        <w:kinsoku/>
        <w:wordWrap/>
        <w:overflowPunct/>
        <w:topLinePunct w:val="0"/>
        <w:autoSpaceDE/>
        <w:autoSpaceDN/>
        <w:bidi w:val="0"/>
        <w:spacing w:line="360" w:lineRule="auto"/>
        <w:ind w:left="0" w:leftChars="0" w:right="0" w:rightChars="0" w:firstLine="480" w:firstLineChars="200"/>
        <w:jc w:val="left"/>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本次尾矿库加高扩容项目防渗工程包括两部分内容：（1）尾矿库现有库区防渗依托现有防渗措施；（2）紧邻现有尾矿库南侧新增占地上新建尾矿库区防渗措施。</w:t>
      </w:r>
    </w:p>
    <w:p>
      <w:pPr>
        <w:pageBreakBefore w:val="0"/>
        <w:widowControl w:val="0"/>
        <w:kinsoku/>
        <w:wordWrap/>
        <w:overflowPunct/>
        <w:topLinePunct w:val="0"/>
        <w:autoSpaceDE/>
        <w:autoSpaceDN/>
        <w:bidi w:val="0"/>
        <w:snapToGrid w:val="0"/>
        <w:spacing w:line="360" w:lineRule="auto"/>
        <w:ind w:left="0" w:leftChars="0" w:right="0" w:rightChars="0" w:firstLine="482" w:firstLineChars="200"/>
        <w:jc w:val="both"/>
        <w:outlineLvl w:val="0"/>
        <w:rPr>
          <w:rFonts w:hint="default" w:ascii="Times New Roman" w:hAnsi="Times New Roman" w:eastAsia="宋体" w:cs="Times New Roman"/>
          <w:b/>
          <w:bCs/>
          <w:color w:val="auto"/>
          <w:sz w:val="24"/>
          <w:szCs w:val="24"/>
          <w:highlight w:val="none"/>
          <w:lang w:val="en-US" w:eastAsia="zh-CN"/>
        </w:rPr>
      </w:pPr>
      <w:bookmarkStart w:id="1487" w:name="_Toc30465"/>
      <w:bookmarkStart w:id="1488" w:name="_Toc4928"/>
      <w:r>
        <w:rPr>
          <w:rFonts w:hint="default" w:ascii="Times New Roman" w:hAnsi="Times New Roman" w:eastAsia="宋体" w:cs="Times New Roman"/>
          <w:b/>
          <w:bCs/>
          <w:color w:val="auto"/>
          <w:sz w:val="24"/>
          <w:szCs w:val="24"/>
          <w:highlight w:val="none"/>
          <w:lang w:val="en-US" w:eastAsia="zh-CN"/>
        </w:rPr>
        <w:t>（1）现有尾矿库区防渗如下：</w:t>
      </w:r>
      <w:bookmarkEnd w:id="1487"/>
      <w:bookmarkEnd w:id="1488"/>
    </w:p>
    <w:p>
      <w:pPr>
        <w:keepNext w:val="0"/>
        <w:keepLines w:val="0"/>
        <w:pageBreakBefore w:val="0"/>
        <w:widowControl w:val="0"/>
        <w:kinsoku/>
        <w:wordWrap/>
        <w:overflowPunct/>
        <w:topLinePunct w:val="0"/>
        <w:autoSpaceDE/>
        <w:autoSpaceDN/>
        <w:bidi w:val="0"/>
        <w:spacing w:line="360" w:lineRule="auto"/>
        <w:ind w:left="0" w:leftChars="0" w:right="0" w:rightChars="0" w:firstLine="480" w:firstLineChars="200"/>
        <w:jc w:val="left"/>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根据《监理报告》可知：现有</w:t>
      </w:r>
      <w:r>
        <w:rPr>
          <w:rFonts w:hint="default" w:ascii="Times New Roman" w:hAnsi="Times New Roman" w:eastAsia="宋体" w:cs="Times New Roman"/>
          <w:color w:val="auto"/>
          <w:sz w:val="24"/>
          <w:szCs w:val="24"/>
          <w:highlight w:val="none"/>
          <w:lang w:eastAsia="zh-CN"/>
        </w:rPr>
        <w:t>尾矿库库底和边坡同样做防渗层，铺设300mm厚级配沙砾石过渡层，300mm厚粘土层（渗透系数不大于10</w:t>
      </w:r>
      <w:r>
        <w:rPr>
          <w:rFonts w:hint="default" w:ascii="Times New Roman" w:hAnsi="Times New Roman" w:eastAsia="宋体" w:cs="Times New Roman"/>
          <w:color w:val="auto"/>
          <w:sz w:val="24"/>
          <w:szCs w:val="24"/>
          <w:highlight w:val="none"/>
          <w:vertAlign w:val="superscript"/>
          <w:lang w:eastAsia="zh-CN"/>
        </w:rPr>
        <w:t>-7</w:t>
      </w:r>
      <w:r>
        <w:rPr>
          <w:rFonts w:hint="default" w:ascii="Times New Roman" w:hAnsi="Times New Roman" w:eastAsia="宋体" w:cs="Times New Roman"/>
          <w:color w:val="auto"/>
          <w:sz w:val="24"/>
          <w:szCs w:val="24"/>
          <w:highlight w:val="none"/>
          <w:lang w:eastAsia="zh-CN"/>
        </w:rPr>
        <w:t>cm/s），1.5mmHDPE土工膜，300mm厚细砂保护层，300mm砂砾石保护层（粒径4-6cm）；初期坝坝体上游坡</w:t>
      </w:r>
      <w:r>
        <w:rPr>
          <w:rFonts w:hint="default" w:ascii="Times New Roman" w:hAnsi="Times New Roman" w:eastAsia="宋体" w:cs="Times New Roman"/>
          <w:color w:val="auto"/>
          <w:sz w:val="24"/>
          <w:szCs w:val="24"/>
          <w:highlight w:val="none"/>
          <w:lang w:val="en-US" w:eastAsia="zh-CN"/>
        </w:rPr>
        <w:t>铺设400mm厚粗砂垫层，然后铺设</w:t>
      </w:r>
      <w:r>
        <w:rPr>
          <w:rFonts w:hint="default" w:ascii="Times New Roman" w:hAnsi="Times New Roman" w:eastAsia="宋体" w:cs="Times New Roman"/>
          <w:color w:val="auto"/>
          <w:sz w:val="24"/>
          <w:szCs w:val="24"/>
          <w:highlight w:val="none"/>
          <w:lang w:eastAsia="zh-CN"/>
        </w:rPr>
        <w:t>500g/m</w:t>
      </w:r>
      <w:r>
        <w:rPr>
          <w:rFonts w:hint="default" w:ascii="Times New Roman" w:hAnsi="Times New Roman" w:eastAsia="宋体" w:cs="Times New Roman"/>
          <w:color w:val="auto"/>
          <w:sz w:val="24"/>
          <w:szCs w:val="24"/>
          <w:highlight w:val="none"/>
          <w:vertAlign w:val="superscript"/>
          <w:lang w:eastAsia="zh-CN"/>
        </w:rPr>
        <w:t>2</w:t>
      </w:r>
      <w:r>
        <w:rPr>
          <w:rFonts w:hint="default" w:ascii="Times New Roman" w:hAnsi="Times New Roman" w:eastAsia="宋体" w:cs="Times New Roman"/>
          <w:color w:val="auto"/>
          <w:sz w:val="24"/>
          <w:szCs w:val="24"/>
          <w:highlight w:val="none"/>
          <w:lang w:val="en-US" w:eastAsia="zh-CN"/>
        </w:rPr>
        <w:t>加筋土工布，最上面铺500mm厚天然砂砾石保护层。</w:t>
      </w:r>
    </w:p>
    <w:p>
      <w:pPr>
        <w:keepNext w:val="0"/>
        <w:keepLines w:val="0"/>
        <w:pageBreakBefore w:val="0"/>
        <w:widowControl w:val="0"/>
        <w:kinsoku/>
        <w:wordWrap/>
        <w:overflowPunct/>
        <w:topLinePunct w:val="0"/>
        <w:autoSpaceDE/>
        <w:autoSpaceDN/>
        <w:bidi w:val="0"/>
        <w:spacing w:line="360" w:lineRule="auto"/>
        <w:ind w:left="0" w:leftChars="0" w:right="0" w:rightChars="0" w:firstLine="480" w:firstLineChars="200"/>
        <w:jc w:val="left"/>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color w:val="auto"/>
          <w:sz w:val="24"/>
          <w:szCs w:val="24"/>
          <w:highlight w:val="none"/>
        </w:rPr>
        <w:t>2017年8月23日原巴彦淖尔市环境保护局以《内蒙古自治区乌拉特前旗西沙德盖钼业有限责任公司10000t/d钼矿采选扩建尾矿库工程竣工环境保护验收意见》（巴环验〔2017〕28号）</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尾矿库做防渗处理，满足Ⅱ类场要求运行和管理</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同意现有尾矿库通过竣工环境保护验收</w:t>
      </w:r>
      <w:r>
        <w:rPr>
          <w:rFonts w:hint="default" w:ascii="Times New Roman" w:hAnsi="Times New Roman" w:eastAsia="宋体" w:cs="Times New Roman"/>
          <w:color w:val="auto"/>
          <w:sz w:val="24"/>
          <w:szCs w:val="24"/>
          <w:highlight w:val="none"/>
          <w:lang w:eastAsia="zh-CN"/>
        </w:rPr>
        <w:t>。</w:t>
      </w:r>
    </w:p>
    <w:p>
      <w:pPr>
        <w:pageBreakBefore w:val="0"/>
        <w:widowControl w:val="0"/>
        <w:kinsoku/>
        <w:wordWrap/>
        <w:overflowPunct/>
        <w:topLinePunct w:val="0"/>
        <w:autoSpaceDE/>
        <w:autoSpaceDN/>
        <w:bidi w:val="0"/>
        <w:snapToGrid w:val="0"/>
        <w:spacing w:line="360" w:lineRule="auto"/>
        <w:ind w:left="0" w:leftChars="0" w:right="0" w:rightChars="0" w:firstLine="482" w:firstLineChars="200"/>
        <w:jc w:val="both"/>
        <w:outlineLvl w:val="0"/>
        <w:rPr>
          <w:rFonts w:hint="default" w:ascii="Times New Roman" w:hAnsi="Times New Roman" w:eastAsia="宋体" w:cs="Times New Roman"/>
          <w:b/>
          <w:bCs/>
          <w:color w:val="auto"/>
          <w:sz w:val="24"/>
          <w:szCs w:val="24"/>
          <w:highlight w:val="none"/>
          <w:lang w:val="en-US" w:eastAsia="zh-CN"/>
        </w:rPr>
      </w:pPr>
      <w:bookmarkStart w:id="1489" w:name="_Toc29974"/>
      <w:bookmarkStart w:id="1490" w:name="_Toc5445"/>
      <w:r>
        <w:rPr>
          <w:rFonts w:hint="default" w:ascii="Times New Roman" w:hAnsi="Times New Roman" w:eastAsia="宋体" w:cs="Times New Roman"/>
          <w:b/>
          <w:bCs/>
          <w:color w:val="auto"/>
          <w:sz w:val="24"/>
          <w:szCs w:val="24"/>
          <w:highlight w:val="none"/>
          <w:lang w:val="en-US" w:eastAsia="zh-CN"/>
        </w:rPr>
        <w:t>（2）紧邻现有尾矿库南侧新增占地部分防渗设计如下：</w:t>
      </w:r>
      <w:bookmarkEnd w:id="1489"/>
      <w:bookmarkEnd w:id="1490"/>
    </w:p>
    <w:p>
      <w:pPr>
        <w:pageBreakBefore w:val="0"/>
        <w:widowControl w:val="0"/>
        <w:kinsoku/>
        <w:wordWrap/>
        <w:overflowPunct/>
        <w:topLinePunct w:val="0"/>
        <w:autoSpaceDE/>
        <w:autoSpaceDN/>
        <w:bidi w:val="0"/>
        <w:snapToGrid w:val="0"/>
        <w:spacing w:line="360" w:lineRule="auto"/>
        <w:ind w:left="0" w:leftChars="0" w:right="0" w:rightChars="0" w:firstLine="480" w:firstLineChars="200"/>
        <w:jc w:val="both"/>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尾矿库库底和边坡同样做防渗层，铺设750mm厚粘土层（渗透系数不大于10</w:t>
      </w:r>
      <w:r>
        <w:rPr>
          <w:rFonts w:hint="default" w:ascii="Times New Roman" w:hAnsi="Times New Roman" w:eastAsia="宋体" w:cs="Times New Roman"/>
          <w:color w:val="auto"/>
          <w:sz w:val="24"/>
          <w:szCs w:val="24"/>
          <w:highlight w:val="none"/>
          <w:vertAlign w:val="superscript"/>
          <w:lang w:val="en-US" w:eastAsia="zh-CN"/>
        </w:rPr>
        <w:t>-7</w:t>
      </w:r>
      <w:r>
        <w:rPr>
          <w:rFonts w:hint="default" w:ascii="Times New Roman" w:hAnsi="Times New Roman" w:eastAsia="宋体" w:cs="Times New Roman"/>
          <w:color w:val="auto"/>
          <w:sz w:val="24"/>
          <w:szCs w:val="24"/>
          <w:highlight w:val="none"/>
          <w:lang w:val="en-US" w:eastAsia="zh-CN"/>
        </w:rPr>
        <w:t>cm/s），1.5mmHDPE土工膜，300mm厚细砂保护层，300mm砂砾石保护层（粒径4-6cm）。</w:t>
      </w:r>
    </w:p>
    <w:p>
      <w:pPr>
        <w:pageBreakBefore w:val="0"/>
        <w:wordWrap/>
        <w:bidi w:val="0"/>
        <w:spacing w:line="360" w:lineRule="auto"/>
        <w:ind w:left="0" w:leftChars="0" w:right="0" w:rightChars="0" w:firstLine="480" w:firstLineChars="200"/>
        <w:rPr>
          <w:rFonts w:hint="default" w:ascii="Times New Roman" w:hAnsi="Times New Roman" w:eastAsia="宋体" w:cs="Times New Roman"/>
          <w:bCs/>
          <w:color w:val="auto"/>
          <w:sz w:val="24"/>
          <w:highlight w:val="none"/>
          <w:lang w:eastAsia="zh-CN"/>
        </w:rPr>
      </w:pPr>
      <w:r>
        <w:rPr>
          <w:rFonts w:hint="default" w:ascii="Times New Roman" w:hAnsi="Times New Roman" w:eastAsia="宋体" w:cs="Times New Roman"/>
          <w:bCs/>
          <w:color w:val="auto"/>
          <w:sz w:val="24"/>
          <w:highlight w:val="none"/>
          <w:lang w:val="en-US" w:eastAsia="zh-CN"/>
        </w:rPr>
        <w:t>现有尾矿库南侧新增占地部分满足</w:t>
      </w:r>
      <w:r>
        <w:rPr>
          <w:rFonts w:hint="default" w:ascii="Times New Roman" w:hAnsi="Times New Roman" w:eastAsia="宋体" w:cs="Times New Roman"/>
          <w:bCs/>
          <w:color w:val="auto"/>
          <w:sz w:val="24"/>
          <w:highlight w:val="none"/>
          <w:lang w:eastAsia="zh-CN"/>
        </w:rPr>
        <w:t>《一般工业固体废物贮存和填埋污染控制标准》（GB18599-2020）II类场要求。</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szCs w:val="24"/>
          <w:highlight w:val="none"/>
          <w:lang w:val="en-US" w:eastAsia="zh-CN"/>
        </w:rPr>
        <w:t>根据</w:t>
      </w:r>
      <w:r>
        <w:rPr>
          <w:rFonts w:hint="default" w:ascii="Times New Roman" w:hAnsi="Times New Roman" w:eastAsia="宋体" w:cs="Times New Roman"/>
          <w:bCs/>
          <w:color w:val="auto"/>
          <w:sz w:val="24"/>
          <w:szCs w:val="24"/>
          <w:highlight w:val="none"/>
        </w:rPr>
        <w:t>内蒙古加通环境检测治理有限公司</w:t>
      </w:r>
      <w:r>
        <w:rPr>
          <w:rFonts w:hint="default" w:ascii="Times New Roman" w:hAnsi="Times New Roman" w:eastAsia="宋体" w:cs="Times New Roman"/>
          <w:color w:val="auto"/>
          <w:sz w:val="24"/>
          <w:highlight w:val="none"/>
          <w:lang w:val="en-US" w:eastAsia="zh-CN"/>
        </w:rPr>
        <w:t>2023年4月出具的《监测报告》，对西沙德盖钼业公司尾矿样品进行浸出测试：钼矿尾矿属于</w:t>
      </w:r>
      <w:r>
        <w:rPr>
          <w:rFonts w:hint="default" w:ascii="Times New Roman" w:hAnsi="Times New Roman" w:eastAsia="宋体" w:cs="Times New Roman"/>
          <w:color w:val="auto"/>
          <w:sz w:val="24"/>
          <w:highlight w:val="none"/>
        </w:rPr>
        <w:t>第</w:t>
      </w:r>
      <w:r>
        <w:rPr>
          <w:rFonts w:hint="default" w:ascii="Times New Roman" w:hAnsi="Times New Roman" w:eastAsia="宋体" w:cs="Times New Roman"/>
          <w:color w:val="auto"/>
          <w:sz w:val="24"/>
          <w:highlight w:val="none"/>
          <w:lang w:val="en-US" w:eastAsia="zh-CN"/>
        </w:rPr>
        <w:t>I</w:t>
      </w:r>
      <w:r>
        <w:rPr>
          <w:rFonts w:hint="default" w:ascii="Times New Roman" w:hAnsi="Times New Roman" w:eastAsia="宋体" w:cs="Times New Roman"/>
          <w:color w:val="auto"/>
          <w:sz w:val="24"/>
          <w:highlight w:val="none"/>
        </w:rPr>
        <w:t>类一般工业固体废物</w:t>
      </w:r>
      <w:r>
        <w:rPr>
          <w:rFonts w:hint="default" w:ascii="Times New Roman" w:hAnsi="Times New Roman" w:eastAsia="宋体" w:cs="Times New Roman"/>
          <w:color w:val="auto"/>
          <w:sz w:val="24"/>
          <w:highlight w:val="none"/>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highlight w:val="none"/>
          <w:lang w:val="en-US" w:eastAsia="zh-CN"/>
        </w:rPr>
        <w:t>本次尾矿库加高扩容工程建成后，</w:t>
      </w:r>
      <w:r>
        <w:rPr>
          <w:rFonts w:hint="default" w:ascii="Times New Roman" w:hAnsi="Times New Roman" w:eastAsia="宋体" w:cs="Times New Roman"/>
          <w:color w:val="auto"/>
          <w:sz w:val="24"/>
          <w:szCs w:val="24"/>
          <w:highlight w:val="none"/>
          <w:lang w:val="en-US" w:eastAsia="zh-CN"/>
        </w:rPr>
        <w:t>尾矿库库底和边坡、初期坝、堆积坝等过程</w:t>
      </w:r>
      <w:r>
        <w:rPr>
          <w:rFonts w:hint="default" w:ascii="Times New Roman" w:hAnsi="Times New Roman" w:eastAsia="宋体" w:cs="Times New Roman"/>
          <w:color w:val="auto"/>
          <w:sz w:val="24"/>
          <w:highlight w:val="none"/>
          <w:lang w:val="en-US" w:eastAsia="zh-CN"/>
        </w:rPr>
        <w:t>防渗满足钼矿尾矿（</w:t>
      </w:r>
      <w:r>
        <w:rPr>
          <w:rFonts w:hint="default" w:ascii="Times New Roman" w:hAnsi="Times New Roman" w:eastAsia="宋体" w:cs="Times New Roman"/>
          <w:color w:val="auto"/>
          <w:sz w:val="24"/>
          <w:highlight w:val="none"/>
        </w:rPr>
        <w:t>第</w:t>
      </w:r>
      <w:r>
        <w:rPr>
          <w:rFonts w:hint="default" w:ascii="Times New Roman" w:hAnsi="Times New Roman" w:eastAsia="宋体" w:cs="Times New Roman"/>
          <w:color w:val="auto"/>
          <w:sz w:val="24"/>
          <w:highlight w:val="none"/>
          <w:lang w:val="en-US" w:eastAsia="zh-CN"/>
        </w:rPr>
        <w:t>I</w:t>
      </w:r>
      <w:r>
        <w:rPr>
          <w:rFonts w:hint="default" w:ascii="Times New Roman" w:hAnsi="Times New Roman" w:eastAsia="宋体" w:cs="Times New Roman"/>
          <w:color w:val="auto"/>
          <w:sz w:val="24"/>
          <w:highlight w:val="none"/>
        </w:rPr>
        <w:t>类一般工业固体废物</w:t>
      </w:r>
      <w:r>
        <w:rPr>
          <w:rFonts w:hint="default" w:ascii="Times New Roman" w:hAnsi="Times New Roman" w:eastAsia="宋体" w:cs="Times New Roman"/>
          <w:color w:val="auto"/>
          <w:sz w:val="24"/>
          <w:highlight w:val="none"/>
          <w:lang w:val="en-US" w:eastAsia="zh-CN"/>
        </w:rPr>
        <w:t>）填埋</w:t>
      </w:r>
      <w:r>
        <w:rPr>
          <w:rFonts w:hint="default" w:ascii="Times New Roman" w:hAnsi="Times New Roman" w:eastAsia="宋体" w:cs="Times New Roman"/>
          <w:bCs/>
          <w:color w:val="auto"/>
          <w:sz w:val="24"/>
          <w:highlight w:val="none"/>
          <w:lang w:val="en-US" w:eastAsia="zh-CN"/>
        </w:rPr>
        <w:t>要求。</w:t>
      </w:r>
    </w:p>
    <w:p>
      <w:pPr>
        <w:pageBreakBefore w:val="0"/>
        <w:widowControl w:val="0"/>
        <w:kinsoku/>
        <w:wordWrap/>
        <w:overflowPunct/>
        <w:topLinePunct w:val="0"/>
        <w:autoSpaceDE/>
        <w:autoSpaceDN/>
        <w:bidi w:val="0"/>
        <w:snapToGrid w:val="0"/>
        <w:spacing w:line="360" w:lineRule="auto"/>
        <w:ind w:left="0" w:leftChars="0" w:right="0" w:rightChars="0" w:firstLine="482" w:firstLineChars="200"/>
        <w:jc w:val="both"/>
        <w:outlineLvl w:val="0"/>
        <w:rPr>
          <w:rFonts w:hint="default" w:ascii="Times New Roman" w:hAnsi="Times New Roman" w:eastAsia="宋体" w:cs="Times New Roman"/>
          <w:b/>
          <w:bCs/>
          <w:color w:val="auto"/>
          <w:sz w:val="24"/>
          <w:szCs w:val="24"/>
          <w:highlight w:val="none"/>
          <w:lang w:val="en-US" w:eastAsia="zh-CN"/>
        </w:rPr>
      </w:pPr>
      <w:bookmarkStart w:id="1491" w:name="_Toc2096"/>
      <w:bookmarkStart w:id="1492" w:name="_Toc12148"/>
      <w:r>
        <w:rPr>
          <w:rFonts w:hint="default" w:ascii="Times New Roman" w:hAnsi="Times New Roman" w:eastAsia="宋体" w:cs="Times New Roman"/>
          <w:b/>
          <w:bCs/>
          <w:color w:val="auto"/>
          <w:sz w:val="24"/>
          <w:szCs w:val="24"/>
          <w:highlight w:val="none"/>
          <w:lang w:val="en-US" w:eastAsia="zh-CN"/>
        </w:rPr>
        <w:t>（3）回水池防渗设计如下：</w:t>
      </w:r>
      <w:bookmarkEnd w:id="1491"/>
      <w:bookmarkEnd w:id="1492"/>
    </w:p>
    <w:p>
      <w:pPr>
        <w:pageBreakBefore w:val="0"/>
        <w:widowControl w:val="0"/>
        <w:kinsoku/>
        <w:wordWrap/>
        <w:overflowPunct/>
        <w:topLinePunct w:val="0"/>
        <w:autoSpaceDE/>
        <w:autoSpaceDN/>
        <w:bidi w:val="0"/>
        <w:snapToGrid w:val="0"/>
        <w:spacing w:line="360" w:lineRule="auto"/>
        <w:ind w:left="0" w:leftChars="0" w:right="0" w:rightChars="0" w:firstLine="480" w:firstLineChars="200"/>
        <w:jc w:val="both"/>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坝体内侧及整个水池底部全部采用C30抗渗等级P6混凝土。</w:t>
      </w:r>
    </w:p>
    <w:p>
      <w:pPr>
        <w:pageBreakBefore w:val="0"/>
        <w:widowControl w:val="0"/>
        <w:kinsoku/>
        <w:wordWrap/>
        <w:overflowPunct/>
        <w:topLinePunct w:val="0"/>
        <w:autoSpaceDE/>
        <w:autoSpaceDN/>
        <w:bidi w:val="0"/>
        <w:snapToGrid w:val="0"/>
        <w:spacing w:line="360" w:lineRule="auto"/>
        <w:ind w:left="0" w:leftChars="0" w:right="0" w:rightChars="0" w:firstLine="482" w:firstLineChars="200"/>
        <w:jc w:val="both"/>
        <w:outlineLvl w:val="0"/>
        <w:rPr>
          <w:rFonts w:hint="default" w:ascii="Times New Roman" w:hAnsi="Times New Roman" w:eastAsia="宋体" w:cs="Times New Roman"/>
          <w:b/>
          <w:bCs/>
          <w:color w:val="auto"/>
          <w:sz w:val="24"/>
          <w:szCs w:val="24"/>
          <w:highlight w:val="none"/>
          <w:lang w:val="en-US" w:eastAsia="zh-CN"/>
        </w:rPr>
      </w:pPr>
      <w:bookmarkStart w:id="1493" w:name="_Toc6699"/>
      <w:bookmarkStart w:id="1494" w:name="_Toc4413"/>
      <w:r>
        <w:rPr>
          <w:rFonts w:hint="default" w:ascii="Times New Roman" w:hAnsi="Times New Roman" w:eastAsia="宋体" w:cs="Times New Roman"/>
          <w:b/>
          <w:bCs/>
          <w:color w:val="auto"/>
          <w:sz w:val="24"/>
          <w:szCs w:val="24"/>
          <w:highlight w:val="none"/>
          <w:lang w:val="en-US" w:eastAsia="zh-CN"/>
        </w:rPr>
        <w:t>（4）危险废物暂存间防渗设计如下：</w:t>
      </w:r>
      <w:bookmarkEnd w:id="1493"/>
      <w:bookmarkEnd w:id="1494"/>
    </w:p>
    <w:p>
      <w:pPr>
        <w:pageBreakBefore w:val="0"/>
        <w:kinsoku/>
        <w:wordWrap/>
        <w:overflowPunct/>
        <w:topLinePunct w:val="0"/>
        <w:bidi w:val="0"/>
        <w:spacing w:line="360" w:lineRule="auto"/>
        <w:ind w:left="0" w:leftChars="0" w:right="0" w:rightChars="0" w:firstLine="480" w:firstLineChars="200"/>
        <w:rPr>
          <w:rFonts w:hint="default" w:ascii="Times New Roman" w:hAnsi="Times New Roman" w:eastAsia="宋体" w:cs="Times New Roman"/>
          <w:color w:val="auto"/>
          <w:sz w:val="24"/>
          <w:highlight w:val="none"/>
          <w:shd w:val="clear" w:color="auto" w:fill="auto"/>
        </w:rPr>
      </w:pPr>
      <w:r>
        <w:rPr>
          <w:rFonts w:hint="default" w:ascii="Times New Roman" w:hAnsi="Times New Roman" w:eastAsia="宋体" w:cs="Times New Roman"/>
          <w:color w:val="auto"/>
          <w:sz w:val="24"/>
          <w:highlight w:val="none"/>
          <w:shd w:val="clear" w:color="auto" w:fill="auto"/>
        </w:rPr>
        <w:t>危险废物暂存间地面渗透系数</w:t>
      </w:r>
      <w:r>
        <w:rPr>
          <w:rFonts w:hint="default" w:ascii="Times New Roman" w:hAnsi="Times New Roman" w:eastAsia="宋体" w:cs="Times New Roman"/>
          <w:color w:val="auto"/>
          <w:sz w:val="24"/>
          <w:highlight w:val="none"/>
          <w:shd w:val="clear" w:color="auto" w:fill="auto"/>
          <w:lang w:eastAsia="zh-CN"/>
        </w:rPr>
        <w:t>≤</w:t>
      </w:r>
      <w:r>
        <w:rPr>
          <w:rFonts w:hint="default" w:ascii="Times New Roman" w:hAnsi="Times New Roman" w:eastAsia="宋体" w:cs="Times New Roman"/>
          <w:color w:val="auto"/>
          <w:sz w:val="24"/>
          <w:highlight w:val="none"/>
          <w:shd w:val="clear" w:color="auto" w:fill="auto"/>
        </w:rPr>
        <w:t>1</w:t>
      </w:r>
      <w:r>
        <w:rPr>
          <w:rFonts w:hint="default" w:ascii="Times New Roman" w:hAnsi="Times New Roman" w:eastAsia="宋体" w:cs="Times New Roman"/>
          <w:color w:val="auto"/>
          <w:sz w:val="24"/>
          <w:highlight w:val="none"/>
          <w:shd w:val="clear" w:color="auto" w:fill="auto"/>
          <w:lang w:eastAsia="zh-CN"/>
        </w:rPr>
        <w:t>×</w:t>
      </w:r>
      <w:r>
        <w:rPr>
          <w:rFonts w:hint="default" w:ascii="Times New Roman" w:hAnsi="Times New Roman" w:eastAsia="宋体" w:cs="Times New Roman"/>
          <w:color w:val="auto"/>
          <w:sz w:val="24"/>
          <w:highlight w:val="none"/>
          <w:shd w:val="clear" w:color="auto" w:fill="auto"/>
        </w:rPr>
        <w:t>10</w:t>
      </w:r>
      <w:r>
        <w:rPr>
          <w:rFonts w:hint="default" w:ascii="Times New Roman" w:hAnsi="Times New Roman" w:eastAsia="宋体" w:cs="Times New Roman"/>
          <w:color w:val="auto"/>
          <w:sz w:val="24"/>
          <w:highlight w:val="none"/>
          <w:shd w:val="clear" w:color="auto" w:fill="auto"/>
          <w:vertAlign w:val="superscript"/>
          <w:lang w:eastAsia="zh-CN"/>
        </w:rPr>
        <w:t>-</w:t>
      </w:r>
      <w:r>
        <w:rPr>
          <w:rFonts w:hint="default" w:ascii="Times New Roman" w:hAnsi="Times New Roman" w:eastAsia="宋体" w:cs="Times New Roman"/>
          <w:color w:val="auto"/>
          <w:sz w:val="24"/>
          <w:highlight w:val="none"/>
          <w:shd w:val="clear" w:color="auto" w:fill="auto"/>
          <w:vertAlign w:val="superscript"/>
        </w:rPr>
        <w:t>10</w:t>
      </w:r>
      <w:r>
        <w:rPr>
          <w:rFonts w:hint="default" w:ascii="Times New Roman" w:hAnsi="Times New Roman" w:eastAsia="宋体" w:cs="Times New Roman"/>
          <w:color w:val="auto"/>
          <w:sz w:val="24"/>
          <w:highlight w:val="none"/>
          <w:shd w:val="clear" w:color="auto" w:fill="auto"/>
        </w:rPr>
        <w:t>cm/s的等效黏土防渗层。危险废物转移管理</w:t>
      </w:r>
      <w:r>
        <w:rPr>
          <w:rFonts w:hint="default" w:ascii="Times New Roman" w:hAnsi="Times New Roman" w:eastAsia="宋体" w:cs="Times New Roman"/>
          <w:color w:val="auto"/>
          <w:sz w:val="24"/>
          <w:highlight w:val="none"/>
          <w:shd w:val="clear" w:color="auto" w:fill="auto"/>
          <w:lang w:eastAsia="zh-CN"/>
        </w:rPr>
        <w:t>，</w:t>
      </w:r>
      <w:r>
        <w:rPr>
          <w:rFonts w:hint="default" w:ascii="Times New Roman" w:hAnsi="Times New Roman" w:eastAsia="宋体" w:cs="Times New Roman"/>
          <w:color w:val="auto"/>
          <w:sz w:val="24"/>
          <w:highlight w:val="none"/>
          <w:shd w:val="clear" w:color="auto" w:fill="auto"/>
        </w:rPr>
        <w:t>定期由有资质单位进行回收处置</w:t>
      </w:r>
      <w:r>
        <w:rPr>
          <w:rFonts w:hint="default" w:ascii="Times New Roman" w:hAnsi="Times New Roman" w:eastAsia="宋体" w:cs="Times New Roman"/>
          <w:color w:val="auto"/>
          <w:sz w:val="24"/>
          <w:highlight w:val="none"/>
          <w:shd w:val="clear" w:color="auto" w:fill="auto"/>
          <w:lang w:eastAsia="zh-CN"/>
        </w:rPr>
        <w:t>，废矿物油</w:t>
      </w:r>
      <w:r>
        <w:rPr>
          <w:rFonts w:hint="default" w:ascii="Times New Roman" w:hAnsi="Times New Roman" w:eastAsia="宋体" w:cs="Times New Roman"/>
          <w:color w:val="auto"/>
          <w:sz w:val="24"/>
          <w:highlight w:val="none"/>
          <w:shd w:val="clear" w:color="auto" w:fill="auto"/>
        </w:rPr>
        <w:t>转移过程中严格按照《危险废物转移联单管理办法》及《关于加强工业危险废物转移管理的通知》中相关要求进行转移</w:t>
      </w:r>
      <w:r>
        <w:rPr>
          <w:rFonts w:hint="default" w:ascii="Times New Roman" w:hAnsi="Times New Roman" w:eastAsia="宋体" w:cs="Times New Roman"/>
          <w:color w:val="auto"/>
          <w:sz w:val="24"/>
          <w:highlight w:val="none"/>
          <w:shd w:val="clear" w:color="auto" w:fill="auto"/>
          <w:lang w:eastAsia="zh-CN"/>
        </w:rPr>
        <w:t>，</w:t>
      </w:r>
      <w:r>
        <w:rPr>
          <w:rFonts w:hint="default" w:ascii="Times New Roman" w:hAnsi="Times New Roman" w:eastAsia="宋体" w:cs="Times New Roman"/>
          <w:color w:val="auto"/>
          <w:sz w:val="24"/>
          <w:highlight w:val="none"/>
          <w:shd w:val="clear" w:color="auto" w:fill="auto"/>
        </w:rPr>
        <w:t>本项目危险废物运输工程应采取以下措施</w:t>
      </w:r>
    </w:p>
    <w:p>
      <w:pPr>
        <w:pageBreakBefore w:val="0"/>
        <w:kinsoku/>
        <w:wordWrap/>
        <w:overflowPunct/>
        <w:topLinePunct w:val="0"/>
        <w:bidi w:val="0"/>
        <w:spacing w:line="360" w:lineRule="auto"/>
        <w:ind w:left="0" w:leftChars="0" w:right="0" w:rightChars="0" w:firstLine="480" w:firstLineChars="200"/>
        <w:rPr>
          <w:rFonts w:hint="default" w:ascii="Times New Roman" w:hAnsi="Times New Roman" w:eastAsia="宋体" w:cs="Times New Roman"/>
          <w:color w:val="auto"/>
          <w:sz w:val="24"/>
          <w:highlight w:val="none"/>
          <w:shd w:val="clear" w:color="auto" w:fill="auto"/>
        </w:rPr>
      </w:pPr>
      <w:r>
        <w:rPr>
          <w:rFonts w:hint="default" w:ascii="Times New Roman" w:hAnsi="Times New Roman" w:eastAsia="宋体" w:cs="Times New Roman"/>
          <w:color w:val="auto"/>
          <w:sz w:val="24"/>
          <w:highlight w:val="none"/>
          <w:shd w:val="clear" w:color="auto" w:fill="auto"/>
        </w:rPr>
        <w:t>①设单位需委托</w:t>
      </w:r>
      <w:r>
        <w:rPr>
          <w:rFonts w:hint="default" w:ascii="Times New Roman" w:hAnsi="Times New Roman" w:eastAsia="宋体" w:cs="Times New Roman"/>
          <w:color w:val="auto"/>
          <w:sz w:val="24"/>
          <w:highlight w:val="none"/>
          <w:shd w:val="clear" w:color="auto" w:fill="auto"/>
          <w:lang w:eastAsia="zh-CN"/>
        </w:rPr>
        <w:t>具有</w:t>
      </w:r>
      <w:r>
        <w:rPr>
          <w:rFonts w:hint="default" w:ascii="Times New Roman" w:hAnsi="Times New Roman" w:eastAsia="宋体" w:cs="Times New Roman"/>
          <w:color w:val="auto"/>
          <w:sz w:val="24"/>
          <w:highlight w:val="none"/>
          <w:shd w:val="clear" w:color="auto" w:fill="auto"/>
        </w:rPr>
        <w:t>交通主管部门</w:t>
      </w:r>
      <w:r>
        <w:rPr>
          <w:rFonts w:hint="default" w:ascii="Times New Roman" w:hAnsi="Times New Roman" w:eastAsia="宋体" w:cs="Times New Roman"/>
          <w:color w:val="auto"/>
          <w:sz w:val="24"/>
          <w:highlight w:val="none"/>
          <w:shd w:val="clear" w:color="auto" w:fill="auto"/>
          <w:lang w:eastAsia="zh-CN"/>
        </w:rPr>
        <w:t>颁发</w:t>
      </w:r>
      <w:r>
        <w:rPr>
          <w:rFonts w:hint="default" w:ascii="Times New Roman" w:hAnsi="Times New Roman" w:eastAsia="宋体" w:cs="Times New Roman"/>
          <w:color w:val="auto"/>
          <w:sz w:val="24"/>
          <w:highlight w:val="none"/>
          <w:shd w:val="clear" w:color="auto" w:fill="auto"/>
        </w:rPr>
        <w:t>的允许从事危险货物运输的道路运输许可证的</w:t>
      </w:r>
      <w:r>
        <w:rPr>
          <w:rFonts w:hint="default" w:ascii="Times New Roman" w:hAnsi="Times New Roman" w:eastAsia="宋体" w:cs="Times New Roman"/>
          <w:color w:val="auto"/>
          <w:sz w:val="24"/>
          <w:highlight w:val="none"/>
          <w:shd w:val="clear" w:color="auto" w:fill="auto"/>
          <w:lang w:eastAsia="zh-CN"/>
        </w:rPr>
        <w:t>运输</w:t>
      </w:r>
      <w:r>
        <w:rPr>
          <w:rFonts w:hint="default" w:ascii="Times New Roman" w:hAnsi="Times New Roman" w:eastAsia="宋体" w:cs="Times New Roman"/>
          <w:color w:val="auto"/>
          <w:sz w:val="24"/>
          <w:highlight w:val="none"/>
          <w:shd w:val="clear" w:color="auto" w:fill="auto"/>
        </w:rPr>
        <w:t>企业承运。</w:t>
      </w:r>
    </w:p>
    <w:p>
      <w:pPr>
        <w:pageBreakBefore w:val="0"/>
        <w:kinsoku/>
        <w:wordWrap/>
        <w:overflowPunct/>
        <w:topLinePunct w:val="0"/>
        <w:bidi w:val="0"/>
        <w:spacing w:line="360" w:lineRule="auto"/>
        <w:ind w:left="0" w:leftChars="0" w:right="0" w:rightChars="0" w:firstLine="480" w:firstLineChars="200"/>
        <w:rPr>
          <w:rFonts w:hint="default" w:ascii="Times New Roman" w:hAnsi="Times New Roman" w:eastAsia="宋体" w:cs="Times New Roman"/>
          <w:color w:val="auto"/>
          <w:sz w:val="24"/>
          <w:highlight w:val="none"/>
          <w:shd w:val="clear" w:color="auto" w:fill="auto"/>
        </w:rPr>
      </w:pPr>
      <w:r>
        <w:rPr>
          <w:rFonts w:hint="default" w:ascii="Times New Roman" w:hAnsi="Times New Roman" w:eastAsia="宋体" w:cs="Times New Roman"/>
          <w:color w:val="auto"/>
          <w:sz w:val="24"/>
          <w:highlight w:val="none"/>
          <w:shd w:val="clear" w:color="auto" w:fill="auto"/>
        </w:rPr>
        <w:t>②运输车辆必须由专业生产企业定点生产</w:t>
      </w:r>
      <w:r>
        <w:rPr>
          <w:rFonts w:hint="default" w:ascii="Times New Roman" w:hAnsi="Times New Roman" w:eastAsia="宋体" w:cs="Times New Roman"/>
          <w:color w:val="auto"/>
          <w:sz w:val="24"/>
          <w:highlight w:val="none"/>
          <w:shd w:val="clear" w:color="auto" w:fill="auto"/>
          <w:lang w:eastAsia="zh-CN"/>
        </w:rPr>
        <w:t>，</w:t>
      </w:r>
      <w:r>
        <w:rPr>
          <w:rFonts w:hint="default" w:ascii="Times New Roman" w:hAnsi="Times New Roman" w:eastAsia="宋体" w:cs="Times New Roman"/>
          <w:color w:val="auto"/>
          <w:sz w:val="24"/>
          <w:highlight w:val="none"/>
          <w:shd w:val="clear" w:color="auto" w:fill="auto"/>
        </w:rPr>
        <w:t>并经检测、检验合格</w:t>
      </w:r>
      <w:r>
        <w:rPr>
          <w:rFonts w:hint="default" w:ascii="Times New Roman" w:hAnsi="Times New Roman" w:eastAsia="宋体" w:cs="Times New Roman"/>
          <w:color w:val="auto"/>
          <w:sz w:val="24"/>
          <w:highlight w:val="none"/>
          <w:shd w:val="clear" w:color="auto" w:fill="auto"/>
          <w:lang w:eastAsia="zh-CN"/>
        </w:rPr>
        <w:t>，</w:t>
      </w:r>
      <w:r>
        <w:rPr>
          <w:rFonts w:hint="default" w:ascii="Times New Roman" w:hAnsi="Times New Roman" w:eastAsia="宋体" w:cs="Times New Roman"/>
          <w:color w:val="auto"/>
          <w:sz w:val="24"/>
          <w:highlight w:val="none"/>
          <w:shd w:val="clear" w:color="auto" w:fill="auto"/>
        </w:rPr>
        <w:t>方可使用。</w:t>
      </w:r>
    </w:p>
    <w:p>
      <w:pPr>
        <w:pageBreakBefore w:val="0"/>
        <w:kinsoku/>
        <w:wordWrap/>
        <w:overflowPunct/>
        <w:topLinePunct w:val="0"/>
        <w:bidi w:val="0"/>
        <w:spacing w:line="360" w:lineRule="auto"/>
        <w:ind w:left="0" w:leftChars="0" w:right="0" w:rightChars="0" w:firstLine="480" w:firstLineChars="200"/>
        <w:rPr>
          <w:rFonts w:hint="default" w:ascii="Times New Roman" w:hAnsi="Times New Roman" w:eastAsia="宋体" w:cs="Times New Roman"/>
          <w:color w:val="auto"/>
          <w:sz w:val="24"/>
          <w:highlight w:val="none"/>
          <w:shd w:val="clear" w:color="auto" w:fill="auto"/>
        </w:rPr>
      </w:pPr>
      <w:r>
        <w:rPr>
          <w:rFonts w:hint="default" w:ascii="Times New Roman" w:hAnsi="Times New Roman" w:eastAsia="宋体" w:cs="Times New Roman"/>
          <w:color w:val="auto"/>
          <w:sz w:val="24"/>
          <w:highlight w:val="none"/>
          <w:shd w:val="clear" w:color="auto" w:fill="auto"/>
        </w:rPr>
        <w:t>③运输危险化学品的驾驶员、船员、装卸人员和押运人员必须了解所运载的危险化学品的性质、危害特性、包装容器的使用特性和发生意外时的应急措施。运输危险化学品</w:t>
      </w:r>
      <w:r>
        <w:rPr>
          <w:rFonts w:hint="default" w:ascii="Times New Roman" w:hAnsi="Times New Roman" w:eastAsia="宋体" w:cs="Times New Roman"/>
          <w:color w:val="auto"/>
          <w:sz w:val="24"/>
          <w:highlight w:val="none"/>
          <w:shd w:val="clear" w:color="auto" w:fill="auto"/>
          <w:lang w:eastAsia="zh-CN"/>
        </w:rPr>
        <w:t>，</w:t>
      </w:r>
      <w:r>
        <w:rPr>
          <w:rFonts w:hint="default" w:ascii="Times New Roman" w:hAnsi="Times New Roman" w:eastAsia="宋体" w:cs="Times New Roman"/>
          <w:color w:val="auto"/>
          <w:sz w:val="24"/>
          <w:highlight w:val="none"/>
          <w:shd w:val="clear" w:color="auto" w:fill="auto"/>
        </w:rPr>
        <w:t>必须配备必要的应急处理器材和防护用品。</w:t>
      </w:r>
    </w:p>
    <w:p>
      <w:pPr>
        <w:pageBreakBefore w:val="0"/>
        <w:kinsoku/>
        <w:wordWrap/>
        <w:overflowPunct/>
        <w:topLinePunct w:val="0"/>
        <w:bidi w:val="0"/>
        <w:spacing w:line="360" w:lineRule="auto"/>
        <w:ind w:left="0" w:leftChars="0" w:right="0" w:rightChars="0" w:firstLine="480" w:firstLineChars="200"/>
        <w:rPr>
          <w:rFonts w:hint="default" w:ascii="Times New Roman" w:hAnsi="Times New Roman" w:eastAsia="宋体" w:cs="Times New Roman"/>
          <w:color w:val="auto"/>
          <w:sz w:val="24"/>
          <w:highlight w:val="none"/>
          <w:shd w:val="clear" w:color="auto" w:fill="auto"/>
        </w:rPr>
      </w:pPr>
      <w:r>
        <w:rPr>
          <w:rFonts w:hint="default" w:ascii="Times New Roman" w:hAnsi="Times New Roman" w:eastAsia="宋体" w:cs="Times New Roman"/>
          <w:color w:val="auto"/>
          <w:sz w:val="24"/>
          <w:highlight w:val="none"/>
          <w:shd w:val="clear" w:color="auto" w:fill="auto"/>
        </w:rPr>
        <w:t>④向承运人说明运输的危险化学品的品名、数量、危害、应急措施等情况。</w:t>
      </w:r>
    </w:p>
    <w:p>
      <w:pPr>
        <w:pageBreakBefore w:val="0"/>
        <w:kinsoku/>
        <w:wordWrap/>
        <w:overflowPunct/>
        <w:topLinePunct w:val="0"/>
        <w:bidi w:val="0"/>
        <w:spacing w:line="360" w:lineRule="auto"/>
        <w:ind w:left="0" w:leftChars="0" w:right="0" w:rightChars="0" w:firstLine="480" w:firstLineChars="200"/>
        <w:rPr>
          <w:rFonts w:hint="default" w:ascii="Times New Roman" w:hAnsi="Times New Roman" w:eastAsia="宋体" w:cs="Times New Roman"/>
          <w:color w:val="auto"/>
          <w:sz w:val="24"/>
          <w:highlight w:val="none"/>
          <w:shd w:val="clear" w:color="auto" w:fill="auto"/>
        </w:rPr>
      </w:pPr>
      <w:r>
        <w:rPr>
          <w:rFonts w:hint="default" w:ascii="Times New Roman" w:hAnsi="Times New Roman" w:eastAsia="宋体" w:cs="Times New Roman"/>
          <w:color w:val="auto"/>
          <w:sz w:val="24"/>
          <w:highlight w:val="none"/>
          <w:shd w:val="clear" w:color="auto" w:fill="auto"/>
        </w:rPr>
        <w:t>⑤在公路运输途中发生被盗、丢失、流散、泄漏等情况时</w:t>
      </w:r>
      <w:r>
        <w:rPr>
          <w:rFonts w:hint="default" w:ascii="Times New Roman" w:hAnsi="Times New Roman" w:eastAsia="宋体" w:cs="Times New Roman"/>
          <w:color w:val="auto"/>
          <w:sz w:val="24"/>
          <w:highlight w:val="none"/>
          <w:shd w:val="clear" w:color="auto" w:fill="auto"/>
          <w:lang w:eastAsia="zh-CN"/>
        </w:rPr>
        <w:t>，</w:t>
      </w:r>
      <w:r>
        <w:rPr>
          <w:rFonts w:hint="default" w:ascii="Times New Roman" w:hAnsi="Times New Roman" w:eastAsia="宋体" w:cs="Times New Roman"/>
          <w:color w:val="auto"/>
          <w:sz w:val="24"/>
          <w:highlight w:val="none"/>
          <w:shd w:val="clear" w:color="auto" w:fill="auto"/>
        </w:rPr>
        <w:t>立即向当地公安部门报告</w:t>
      </w:r>
      <w:r>
        <w:rPr>
          <w:rFonts w:hint="default" w:ascii="Times New Roman" w:hAnsi="Times New Roman" w:eastAsia="宋体" w:cs="Times New Roman"/>
          <w:color w:val="auto"/>
          <w:sz w:val="24"/>
          <w:highlight w:val="none"/>
          <w:shd w:val="clear" w:color="auto" w:fill="auto"/>
          <w:lang w:eastAsia="zh-CN"/>
        </w:rPr>
        <w:t>，</w:t>
      </w:r>
      <w:r>
        <w:rPr>
          <w:rFonts w:hint="default" w:ascii="Times New Roman" w:hAnsi="Times New Roman" w:eastAsia="宋体" w:cs="Times New Roman"/>
          <w:color w:val="auto"/>
          <w:sz w:val="24"/>
          <w:highlight w:val="none"/>
          <w:shd w:val="clear" w:color="auto" w:fill="auto"/>
        </w:rPr>
        <w:t>并采取一切可能的警示措施。</w:t>
      </w:r>
    </w:p>
    <w:p>
      <w:pPr>
        <w:pageBreakBefore w:val="0"/>
        <w:wordWrap/>
        <w:bidi w:val="0"/>
        <w:spacing w:line="360" w:lineRule="auto"/>
        <w:ind w:left="0" w:leftChars="0" w:right="0" w:rightChars="0" w:firstLine="480" w:firstLineChars="200"/>
        <w:rPr>
          <w:rFonts w:hint="default" w:ascii="Times New Roman" w:hAnsi="Times New Roman" w:eastAsia="宋体" w:cs="Times New Roman"/>
          <w:bCs/>
          <w:color w:val="auto"/>
          <w:sz w:val="24"/>
          <w:highlight w:val="none"/>
        </w:rPr>
      </w:pPr>
      <w:r>
        <w:rPr>
          <w:rFonts w:hint="default" w:ascii="Times New Roman" w:hAnsi="Times New Roman" w:eastAsia="宋体" w:cs="Times New Roman"/>
          <w:color w:val="auto"/>
          <w:sz w:val="24"/>
          <w:highlight w:val="none"/>
          <w:shd w:val="clear" w:color="auto" w:fill="auto"/>
        </w:rPr>
        <w:t>综上所述</w:t>
      </w:r>
      <w:r>
        <w:rPr>
          <w:rFonts w:hint="default" w:ascii="Times New Roman" w:hAnsi="Times New Roman" w:eastAsia="宋体" w:cs="Times New Roman"/>
          <w:color w:val="auto"/>
          <w:sz w:val="24"/>
          <w:highlight w:val="none"/>
          <w:shd w:val="clear" w:color="auto" w:fill="auto"/>
          <w:lang w:eastAsia="zh-CN"/>
        </w:rPr>
        <w:t>，</w:t>
      </w:r>
      <w:r>
        <w:rPr>
          <w:rFonts w:hint="default" w:ascii="Times New Roman" w:hAnsi="Times New Roman" w:eastAsia="宋体" w:cs="Times New Roman"/>
          <w:color w:val="auto"/>
          <w:sz w:val="24"/>
          <w:highlight w:val="none"/>
          <w:shd w:val="clear" w:color="auto" w:fill="auto"/>
        </w:rPr>
        <w:t>本项目产生的固体废弃物得到妥善处置</w:t>
      </w:r>
      <w:r>
        <w:rPr>
          <w:rFonts w:hint="default" w:ascii="Times New Roman" w:hAnsi="Times New Roman" w:eastAsia="宋体" w:cs="Times New Roman"/>
          <w:color w:val="auto"/>
          <w:sz w:val="24"/>
          <w:highlight w:val="none"/>
          <w:shd w:val="clear" w:color="auto" w:fill="auto"/>
          <w:lang w:eastAsia="zh-CN"/>
        </w:rPr>
        <w:t>，</w:t>
      </w:r>
      <w:r>
        <w:rPr>
          <w:rFonts w:hint="default" w:ascii="Times New Roman" w:hAnsi="Times New Roman" w:eastAsia="宋体" w:cs="Times New Roman"/>
          <w:color w:val="auto"/>
          <w:sz w:val="24"/>
          <w:highlight w:val="none"/>
          <w:shd w:val="clear" w:color="auto" w:fill="auto"/>
        </w:rPr>
        <w:t>处理和利用方案合理</w:t>
      </w:r>
      <w:r>
        <w:rPr>
          <w:rFonts w:hint="default" w:ascii="Times New Roman" w:hAnsi="Times New Roman" w:eastAsia="宋体" w:cs="Times New Roman"/>
          <w:bCs/>
          <w:color w:val="auto"/>
          <w:sz w:val="24"/>
          <w:highlight w:val="none"/>
        </w:rPr>
        <w:t>。</w:t>
      </w:r>
    </w:p>
    <w:p>
      <w:pPr>
        <w:pStyle w:val="4"/>
        <w:keepNext/>
        <w:keepLines/>
        <w:pageBreakBefore w:val="0"/>
        <w:widowControl w:val="0"/>
        <w:numPr>
          <w:ilvl w:val="1"/>
          <w:numId w:val="0"/>
        </w:numPr>
        <w:kinsoku/>
        <w:wordWrap/>
        <w:overflowPunct/>
        <w:topLinePunct w:val="0"/>
        <w:autoSpaceDE/>
        <w:autoSpaceDN/>
        <w:bidi w:val="0"/>
        <w:adjustRightInd/>
        <w:snapToGrid/>
        <w:ind w:left="0" w:leftChars="0" w:right="0" w:rightChars="0" w:firstLine="0" w:firstLineChars="0"/>
        <w:textAlignment w:val="auto"/>
        <w:rPr>
          <w:rFonts w:hint="default" w:ascii="Times New Roman" w:hAnsi="Times New Roman" w:eastAsia="宋体" w:cs="Times New Roman"/>
          <w:b/>
          <w:bCs/>
          <w:i w:val="0"/>
          <w:color w:val="auto"/>
          <w:kern w:val="2"/>
          <w:sz w:val="28"/>
          <w:szCs w:val="28"/>
          <w:highlight w:val="none"/>
          <w:lang w:val="en-US" w:eastAsia="zh-CN" w:bidi="ar-SA"/>
        </w:rPr>
      </w:pPr>
      <w:bookmarkStart w:id="1495" w:name="_Toc12253"/>
      <w:bookmarkStart w:id="1496" w:name="_Toc863"/>
      <w:r>
        <w:rPr>
          <w:rFonts w:hint="default" w:ascii="Times New Roman" w:hAnsi="Times New Roman" w:eastAsia="宋体" w:cs="Times New Roman"/>
          <w:b/>
          <w:bCs/>
          <w:i w:val="0"/>
          <w:color w:val="auto"/>
          <w:kern w:val="2"/>
          <w:sz w:val="28"/>
          <w:szCs w:val="28"/>
          <w:highlight w:val="none"/>
          <w:lang w:val="en-US" w:eastAsia="zh-CN" w:bidi="ar-SA"/>
        </w:rPr>
        <w:t>9.5生态环境综合整治</w:t>
      </w:r>
      <w:bookmarkEnd w:id="1495"/>
      <w:bookmarkEnd w:id="1496"/>
    </w:p>
    <w:p>
      <w:pPr>
        <w:pageBreakBefore w:val="0"/>
        <w:wordWrap/>
        <w:bidi w:val="0"/>
        <w:spacing w:line="360" w:lineRule="auto"/>
        <w:ind w:left="0" w:leftChars="0" w:right="0" w:rightChars="0" w:firstLine="480" w:firstLineChars="200"/>
        <w:outlineLvl w:val="0"/>
        <w:rPr>
          <w:rFonts w:hint="default" w:ascii="Times New Roman" w:hAnsi="Times New Roman" w:eastAsia="宋体" w:cs="Times New Roman"/>
          <w:color w:val="auto"/>
          <w:sz w:val="24"/>
          <w:highlight w:val="none"/>
        </w:rPr>
      </w:pPr>
      <w:bookmarkStart w:id="1497" w:name="_Toc18715"/>
      <w:bookmarkStart w:id="1498" w:name="_Toc16439"/>
      <w:r>
        <w:rPr>
          <w:rFonts w:hint="default" w:ascii="Times New Roman" w:hAnsi="Times New Roman" w:eastAsia="宋体" w:cs="Times New Roman"/>
          <w:color w:val="auto"/>
          <w:sz w:val="24"/>
          <w:highlight w:val="none"/>
        </w:rPr>
        <w:t>（1</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生态环境综合整治目标</w:t>
      </w:r>
      <w:bookmarkEnd w:id="1497"/>
      <w:bookmarkEnd w:id="1498"/>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通过综合植被恢复实现近自然的生态植被恢复</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尾矿库周边的生态环境与丘陵草原的原貌相和谐</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在植被恢复实施效果稳定后</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工程区扰动土地治理率应达到85</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以上</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尾矿拦挡率达到100</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项目区植被恢复系数为95</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植被覆盖率达到20</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以上。实现尾矿库的生态修复以改善和优化矿区的生态环境</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为矿区经济的可持续发展创造条件</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根据植被恢复规划实施区域的立地条件</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通过生物措施辅以工程措施</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采用地形整理等技术措施</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栽植工程结合播种工程相结合</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人工促进自然恢复</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生态与景观并重</w:t>
      </w:r>
      <w:r>
        <w:rPr>
          <w:rFonts w:hint="default" w:ascii="Times New Roman" w:hAnsi="Times New Roman" w:eastAsia="宋体" w:cs="Times New Roman"/>
          <w:color w:val="auto"/>
          <w:sz w:val="24"/>
          <w:highlight w:val="none"/>
          <w:lang w:eastAsia="zh-CN"/>
        </w:rPr>
        <w:t>，营</w:t>
      </w:r>
      <w:r>
        <w:rPr>
          <w:rFonts w:hint="default" w:ascii="Times New Roman" w:hAnsi="Times New Roman" w:eastAsia="宋体" w:cs="Times New Roman"/>
          <w:color w:val="auto"/>
          <w:sz w:val="24"/>
          <w:highlight w:val="none"/>
        </w:rPr>
        <w:t>造生态环境良好的矿区环境。在植物品种选择上</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尊重植物的生物学、生态学特性</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乡土植物品种优先。</w:t>
      </w:r>
    </w:p>
    <w:p>
      <w:pPr>
        <w:pageBreakBefore w:val="0"/>
        <w:wordWrap/>
        <w:bidi w:val="0"/>
        <w:spacing w:line="360" w:lineRule="auto"/>
        <w:ind w:left="0" w:leftChars="0" w:right="0" w:rightChars="0" w:firstLine="480" w:firstLineChars="200"/>
        <w:outlineLvl w:val="0"/>
        <w:rPr>
          <w:rFonts w:hint="default" w:ascii="Times New Roman" w:hAnsi="Times New Roman" w:eastAsia="宋体" w:cs="Times New Roman"/>
          <w:color w:val="auto"/>
          <w:sz w:val="24"/>
          <w:highlight w:val="none"/>
        </w:rPr>
      </w:pPr>
      <w:bookmarkStart w:id="1499" w:name="_Toc30388"/>
      <w:bookmarkStart w:id="1500" w:name="_Toc31450"/>
      <w:r>
        <w:rPr>
          <w:rFonts w:hint="default" w:ascii="Times New Roman" w:hAnsi="Times New Roman" w:eastAsia="宋体" w:cs="Times New Roman"/>
          <w:color w:val="auto"/>
          <w:sz w:val="24"/>
          <w:highlight w:val="none"/>
        </w:rPr>
        <w:t>（2</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生态环境综合整治原则</w:t>
      </w:r>
      <w:bookmarkEnd w:id="1499"/>
      <w:bookmarkEnd w:id="1500"/>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①结合企业规划</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在生态植被恢复时宜林则林、宜草则草、宜景则景</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分区域规划</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遵循自然规律、按照</w:t>
      </w:r>
      <w:r>
        <w:rPr>
          <w:rFonts w:hint="default" w:ascii="Times New Roman" w:hAnsi="Times New Roman" w:eastAsia="宋体" w:cs="Times New Roman"/>
          <w:color w:val="auto"/>
          <w:sz w:val="24"/>
          <w:highlight w:val="none"/>
          <w:lang w:eastAsia="zh-CN"/>
        </w:rPr>
        <w:t>亲近</w:t>
      </w:r>
      <w:r>
        <w:rPr>
          <w:rFonts w:hint="default" w:ascii="Times New Roman" w:hAnsi="Times New Roman" w:eastAsia="宋体" w:cs="Times New Roman"/>
          <w:color w:val="auto"/>
          <w:sz w:val="24"/>
          <w:highlight w:val="none"/>
        </w:rPr>
        <w:t>自然的原则</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因地制宜采用多种单项技术和技术组合</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示范引导</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突出植物特点</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对造成的植被破坏区域进行植被恢复</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创建良好的景观效果</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构建循环经济。</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②西沙德盖钼业公司以“在保护中开发</w:t>
      </w:r>
      <w:r>
        <w:rPr>
          <w:rFonts w:hint="default" w:ascii="Times New Roman" w:hAnsi="Times New Roman" w:eastAsia="宋体" w:cs="Times New Roman"/>
          <w:color w:val="auto"/>
          <w:sz w:val="24"/>
          <w:highlight w:val="none"/>
          <w:lang w:eastAsia="zh-CN"/>
        </w:rPr>
        <w:t>，在</w:t>
      </w:r>
      <w:r>
        <w:rPr>
          <w:rFonts w:hint="default" w:ascii="Times New Roman" w:hAnsi="Times New Roman" w:eastAsia="宋体" w:cs="Times New Roman"/>
          <w:color w:val="auto"/>
          <w:sz w:val="24"/>
          <w:highlight w:val="none"/>
        </w:rPr>
        <w:t>开发中保护”为指导</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认真履行生态恢复义务。</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③在服务期满后</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要及时覆土封库、封场</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覆盖土壤厚度不小于30cm。</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④加强法律法规教育</w:t>
      </w:r>
      <w:r>
        <w:rPr>
          <w:rFonts w:hint="default" w:ascii="Times New Roman" w:hAnsi="Times New Roman" w:eastAsia="宋体" w:cs="Times New Roman"/>
          <w:color w:val="auto"/>
          <w:sz w:val="24"/>
          <w:highlight w:val="none"/>
          <w:lang w:eastAsia="zh-CN"/>
        </w:rPr>
        <w:t>，增强</w:t>
      </w:r>
      <w:r>
        <w:rPr>
          <w:rFonts w:hint="default" w:ascii="Times New Roman" w:hAnsi="Times New Roman" w:eastAsia="宋体" w:cs="Times New Roman"/>
          <w:color w:val="auto"/>
          <w:sz w:val="24"/>
          <w:highlight w:val="none"/>
        </w:rPr>
        <w:t>生态保护意识。对职工加强“草原法”</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“水土保护法”的教育</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制定矿山职工行为准则</w:t>
      </w:r>
      <w:r>
        <w:rPr>
          <w:rFonts w:hint="default" w:ascii="Times New Roman" w:hAnsi="Times New Roman" w:eastAsia="宋体" w:cs="Times New Roman"/>
          <w:color w:val="auto"/>
          <w:sz w:val="24"/>
          <w:highlight w:val="none"/>
          <w:lang w:eastAsia="zh-CN"/>
        </w:rPr>
        <w:t>，增强</w:t>
      </w:r>
      <w:r>
        <w:rPr>
          <w:rFonts w:hint="default" w:ascii="Times New Roman" w:hAnsi="Times New Roman" w:eastAsia="宋体" w:cs="Times New Roman"/>
          <w:color w:val="auto"/>
          <w:sz w:val="24"/>
          <w:highlight w:val="none"/>
        </w:rPr>
        <w:t>职工保护生态环境思想意识</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要标识划界</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禁止施工人员进入非施工区</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严禁烟火</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杜绝矿山职工工作之余在项目区或附近住地开荒种地、狩猎等活动。</w:t>
      </w:r>
    </w:p>
    <w:p>
      <w:pPr>
        <w:pageBreakBefore w:val="0"/>
        <w:wordWrap/>
        <w:bidi w:val="0"/>
        <w:spacing w:line="360" w:lineRule="auto"/>
        <w:ind w:left="0" w:leftChars="0" w:right="0" w:rightChars="0" w:firstLine="480" w:firstLineChars="200"/>
        <w:outlineLvl w:val="0"/>
        <w:rPr>
          <w:rFonts w:hint="default" w:ascii="Times New Roman" w:hAnsi="Times New Roman" w:eastAsia="宋体" w:cs="Times New Roman"/>
          <w:color w:val="auto"/>
          <w:sz w:val="24"/>
          <w:highlight w:val="none"/>
        </w:rPr>
      </w:pPr>
      <w:bookmarkStart w:id="1501" w:name="_Toc10208"/>
      <w:bookmarkStart w:id="1502" w:name="_Toc14298"/>
      <w:r>
        <w:rPr>
          <w:rFonts w:hint="default" w:ascii="Times New Roman" w:hAnsi="Times New Roman" w:eastAsia="宋体" w:cs="Times New Roman"/>
          <w:color w:val="auto"/>
          <w:sz w:val="24"/>
          <w:highlight w:val="none"/>
        </w:rPr>
        <w:t>（3</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生态恢复功能分区</w:t>
      </w:r>
      <w:bookmarkEnd w:id="1501"/>
      <w:bookmarkEnd w:id="1502"/>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生态恢复功能分区划分见表9-1。</w:t>
      </w:r>
    </w:p>
    <w:p>
      <w:pPr>
        <w:pageBreakBefore w:val="0"/>
        <w:tabs>
          <w:tab w:val="left" w:pos="3062"/>
        </w:tabs>
        <w:wordWrap/>
        <w:bidi w:val="0"/>
        <w:spacing w:line="360" w:lineRule="auto"/>
        <w:ind w:left="0" w:leftChars="0" w:right="0" w:rightChars="0"/>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表9-1生态恢复分区</w:t>
      </w:r>
    </w:p>
    <w:tbl>
      <w:tblPr>
        <w:tblStyle w:val="54"/>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02"/>
        <w:gridCol w:w="1300"/>
        <w:gridCol w:w="2972"/>
        <w:gridCol w:w="274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1" w:type="pct"/>
            <w:tcBorders>
              <w:top w:val="single" w:color="auto" w:sz="4" w:space="0"/>
              <w:lef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生态恢复分区</w:t>
            </w:r>
          </w:p>
        </w:tc>
        <w:tc>
          <w:tcPr>
            <w:tcW w:w="763" w:type="pct"/>
            <w:tcBorders>
              <w:top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恢复阶段</w:t>
            </w:r>
          </w:p>
        </w:tc>
        <w:tc>
          <w:tcPr>
            <w:tcW w:w="1744" w:type="pct"/>
            <w:tcBorders>
              <w:top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生态恢复内容</w:t>
            </w:r>
          </w:p>
        </w:tc>
        <w:tc>
          <w:tcPr>
            <w:tcW w:w="1612" w:type="pct"/>
            <w:tcBorders>
              <w:top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恢复目标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1" w:type="pct"/>
            <w:vMerge w:val="restart"/>
            <w:tcBorders>
              <w:lef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尾矿库</w:t>
            </w:r>
          </w:p>
        </w:tc>
        <w:tc>
          <w:tcPr>
            <w:tcW w:w="763"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施工期</w:t>
            </w:r>
          </w:p>
        </w:tc>
        <w:tc>
          <w:tcPr>
            <w:tcW w:w="1744" w:type="pct"/>
            <w:vMerge w:val="restar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尾矿堆积达到标高1495m</w:t>
            </w:r>
            <w:r>
              <w:rPr>
                <w:rFonts w:hint="default" w:ascii="Times New Roman" w:hAnsi="Times New Roman" w:eastAsia="宋体" w:cs="Times New Roman"/>
                <w:color w:val="auto"/>
                <w:szCs w:val="21"/>
                <w:highlight w:val="none"/>
                <w:lang w:eastAsia="zh-CN"/>
              </w:rPr>
              <w:t>时对</w:t>
            </w:r>
            <w:r>
              <w:rPr>
                <w:rFonts w:hint="default" w:ascii="Times New Roman" w:hAnsi="Times New Roman" w:eastAsia="宋体" w:cs="Times New Roman"/>
                <w:color w:val="auto"/>
                <w:szCs w:val="21"/>
                <w:highlight w:val="none"/>
              </w:rPr>
              <w:t>坝体外坡采用覆盖30cm的黄土并进行绿化；尾矿库周围种植防护绿化带</w:t>
            </w:r>
          </w:p>
        </w:tc>
        <w:tc>
          <w:tcPr>
            <w:tcW w:w="1612" w:type="pct"/>
            <w:vMerge w:val="restart"/>
            <w:tcBorders>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种植防</w:t>
            </w:r>
            <w:r>
              <w:rPr>
                <w:rFonts w:hint="default" w:ascii="Times New Roman" w:hAnsi="Times New Roman" w:eastAsia="宋体" w:cs="Times New Roman"/>
                <w:color w:val="auto"/>
                <w:sz w:val="21"/>
                <w:szCs w:val="21"/>
                <w:highlight w:val="none"/>
              </w:rPr>
              <w:t>护林带</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覆盖</w:t>
            </w:r>
            <w:r>
              <w:rPr>
                <w:rFonts w:hint="default" w:ascii="Times New Roman" w:hAnsi="Times New Roman" w:eastAsia="宋体" w:cs="Times New Roman"/>
                <w:color w:val="auto"/>
                <w:sz w:val="21"/>
                <w:szCs w:val="21"/>
                <w:highlight w:val="none"/>
                <w:lang w:val="en-US" w:eastAsia="zh-CN"/>
              </w:rPr>
              <w:t>率不低于当地植被覆盖度水平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1" w:type="pct"/>
            <w:vMerge w:val="continue"/>
            <w:tcBorders>
              <w:lef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p>
        </w:tc>
        <w:tc>
          <w:tcPr>
            <w:tcW w:w="763"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运</w:t>
            </w:r>
            <w:r>
              <w:rPr>
                <w:rFonts w:hint="default" w:ascii="Times New Roman" w:hAnsi="Times New Roman" w:eastAsia="宋体" w:cs="Times New Roman"/>
                <w:color w:val="auto"/>
                <w:szCs w:val="21"/>
                <w:highlight w:val="none"/>
                <w:lang w:eastAsia="zh-CN"/>
              </w:rPr>
              <w:t>营</w:t>
            </w:r>
            <w:r>
              <w:rPr>
                <w:rFonts w:hint="default" w:ascii="Times New Roman" w:hAnsi="Times New Roman" w:eastAsia="宋体" w:cs="Times New Roman"/>
                <w:color w:val="auto"/>
                <w:szCs w:val="21"/>
                <w:highlight w:val="none"/>
              </w:rPr>
              <w:t>期</w:t>
            </w:r>
          </w:p>
        </w:tc>
        <w:tc>
          <w:tcPr>
            <w:tcW w:w="1744" w:type="pct"/>
            <w:vMerge w:val="continue"/>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p>
        </w:tc>
        <w:tc>
          <w:tcPr>
            <w:tcW w:w="1612" w:type="pct"/>
            <w:vMerge w:val="continue"/>
            <w:tcBorders>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1" w:type="pct"/>
            <w:vMerge w:val="continue"/>
            <w:tcBorders>
              <w:lef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p>
        </w:tc>
        <w:tc>
          <w:tcPr>
            <w:tcW w:w="763"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服务期满</w:t>
            </w:r>
          </w:p>
        </w:tc>
        <w:tc>
          <w:tcPr>
            <w:tcW w:w="1744"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对最终平台采用压实、覆盖不低于30cm的土并进行草本植被的恢复</w:t>
            </w:r>
          </w:p>
        </w:tc>
        <w:tc>
          <w:tcPr>
            <w:tcW w:w="1612" w:type="pct"/>
            <w:vMerge w:val="continue"/>
            <w:tcBorders>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1" w:type="pct"/>
            <w:tcBorders>
              <w:lef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道路沿线</w:t>
            </w:r>
          </w:p>
        </w:tc>
        <w:tc>
          <w:tcPr>
            <w:tcW w:w="763"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施工期</w:t>
            </w:r>
          </w:p>
        </w:tc>
        <w:tc>
          <w:tcPr>
            <w:tcW w:w="1744"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选矿厂—尾矿库</w:t>
            </w:r>
          </w:p>
        </w:tc>
        <w:tc>
          <w:tcPr>
            <w:tcW w:w="1612" w:type="pct"/>
            <w:tcBorders>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对道路进行硬化铺装并在路两侧进行绿化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1" w:type="pct"/>
            <w:tcBorders>
              <w:left w:val="single" w:color="auto" w:sz="4" w:space="0"/>
              <w:bottom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临时占地</w:t>
            </w:r>
          </w:p>
        </w:tc>
        <w:tc>
          <w:tcPr>
            <w:tcW w:w="763" w:type="pct"/>
            <w:tcBorders>
              <w:bottom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施工结束后2个月内恢复</w:t>
            </w:r>
          </w:p>
        </w:tc>
        <w:tc>
          <w:tcPr>
            <w:tcW w:w="1744" w:type="pct"/>
            <w:tcBorders>
              <w:bottom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bCs/>
                <w:color w:val="auto"/>
                <w:szCs w:val="21"/>
                <w:highlight w:val="none"/>
              </w:rPr>
              <w:t>对施工期修建溢洪道、排洪沟以及坝肩截水沟（东侧、西侧各设1个</w:t>
            </w:r>
            <w:r>
              <w:rPr>
                <w:rFonts w:hint="default" w:ascii="Times New Roman" w:hAnsi="Times New Roman" w:eastAsia="宋体" w:cs="Times New Roman"/>
                <w:bCs/>
                <w:color w:val="auto"/>
                <w:szCs w:val="21"/>
                <w:highlight w:val="none"/>
                <w:lang w:eastAsia="zh-CN"/>
              </w:rPr>
              <w:t>）</w:t>
            </w:r>
            <w:r>
              <w:rPr>
                <w:rFonts w:hint="default" w:ascii="Times New Roman" w:hAnsi="Times New Roman" w:eastAsia="宋体" w:cs="Times New Roman"/>
                <w:bCs/>
                <w:color w:val="auto"/>
                <w:szCs w:val="21"/>
                <w:highlight w:val="none"/>
              </w:rPr>
              <w:t>占用的临时占地进行恢复</w:t>
            </w:r>
            <w:r>
              <w:rPr>
                <w:rFonts w:hint="default" w:ascii="Times New Roman" w:hAnsi="Times New Roman" w:eastAsia="宋体" w:cs="Times New Roman"/>
                <w:bCs/>
                <w:color w:val="auto"/>
                <w:szCs w:val="21"/>
                <w:highlight w:val="none"/>
                <w:lang w:eastAsia="zh-CN"/>
              </w:rPr>
              <w:t>，</w:t>
            </w:r>
            <w:r>
              <w:rPr>
                <w:rFonts w:hint="default" w:ascii="Times New Roman" w:hAnsi="Times New Roman" w:eastAsia="宋体" w:cs="Times New Roman"/>
                <w:bCs/>
                <w:color w:val="auto"/>
                <w:szCs w:val="21"/>
                <w:highlight w:val="none"/>
              </w:rPr>
              <w:t>恢复为牧草地</w:t>
            </w:r>
          </w:p>
        </w:tc>
        <w:tc>
          <w:tcPr>
            <w:tcW w:w="1612" w:type="pct"/>
            <w:tcBorders>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易成活的乡土草本</w:t>
            </w:r>
          </w:p>
        </w:tc>
      </w:tr>
    </w:tbl>
    <w:p>
      <w:pPr>
        <w:pageBreakBefore w:val="0"/>
        <w:wordWrap/>
        <w:bidi w:val="0"/>
        <w:spacing w:line="360" w:lineRule="auto"/>
        <w:ind w:left="0" w:leftChars="0" w:right="0" w:rightChars="0" w:firstLine="480" w:firstLineChars="200"/>
        <w:outlineLvl w:val="1"/>
        <w:rPr>
          <w:rFonts w:hint="default" w:ascii="Times New Roman" w:hAnsi="Times New Roman" w:eastAsia="宋体" w:cs="Times New Roman"/>
          <w:color w:val="auto"/>
          <w:sz w:val="24"/>
          <w:highlight w:val="none"/>
        </w:rPr>
      </w:pPr>
      <w:bookmarkStart w:id="1503" w:name="_Toc17583"/>
      <w:bookmarkStart w:id="1504" w:name="_Toc13507"/>
      <w:r>
        <w:rPr>
          <w:rFonts w:hint="default" w:ascii="Times New Roman" w:hAnsi="Times New Roman" w:eastAsia="宋体" w:cs="Times New Roman"/>
          <w:color w:val="auto"/>
          <w:sz w:val="24"/>
          <w:highlight w:val="none"/>
        </w:rPr>
        <w:t>①尾矿库生态恢复设计</w:t>
      </w:r>
      <w:bookmarkEnd w:id="1503"/>
      <w:bookmarkEnd w:id="1504"/>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该尾矿库遵循分区排放、分区治理的原则</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种植草地早熟禾、苜蓿、柠条等植物。服务期满后</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按照《一般工业固体废物贮存和填埋污染控制标准》（GB18599-2020</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的要求</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进行封场闭库</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表层采取固土和覆土措施</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撒播草种及时进行复垦恢复植被。</w:t>
      </w:r>
    </w:p>
    <w:p>
      <w:pPr>
        <w:pageBreakBefore w:val="0"/>
        <w:wordWrap/>
        <w:bidi w:val="0"/>
        <w:spacing w:line="360" w:lineRule="auto"/>
        <w:ind w:left="0" w:leftChars="0" w:right="0" w:rightChars="0" w:firstLine="480" w:firstLineChars="200"/>
        <w:outlineLvl w:val="1"/>
        <w:rPr>
          <w:rFonts w:hint="default" w:ascii="Times New Roman" w:hAnsi="Times New Roman" w:eastAsia="宋体" w:cs="Times New Roman"/>
          <w:color w:val="auto"/>
          <w:sz w:val="24"/>
          <w:highlight w:val="none"/>
        </w:rPr>
      </w:pPr>
      <w:bookmarkStart w:id="1505" w:name="_Toc25192"/>
      <w:bookmarkStart w:id="1506" w:name="_Toc4745"/>
      <w:r>
        <w:rPr>
          <w:rFonts w:hint="default" w:ascii="Times New Roman" w:hAnsi="Times New Roman" w:eastAsia="宋体" w:cs="Times New Roman"/>
          <w:color w:val="auto"/>
          <w:sz w:val="24"/>
          <w:highlight w:val="none"/>
        </w:rPr>
        <w:t>②道路沿线生态恢复设计</w:t>
      </w:r>
      <w:bookmarkEnd w:id="1505"/>
      <w:bookmarkEnd w:id="1506"/>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选矿厂—尾矿库道路设计为硬化路面</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对道路两侧可以绿化范围内的场地进行整理</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沿线绿化以植被恢复为主</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在植物选择上注意不能影响行车视线</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选择乡土树种为主。根据路边可绿化空间的大小</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因地制宜利用较大的空地</w:t>
      </w:r>
      <w:r>
        <w:rPr>
          <w:rFonts w:hint="default" w:ascii="Times New Roman" w:hAnsi="Times New Roman" w:eastAsia="宋体" w:cs="Times New Roman"/>
          <w:color w:val="auto"/>
          <w:sz w:val="24"/>
          <w:highlight w:val="none"/>
          <w:lang w:eastAsia="zh-CN"/>
        </w:rPr>
        <w:t>营</w:t>
      </w:r>
      <w:r>
        <w:rPr>
          <w:rFonts w:hint="default" w:ascii="Times New Roman" w:hAnsi="Times New Roman" w:eastAsia="宋体" w:cs="Times New Roman"/>
          <w:color w:val="auto"/>
          <w:sz w:val="24"/>
          <w:highlight w:val="none"/>
        </w:rPr>
        <w:t>造植物景观配置</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对区域环境起到点缀作用。</w:t>
      </w:r>
    </w:p>
    <w:p>
      <w:pPr>
        <w:pageBreakBefore w:val="0"/>
        <w:wordWrap/>
        <w:bidi w:val="0"/>
        <w:spacing w:line="360" w:lineRule="auto"/>
        <w:ind w:left="0" w:leftChars="0" w:right="0" w:rightChars="0" w:firstLine="480" w:firstLineChars="200"/>
        <w:outlineLvl w:val="0"/>
        <w:rPr>
          <w:rFonts w:hint="default" w:ascii="Times New Roman" w:hAnsi="Times New Roman" w:eastAsia="宋体" w:cs="Times New Roman"/>
          <w:color w:val="auto"/>
          <w:sz w:val="24"/>
          <w:highlight w:val="none"/>
        </w:rPr>
      </w:pPr>
      <w:bookmarkStart w:id="1507" w:name="_Toc19545"/>
      <w:bookmarkStart w:id="1508" w:name="_Toc22626"/>
      <w:r>
        <w:rPr>
          <w:rFonts w:hint="default" w:ascii="Times New Roman" w:hAnsi="Times New Roman" w:eastAsia="宋体" w:cs="Times New Roman"/>
          <w:color w:val="auto"/>
          <w:sz w:val="24"/>
          <w:highlight w:val="none"/>
        </w:rPr>
        <w:t>（4</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生态环境综合整治进度</w:t>
      </w:r>
      <w:bookmarkEnd w:id="1507"/>
      <w:bookmarkEnd w:id="1508"/>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生态环境综合整治进度表见表9-2。</w:t>
      </w:r>
    </w:p>
    <w:p>
      <w:pPr>
        <w:pageBreakBefore w:val="0"/>
        <w:tabs>
          <w:tab w:val="left" w:pos="3062"/>
        </w:tabs>
        <w:wordWrap/>
        <w:bidi w:val="0"/>
        <w:spacing w:line="360" w:lineRule="auto"/>
        <w:ind w:left="0" w:leftChars="0" w:right="0" w:rightChars="0"/>
        <w:jc w:val="center"/>
        <w:rPr>
          <w:rFonts w:hint="default" w:ascii="Times New Roman" w:hAnsi="Times New Roman" w:eastAsia="宋体" w:cs="Times New Roman"/>
          <w:b/>
          <w:bCs/>
          <w:color w:val="auto"/>
          <w:sz w:val="24"/>
          <w:highlight w:val="none"/>
        </w:rPr>
      </w:pPr>
    </w:p>
    <w:p>
      <w:pPr>
        <w:pageBreakBefore w:val="0"/>
        <w:tabs>
          <w:tab w:val="left" w:pos="3062"/>
        </w:tabs>
        <w:wordWrap/>
        <w:bidi w:val="0"/>
        <w:spacing w:line="360" w:lineRule="auto"/>
        <w:ind w:left="0" w:leftChars="0" w:right="0" w:rightChars="0"/>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表9-2生态环境恢复计划表</w:t>
      </w:r>
    </w:p>
    <w:tbl>
      <w:tblPr>
        <w:tblStyle w:val="54"/>
        <w:tblpPr w:leftFromText="180" w:rightFromText="180" w:vertAnchor="text" w:horzAnchor="margin" w:tblpY="13"/>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00"/>
        <w:gridCol w:w="1843"/>
        <w:gridCol w:w="1843"/>
        <w:gridCol w:w="1555"/>
        <w:gridCol w:w="218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blHeader/>
        </w:trPr>
        <w:tc>
          <w:tcPr>
            <w:tcW w:w="645" w:type="pct"/>
            <w:tcBorders>
              <w:top w:val="single" w:color="auto" w:sz="4" w:space="0"/>
              <w:lef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工程名称</w:t>
            </w:r>
          </w:p>
        </w:tc>
        <w:tc>
          <w:tcPr>
            <w:tcW w:w="1081" w:type="pct"/>
            <w:tcBorders>
              <w:top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工程恢复措施</w:t>
            </w:r>
          </w:p>
        </w:tc>
        <w:tc>
          <w:tcPr>
            <w:tcW w:w="1081" w:type="pct"/>
            <w:tcBorders>
              <w:top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b/>
                <w:color w:val="auto"/>
                <w:szCs w:val="21"/>
                <w:highlight w:val="none"/>
                <w:lang w:eastAsia="zh-CN"/>
              </w:rPr>
            </w:pPr>
            <w:r>
              <w:rPr>
                <w:rFonts w:hint="default" w:ascii="Times New Roman" w:hAnsi="Times New Roman" w:eastAsia="宋体" w:cs="Times New Roman"/>
                <w:b/>
                <w:color w:val="auto"/>
                <w:szCs w:val="21"/>
                <w:highlight w:val="none"/>
              </w:rPr>
              <w:t>恢复面积（m</w:t>
            </w:r>
            <w:r>
              <w:rPr>
                <w:rFonts w:hint="default" w:ascii="Times New Roman" w:hAnsi="Times New Roman" w:eastAsia="宋体" w:cs="Times New Roman"/>
                <w:b/>
                <w:color w:val="auto"/>
                <w:szCs w:val="21"/>
                <w:highlight w:val="none"/>
                <w:vertAlign w:val="superscript"/>
              </w:rPr>
              <w:t>2</w:t>
            </w:r>
            <w:r>
              <w:rPr>
                <w:rFonts w:hint="default" w:ascii="Times New Roman" w:hAnsi="Times New Roman" w:eastAsia="宋体" w:cs="Times New Roman"/>
                <w:b/>
                <w:color w:val="auto"/>
                <w:szCs w:val="21"/>
                <w:highlight w:val="none"/>
                <w:lang w:eastAsia="zh-CN"/>
              </w:rPr>
              <w:t>）</w:t>
            </w:r>
          </w:p>
        </w:tc>
        <w:tc>
          <w:tcPr>
            <w:tcW w:w="912" w:type="pct"/>
            <w:tcBorders>
              <w:top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工程恢复时间</w:t>
            </w:r>
          </w:p>
        </w:tc>
        <w:tc>
          <w:tcPr>
            <w:tcW w:w="1279" w:type="pct"/>
            <w:tcBorders>
              <w:top w:val="single" w:color="auto" w:sz="4" w:space="0"/>
              <w:righ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生态植被恢复措施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645" w:type="pct"/>
            <w:tcBorders>
              <w:lef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临时占地</w:t>
            </w:r>
          </w:p>
        </w:tc>
        <w:tc>
          <w:tcPr>
            <w:tcW w:w="1081" w:type="pct"/>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bCs/>
                <w:color w:val="auto"/>
                <w:szCs w:val="21"/>
                <w:highlight w:val="none"/>
              </w:rPr>
              <w:t>对施工期修建溢洪道、排洪沟以及坝肩截水沟（东侧、西侧各设1个</w:t>
            </w:r>
            <w:r>
              <w:rPr>
                <w:rFonts w:hint="default" w:ascii="Times New Roman" w:hAnsi="Times New Roman" w:eastAsia="宋体" w:cs="Times New Roman"/>
                <w:bCs/>
                <w:color w:val="auto"/>
                <w:szCs w:val="21"/>
                <w:highlight w:val="none"/>
                <w:lang w:eastAsia="zh-CN"/>
              </w:rPr>
              <w:t>）</w:t>
            </w:r>
            <w:r>
              <w:rPr>
                <w:rFonts w:hint="default" w:ascii="Times New Roman" w:hAnsi="Times New Roman" w:eastAsia="宋体" w:cs="Times New Roman"/>
                <w:bCs/>
                <w:color w:val="auto"/>
                <w:szCs w:val="21"/>
                <w:highlight w:val="none"/>
              </w:rPr>
              <w:t>占用的临时占地进行恢复</w:t>
            </w:r>
            <w:r>
              <w:rPr>
                <w:rFonts w:hint="default" w:ascii="Times New Roman" w:hAnsi="Times New Roman" w:eastAsia="宋体" w:cs="Times New Roman"/>
                <w:bCs/>
                <w:color w:val="auto"/>
                <w:szCs w:val="21"/>
                <w:highlight w:val="none"/>
                <w:lang w:eastAsia="zh-CN"/>
              </w:rPr>
              <w:t>，</w:t>
            </w:r>
            <w:r>
              <w:rPr>
                <w:rFonts w:hint="default" w:ascii="Times New Roman" w:hAnsi="Times New Roman" w:eastAsia="宋体" w:cs="Times New Roman"/>
                <w:bCs/>
                <w:color w:val="auto"/>
                <w:szCs w:val="21"/>
                <w:highlight w:val="none"/>
              </w:rPr>
              <w:t>恢复为牧草地</w:t>
            </w:r>
          </w:p>
        </w:tc>
        <w:tc>
          <w:tcPr>
            <w:tcW w:w="1081" w:type="pct"/>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1800</w:t>
            </w:r>
          </w:p>
        </w:tc>
        <w:tc>
          <w:tcPr>
            <w:tcW w:w="912" w:type="pct"/>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施工结束后2个月内恢复</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恢复面积为1800m</w:t>
            </w:r>
            <w:r>
              <w:rPr>
                <w:rFonts w:hint="default" w:ascii="Times New Roman" w:hAnsi="Times New Roman" w:eastAsia="宋体" w:cs="Times New Roman"/>
                <w:color w:val="auto"/>
                <w:szCs w:val="21"/>
                <w:highlight w:val="none"/>
                <w:vertAlign w:val="superscript"/>
              </w:rPr>
              <w:t>2</w:t>
            </w:r>
          </w:p>
        </w:tc>
        <w:tc>
          <w:tcPr>
            <w:tcW w:w="1279" w:type="pct"/>
            <w:tcBorders>
              <w:righ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易成活的乡土草本</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645" w:type="pct"/>
            <w:tcBorders>
              <w:lef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尾矿库现状坝体</w:t>
            </w:r>
          </w:p>
        </w:tc>
        <w:tc>
          <w:tcPr>
            <w:tcW w:w="1081" w:type="pct"/>
            <w:vAlign w:val="center"/>
          </w:tcPr>
          <w:p>
            <w:pPr>
              <w:pageBreakBefore w:val="0"/>
              <w:wordWrap/>
              <w:bidi w:val="0"/>
              <w:ind w:left="0" w:leftChars="0" w:right="0" w:rightChars="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对现状坝体外坡进行覆土绿化</w:t>
            </w:r>
            <w:r>
              <w:rPr>
                <w:rFonts w:hint="default" w:ascii="Times New Roman" w:hAnsi="Times New Roman" w:eastAsia="宋体" w:cs="Times New Roman"/>
                <w:bCs/>
                <w:color w:val="auto"/>
                <w:szCs w:val="21"/>
                <w:highlight w:val="none"/>
                <w:lang w:eastAsia="zh-CN"/>
              </w:rPr>
              <w:t>，</w:t>
            </w:r>
            <w:r>
              <w:rPr>
                <w:rFonts w:hint="default" w:ascii="Times New Roman" w:hAnsi="Times New Roman" w:eastAsia="宋体" w:cs="Times New Roman"/>
                <w:bCs/>
                <w:color w:val="auto"/>
                <w:szCs w:val="21"/>
                <w:highlight w:val="none"/>
              </w:rPr>
              <w:t>覆土厚度不低于30cm</w:t>
            </w:r>
          </w:p>
        </w:tc>
        <w:tc>
          <w:tcPr>
            <w:tcW w:w="1081" w:type="pct"/>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30360</w:t>
            </w:r>
          </w:p>
        </w:tc>
        <w:tc>
          <w:tcPr>
            <w:tcW w:w="912" w:type="pct"/>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施工结束后半年内进行恢复</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恢复面积为30360m</w:t>
            </w:r>
            <w:r>
              <w:rPr>
                <w:rFonts w:hint="default" w:ascii="Times New Roman" w:hAnsi="Times New Roman" w:eastAsia="宋体" w:cs="Times New Roman"/>
                <w:color w:val="auto"/>
                <w:szCs w:val="21"/>
                <w:highlight w:val="none"/>
                <w:vertAlign w:val="superscript"/>
              </w:rPr>
              <w:t>2</w:t>
            </w:r>
          </w:p>
        </w:tc>
        <w:tc>
          <w:tcPr>
            <w:tcW w:w="1279" w:type="pct"/>
            <w:tcBorders>
              <w:righ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bCs/>
                <w:color w:val="auto"/>
                <w:szCs w:val="21"/>
                <w:highlight w:val="none"/>
              </w:rPr>
              <w:t>易成活的乡土草本</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645" w:type="pct"/>
            <w:tcBorders>
              <w:lef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尾矿库</w:t>
            </w:r>
          </w:p>
          <w:p>
            <w:pPr>
              <w:pageBreakBefore w:val="0"/>
              <w:wordWrap/>
              <w:bidi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堆积坝体</w:t>
            </w:r>
          </w:p>
        </w:tc>
        <w:tc>
          <w:tcPr>
            <w:tcW w:w="1081" w:type="pct"/>
            <w:vAlign w:val="center"/>
          </w:tcPr>
          <w:p>
            <w:pPr>
              <w:pageBreakBefore w:val="0"/>
              <w:wordWrap/>
              <w:bidi w:val="0"/>
              <w:ind w:left="0" w:leftChars="0" w:right="0" w:rightChars="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color w:val="auto"/>
                <w:szCs w:val="21"/>
                <w:highlight w:val="none"/>
              </w:rPr>
              <w:t>对尾矿库达到标高的边坡进行恢复</w:t>
            </w:r>
          </w:p>
        </w:tc>
        <w:tc>
          <w:tcPr>
            <w:tcW w:w="1081" w:type="pct"/>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p>
        </w:tc>
        <w:tc>
          <w:tcPr>
            <w:tcW w:w="912" w:type="pct"/>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20</w:t>
            </w:r>
            <w:r>
              <w:rPr>
                <w:rFonts w:hint="default" w:ascii="Times New Roman" w:hAnsi="Times New Roman" w:eastAsia="宋体" w:cs="Times New Roman"/>
                <w:color w:val="auto"/>
                <w:szCs w:val="21"/>
                <w:highlight w:val="none"/>
                <w:lang w:val="en-US" w:eastAsia="zh-CN"/>
              </w:rPr>
              <w:t>27</w:t>
            </w:r>
            <w:r>
              <w:rPr>
                <w:rFonts w:hint="default" w:ascii="Times New Roman" w:hAnsi="Times New Roman" w:eastAsia="宋体" w:cs="Times New Roman"/>
                <w:color w:val="auto"/>
                <w:szCs w:val="21"/>
                <w:highlight w:val="none"/>
              </w:rPr>
              <w:t>年</w:t>
            </w:r>
          </w:p>
        </w:tc>
        <w:tc>
          <w:tcPr>
            <w:tcW w:w="1279" w:type="pct"/>
            <w:tcBorders>
              <w:righ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种植适宜生长的植被</w:t>
            </w:r>
            <w:r>
              <w:rPr>
                <w:rFonts w:hint="default" w:ascii="Times New Roman" w:hAnsi="Times New Roman" w:eastAsia="宋体" w:cs="Times New Roman"/>
                <w:bCs/>
                <w:color w:val="auto"/>
                <w:szCs w:val="21"/>
                <w:highlight w:val="none"/>
                <w:lang w:eastAsia="zh-CN"/>
              </w:rPr>
              <w:t>，</w:t>
            </w:r>
            <w:r>
              <w:rPr>
                <w:rFonts w:hint="default" w:ascii="Times New Roman" w:hAnsi="Times New Roman" w:eastAsia="宋体" w:cs="Times New Roman"/>
                <w:bCs/>
                <w:color w:val="auto"/>
                <w:szCs w:val="21"/>
                <w:highlight w:val="none"/>
              </w:rPr>
              <w:t>草种选择耐旱、抗寒的乡土草种沙打旺、柠荆、羊草、沙生冰草和披碱草</w:t>
            </w:r>
            <w:r>
              <w:rPr>
                <w:rFonts w:hint="default" w:ascii="Times New Roman" w:hAnsi="Times New Roman" w:eastAsia="宋体" w:cs="Times New Roman"/>
                <w:bCs/>
                <w:color w:val="auto"/>
                <w:szCs w:val="21"/>
                <w:highlight w:val="none"/>
                <w:lang w:eastAsia="zh-CN"/>
              </w:rPr>
              <w:t>，</w:t>
            </w:r>
            <w:r>
              <w:rPr>
                <w:rFonts w:hint="default" w:ascii="Times New Roman" w:hAnsi="Times New Roman" w:eastAsia="宋体" w:cs="Times New Roman"/>
                <w:bCs/>
                <w:color w:val="auto"/>
                <w:szCs w:val="21"/>
                <w:highlight w:val="none"/>
              </w:rPr>
              <w:t>播种前对种子清洗、去芒及药物拌种</w:t>
            </w:r>
            <w:r>
              <w:rPr>
                <w:rFonts w:hint="default" w:ascii="Times New Roman" w:hAnsi="Times New Roman" w:eastAsia="宋体" w:cs="Times New Roman"/>
                <w:bCs/>
                <w:color w:val="auto"/>
                <w:szCs w:val="21"/>
                <w:highlight w:val="none"/>
                <w:lang w:eastAsia="zh-CN"/>
              </w:rPr>
              <w:t>，</w:t>
            </w:r>
            <w:r>
              <w:rPr>
                <w:rFonts w:hint="default" w:ascii="Times New Roman" w:hAnsi="Times New Roman" w:eastAsia="宋体" w:cs="Times New Roman"/>
                <w:bCs/>
                <w:color w:val="auto"/>
                <w:szCs w:val="21"/>
                <w:highlight w:val="none"/>
              </w:rPr>
              <w:t>提高出芽率和防止虫害。草种按1</w:t>
            </w:r>
            <w:r>
              <w:rPr>
                <w:rFonts w:hint="default" w:ascii="Times New Roman" w:hAnsi="Times New Roman" w:eastAsia="宋体" w:cs="Times New Roman"/>
                <w:bCs/>
                <w:color w:val="auto"/>
                <w:szCs w:val="21"/>
                <w:highlight w:val="none"/>
                <w:lang w:eastAsia="zh-CN"/>
              </w:rPr>
              <w:t>：</w:t>
            </w:r>
            <w:r>
              <w:rPr>
                <w:rFonts w:hint="default" w:ascii="Times New Roman" w:hAnsi="Times New Roman" w:eastAsia="宋体" w:cs="Times New Roman"/>
                <w:bCs/>
                <w:color w:val="auto"/>
                <w:szCs w:val="21"/>
                <w:highlight w:val="none"/>
              </w:rPr>
              <w:t>1的比例混合撒播。播种量为40kg/hm</w:t>
            </w:r>
            <w:r>
              <w:rPr>
                <w:rFonts w:hint="default" w:ascii="Times New Roman" w:hAnsi="Times New Roman" w:eastAsia="宋体" w:cs="Times New Roman"/>
                <w:bCs/>
                <w:color w:val="auto"/>
                <w:szCs w:val="21"/>
                <w:highlight w:val="none"/>
                <w:vertAlign w:val="superscript"/>
              </w:rPr>
              <w:t>2</w:t>
            </w:r>
            <w:r>
              <w:rPr>
                <w:rFonts w:hint="default" w:ascii="Times New Roman" w:hAnsi="Times New Roman" w:eastAsia="宋体" w:cs="Times New Roman"/>
                <w:bCs/>
                <w:color w:val="auto"/>
                <w:szCs w:val="21"/>
                <w:highlight w:val="none"/>
              </w:rPr>
              <w:t>。草籽纯度要98%以上</w:t>
            </w:r>
            <w:r>
              <w:rPr>
                <w:rFonts w:hint="default" w:ascii="Times New Roman" w:hAnsi="Times New Roman" w:eastAsia="宋体" w:cs="Times New Roman"/>
                <w:bCs/>
                <w:color w:val="auto"/>
                <w:szCs w:val="21"/>
                <w:highlight w:val="none"/>
                <w:lang w:eastAsia="zh-CN"/>
              </w:rPr>
              <w:t>，</w:t>
            </w:r>
            <w:r>
              <w:rPr>
                <w:rFonts w:hint="default" w:ascii="Times New Roman" w:hAnsi="Times New Roman" w:eastAsia="宋体" w:cs="Times New Roman"/>
                <w:bCs/>
                <w:color w:val="auto"/>
                <w:szCs w:val="21"/>
                <w:highlight w:val="none"/>
              </w:rPr>
              <w:t>发芽率95%以上。播种深度一般在2cm～3cm。播种时间在夏季雨季来临时为宜</w:t>
            </w:r>
            <w:r>
              <w:rPr>
                <w:rFonts w:hint="default" w:ascii="Times New Roman" w:hAnsi="Times New Roman" w:eastAsia="宋体" w:cs="Times New Roman"/>
                <w:bCs/>
                <w:color w:val="auto"/>
                <w:szCs w:val="21"/>
                <w:highlight w:val="none"/>
                <w:lang w:eastAsia="zh-CN"/>
              </w:rPr>
              <w:t>，</w:t>
            </w:r>
            <w:r>
              <w:rPr>
                <w:rFonts w:hint="default" w:ascii="Times New Roman" w:hAnsi="Times New Roman" w:eastAsia="宋体" w:cs="Times New Roman"/>
                <w:bCs/>
                <w:color w:val="auto"/>
                <w:szCs w:val="21"/>
                <w:highlight w:val="none"/>
              </w:rPr>
              <w:t>同时播种前应进行一次土地灌溉</w:t>
            </w:r>
            <w:r>
              <w:rPr>
                <w:rFonts w:hint="default" w:ascii="Times New Roman" w:hAnsi="Times New Roman" w:eastAsia="宋体" w:cs="Times New Roman"/>
                <w:bCs/>
                <w:color w:val="auto"/>
                <w:szCs w:val="21"/>
                <w:highlight w:val="none"/>
                <w:lang w:eastAsia="zh-CN"/>
              </w:rPr>
              <w:t>，</w:t>
            </w:r>
            <w:r>
              <w:rPr>
                <w:rFonts w:hint="default" w:ascii="Times New Roman" w:hAnsi="Times New Roman" w:eastAsia="宋体" w:cs="Times New Roman"/>
                <w:bCs/>
                <w:color w:val="auto"/>
                <w:szCs w:val="21"/>
                <w:highlight w:val="none"/>
              </w:rPr>
              <w:t>防止萌芽后的幼苗因干旱造成大量吊根死亡现象。然后进行覆土</w:t>
            </w:r>
            <w:r>
              <w:rPr>
                <w:rFonts w:hint="default" w:ascii="Times New Roman" w:hAnsi="Times New Roman" w:eastAsia="宋体" w:cs="Times New Roman"/>
                <w:bCs/>
                <w:color w:val="auto"/>
                <w:szCs w:val="21"/>
                <w:highlight w:val="none"/>
                <w:lang w:eastAsia="zh-CN"/>
              </w:rPr>
              <w:t>，</w:t>
            </w:r>
            <w:r>
              <w:rPr>
                <w:rFonts w:hint="default" w:ascii="Times New Roman" w:hAnsi="Times New Roman" w:eastAsia="宋体" w:cs="Times New Roman"/>
                <w:bCs/>
                <w:color w:val="auto"/>
                <w:szCs w:val="21"/>
                <w:highlight w:val="none"/>
              </w:rPr>
              <w:t>用圆盘耙覆土一次即可</w:t>
            </w:r>
            <w:r>
              <w:rPr>
                <w:rFonts w:hint="default" w:ascii="Times New Roman" w:hAnsi="Times New Roman" w:eastAsia="宋体" w:cs="Times New Roman"/>
                <w:bCs/>
                <w:color w:val="auto"/>
                <w:szCs w:val="21"/>
                <w:highlight w:val="none"/>
                <w:lang w:eastAsia="zh-CN"/>
              </w:rPr>
              <w:t>，</w:t>
            </w:r>
            <w:r>
              <w:rPr>
                <w:rFonts w:hint="default" w:ascii="Times New Roman" w:hAnsi="Times New Roman" w:eastAsia="宋体" w:cs="Times New Roman"/>
                <w:bCs/>
                <w:color w:val="auto"/>
                <w:szCs w:val="21"/>
                <w:highlight w:val="none"/>
              </w:rPr>
              <w:t>这种一般可保证种子入土2cm～3cm</w:t>
            </w:r>
            <w:r>
              <w:rPr>
                <w:rFonts w:hint="default" w:ascii="Times New Roman" w:hAnsi="Times New Roman" w:eastAsia="宋体" w:cs="Times New Roman"/>
                <w:bCs/>
                <w:color w:val="auto"/>
                <w:szCs w:val="21"/>
                <w:highlight w:val="none"/>
                <w:lang w:eastAsia="zh-CN"/>
              </w:rPr>
              <w:t>，覆盖率不低于当地植被覆盖度水平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645" w:type="pct"/>
            <w:tcBorders>
              <w:left w:val="single" w:color="auto" w:sz="4" w:space="0"/>
              <w:bottom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闭库后尾矿库未绿化的边坡及库区</w:t>
            </w:r>
          </w:p>
        </w:tc>
        <w:tc>
          <w:tcPr>
            <w:tcW w:w="1081" w:type="pct"/>
            <w:tcBorders>
              <w:bottom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库内最终平台覆盖表土、恢复植被</w:t>
            </w:r>
          </w:p>
        </w:tc>
        <w:tc>
          <w:tcPr>
            <w:tcW w:w="1081" w:type="pct"/>
            <w:tcBorders>
              <w:bottom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库区作业面及最终平台下外坡</w:t>
            </w:r>
          </w:p>
        </w:tc>
        <w:tc>
          <w:tcPr>
            <w:tcW w:w="912" w:type="pct"/>
            <w:tcBorders>
              <w:bottom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20</w:t>
            </w:r>
            <w:r>
              <w:rPr>
                <w:rFonts w:hint="default" w:ascii="Times New Roman" w:hAnsi="Times New Roman" w:eastAsia="宋体" w:cs="Times New Roman"/>
                <w:color w:val="auto"/>
                <w:szCs w:val="21"/>
                <w:highlight w:val="none"/>
                <w:lang w:val="en-US" w:eastAsia="zh-CN"/>
              </w:rPr>
              <w:t>27</w:t>
            </w:r>
            <w:r>
              <w:rPr>
                <w:rFonts w:hint="default" w:ascii="Times New Roman" w:hAnsi="Times New Roman" w:eastAsia="宋体" w:cs="Times New Roman"/>
                <w:color w:val="auto"/>
                <w:szCs w:val="21"/>
                <w:highlight w:val="none"/>
              </w:rPr>
              <w:t>年闭库后对库内最终堆积平台和最终平台下外坡覆土厚度不低于30cm</w:t>
            </w:r>
          </w:p>
        </w:tc>
        <w:tc>
          <w:tcPr>
            <w:tcW w:w="1279" w:type="pct"/>
            <w:tcBorders>
              <w:bottom w:val="single" w:color="auto" w:sz="4" w:space="0"/>
              <w:right w:val="single" w:color="auto" w:sz="4" w:space="0"/>
            </w:tcBorders>
            <w:vAlign w:val="center"/>
          </w:tcPr>
          <w:p>
            <w:pPr>
              <w:pageBreakBefore w:val="0"/>
              <w:wordWrap/>
              <w:bidi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尾矿库外侧坡面以及尾矿库库区补种</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草种选择耐旱、抗寒的乡土草种沙打旺、柠荆、羊草、沙生冰草和披碱草</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播种前对种子清洗、去芒及药物拌种</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提高出芽率和防止虫害。草种按1</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1的比例混合撒播。播种量为40kg/hm</w:t>
            </w:r>
            <w:r>
              <w:rPr>
                <w:rFonts w:hint="default" w:ascii="Times New Roman" w:hAnsi="Times New Roman" w:eastAsia="宋体" w:cs="Times New Roman"/>
                <w:color w:val="auto"/>
                <w:szCs w:val="21"/>
                <w:highlight w:val="none"/>
                <w:vertAlign w:val="superscript"/>
              </w:rPr>
              <w:t>2</w:t>
            </w:r>
            <w:r>
              <w:rPr>
                <w:rFonts w:hint="default" w:ascii="Times New Roman" w:hAnsi="Times New Roman" w:eastAsia="宋体" w:cs="Times New Roman"/>
                <w:color w:val="auto"/>
                <w:szCs w:val="21"/>
                <w:highlight w:val="none"/>
              </w:rPr>
              <w:t>。草籽纯度要98%以上</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发芽率95%以上。播种深度一般在2cm～3cm。播种时间在夏季雨季来临时为宜</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同时播种前应进行一次土地灌溉</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防止萌芽后的幼苗因干旱造成大量吊根死亡现象。然后进行覆土</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用圆盘耙覆土一次即可</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这种一般可保证种子入土2cm～3cm。覆盖率不低于当地植被覆盖度水平</w:t>
            </w:r>
          </w:p>
        </w:tc>
      </w:tr>
    </w:tbl>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sectPr>
          <w:pgSz w:w="11906" w:h="16838"/>
          <w:pgMar w:top="1440" w:right="1800" w:bottom="1440" w:left="1800" w:header="851" w:footer="1020" w:gutter="0"/>
          <w:pgNumType w:fmt="decimal"/>
          <w:cols w:space="720" w:num="1"/>
          <w:docGrid w:linePitch="312" w:charSpace="0"/>
        </w:sectPr>
      </w:pPr>
    </w:p>
    <w:p>
      <w:pPr>
        <w:pStyle w:val="3"/>
        <w:keepNext/>
        <w:keepLines/>
        <w:pageBreakBefore w:val="0"/>
        <w:widowControl w:val="0"/>
        <w:numPr>
          <w:ilvl w:val="0"/>
          <w:numId w:val="0"/>
        </w:numPr>
        <w:kinsoku/>
        <w:wordWrap/>
        <w:overflowPunct/>
        <w:topLinePunct w:val="0"/>
        <w:autoSpaceDE/>
        <w:autoSpaceDN/>
        <w:bidi w:val="0"/>
        <w:adjustRightInd/>
        <w:snapToGrid/>
        <w:ind w:left="0" w:leftChars="0" w:right="0" w:rightChars="0" w:firstLine="0" w:firstLineChars="0"/>
        <w:textAlignment w:val="auto"/>
        <w:outlineLvl w:val="1"/>
        <w:rPr>
          <w:rFonts w:hint="default" w:ascii="Times New Roman" w:hAnsi="Times New Roman" w:eastAsia="宋体" w:cs="Times New Roman"/>
          <w:b/>
          <w:bCs w:val="0"/>
          <w:color w:val="auto"/>
          <w:sz w:val="32"/>
          <w:szCs w:val="32"/>
          <w:highlight w:val="none"/>
        </w:rPr>
      </w:pPr>
      <w:bookmarkStart w:id="1509" w:name="_Toc20802"/>
      <w:bookmarkStart w:id="1510" w:name="_Toc288306267"/>
      <w:bookmarkStart w:id="1511" w:name="_Toc260567985"/>
      <w:bookmarkStart w:id="1512" w:name="_Toc194733350"/>
      <w:bookmarkStart w:id="1513" w:name="_Toc21704"/>
      <w:r>
        <w:rPr>
          <w:rFonts w:hint="default" w:ascii="Times New Roman" w:hAnsi="Times New Roman" w:eastAsia="宋体" w:cs="Times New Roman"/>
          <w:b/>
          <w:bCs w:val="0"/>
          <w:i w:val="0"/>
          <w:color w:val="auto"/>
          <w:kern w:val="44"/>
          <w:sz w:val="32"/>
          <w:szCs w:val="32"/>
          <w:highlight w:val="none"/>
          <w:lang w:val="en-US" w:eastAsia="zh-CN" w:bidi="ar-SA"/>
        </w:rPr>
        <w:t>10</w:t>
      </w:r>
      <w:r>
        <w:rPr>
          <w:rFonts w:hint="default" w:ascii="Times New Roman" w:hAnsi="Times New Roman" w:eastAsia="宋体" w:cs="Times New Roman"/>
          <w:b/>
          <w:bCs w:val="0"/>
          <w:color w:val="auto"/>
          <w:sz w:val="32"/>
          <w:szCs w:val="32"/>
          <w:highlight w:val="none"/>
        </w:rPr>
        <w:t>环境经济损益分析</w:t>
      </w:r>
      <w:bookmarkEnd w:id="1509"/>
      <w:bookmarkEnd w:id="1510"/>
      <w:bookmarkEnd w:id="1511"/>
      <w:bookmarkEnd w:id="1512"/>
      <w:bookmarkEnd w:id="1513"/>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建设项目环境经济损益分析是环境影响评价工作的一部分</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对企业管理、环境主管部门决策具有重要意义。该项工作涉及面广</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受影响的因素多</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经济损益量化比较困难。目前尚无统一的评价方法、模式和参数。现仅就有关数据和资料对建设项目尽可能地进行社会效益、经济效益和环境效益的分析。</w:t>
      </w:r>
    </w:p>
    <w:p>
      <w:pPr>
        <w:pStyle w:val="4"/>
        <w:pageBreakBefore w:val="0"/>
        <w:numPr>
          <w:ilvl w:val="1"/>
          <w:numId w:val="0"/>
        </w:numPr>
        <w:wordWrap/>
        <w:bidi w:val="0"/>
        <w:ind w:left="0" w:leftChars="0" w:right="0" w:rightChars="0"/>
        <w:outlineLvl w:val="2"/>
        <w:rPr>
          <w:rFonts w:hint="default" w:ascii="Times New Roman" w:hAnsi="Times New Roman" w:eastAsia="宋体" w:cs="Times New Roman"/>
          <w:b/>
          <w:bCs w:val="0"/>
          <w:i w:val="0"/>
          <w:color w:val="auto"/>
          <w:kern w:val="2"/>
          <w:sz w:val="28"/>
          <w:szCs w:val="28"/>
          <w:highlight w:val="none"/>
          <w:lang w:val="en-US" w:eastAsia="zh-CN" w:bidi="ar-SA"/>
        </w:rPr>
      </w:pPr>
      <w:bookmarkStart w:id="1514" w:name="_Toc31047"/>
      <w:bookmarkStart w:id="1515" w:name="_Toc17349"/>
      <w:r>
        <w:rPr>
          <w:rFonts w:hint="default" w:ascii="Times New Roman" w:hAnsi="Times New Roman" w:eastAsia="宋体" w:cs="Times New Roman"/>
          <w:b/>
          <w:bCs w:val="0"/>
          <w:i w:val="0"/>
          <w:color w:val="auto"/>
          <w:kern w:val="2"/>
          <w:sz w:val="28"/>
          <w:szCs w:val="28"/>
          <w:highlight w:val="none"/>
          <w:lang w:val="en-US" w:eastAsia="zh-CN" w:bidi="ar-SA"/>
        </w:rPr>
        <w:t>10.1经济效益分析</w:t>
      </w:r>
      <w:bookmarkEnd w:id="1514"/>
      <w:bookmarkEnd w:id="1515"/>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本项目的经济效益较好</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能为企业增加较大的利润</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具有一定抗风险能力</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项目是可行的。但企业应从各方面降低建设投资</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同时加强管理</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降低生产成本及有关费用</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进一步提高项目的经济效益</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增强项目的抗风险能力。</w:t>
      </w:r>
    </w:p>
    <w:p>
      <w:pPr>
        <w:pStyle w:val="4"/>
        <w:pageBreakBefore w:val="0"/>
        <w:numPr>
          <w:ilvl w:val="1"/>
          <w:numId w:val="0"/>
        </w:numPr>
        <w:wordWrap/>
        <w:bidi w:val="0"/>
        <w:ind w:left="0" w:leftChars="0" w:right="0" w:rightChars="0"/>
        <w:outlineLvl w:val="2"/>
        <w:rPr>
          <w:rFonts w:hint="default" w:ascii="Times New Roman" w:hAnsi="Times New Roman" w:eastAsia="宋体" w:cs="Times New Roman"/>
          <w:b/>
          <w:bCs w:val="0"/>
          <w:color w:val="auto"/>
          <w:sz w:val="28"/>
          <w:szCs w:val="28"/>
          <w:highlight w:val="none"/>
        </w:rPr>
      </w:pPr>
      <w:bookmarkStart w:id="1516" w:name="_Toc13789"/>
      <w:bookmarkStart w:id="1517" w:name="_Toc16627"/>
      <w:r>
        <w:rPr>
          <w:rFonts w:hint="default" w:ascii="Times New Roman" w:hAnsi="Times New Roman" w:eastAsia="宋体" w:cs="Times New Roman"/>
          <w:b/>
          <w:bCs w:val="0"/>
          <w:i w:val="0"/>
          <w:color w:val="auto"/>
          <w:kern w:val="2"/>
          <w:sz w:val="28"/>
          <w:szCs w:val="28"/>
          <w:highlight w:val="none"/>
          <w:lang w:val="en-US" w:eastAsia="zh-CN" w:bidi="ar-SA"/>
        </w:rPr>
        <w:t>10.2</w:t>
      </w:r>
      <w:r>
        <w:rPr>
          <w:rFonts w:hint="default" w:ascii="Times New Roman" w:hAnsi="Times New Roman" w:eastAsia="宋体" w:cs="Times New Roman"/>
          <w:b/>
          <w:bCs w:val="0"/>
          <w:color w:val="auto"/>
          <w:sz w:val="28"/>
          <w:szCs w:val="28"/>
          <w:highlight w:val="none"/>
        </w:rPr>
        <w:t>环保投资及效益分析</w:t>
      </w:r>
      <w:bookmarkEnd w:id="1516"/>
      <w:bookmarkEnd w:id="1517"/>
    </w:p>
    <w:p>
      <w:pPr>
        <w:pStyle w:val="5"/>
        <w:pageBreakBefore w:val="0"/>
        <w:numPr>
          <w:ilvl w:val="2"/>
          <w:numId w:val="0"/>
        </w:numPr>
        <w:wordWrap/>
        <w:bidi w:val="0"/>
        <w:ind w:left="0" w:leftChars="0" w:right="0" w:rightChars="0"/>
        <w:rPr>
          <w:rFonts w:hint="default" w:ascii="Times New Roman" w:hAnsi="Times New Roman" w:eastAsia="宋体" w:cs="Times New Roman"/>
          <w:b/>
          <w:bCs w:val="0"/>
          <w:color w:val="auto"/>
          <w:highlight w:val="none"/>
        </w:rPr>
      </w:pPr>
      <w:bookmarkStart w:id="1518" w:name="_Toc15104"/>
      <w:bookmarkStart w:id="1519" w:name="_Toc18151"/>
      <w:bookmarkStart w:id="1520" w:name="_Toc25886"/>
      <w:r>
        <w:rPr>
          <w:rFonts w:hint="default" w:ascii="Times New Roman" w:hAnsi="Times New Roman" w:eastAsia="宋体" w:cs="Times New Roman"/>
          <w:b/>
          <w:bCs w:val="0"/>
          <w:i w:val="0"/>
          <w:iCs w:val="0"/>
          <w:caps w:val="0"/>
          <w:smallCaps w:val="0"/>
          <w:strike w:val="0"/>
          <w:dstrike w:val="0"/>
          <w:vanish w:val="0"/>
          <w:color w:val="auto"/>
          <w:spacing w:val="0"/>
          <w:kern w:val="2"/>
          <w:position w:val="0"/>
          <w:sz w:val="24"/>
          <w:szCs w:val="24"/>
          <w:highlight w:val="none"/>
          <w:u w:val="none"/>
          <w:vertAlign w:val="baseline"/>
          <w:lang w:val="en-US" w:eastAsia="zh-CN" w:bidi="ar-SA"/>
          <w14:shadow w14:blurRad="0" w14:dist="0" w14:dir="0" w14:sx="0" w14:sy="0" w14:kx="0" w14:ky="0" w14:algn="none">
            <w14:srgbClr w14:val="000000"/>
          </w14:shadow>
        </w:rPr>
        <w:t>10.2.1</w:t>
      </w:r>
      <w:r>
        <w:rPr>
          <w:rFonts w:hint="default" w:ascii="Times New Roman" w:hAnsi="Times New Roman" w:eastAsia="宋体" w:cs="Times New Roman"/>
          <w:b/>
          <w:bCs w:val="0"/>
          <w:color w:val="auto"/>
          <w:highlight w:val="none"/>
        </w:rPr>
        <w:t>环保投资估算</w:t>
      </w:r>
      <w:bookmarkEnd w:id="1518"/>
      <w:bookmarkEnd w:id="1519"/>
      <w:bookmarkEnd w:id="1520"/>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本项目总投资</w:t>
      </w:r>
      <w:r>
        <w:rPr>
          <w:rFonts w:hint="default" w:ascii="Times New Roman" w:hAnsi="Times New Roman" w:eastAsia="宋体" w:cs="Times New Roman"/>
          <w:color w:val="auto"/>
          <w:sz w:val="24"/>
          <w:highlight w:val="none"/>
          <w:lang w:val="en-US" w:eastAsia="zh-CN"/>
        </w:rPr>
        <w:t>3657.05</w:t>
      </w:r>
      <w:r>
        <w:rPr>
          <w:rFonts w:hint="default" w:ascii="Times New Roman" w:hAnsi="Times New Roman" w:eastAsia="宋体" w:cs="Times New Roman"/>
          <w:color w:val="auto"/>
          <w:sz w:val="24"/>
          <w:highlight w:val="none"/>
        </w:rPr>
        <w:t>万元</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环保投资为</w:t>
      </w:r>
      <w:r>
        <w:rPr>
          <w:rFonts w:hint="default" w:ascii="Times New Roman" w:hAnsi="Times New Roman" w:eastAsia="宋体" w:cs="Times New Roman"/>
          <w:color w:val="auto"/>
          <w:sz w:val="24"/>
          <w:highlight w:val="none"/>
          <w:lang w:val="en-US" w:eastAsia="zh-CN"/>
        </w:rPr>
        <w:t>115</w:t>
      </w:r>
      <w:r>
        <w:rPr>
          <w:rFonts w:hint="default" w:ascii="Times New Roman" w:hAnsi="Times New Roman" w:eastAsia="宋体" w:cs="Times New Roman"/>
          <w:color w:val="auto"/>
          <w:sz w:val="24"/>
          <w:highlight w:val="none"/>
        </w:rPr>
        <w:t>万元</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占总投资的</w:t>
      </w:r>
      <w:r>
        <w:rPr>
          <w:rFonts w:hint="default" w:ascii="Times New Roman" w:hAnsi="Times New Roman" w:eastAsia="宋体" w:cs="Times New Roman"/>
          <w:color w:val="auto"/>
          <w:sz w:val="24"/>
          <w:highlight w:val="none"/>
          <w:lang w:val="en-US" w:eastAsia="zh-CN"/>
        </w:rPr>
        <w:t>3.14</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经估算各项环保措施及其投资详见表10-1。</w:t>
      </w:r>
    </w:p>
    <w:p>
      <w:pPr>
        <w:pageBreakBefore w:val="0"/>
        <w:tabs>
          <w:tab w:val="left" w:pos="3062"/>
        </w:tabs>
        <w:wordWrap/>
        <w:bidi w:val="0"/>
        <w:spacing w:line="360" w:lineRule="auto"/>
        <w:ind w:left="0" w:leftChars="0" w:right="0" w:rightChars="0"/>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表10-1本项目环保投资一览表</w:t>
      </w:r>
    </w:p>
    <w:tbl>
      <w:tblPr>
        <w:tblStyle w:val="54"/>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1111"/>
        <w:gridCol w:w="1141"/>
        <w:gridCol w:w="5078"/>
        <w:gridCol w:w="98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68" w:type="pct"/>
            <w:tcBorders>
              <w:top w:val="single" w:color="auto" w:sz="4" w:space="0"/>
              <w:lef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项目</w:t>
            </w:r>
          </w:p>
        </w:tc>
        <w:tc>
          <w:tcPr>
            <w:tcW w:w="686" w:type="pct"/>
            <w:tcBorders>
              <w:top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治理对象</w:t>
            </w:r>
          </w:p>
        </w:tc>
        <w:tc>
          <w:tcPr>
            <w:tcW w:w="3053" w:type="pct"/>
            <w:tcBorders>
              <w:top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主要内容</w:t>
            </w:r>
          </w:p>
        </w:tc>
        <w:tc>
          <w:tcPr>
            <w:tcW w:w="593" w:type="pct"/>
            <w:tcBorders>
              <w:top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投资</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68" w:type="pct"/>
            <w:tcBorders>
              <w:lef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废气处理</w:t>
            </w:r>
          </w:p>
        </w:tc>
        <w:tc>
          <w:tcPr>
            <w:tcW w:w="686"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尾矿库</w:t>
            </w:r>
          </w:p>
        </w:tc>
        <w:tc>
          <w:tcPr>
            <w:tcW w:w="3053"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lang w:eastAsia="zh-CN"/>
              </w:rPr>
              <w:t>分散放矿</w:t>
            </w:r>
            <w:r>
              <w:rPr>
                <w:rFonts w:hint="default" w:ascii="Times New Roman" w:hAnsi="Times New Roman" w:eastAsia="宋体" w:cs="Times New Roman"/>
                <w:color w:val="auto"/>
                <w:szCs w:val="21"/>
                <w:highlight w:val="none"/>
              </w:rPr>
              <w:t>配合洒水</w:t>
            </w:r>
          </w:p>
        </w:tc>
        <w:tc>
          <w:tcPr>
            <w:tcW w:w="593" w:type="pct"/>
            <w:tcBorders>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8</w:t>
            </w:r>
            <w:r>
              <w:rPr>
                <w:rFonts w:hint="default" w:ascii="Times New Roman" w:hAnsi="Times New Roman" w:eastAsia="宋体" w:cs="Times New Roman"/>
                <w:color w:val="auto"/>
                <w:szCs w:val="21"/>
                <w:highlight w:val="none"/>
                <w:lang w:val="en-US" w:eastAsia="zh-CN"/>
              </w:rPr>
              <w:t>0</w:t>
            </w:r>
            <w:r>
              <w:rPr>
                <w:rFonts w:hint="default" w:ascii="Times New Roman" w:hAnsi="Times New Roman" w:eastAsia="宋体" w:cs="Times New Roman"/>
                <w:color w:val="auto"/>
                <w:szCs w:val="21"/>
                <w:highlight w:val="none"/>
              </w:rPr>
              <w:t>万元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68" w:type="pct"/>
            <w:tcBorders>
              <w:lef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噪声治理</w:t>
            </w:r>
          </w:p>
        </w:tc>
        <w:tc>
          <w:tcPr>
            <w:tcW w:w="686"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设备噪声</w:t>
            </w:r>
          </w:p>
        </w:tc>
        <w:tc>
          <w:tcPr>
            <w:tcW w:w="3053"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采用低噪声设备</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实施基础减震等</w:t>
            </w:r>
          </w:p>
        </w:tc>
        <w:tc>
          <w:tcPr>
            <w:tcW w:w="593" w:type="pct"/>
            <w:tcBorders>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2万元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68" w:type="pct"/>
            <w:tcBorders>
              <w:lef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eastAsia="zh-CN"/>
              </w:rPr>
              <w:t>固废治理</w:t>
            </w:r>
          </w:p>
        </w:tc>
        <w:tc>
          <w:tcPr>
            <w:tcW w:w="686"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eastAsia="zh-CN"/>
              </w:rPr>
              <w:t>废润滑油</w:t>
            </w:r>
          </w:p>
        </w:tc>
        <w:tc>
          <w:tcPr>
            <w:tcW w:w="3053"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eastAsia="zh-CN"/>
              </w:rPr>
              <w:t>建设</w:t>
            </w:r>
            <w:r>
              <w:rPr>
                <w:rFonts w:hint="default" w:ascii="Times New Roman" w:hAnsi="Times New Roman" w:eastAsia="宋体" w:cs="Times New Roman"/>
                <w:color w:val="auto"/>
                <w:szCs w:val="21"/>
                <w:highlight w:val="none"/>
                <w:lang w:val="en-US" w:eastAsia="zh-CN"/>
              </w:rPr>
              <w:t>1座危废暂存间</w:t>
            </w:r>
          </w:p>
        </w:tc>
        <w:tc>
          <w:tcPr>
            <w:tcW w:w="593" w:type="pct"/>
            <w:tcBorders>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10万元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68" w:type="pct"/>
            <w:tcBorders>
              <w:lef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风险事故</w:t>
            </w:r>
          </w:p>
        </w:tc>
        <w:tc>
          <w:tcPr>
            <w:tcW w:w="686"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尾矿库泄漏、溃坝等</w:t>
            </w:r>
          </w:p>
        </w:tc>
        <w:tc>
          <w:tcPr>
            <w:tcW w:w="3053"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编制风险事故应急预案；加强操作人员的技术培训和岗位责任制教育</w:t>
            </w:r>
          </w:p>
        </w:tc>
        <w:tc>
          <w:tcPr>
            <w:tcW w:w="593" w:type="pct"/>
            <w:tcBorders>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5万元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68" w:type="pct"/>
            <w:tcBorders>
              <w:lef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地下水</w:t>
            </w:r>
          </w:p>
        </w:tc>
        <w:tc>
          <w:tcPr>
            <w:tcW w:w="686"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尾矿库下游</w:t>
            </w:r>
          </w:p>
        </w:tc>
        <w:tc>
          <w:tcPr>
            <w:tcW w:w="3053"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rPr>
              <w:t>地下水跟踪监测井（3座</w:t>
            </w:r>
            <w:r>
              <w:rPr>
                <w:rFonts w:hint="default" w:ascii="Times New Roman" w:hAnsi="Times New Roman" w:eastAsia="宋体" w:cs="Times New Roman"/>
                <w:color w:val="auto"/>
                <w:szCs w:val="21"/>
                <w:highlight w:val="none"/>
                <w:lang w:eastAsia="zh-CN"/>
              </w:rPr>
              <w:t>）</w:t>
            </w:r>
          </w:p>
        </w:tc>
        <w:tc>
          <w:tcPr>
            <w:tcW w:w="593" w:type="pct"/>
            <w:tcBorders>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依托现有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354" w:type="pct"/>
            <w:gridSpan w:val="2"/>
            <w:tcBorders>
              <w:lef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环境风险防范</w:t>
            </w:r>
          </w:p>
        </w:tc>
        <w:tc>
          <w:tcPr>
            <w:tcW w:w="3053"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溢洪道</w:t>
            </w:r>
          </w:p>
        </w:tc>
        <w:tc>
          <w:tcPr>
            <w:tcW w:w="593" w:type="pct"/>
            <w:tcBorders>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5万元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68" w:type="pct"/>
            <w:tcBorders>
              <w:lef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生态治理</w:t>
            </w:r>
          </w:p>
        </w:tc>
        <w:tc>
          <w:tcPr>
            <w:tcW w:w="686"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尾矿库</w:t>
            </w:r>
          </w:p>
        </w:tc>
        <w:tc>
          <w:tcPr>
            <w:tcW w:w="3053" w:type="pct"/>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尾矿库服务期满后</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尾矿库坝体及库区应及时覆土绿化</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草种主要选择适合当地生长的植物。</w:t>
            </w:r>
          </w:p>
        </w:tc>
        <w:tc>
          <w:tcPr>
            <w:tcW w:w="593" w:type="pct"/>
            <w:tcBorders>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13万元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407" w:type="pct"/>
            <w:gridSpan w:val="3"/>
            <w:tcBorders>
              <w:left w:val="single" w:color="auto" w:sz="4" w:space="0"/>
              <w:bottom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合计</w:t>
            </w:r>
          </w:p>
        </w:tc>
        <w:tc>
          <w:tcPr>
            <w:tcW w:w="593" w:type="pct"/>
            <w:tcBorders>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lang w:val="en-US" w:eastAsia="zh-CN"/>
              </w:rPr>
              <w:t>115</w:t>
            </w:r>
            <w:r>
              <w:rPr>
                <w:rFonts w:hint="default" w:ascii="Times New Roman" w:hAnsi="Times New Roman" w:eastAsia="宋体" w:cs="Times New Roman"/>
                <w:color w:val="auto"/>
                <w:szCs w:val="21"/>
                <w:highlight w:val="none"/>
              </w:rPr>
              <w:t>万元</w:t>
            </w:r>
          </w:p>
        </w:tc>
      </w:tr>
    </w:tbl>
    <w:p>
      <w:pPr>
        <w:pStyle w:val="5"/>
        <w:pageBreakBefore w:val="0"/>
        <w:numPr>
          <w:ilvl w:val="2"/>
          <w:numId w:val="0"/>
        </w:numPr>
        <w:wordWrap/>
        <w:bidi w:val="0"/>
        <w:ind w:left="0" w:leftChars="0" w:right="0" w:rightChars="0"/>
        <w:rPr>
          <w:rFonts w:hint="default" w:ascii="Times New Roman" w:hAnsi="Times New Roman" w:eastAsia="宋体" w:cs="Times New Roman"/>
          <w:b/>
          <w:bCs/>
          <w:color w:val="auto"/>
          <w:highlight w:val="none"/>
        </w:rPr>
      </w:pPr>
      <w:bookmarkStart w:id="1521" w:name="_Toc18421"/>
      <w:bookmarkStart w:id="1522" w:name="_Toc24448"/>
      <w:bookmarkStart w:id="1523" w:name="_Toc26819"/>
      <w:r>
        <w:rPr>
          <w:rFonts w:hint="default" w:ascii="Times New Roman" w:hAnsi="Times New Roman" w:eastAsia="宋体" w:cs="Times New Roman"/>
          <w:b/>
          <w:bCs/>
          <w:i w:val="0"/>
          <w:iCs w:val="0"/>
          <w:caps w:val="0"/>
          <w:smallCaps w:val="0"/>
          <w:strike w:val="0"/>
          <w:dstrike w:val="0"/>
          <w:vanish w:val="0"/>
          <w:color w:val="auto"/>
          <w:spacing w:val="0"/>
          <w:kern w:val="2"/>
          <w:position w:val="0"/>
          <w:sz w:val="24"/>
          <w:szCs w:val="24"/>
          <w:highlight w:val="none"/>
          <w:u w:val="none"/>
          <w:vertAlign w:val="baseline"/>
          <w:lang w:val="en-US" w:eastAsia="zh-CN" w:bidi="ar-SA"/>
          <w14:shadow w14:blurRad="0" w14:dist="0" w14:dir="0" w14:sx="0" w14:sy="0" w14:kx="0" w14:ky="0" w14:algn="none">
            <w14:srgbClr w14:val="000000"/>
          </w14:shadow>
        </w:rPr>
        <w:t>10.2.2</w:t>
      </w:r>
      <w:r>
        <w:rPr>
          <w:rFonts w:hint="default" w:ascii="Times New Roman" w:hAnsi="Times New Roman" w:eastAsia="宋体" w:cs="Times New Roman"/>
          <w:b/>
          <w:bCs/>
          <w:color w:val="auto"/>
          <w:highlight w:val="none"/>
        </w:rPr>
        <w:t>环保投资效益分析</w:t>
      </w:r>
      <w:bookmarkEnd w:id="1521"/>
      <w:bookmarkEnd w:id="1522"/>
      <w:bookmarkEnd w:id="1523"/>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根据项目的实施计划</w:t>
      </w:r>
      <w:r>
        <w:rPr>
          <w:rFonts w:hint="default" w:ascii="Times New Roman" w:hAnsi="Times New Roman" w:eastAsia="宋体" w:cs="Times New Roman"/>
          <w:color w:val="auto"/>
          <w:kern w:val="0"/>
          <w:sz w:val="24"/>
          <w:highlight w:val="none"/>
          <w:lang w:eastAsia="zh-CN"/>
        </w:rPr>
        <w:t>，</w:t>
      </w:r>
      <w:r>
        <w:rPr>
          <w:rFonts w:hint="default" w:ascii="Times New Roman" w:hAnsi="Times New Roman" w:eastAsia="宋体" w:cs="Times New Roman"/>
          <w:color w:val="auto"/>
          <w:kern w:val="0"/>
          <w:sz w:val="24"/>
          <w:highlight w:val="none"/>
        </w:rPr>
        <w:t>项目通过采取环保措施</w:t>
      </w:r>
      <w:r>
        <w:rPr>
          <w:rFonts w:hint="default" w:ascii="Times New Roman" w:hAnsi="Times New Roman" w:eastAsia="宋体" w:cs="Times New Roman"/>
          <w:color w:val="auto"/>
          <w:kern w:val="0"/>
          <w:sz w:val="24"/>
          <w:highlight w:val="none"/>
          <w:lang w:eastAsia="zh-CN"/>
        </w:rPr>
        <w:t>，</w:t>
      </w:r>
      <w:r>
        <w:rPr>
          <w:rFonts w:hint="default" w:ascii="Times New Roman" w:hAnsi="Times New Roman" w:eastAsia="宋体" w:cs="Times New Roman"/>
          <w:color w:val="auto"/>
          <w:kern w:val="0"/>
          <w:sz w:val="24"/>
          <w:highlight w:val="none"/>
        </w:rPr>
        <w:t>使项目产生的污染物大大减少</w:t>
      </w:r>
      <w:r>
        <w:rPr>
          <w:rFonts w:hint="default" w:ascii="Times New Roman" w:hAnsi="Times New Roman" w:eastAsia="宋体" w:cs="Times New Roman"/>
          <w:color w:val="auto"/>
          <w:kern w:val="0"/>
          <w:sz w:val="24"/>
          <w:highlight w:val="none"/>
          <w:lang w:eastAsia="zh-CN"/>
        </w:rPr>
        <w:t>，</w:t>
      </w:r>
      <w:r>
        <w:rPr>
          <w:rFonts w:hint="default" w:ascii="Times New Roman" w:hAnsi="Times New Roman" w:eastAsia="宋体" w:cs="Times New Roman"/>
          <w:color w:val="auto"/>
          <w:kern w:val="0"/>
          <w:sz w:val="24"/>
          <w:highlight w:val="none"/>
        </w:rPr>
        <w:t>带来一定的环境效益。</w:t>
      </w:r>
    </w:p>
    <w:p>
      <w:pPr>
        <w:pageBreakBefore w:val="0"/>
        <w:wordWrap/>
        <w:bidi w:val="0"/>
        <w:spacing w:line="360" w:lineRule="auto"/>
        <w:ind w:left="0" w:leftChars="0" w:right="0" w:rightChars="0" w:firstLine="480" w:firstLineChars="200"/>
        <w:outlineLvl w:val="0"/>
        <w:rPr>
          <w:rFonts w:hint="default" w:ascii="Times New Roman" w:hAnsi="Times New Roman" w:eastAsia="宋体" w:cs="Times New Roman"/>
          <w:color w:val="auto"/>
          <w:kern w:val="0"/>
          <w:sz w:val="24"/>
          <w:highlight w:val="none"/>
        </w:rPr>
      </w:pPr>
      <w:bookmarkStart w:id="1524" w:name="_Toc10586"/>
      <w:bookmarkStart w:id="1525" w:name="_Toc9078"/>
      <w:r>
        <w:rPr>
          <w:rFonts w:hint="default" w:ascii="Times New Roman" w:hAnsi="Times New Roman" w:eastAsia="宋体" w:cs="Times New Roman"/>
          <w:color w:val="auto"/>
          <w:kern w:val="0"/>
          <w:sz w:val="24"/>
          <w:highlight w:val="none"/>
        </w:rPr>
        <w:t>（1</w:t>
      </w:r>
      <w:r>
        <w:rPr>
          <w:rFonts w:hint="default" w:ascii="Times New Roman" w:hAnsi="Times New Roman" w:eastAsia="宋体" w:cs="Times New Roman"/>
          <w:color w:val="auto"/>
          <w:kern w:val="0"/>
          <w:sz w:val="24"/>
          <w:highlight w:val="none"/>
          <w:lang w:eastAsia="zh-CN"/>
        </w:rPr>
        <w:t>）</w:t>
      </w:r>
      <w:r>
        <w:rPr>
          <w:rFonts w:hint="default" w:ascii="Times New Roman" w:hAnsi="Times New Roman" w:eastAsia="宋体" w:cs="Times New Roman"/>
          <w:color w:val="auto"/>
          <w:kern w:val="0"/>
          <w:sz w:val="24"/>
          <w:highlight w:val="none"/>
        </w:rPr>
        <w:t>水环境效益</w:t>
      </w:r>
      <w:bookmarkEnd w:id="1524"/>
      <w:bookmarkEnd w:id="1525"/>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项目尾矿经浓缩后产生的废水可回用于公司选矿厂</w:t>
      </w:r>
      <w:r>
        <w:rPr>
          <w:rFonts w:hint="default" w:ascii="Times New Roman" w:hAnsi="Times New Roman" w:eastAsia="宋体" w:cs="Times New Roman"/>
          <w:color w:val="auto"/>
          <w:kern w:val="0"/>
          <w:sz w:val="24"/>
          <w:highlight w:val="none"/>
          <w:lang w:eastAsia="zh-CN"/>
        </w:rPr>
        <w:t>，</w:t>
      </w:r>
      <w:r>
        <w:rPr>
          <w:rFonts w:hint="default" w:ascii="Times New Roman" w:hAnsi="Times New Roman" w:eastAsia="宋体" w:cs="Times New Roman"/>
          <w:color w:val="auto"/>
          <w:kern w:val="0"/>
          <w:sz w:val="24"/>
          <w:highlight w:val="none"/>
        </w:rPr>
        <w:t>不外排。</w:t>
      </w:r>
    </w:p>
    <w:p>
      <w:pPr>
        <w:pageBreakBefore w:val="0"/>
        <w:wordWrap/>
        <w:bidi w:val="0"/>
        <w:spacing w:line="360" w:lineRule="auto"/>
        <w:ind w:left="0" w:leftChars="0" w:right="0" w:rightChars="0" w:firstLine="480" w:firstLineChars="200"/>
        <w:outlineLvl w:val="0"/>
        <w:rPr>
          <w:rFonts w:hint="default" w:ascii="Times New Roman" w:hAnsi="Times New Roman" w:eastAsia="宋体" w:cs="Times New Roman"/>
          <w:color w:val="auto"/>
          <w:kern w:val="0"/>
          <w:sz w:val="24"/>
          <w:highlight w:val="none"/>
        </w:rPr>
      </w:pPr>
      <w:bookmarkStart w:id="1526" w:name="_Toc8246"/>
      <w:bookmarkStart w:id="1527" w:name="_Toc25166"/>
      <w:r>
        <w:rPr>
          <w:rFonts w:hint="default" w:ascii="Times New Roman" w:hAnsi="Times New Roman" w:eastAsia="宋体" w:cs="Times New Roman"/>
          <w:color w:val="auto"/>
          <w:kern w:val="0"/>
          <w:sz w:val="24"/>
          <w:highlight w:val="none"/>
        </w:rPr>
        <w:t>（2</w:t>
      </w:r>
      <w:r>
        <w:rPr>
          <w:rFonts w:hint="default" w:ascii="Times New Roman" w:hAnsi="Times New Roman" w:eastAsia="宋体" w:cs="Times New Roman"/>
          <w:color w:val="auto"/>
          <w:kern w:val="0"/>
          <w:sz w:val="24"/>
          <w:highlight w:val="none"/>
          <w:lang w:eastAsia="zh-CN"/>
        </w:rPr>
        <w:t>）</w:t>
      </w:r>
      <w:r>
        <w:rPr>
          <w:rFonts w:hint="default" w:ascii="Times New Roman" w:hAnsi="Times New Roman" w:eastAsia="宋体" w:cs="Times New Roman"/>
          <w:color w:val="auto"/>
          <w:kern w:val="0"/>
          <w:sz w:val="24"/>
          <w:highlight w:val="none"/>
        </w:rPr>
        <w:t>环境空气效益</w:t>
      </w:r>
      <w:bookmarkEnd w:id="1526"/>
      <w:bookmarkEnd w:id="1527"/>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尾矿库采用</w:t>
      </w:r>
      <w:r>
        <w:rPr>
          <w:rFonts w:hint="default" w:ascii="Times New Roman" w:hAnsi="Times New Roman" w:eastAsia="宋体" w:cs="Times New Roman"/>
          <w:color w:val="auto"/>
          <w:kern w:val="0"/>
          <w:sz w:val="24"/>
          <w:highlight w:val="none"/>
          <w:lang w:eastAsia="zh-CN"/>
        </w:rPr>
        <w:t>分散放矿</w:t>
      </w:r>
      <w:r>
        <w:rPr>
          <w:rFonts w:hint="default" w:ascii="Times New Roman" w:hAnsi="Times New Roman" w:eastAsia="宋体" w:cs="Times New Roman"/>
          <w:color w:val="auto"/>
          <w:kern w:val="0"/>
          <w:sz w:val="24"/>
          <w:highlight w:val="none"/>
        </w:rPr>
        <w:t>配合洒水抑制干滩扬尘的产生</w:t>
      </w:r>
      <w:r>
        <w:rPr>
          <w:rFonts w:hint="default" w:ascii="Times New Roman" w:hAnsi="Times New Roman" w:eastAsia="宋体" w:cs="Times New Roman"/>
          <w:color w:val="auto"/>
          <w:kern w:val="0"/>
          <w:sz w:val="24"/>
          <w:highlight w:val="none"/>
          <w:lang w:eastAsia="zh-CN"/>
        </w:rPr>
        <w:t>，</w:t>
      </w:r>
      <w:r>
        <w:rPr>
          <w:rFonts w:hint="default" w:ascii="Times New Roman" w:hAnsi="Times New Roman" w:eastAsia="宋体" w:cs="Times New Roman"/>
          <w:color w:val="auto"/>
          <w:kern w:val="0"/>
          <w:sz w:val="24"/>
          <w:highlight w:val="none"/>
        </w:rPr>
        <w:t>保护环境空气。</w:t>
      </w:r>
    </w:p>
    <w:p>
      <w:pPr>
        <w:pageBreakBefore w:val="0"/>
        <w:wordWrap/>
        <w:bidi w:val="0"/>
        <w:spacing w:line="360" w:lineRule="auto"/>
        <w:ind w:left="0" w:leftChars="0" w:right="0" w:rightChars="0" w:firstLine="480" w:firstLineChars="200"/>
        <w:outlineLvl w:val="0"/>
        <w:rPr>
          <w:rFonts w:hint="default" w:ascii="Times New Roman" w:hAnsi="Times New Roman" w:eastAsia="宋体" w:cs="Times New Roman"/>
          <w:color w:val="auto"/>
          <w:kern w:val="0"/>
          <w:sz w:val="24"/>
          <w:highlight w:val="none"/>
        </w:rPr>
      </w:pPr>
      <w:bookmarkStart w:id="1528" w:name="_Toc32315"/>
      <w:bookmarkStart w:id="1529" w:name="_Toc14939"/>
      <w:r>
        <w:rPr>
          <w:rFonts w:hint="default" w:ascii="Times New Roman" w:hAnsi="Times New Roman" w:eastAsia="宋体" w:cs="Times New Roman"/>
          <w:color w:val="auto"/>
          <w:kern w:val="0"/>
          <w:sz w:val="24"/>
          <w:highlight w:val="none"/>
        </w:rPr>
        <w:t>（3</w:t>
      </w:r>
      <w:r>
        <w:rPr>
          <w:rFonts w:hint="default" w:ascii="Times New Roman" w:hAnsi="Times New Roman" w:eastAsia="宋体" w:cs="Times New Roman"/>
          <w:color w:val="auto"/>
          <w:kern w:val="0"/>
          <w:sz w:val="24"/>
          <w:highlight w:val="none"/>
          <w:lang w:eastAsia="zh-CN"/>
        </w:rPr>
        <w:t>）</w:t>
      </w:r>
      <w:r>
        <w:rPr>
          <w:rFonts w:hint="default" w:ascii="Times New Roman" w:hAnsi="Times New Roman" w:eastAsia="宋体" w:cs="Times New Roman"/>
          <w:color w:val="auto"/>
          <w:kern w:val="0"/>
          <w:sz w:val="24"/>
          <w:highlight w:val="none"/>
        </w:rPr>
        <w:t>生态治理效益分析</w:t>
      </w:r>
      <w:bookmarkEnd w:id="1528"/>
      <w:bookmarkEnd w:id="1529"/>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kern w:val="0"/>
          <w:sz w:val="24"/>
          <w:highlight w:val="none"/>
        </w:rPr>
        <w:t>本项目通过进行大量</w:t>
      </w:r>
      <w:r>
        <w:rPr>
          <w:rFonts w:hint="default" w:ascii="Times New Roman" w:hAnsi="Times New Roman" w:eastAsia="宋体" w:cs="Times New Roman"/>
          <w:color w:val="auto"/>
          <w:kern w:val="0"/>
          <w:sz w:val="24"/>
          <w:highlight w:val="none"/>
          <w:lang w:eastAsia="zh-CN"/>
        </w:rPr>
        <w:t>的</w:t>
      </w:r>
      <w:r>
        <w:rPr>
          <w:rFonts w:hint="default" w:ascii="Times New Roman" w:hAnsi="Times New Roman" w:eastAsia="宋体" w:cs="Times New Roman"/>
          <w:color w:val="auto"/>
          <w:kern w:val="0"/>
          <w:sz w:val="24"/>
          <w:highlight w:val="none"/>
        </w:rPr>
        <w:t>生态恢复工作</w:t>
      </w:r>
      <w:r>
        <w:rPr>
          <w:rFonts w:hint="default" w:ascii="Times New Roman" w:hAnsi="Times New Roman" w:eastAsia="宋体" w:cs="Times New Roman"/>
          <w:color w:val="auto"/>
          <w:kern w:val="0"/>
          <w:sz w:val="24"/>
          <w:highlight w:val="none"/>
          <w:lang w:eastAsia="zh-CN"/>
        </w:rPr>
        <w:t>，</w:t>
      </w:r>
      <w:r>
        <w:rPr>
          <w:rFonts w:hint="default" w:ascii="Times New Roman" w:hAnsi="Times New Roman" w:eastAsia="宋体" w:cs="Times New Roman"/>
          <w:color w:val="auto"/>
          <w:kern w:val="0"/>
          <w:sz w:val="24"/>
          <w:highlight w:val="none"/>
        </w:rPr>
        <w:t>严格按照设计、土地复垦及水土保持方案等进行分阶段恢复植被等</w:t>
      </w:r>
      <w:r>
        <w:rPr>
          <w:rFonts w:hint="default" w:ascii="Times New Roman" w:hAnsi="Times New Roman" w:eastAsia="宋体" w:cs="Times New Roman"/>
          <w:color w:val="auto"/>
          <w:kern w:val="0"/>
          <w:sz w:val="24"/>
          <w:highlight w:val="none"/>
          <w:lang w:eastAsia="zh-CN"/>
        </w:rPr>
        <w:t>，</w:t>
      </w:r>
      <w:r>
        <w:rPr>
          <w:rFonts w:hint="default" w:ascii="Times New Roman" w:hAnsi="Times New Roman" w:eastAsia="宋体" w:cs="Times New Roman"/>
          <w:color w:val="auto"/>
          <w:kern w:val="0"/>
          <w:sz w:val="24"/>
          <w:highlight w:val="none"/>
        </w:rPr>
        <w:t>可减轻本项目占地区的水土流失</w:t>
      </w:r>
      <w:r>
        <w:rPr>
          <w:rFonts w:hint="default" w:ascii="Times New Roman" w:hAnsi="Times New Roman" w:eastAsia="宋体" w:cs="Times New Roman"/>
          <w:color w:val="auto"/>
          <w:kern w:val="0"/>
          <w:sz w:val="24"/>
          <w:highlight w:val="none"/>
          <w:lang w:eastAsia="zh-CN"/>
        </w:rPr>
        <w:t>，</w:t>
      </w:r>
      <w:r>
        <w:rPr>
          <w:rFonts w:hint="default" w:ascii="Times New Roman" w:hAnsi="Times New Roman" w:eastAsia="宋体" w:cs="Times New Roman"/>
          <w:color w:val="auto"/>
          <w:kern w:val="0"/>
          <w:sz w:val="24"/>
          <w:highlight w:val="none"/>
        </w:rPr>
        <w:t>改善本项目及周边的生态环境。随着本项目生态恢复建设</w:t>
      </w:r>
      <w:r>
        <w:rPr>
          <w:rFonts w:hint="default" w:ascii="Times New Roman" w:hAnsi="Times New Roman" w:eastAsia="宋体" w:cs="Times New Roman"/>
          <w:color w:val="auto"/>
          <w:kern w:val="0"/>
          <w:sz w:val="24"/>
          <w:highlight w:val="none"/>
          <w:lang w:eastAsia="zh-CN"/>
        </w:rPr>
        <w:t>，</w:t>
      </w:r>
      <w:r>
        <w:rPr>
          <w:rFonts w:hint="default" w:ascii="Times New Roman" w:hAnsi="Times New Roman" w:eastAsia="宋体" w:cs="Times New Roman"/>
          <w:color w:val="auto"/>
          <w:kern w:val="0"/>
          <w:sz w:val="24"/>
          <w:highlight w:val="none"/>
        </w:rPr>
        <w:t>植被退化演替趋势将发生逆转</w:t>
      </w:r>
      <w:r>
        <w:rPr>
          <w:rFonts w:hint="default" w:ascii="Times New Roman" w:hAnsi="Times New Roman" w:eastAsia="宋体" w:cs="Times New Roman"/>
          <w:color w:val="auto"/>
          <w:kern w:val="0"/>
          <w:sz w:val="24"/>
          <w:highlight w:val="none"/>
          <w:lang w:eastAsia="zh-CN"/>
        </w:rPr>
        <w:t>，</w:t>
      </w:r>
      <w:r>
        <w:rPr>
          <w:rFonts w:hint="default" w:ascii="Times New Roman" w:hAnsi="Times New Roman" w:eastAsia="宋体" w:cs="Times New Roman"/>
          <w:color w:val="auto"/>
          <w:kern w:val="0"/>
          <w:sz w:val="24"/>
          <w:highlight w:val="none"/>
        </w:rPr>
        <w:t>草地面积将大面积增加</w:t>
      </w:r>
      <w:r>
        <w:rPr>
          <w:rFonts w:hint="default" w:ascii="Times New Roman" w:hAnsi="Times New Roman" w:eastAsia="宋体" w:cs="Times New Roman"/>
          <w:color w:val="auto"/>
          <w:kern w:val="0"/>
          <w:sz w:val="24"/>
          <w:highlight w:val="none"/>
          <w:lang w:eastAsia="zh-CN"/>
        </w:rPr>
        <w:t>，</w:t>
      </w:r>
      <w:r>
        <w:rPr>
          <w:rFonts w:hint="default" w:ascii="Times New Roman" w:hAnsi="Times New Roman" w:eastAsia="宋体" w:cs="Times New Roman"/>
          <w:color w:val="auto"/>
          <w:kern w:val="0"/>
          <w:sz w:val="24"/>
          <w:highlight w:val="none"/>
        </w:rPr>
        <w:t>自然生态系统的恢复稳定性将进一步增强。</w:t>
      </w:r>
    </w:p>
    <w:p>
      <w:pPr>
        <w:pStyle w:val="4"/>
        <w:keepNext/>
        <w:keepLines/>
        <w:pageBreakBefore w:val="0"/>
        <w:widowControl w:val="0"/>
        <w:numPr>
          <w:ilvl w:val="1"/>
          <w:numId w:val="0"/>
        </w:numPr>
        <w:kinsoku/>
        <w:wordWrap/>
        <w:overflowPunct/>
        <w:topLinePunct w:val="0"/>
        <w:autoSpaceDE/>
        <w:autoSpaceDN/>
        <w:bidi w:val="0"/>
        <w:adjustRightInd/>
        <w:snapToGrid/>
        <w:ind w:left="0" w:leftChars="0" w:right="0" w:rightChars="0" w:firstLine="0" w:firstLineChars="0"/>
        <w:textAlignment w:val="auto"/>
        <w:rPr>
          <w:rFonts w:hint="default" w:ascii="Times New Roman" w:hAnsi="Times New Roman" w:eastAsia="宋体" w:cs="Times New Roman"/>
          <w:b/>
          <w:bCs w:val="0"/>
          <w:color w:val="auto"/>
          <w:sz w:val="28"/>
          <w:szCs w:val="28"/>
          <w:highlight w:val="none"/>
        </w:rPr>
      </w:pPr>
      <w:bookmarkStart w:id="1530" w:name="_Toc13804"/>
      <w:bookmarkStart w:id="1531" w:name="_Toc29278"/>
      <w:bookmarkStart w:id="1532" w:name="_Toc325536688"/>
      <w:r>
        <w:rPr>
          <w:rFonts w:hint="default" w:ascii="Times New Roman" w:hAnsi="Times New Roman" w:eastAsia="宋体" w:cs="Times New Roman"/>
          <w:b/>
          <w:bCs w:val="0"/>
          <w:i w:val="0"/>
          <w:color w:val="auto"/>
          <w:kern w:val="2"/>
          <w:sz w:val="28"/>
          <w:szCs w:val="28"/>
          <w:highlight w:val="none"/>
          <w:lang w:val="en-US" w:eastAsia="zh-CN" w:bidi="ar-SA"/>
        </w:rPr>
        <w:t>10.3</w:t>
      </w:r>
      <w:r>
        <w:rPr>
          <w:rFonts w:hint="default" w:ascii="Times New Roman" w:hAnsi="Times New Roman" w:eastAsia="宋体" w:cs="Times New Roman"/>
          <w:b/>
          <w:bCs w:val="0"/>
          <w:color w:val="auto"/>
          <w:sz w:val="28"/>
          <w:szCs w:val="28"/>
          <w:highlight w:val="none"/>
        </w:rPr>
        <w:t>社会效益影响分析</w:t>
      </w:r>
      <w:bookmarkEnd w:id="1530"/>
      <w:bookmarkEnd w:id="1531"/>
      <w:bookmarkEnd w:id="1532"/>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本项目建成投产后</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能够增加地方税收</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推动乌拉特前旗的经济发展</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同时可为地方解决一部分农区剩余劳动力</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提高农民收入</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项目投产还可带动地方相关产业的发展</w:t>
      </w:r>
      <w:r>
        <w:rPr>
          <w:rFonts w:hint="default" w:ascii="Times New Roman" w:hAnsi="Times New Roman" w:eastAsia="宋体" w:cs="Times New Roman"/>
          <w:color w:val="auto"/>
          <w:sz w:val="24"/>
          <w:highlight w:val="none"/>
          <w:lang w:eastAsia="zh-CN"/>
        </w:rPr>
        <w:t>。</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lang w:eastAsia="zh-CN"/>
        </w:rPr>
      </w:pP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lang w:eastAsia="zh-CN"/>
        </w:rPr>
      </w:pP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lang w:eastAsia="zh-CN"/>
        </w:rPr>
      </w:pP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lang w:eastAsia="zh-CN"/>
        </w:rPr>
      </w:pP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lang w:eastAsia="zh-CN"/>
        </w:rPr>
        <w:sectPr>
          <w:footerReference r:id="rId17" w:type="default"/>
          <w:footerReference r:id="rId18" w:type="even"/>
          <w:type w:val="oddPage"/>
          <w:pgSz w:w="11906" w:h="16838"/>
          <w:pgMar w:top="1440" w:right="1800" w:bottom="1440" w:left="1800" w:header="851" w:footer="1020" w:gutter="0"/>
          <w:pgNumType w:fmt="decimal"/>
          <w:cols w:space="720" w:num="1"/>
          <w:docGrid w:linePitch="312" w:charSpace="0"/>
        </w:sectPr>
      </w:pPr>
    </w:p>
    <w:p>
      <w:pPr>
        <w:pStyle w:val="3"/>
        <w:keepNext/>
        <w:keepLines/>
        <w:pageBreakBefore w:val="0"/>
        <w:widowControl w:val="0"/>
        <w:numPr>
          <w:ilvl w:val="0"/>
          <w:numId w:val="0"/>
        </w:numPr>
        <w:kinsoku/>
        <w:wordWrap/>
        <w:overflowPunct/>
        <w:topLinePunct w:val="0"/>
        <w:autoSpaceDE/>
        <w:autoSpaceDN/>
        <w:bidi w:val="0"/>
        <w:adjustRightInd/>
        <w:snapToGrid/>
        <w:ind w:left="0" w:leftChars="0" w:right="0" w:rightChars="0" w:firstLine="0" w:firstLineChars="0"/>
        <w:textAlignment w:val="auto"/>
        <w:outlineLvl w:val="2"/>
        <w:rPr>
          <w:rFonts w:hint="default" w:ascii="Times New Roman" w:hAnsi="Times New Roman" w:eastAsia="宋体" w:cs="Times New Roman"/>
          <w:b/>
          <w:bCs/>
          <w:color w:val="auto"/>
          <w:sz w:val="32"/>
          <w:szCs w:val="32"/>
          <w:highlight w:val="none"/>
        </w:rPr>
      </w:pPr>
      <w:bookmarkStart w:id="1533" w:name="_Toc288306273"/>
      <w:bookmarkStart w:id="1534" w:name="_Toc260567991"/>
      <w:bookmarkStart w:id="1535" w:name="_Toc194733354"/>
      <w:bookmarkStart w:id="1536" w:name="_Toc13224"/>
      <w:bookmarkStart w:id="1537" w:name="_Toc9318"/>
      <w:r>
        <w:rPr>
          <w:rFonts w:hint="default" w:ascii="Times New Roman" w:hAnsi="Times New Roman" w:eastAsia="宋体" w:cs="Times New Roman"/>
          <w:b/>
          <w:bCs/>
          <w:i w:val="0"/>
          <w:color w:val="auto"/>
          <w:kern w:val="44"/>
          <w:sz w:val="32"/>
          <w:szCs w:val="32"/>
          <w:highlight w:val="none"/>
          <w:lang w:val="en-US" w:eastAsia="zh-CN" w:bidi="ar-SA"/>
        </w:rPr>
        <w:t>11</w:t>
      </w:r>
      <w:r>
        <w:rPr>
          <w:rFonts w:hint="default" w:ascii="Times New Roman" w:hAnsi="Times New Roman" w:eastAsia="宋体" w:cs="Times New Roman"/>
          <w:b/>
          <w:bCs/>
          <w:color w:val="auto"/>
          <w:sz w:val="32"/>
          <w:szCs w:val="32"/>
          <w:highlight w:val="none"/>
        </w:rPr>
        <w:t>环境管理</w:t>
      </w:r>
      <w:bookmarkEnd w:id="1533"/>
      <w:bookmarkEnd w:id="1534"/>
      <w:bookmarkEnd w:id="1535"/>
      <w:r>
        <w:rPr>
          <w:rFonts w:hint="default" w:ascii="Times New Roman" w:hAnsi="Times New Roman" w:eastAsia="宋体" w:cs="Times New Roman"/>
          <w:b/>
          <w:bCs/>
          <w:color w:val="auto"/>
          <w:sz w:val="32"/>
          <w:szCs w:val="32"/>
          <w:highlight w:val="none"/>
        </w:rPr>
        <w:t>与监测计划</w:t>
      </w:r>
      <w:bookmarkEnd w:id="1536"/>
      <w:bookmarkEnd w:id="1537"/>
    </w:p>
    <w:p>
      <w:pPr>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环境管理以保护环境为目标</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清洁生产为手段</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发展生产与提高经济效益为目的</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是环境保护的重要组成部分。通过严格的环境管理可以有效地预防和控制生态破坏和环境污染</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保护生产有序地进行</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保障人们生活健康和社会经济可持续发展。环境管理已逐渐形成一项制度</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任何一个可能造成较大环境影响的建设项目或一个可能造成较大环境影响的单位</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都应设置一个环境管理机构</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建立一套有效的环境管理办法</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负责实施该项目或该单位的环境管理和监督。</w:t>
      </w:r>
    </w:p>
    <w:p>
      <w:pPr>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环境监测是工业污染源监督管理的重要组成部分</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是国家和行业了解并掌握排污状况和排污趋势的主要手段。监测数据是执行环境保护法规、标准</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进行环境管理和污染防治的依据。</w:t>
      </w:r>
    </w:p>
    <w:p>
      <w:pPr>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因此</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建立并健全企业环保机构</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将环保工作纳入生产管理轨道</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通过环境监测手段来了解企业环保设施运行状况</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以及污染物排放的变化趋势</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为生产管理提供科学依据</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将对减少污染物排放</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降低突发性事故的</w:t>
      </w:r>
      <w:r>
        <w:rPr>
          <w:rFonts w:hint="default" w:ascii="Times New Roman" w:hAnsi="Times New Roman" w:eastAsia="宋体" w:cs="Times New Roman"/>
          <w:color w:val="auto"/>
          <w:sz w:val="24"/>
          <w:szCs w:val="24"/>
          <w:highlight w:val="none"/>
          <w:lang w:eastAsia="zh-CN"/>
        </w:rPr>
        <w:t>发生概率，</w:t>
      </w:r>
      <w:r>
        <w:rPr>
          <w:rFonts w:hint="default" w:ascii="Times New Roman" w:hAnsi="Times New Roman" w:eastAsia="宋体" w:cs="Times New Roman"/>
          <w:color w:val="auto"/>
          <w:sz w:val="24"/>
          <w:szCs w:val="24"/>
          <w:highlight w:val="none"/>
        </w:rPr>
        <w:t>提高企业的经济效益和环境效益具有重要意义。为此</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建议本项目在建设实施过程中</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应建立健全环境管理机构</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并制定环境监测计划</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以强化企业内部的环境保护工作。</w:t>
      </w:r>
    </w:p>
    <w:p>
      <w:pPr>
        <w:pStyle w:val="4"/>
        <w:keepNext/>
        <w:keepLines/>
        <w:pageBreakBefore w:val="0"/>
        <w:widowControl w:val="0"/>
        <w:numPr>
          <w:ilvl w:val="1"/>
          <w:numId w:val="0"/>
        </w:numPr>
        <w:kinsoku/>
        <w:wordWrap/>
        <w:overflowPunct/>
        <w:topLinePunct w:val="0"/>
        <w:autoSpaceDE/>
        <w:autoSpaceDN/>
        <w:bidi w:val="0"/>
        <w:adjustRightInd/>
        <w:snapToGrid/>
        <w:ind w:left="0" w:leftChars="0" w:right="0" w:rightChars="0" w:firstLine="0" w:firstLineChars="0"/>
        <w:textAlignment w:val="auto"/>
        <w:rPr>
          <w:rFonts w:hint="default" w:ascii="Times New Roman" w:hAnsi="Times New Roman" w:eastAsia="宋体" w:cs="Times New Roman"/>
          <w:b/>
          <w:bCs w:val="0"/>
          <w:color w:val="auto"/>
          <w:sz w:val="28"/>
          <w:szCs w:val="28"/>
          <w:highlight w:val="none"/>
        </w:rPr>
      </w:pPr>
      <w:bookmarkStart w:id="1538" w:name="_Toc15447"/>
      <w:bookmarkStart w:id="1539" w:name="_Toc15836"/>
      <w:r>
        <w:rPr>
          <w:rFonts w:hint="default" w:ascii="Times New Roman" w:hAnsi="Times New Roman" w:eastAsia="宋体" w:cs="Times New Roman"/>
          <w:b/>
          <w:bCs w:val="0"/>
          <w:i w:val="0"/>
          <w:color w:val="auto"/>
          <w:kern w:val="2"/>
          <w:sz w:val="28"/>
          <w:szCs w:val="28"/>
          <w:highlight w:val="none"/>
          <w:lang w:val="en-US" w:eastAsia="zh-CN" w:bidi="ar-SA"/>
        </w:rPr>
        <w:t>11.1</w:t>
      </w:r>
      <w:r>
        <w:rPr>
          <w:rFonts w:hint="default" w:ascii="Times New Roman" w:hAnsi="Times New Roman" w:eastAsia="宋体" w:cs="Times New Roman"/>
          <w:b/>
          <w:bCs w:val="0"/>
          <w:color w:val="auto"/>
          <w:sz w:val="28"/>
          <w:szCs w:val="28"/>
          <w:highlight w:val="none"/>
        </w:rPr>
        <w:t>环境管理计划</w:t>
      </w:r>
      <w:bookmarkEnd w:id="1538"/>
      <w:bookmarkEnd w:id="1539"/>
    </w:p>
    <w:p>
      <w:pPr>
        <w:pStyle w:val="5"/>
        <w:keepNext/>
        <w:keepLines/>
        <w:pageBreakBefore w:val="0"/>
        <w:widowControl w:val="0"/>
        <w:numPr>
          <w:ilvl w:val="2"/>
          <w:numId w:val="0"/>
        </w:numPr>
        <w:kinsoku/>
        <w:wordWrap/>
        <w:overflowPunct/>
        <w:topLinePunct w:val="0"/>
        <w:autoSpaceDE/>
        <w:autoSpaceDN/>
        <w:bidi w:val="0"/>
        <w:adjustRightInd/>
        <w:snapToGrid/>
        <w:ind w:left="0" w:leftChars="0" w:right="0" w:rightChars="0" w:firstLine="0" w:firstLineChars="0"/>
        <w:textAlignment w:val="auto"/>
        <w:rPr>
          <w:rFonts w:hint="default" w:ascii="Times New Roman" w:hAnsi="Times New Roman" w:eastAsia="宋体" w:cs="Times New Roman"/>
          <w:b/>
          <w:bCs w:val="0"/>
          <w:color w:val="auto"/>
          <w:sz w:val="24"/>
          <w:szCs w:val="24"/>
          <w:highlight w:val="none"/>
        </w:rPr>
      </w:pPr>
      <w:bookmarkStart w:id="1540" w:name="_Toc22264"/>
      <w:bookmarkStart w:id="1541" w:name="_Toc24557"/>
      <w:bookmarkStart w:id="1542" w:name="_Toc24731"/>
      <w:r>
        <w:rPr>
          <w:rFonts w:hint="default" w:ascii="Times New Roman" w:hAnsi="Times New Roman" w:eastAsia="宋体" w:cs="Times New Roman"/>
          <w:b/>
          <w:bCs w:val="0"/>
          <w:i w:val="0"/>
          <w:iCs w:val="0"/>
          <w:caps w:val="0"/>
          <w:smallCaps w:val="0"/>
          <w:strike w:val="0"/>
          <w:dstrike w:val="0"/>
          <w:vanish w:val="0"/>
          <w:color w:val="auto"/>
          <w:spacing w:val="0"/>
          <w:kern w:val="2"/>
          <w:position w:val="0"/>
          <w:sz w:val="24"/>
          <w:szCs w:val="24"/>
          <w:highlight w:val="none"/>
          <w:u w:val="none"/>
          <w:vertAlign w:val="baseline"/>
          <w:lang w:val="en-US" w:eastAsia="zh-CN" w:bidi="ar-SA"/>
          <w14:shadow w14:blurRad="0" w14:dist="0" w14:dir="0" w14:sx="0" w14:sy="0" w14:kx="0" w14:ky="0" w14:algn="none">
            <w14:srgbClr w14:val="000000"/>
          </w14:shadow>
        </w:rPr>
        <w:t>11.1.1</w:t>
      </w:r>
      <w:r>
        <w:rPr>
          <w:rFonts w:hint="default" w:ascii="Times New Roman" w:hAnsi="Times New Roman" w:eastAsia="宋体" w:cs="Times New Roman"/>
          <w:b/>
          <w:bCs w:val="0"/>
          <w:color w:val="auto"/>
          <w:sz w:val="24"/>
          <w:szCs w:val="24"/>
          <w:highlight w:val="none"/>
        </w:rPr>
        <w:t>运</w:t>
      </w:r>
      <w:r>
        <w:rPr>
          <w:rFonts w:hint="default" w:ascii="Times New Roman" w:hAnsi="Times New Roman" w:eastAsia="宋体" w:cs="Times New Roman"/>
          <w:b/>
          <w:bCs w:val="0"/>
          <w:color w:val="auto"/>
          <w:sz w:val="24"/>
          <w:szCs w:val="24"/>
          <w:highlight w:val="none"/>
          <w:lang w:eastAsia="zh-CN"/>
        </w:rPr>
        <w:t>营</w:t>
      </w:r>
      <w:r>
        <w:rPr>
          <w:rFonts w:hint="default" w:ascii="Times New Roman" w:hAnsi="Times New Roman" w:eastAsia="宋体" w:cs="Times New Roman"/>
          <w:b/>
          <w:bCs w:val="0"/>
          <w:color w:val="auto"/>
          <w:sz w:val="24"/>
          <w:szCs w:val="24"/>
          <w:highlight w:val="none"/>
        </w:rPr>
        <w:t>期环境管理计划</w:t>
      </w:r>
      <w:bookmarkEnd w:id="1540"/>
      <w:bookmarkEnd w:id="1541"/>
      <w:bookmarkEnd w:id="1542"/>
    </w:p>
    <w:p>
      <w:pPr>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制定生产安全与监控运行体系、标准操作程序、安全操作规程和岗位责任制等有关的规章制度</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实施有效的目标责任管理</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把污染物排放和污染事故等作为考核指标</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落实到个人岗位</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纳入奖惩制度。</w:t>
      </w:r>
    </w:p>
    <w:p>
      <w:pPr>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（2</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严格按照操作规程对污染治理设备设施进行操作</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定期检查、检修设施运行情况</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确保治理设施常年正常运行。定期组织员工对事故预案进行预练</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提高员工应急处理事故能力</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努力将环境风险降到最低。</w:t>
      </w:r>
    </w:p>
    <w:p>
      <w:pPr>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（3</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及时组织进行污染治理及污染事故处理</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确保正常生产和污染物长期稳定达标排放；对各种可能发生的污染事故</w:t>
      </w:r>
      <w:r>
        <w:rPr>
          <w:rFonts w:hint="default" w:ascii="Times New Roman" w:hAnsi="Times New Roman" w:eastAsia="宋体" w:cs="Times New Roman"/>
          <w:color w:val="auto"/>
          <w:sz w:val="24"/>
          <w:szCs w:val="24"/>
          <w:highlight w:val="none"/>
          <w:lang w:eastAsia="zh-CN"/>
        </w:rPr>
        <w:t>，制定</w:t>
      </w:r>
      <w:r>
        <w:rPr>
          <w:rFonts w:hint="default" w:ascii="Times New Roman" w:hAnsi="Times New Roman" w:eastAsia="宋体" w:cs="Times New Roman"/>
          <w:color w:val="auto"/>
          <w:sz w:val="24"/>
          <w:szCs w:val="24"/>
          <w:highlight w:val="none"/>
        </w:rPr>
        <w:t>各种应急措施</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并储备各种应急措施所需物资</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如抽水泵等。</w:t>
      </w:r>
    </w:p>
    <w:p>
      <w:pPr>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（4</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制定处理设施的运行和区域空气环境、水环境、噪声环境的监测计划</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并负责组织实施</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建立相关档案和环保</w:t>
      </w:r>
      <w:r>
        <w:rPr>
          <w:rFonts w:hint="default" w:ascii="Times New Roman" w:hAnsi="Times New Roman" w:eastAsia="宋体" w:cs="Times New Roman"/>
          <w:color w:val="auto"/>
          <w:sz w:val="24"/>
          <w:szCs w:val="24"/>
          <w:highlight w:val="none"/>
          <w:lang w:eastAsia="zh-CN"/>
        </w:rPr>
        <w:t>管理台账，</w:t>
      </w:r>
      <w:r>
        <w:rPr>
          <w:rFonts w:hint="default" w:ascii="Times New Roman" w:hAnsi="Times New Roman" w:eastAsia="宋体" w:cs="Times New Roman"/>
          <w:color w:val="auto"/>
          <w:sz w:val="24"/>
          <w:szCs w:val="24"/>
          <w:highlight w:val="none"/>
        </w:rPr>
        <w:t>定期报地方环保主管部门备案、审核。</w:t>
      </w:r>
    </w:p>
    <w:p>
      <w:pPr>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（5</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组织有关人员进行污染源日常监测和环境管理</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建立监测数据档案</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定期编制环保简报</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使上级领导、上级部门及时掌握本企业的污染治理动态</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加强环境管理。</w:t>
      </w:r>
    </w:p>
    <w:p>
      <w:pPr>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（6</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加强处理设施的运</w:t>
      </w:r>
      <w:r>
        <w:rPr>
          <w:rFonts w:hint="default" w:ascii="Times New Roman" w:hAnsi="Times New Roman" w:eastAsia="宋体" w:cs="Times New Roman"/>
          <w:color w:val="auto"/>
          <w:sz w:val="24"/>
          <w:szCs w:val="24"/>
          <w:highlight w:val="none"/>
          <w:lang w:eastAsia="zh-CN"/>
        </w:rPr>
        <w:t>营</w:t>
      </w:r>
      <w:r>
        <w:rPr>
          <w:rFonts w:hint="default" w:ascii="Times New Roman" w:hAnsi="Times New Roman" w:eastAsia="宋体" w:cs="Times New Roman"/>
          <w:color w:val="auto"/>
          <w:sz w:val="24"/>
          <w:szCs w:val="24"/>
          <w:highlight w:val="none"/>
        </w:rPr>
        <w:t>管理</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对处理设施实行巡查制度</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发现问题</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及时解决</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使处理设施处于良好的工作状态。</w:t>
      </w:r>
    </w:p>
    <w:p>
      <w:pPr>
        <w:pStyle w:val="5"/>
        <w:pageBreakBefore w:val="0"/>
        <w:widowControl w:val="0"/>
        <w:numPr>
          <w:ilvl w:val="2"/>
          <w:numId w:val="0"/>
        </w:numPr>
        <w:kinsoku/>
        <w:wordWrap/>
        <w:overflowPunct/>
        <w:topLinePunct w:val="0"/>
        <w:autoSpaceDE/>
        <w:autoSpaceDN/>
        <w:bidi w:val="0"/>
        <w:ind w:left="0" w:leftChars="0" w:right="0" w:rightChars="0"/>
        <w:textAlignment w:val="auto"/>
        <w:rPr>
          <w:rFonts w:hint="default" w:ascii="Times New Roman" w:hAnsi="Times New Roman" w:eastAsia="宋体" w:cs="Times New Roman"/>
          <w:b/>
          <w:bCs/>
          <w:color w:val="auto"/>
          <w:sz w:val="24"/>
          <w:szCs w:val="24"/>
          <w:highlight w:val="none"/>
        </w:rPr>
      </w:pPr>
      <w:bookmarkStart w:id="1543" w:name="_Toc3318"/>
      <w:bookmarkStart w:id="1544" w:name="_Toc4379"/>
      <w:bookmarkStart w:id="1545" w:name="_Toc24233"/>
      <w:r>
        <w:rPr>
          <w:rFonts w:hint="default" w:ascii="Times New Roman" w:hAnsi="Times New Roman" w:eastAsia="宋体" w:cs="Times New Roman"/>
          <w:b/>
          <w:bCs/>
          <w:i w:val="0"/>
          <w:iCs w:val="0"/>
          <w:caps w:val="0"/>
          <w:smallCaps w:val="0"/>
          <w:strike w:val="0"/>
          <w:dstrike w:val="0"/>
          <w:vanish w:val="0"/>
          <w:color w:val="auto"/>
          <w:spacing w:val="0"/>
          <w:kern w:val="2"/>
          <w:position w:val="0"/>
          <w:sz w:val="24"/>
          <w:szCs w:val="24"/>
          <w:highlight w:val="none"/>
          <w:u w:val="none"/>
          <w:vertAlign w:val="baseline"/>
          <w:lang w:val="en-US" w:eastAsia="zh-CN" w:bidi="ar-SA"/>
          <w14:shadow w14:blurRad="0" w14:dist="0" w14:dir="0" w14:sx="0" w14:sy="0" w14:kx="0" w14:ky="0" w14:algn="none">
            <w14:srgbClr w14:val="000000"/>
          </w14:shadow>
        </w:rPr>
        <w:t>11.1.2</w:t>
      </w:r>
      <w:r>
        <w:rPr>
          <w:rFonts w:hint="default" w:ascii="Times New Roman" w:hAnsi="Times New Roman" w:eastAsia="宋体" w:cs="Times New Roman"/>
          <w:b/>
          <w:bCs/>
          <w:color w:val="auto"/>
          <w:sz w:val="24"/>
          <w:szCs w:val="24"/>
          <w:highlight w:val="none"/>
        </w:rPr>
        <w:t>退役期环境管理计划</w:t>
      </w:r>
      <w:bookmarkEnd w:id="1543"/>
      <w:bookmarkEnd w:id="1544"/>
      <w:bookmarkEnd w:id="1545"/>
    </w:p>
    <w:p>
      <w:pPr>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定期考察工程和生物复垦效果和进度</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对复垦进程中的复垦面积、复垦率等动态数据</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及时进行收集、整理、存档。</w:t>
      </w:r>
    </w:p>
    <w:p>
      <w:pPr>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（2</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按评价要求做好水土保持工作</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防止发生水土流失。</w:t>
      </w:r>
    </w:p>
    <w:p>
      <w:pPr>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（3</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按规范要求</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对生活区和道路进行植被恢复。</w:t>
      </w:r>
    </w:p>
    <w:p>
      <w:pPr>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（4</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bCs/>
          <w:snapToGrid w:val="0"/>
          <w:color w:val="auto"/>
          <w:sz w:val="24"/>
          <w:szCs w:val="24"/>
          <w:highlight w:val="none"/>
        </w:rPr>
        <w:t>按有关技术和要求</w:t>
      </w:r>
      <w:r>
        <w:rPr>
          <w:rFonts w:hint="default" w:ascii="Times New Roman" w:hAnsi="Times New Roman" w:eastAsia="宋体" w:cs="Times New Roman"/>
          <w:bCs/>
          <w:snapToGrid w:val="0"/>
          <w:color w:val="auto"/>
          <w:sz w:val="24"/>
          <w:szCs w:val="24"/>
          <w:highlight w:val="none"/>
          <w:lang w:eastAsia="zh-CN"/>
        </w:rPr>
        <w:t>，</w:t>
      </w:r>
      <w:r>
        <w:rPr>
          <w:rFonts w:hint="default" w:ascii="Times New Roman" w:hAnsi="Times New Roman" w:eastAsia="宋体" w:cs="Times New Roman"/>
          <w:bCs/>
          <w:snapToGrid w:val="0"/>
          <w:color w:val="auto"/>
          <w:sz w:val="24"/>
          <w:szCs w:val="24"/>
          <w:highlight w:val="none"/>
        </w:rPr>
        <w:t>做好尾矿库的闭库设计、施工和管理维护工作</w:t>
      </w:r>
      <w:r>
        <w:rPr>
          <w:rFonts w:hint="default" w:ascii="Times New Roman" w:hAnsi="Times New Roman" w:eastAsia="宋体" w:cs="Times New Roman"/>
          <w:bCs/>
          <w:snapToGrid w:val="0"/>
          <w:color w:val="auto"/>
          <w:sz w:val="24"/>
          <w:szCs w:val="24"/>
          <w:highlight w:val="none"/>
          <w:lang w:eastAsia="zh-CN"/>
        </w:rPr>
        <w:t>，</w:t>
      </w:r>
      <w:r>
        <w:rPr>
          <w:rFonts w:hint="default" w:ascii="Times New Roman" w:hAnsi="Times New Roman" w:eastAsia="宋体" w:cs="Times New Roman"/>
          <w:bCs/>
          <w:snapToGrid w:val="0"/>
          <w:color w:val="auto"/>
          <w:sz w:val="24"/>
          <w:szCs w:val="24"/>
          <w:highlight w:val="none"/>
        </w:rPr>
        <w:t>确保尾矿库闭库后安全稳定。</w:t>
      </w:r>
    </w:p>
    <w:p>
      <w:pPr>
        <w:pStyle w:val="4"/>
        <w:pageBreakBefore w:val="0"/>
        <w:widowControl w:val="0"/>
        <w:numPr>
          <w:ilvl w:val="1"/>
          <w:numId w:val="0"/>
        </w:numPr>
        <w:kinsoku/>
        <w:wordWrap/>
        <w:overflowPunct/>
        <w:topLinePunct w:val="0"/>
        <w:autoSpaceDE/>
        <w:autoSpaceDN/>
        <w:bidi w:val="0"/>
        <w:ind w:left="0" w:leftChars="0" w:right="0" w:rightChars="0"/>
        <w:textAlignment w:val="auto"/>
        <w:rPr>
          <w:rFonts w:hint="default" w:ascii="Times New Roman" w:hAnsi="Times New Roman" w:eastAsia="宋体" w:cs="Times New Roman"/>
          <w:b/>
          <w:bCs w:val="0"/>
          <w:color w:val="auto"/>
          <w:sz w:val="28"/>
          <w:szCs w:val="28"/>
          <w:highlight w:val="none"/>
        </w:rPr>
      </w:pPr>
      <w:bookmarkStart w:id="1546" w:name="_Toc25635"/>
      <w:bookmarkStart w:id="1547" w:name="_Toc8183"/>
      <w:r>
        <w:rPr>
          <w:rFonts w:hint="default" w:ascii="Times New Roman" w:hAnsi="Times New Roman" w:eastAsia="宋体" w:cs="Times New Roman"/>
          <w:b/>
          <w:bCs w:val="0"/>
          <w:i w:val="0"/>
          <w:color w:val="auto"/>
          <w:kern w:val="2"/>
          <w:sz w:val="28"/>
          <w:szCs w:val="28"/>
          <w:highlight w:val="none"/>
          <w:lang w:val="en-US" w:eastAsia="zh-CN" w:bidi="ar-SA"/>
        </w:rPr>
        <w:t>11.2</w:t>
      </w:r>
      <w:r>
        <w:rPr>
          <w:rFonts w:hint="default" w:ascii="Times New Roman" w:hAnsi="Times New Roman" w:eastAsia="宋体" w:cs="Times New Roman"/>
          <w:b/>
          <w:bCs w:val="0"/>
          <w:color w:val="auto"/>
          <w:sz w:val="28"/>
          <w:szCs w:val="28"/>
          <w:highlight w:val="none"/>
        </w:rPr>
        <w:t>环境管理制度</w:t>
      </w:r>
      <w:bookmarkEnd w:id="1546"/>
      <w:bookmarkEnd w:id="1547"/>
    </w:p>
    <w:p>
      <w:pPr>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本项目为</w:t>
      </w:r>
      <w:r>
        <w:rPr>
          <w:rFonts w:hint="default" w:ascii="Times New Roman" w:hAnsi="Times New Roman" w:eastAsia="宋体" w:cs="Times New Roman"/>
          <w:color w:val="auto"/>
          <w:sz w:val="24"/>
          <w:szCs w:val="24"/>
          <w:highlight w:val="none"/>
          <w:lang w:eastAsia="zh-CN"/>
        </w:rPr>
        <w:t>尾矿库加高扩容</w:t>
      </w:r>
      <w:r>
        <w:rPr>
          <w:rFonts w:hint="default" w:ascii="Times New Roman" w:hAnsi="Times New Roman" w:eastAsia="宋体" w:cs="Times New Roman"/>
          <w:color w:val="auto"/>
          <w:sz w:val="24"/>
          <w:szCs w:val="24"/>
          <w:highlight w:val="none"/>
        </w:rPr>
        <w:t>项目</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影响环境的因素主要为废水和扬尘</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其中正常情况下</w:t>
      </w:r>
      <w:r>
        <w:rPr>
          <w:rFonts w:hint="default" w:ascii="Times New Roman" w:hAnsi="Times New Roman" w:eastAsia="宋体" w:cs="Times New Roman"/>
          <w:color w:val="auto"/>
          <w:sz w:val="24"/>
          <w:szCs w:val="24"/>
          <w:highlight w:val="none"/>
          <w:lang w:eastAsia="zh-CN"/>
        </w:rPr>
        <w:t>废水零排放，</w:t>
      </w:r>
      <w:r>
        <w:rPr>
          <w:rFonts w:hint="default" w:ascii="Times New Roman" w:hAnsi="Times New Roman" w:eastAsia="宋体" w:cs="Times New Roman"/>
          <w:color w:val="auto"/>
          <w:sz w:val="24"/>
          <w:szCs w:val="24"/>
          <w:highlight w:val="none"/>
        </w:rPr>
        <w:t>放矿期间也无扬尘排放。本</w:t>
      </w:r>
      <w:r>
        <w:rPr>
          <w:rFonts w:hint="default" w:ascii="Times New Roman" w:hAnsi="Times New Roman" w:eastAsia="宋体" w:cs="Times New Roman"/>
          <w:color w:val="auto"/>
          <w:sz w:val="24"/>
          <w:szCs w:val="24"/>
          <w:highlight w:val="none"/>
          <w:lang w:val="en-US" w:eastAsia="zh-CN"/>
        </w:rPr>
        <w:t>项目</w:t>
      </w:r>
      <w:r>
        <w:rPr>
          <w:rFonts w:hint="default" w:ascii="Times New Roman" w:hAnsi="Times New Roman" w:eastAsia="宋体" w:cs="Times New Roman"/>
          <w:color w:val="auto"/>
          <w:sz w:val="24"/>
          <w:szCs w:val="24"/>
          <w:highlight w:val="none"/>
        </w:rPr>
        <w:t>应设立健全的环境管理和环境监测机构</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为保证本项目各项环保设施正常有效运行</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并做好库区环境管理工作</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需设立环境管理机构负责整个项目的环境管理工作。该工程的环境管理方案见表11-1。</w:t>
      </w:r>
    </w:p>
    <w:p>
      <w:pPr>
        <w:pageBreakBefore w:val="0"/>
        <w:widowControl w:val="0"/>
        <w:tabs>
          <w:tab w:val="left" w:pos="3062"/>
        </w:tabs>
        <w:kinsoku/>
        <w:wordWrap/>
        <w:overflowPunct/>
        <w:topLinePunct w:val="0"/>
        <w:autoSpaceDE/>
        <w:autoSpaceDN/>
        <w:bidi w:val="0"/>
        <w:spacing w:line="360" w:lineRule="auto"/>
        <w:ind w:left="0" w:leftChars="0" w:right="0" w:rightChars="0"/>
        <w:jc w:val="center"/>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表11-1本项目的环境管理方案</w:t>
      </w:r>
    </w:p>
    <w:tbl>
      <w:tblPr>
        <w:tblStyle w:val="54"/>
        <w:tblW w:w="8504" w:type="dxa"/>
        <w:tblInd w:w="0" w:type="dxa"/>
        <w:tblBorders>
          <w:top w:val="single" w:color="000000"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77"/>
        <w:gridCol w:w="4467"/>
        <w:gridCol w:w="1157"/>
        <w:gridCol w:w="1303"/>
      </w:tblGrid>
      <w:tr>
        <w:tblPrEx>
          <w:tblBorders>
            <w:top w:val="single" w:color="000000"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77" w:type="dxa"/>
            <w:tcBorders>
              <w:top w:val="single" w:color="auto" w:sz="4" w:space="0"/>
              <w:lef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主要环境问题</w:t>
            </w:r>
          </w:p>
        </w:tc>
        <w:tc>
          <w:tcPr>
            <w:tcW w:w="4467" w:type="dxa"/>
            <w:tcBorders>
              <w:top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防治措施</w:t>
            </w:r>
          </w:p>
        </w:tc>
        <w:tc>
          <w:tcPr>
            <w:tcW w:w="1157" w:type="dxa"/>
            <w:tcBorders>
              <w:top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经费</w:t>
            </w:r>
          </w:p>
        </w:tc>
        <w:tc>
          <w:tcPr>
            <w:tcW w:w="1303" w:type="dxa"/>
            <w:tcBorders>
              <w:top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实施时间</w:t>
            </w:r>
          </w:p>
        </w:tc>
      </w:tr>
      <w:tr>
        <w:tblPrEx>
          <w:tblBorders>
            <w:top w:val="single" w:color="000000"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77" w:type="dxa"/>
            <w:tcBorders>
              <w:lef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工艺设计</w:t>
            </w:r>
          </w:p>
        </w:tc>
        <w:tc>
          <w:tcPr>
            <w:tcW w:w="4467" w:type="dxa"/>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选用先进排尾工艺</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选择质量较高的设备。</w:t>
            </w:r>
          </w:p>
        </w:tc>
        <w:tc>
          <w:tcPr>
            <w:tcW w:w="1157" w:type="dxa"/>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基建资金</w:t>
            </w:r>
          </w:p>
        </w:tc>
        <w:tc>
          <w:tcPr>
            <w:tcW w:w="1303" w:type="dxa"/>
            <w:tcBorders>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设计阶段</w:t>
            </w:r>
          </w:p>
        </w:tc>
      </w:tr>
      <w:tr>
        <w:tblPrEx>
          <w:tblBorders>
            <w:top w:val="single" w:color="000000"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77" w:type="dxa"/>
            <w:tcBorders>
              <w:lef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总图设计</w:t>
            </w:r>
          </w:p>
        </w:tc>
        <w:tc>
          <w:tcPr>
            <w:tcW w:w="4467" w:type="dxa"/>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加强绿化工程。严格按设计、环评报告书要求进行绿化、种植</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使绿化率达到规范规定要求。</w:t>
            </w:r>
          </w:p>
        </w:tc>
        <w:tc>
          <w:tcPr>
            <w:tcW w:w="1157" w:type="dxa"/>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基建资金</w:t>
            </w:r>
          </w:p>
        </w:tc>
        <w:tc>
          <w:tcPr>
            <w:tcW w:w="1303" w:type="dxa"/>
            <w:tcBorders>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设计、施工阶段</w:t>
            </w:r>
          </w:p>
        </w:tc>
      </w:tr>
      <w:tr>
        <w:tblPrEx>
          <w:tblBorders>
            <w:top w:val="single" w:color="000000"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77" w:type="dxa"/>
            <w:vMerge w:val="restart"/>
            <w:tcBorders>
              <w:lef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废气排放</w:t>
            </w:r>
          </w:p>
        </w:tc>
        <w:tc>
          <w:tcPr>
            <w:tcW w:w="4467" w:type="dxa"/>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采取优化后的放矿工艺</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并加强生产过程中的管理</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减少扬尘污染。</w:t>
            </w:r>
          </w:p>
        </w:tc>
        <w:tc>
          <w:tcPr>
            <w:tcW w:w="1157" w:type="dxa"/>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基建资金</w:t>
            </w:r>
          </w:p>
        </w:tc>
        <w:tc>
          <w:tcPr>
            <w:tcW w:w="1303" w:type="dxa"/>
            <w:tcBorders>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设计</w:t>
            </w:r>
          </w:p>
        </w:tc>
      </w:tr>
      <w:tr>
        <w:tblPrEx>
          <w:tblBorders>
            <w:top w:val="single" w:color="000000"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77" w:type="dxa"/>
            <w:vMerge w:val="continue"/>
            <w:tcBorders>
              <w:lef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Cs w:val="21"/>
                <w:highlight w:val="none"/>
              </w:rPr>
            </w:pPr>
          </w:p>
        </w:tc>
        <w:tc>
          <w:tcPr>
            <w:tcW w:w="4467" w:type="dxa"/>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对操作人员定期培训</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岗位到人</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持证上岗</w:t>
            </w:r>
            <w:r>
              <w:rPr>
                <w:rFonts w:hint="default" w:ascii="Times New Roman" w:hAnsi="Times New Roman" w:eastAsia="宋体" w:cs="Times New Roman"/>
                <w:color w:val="auto"/>
                <w:szCs w:val="21"/>
                <w:highlight w:val="none"/>
                <w:lang w:eastAsia="zh-CN"/>
              </w:rPr>
              <w:t>，增强</w:t>
            </w:r>
            <w:r>
              <w:rPr>
                <w:rFonts w:hint="default" w:ascii="Times New Roman" w:hAnsi="Times New Roman" w:eastAsia="宋体" w:cs="Times New Roman"/>
                <w:color w:val="auto"/>
                <w:szCs w:val="21"/>
                <w:highlight w:val="none"/>
              </w:rPr>
              <w:t>操作人员素质及环保意识。</w:t>
            </w:r>
          </w:p>
        </w:tc>
        <w:tc>
          <w:tcPr>
            <w:tcW w:w="1157" w:type="dxa"/>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基建资金</w:t>
            </w:r>
          </w:p>
        </w:tc>
        <w:tc>
          <w:tcPr>
            <w:tcW w:w="1303" w:type="dxa"/>
            <w:tcBorders>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运行阶段</w:t>
            </w:r>
          </w:p>
        </w:tc>
      </w:tr>
      <w:tr>
        <w:tblPrEx>
          <w:tblBorders>
            <w:top w:val="single" w:color="000000"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77" w:type="dxa"/>
            <w:tcBorders>
              <w:lef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废水排放</w:t>
            </w:r>
          </w:p>
        </w:tc>
        <w:tc>
          <w:tcPr>
            <w:tcW w:w="4467" w:type="dxa"/>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正常工况全部回用于选矿厂生产</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不排放。</w:t>
            </w:r>
          </w:p>
        </w:tc>
        <w:tc>
          <w:tcPr>
            <w:tcW w:w="1157" w:type="dxa"/>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基建资金</w:t>
            </w:r>
          </w:p>
        </w:tc>
        <w:tc>
          <w:tcPr>
            <w:tcW w:w="1303" w:type="dxa"/>
            <w:tcBorders>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设计、施</w:t>
            </w:r>
          </w:p>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工、运行</w:t>
            </w:r>
          </w:p>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阶段</w:t>
            </w:r>
          </w:p>
        </w:tc>
      </w:tr>
      <w:tr>
        <w:tblPrEx>
          <w:tblBorders>
            <w:top w:val="single" w:color="000000"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77" w:type="dxa"/>
            <w:tcBorders>
              <w:lef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噪声控制</w:t>
            </w:r>
          </w:p>
        </w:tc>
        <w:tc>
          <w:tcPr>
            <w:tcW w:w="4467" w:type="dxa"/>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来往车辆控制噪声。</w:t>
            </w:r>
          </w:p>
        </w:tc>
        <w:tc>
          <w:tcPr>
            <w:tcW w:w="1157" w:type="dxa"/>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1303" w:type="dxa"/>
            <w:tcBorders>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设计阶段</w:t>
            </w:r>
          </w:p>
        </w:tc>
      </w:tr>
      <w:tr>
        <w:tblPrEx>
          <w:tblBorders>
            <w:top w:val="single" w:color="000000"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77" w:type="dxa"/>
            <w:vMerge w:val="restart"/>
            <w:tcBorders>
              <w:lef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固体废物排放</w:t>
            </w:r>
          </w:p>
        </w:tc>
        <w:tc>
          <w:tcPr>
            <w:tcW w:w="4467" w:type="dxa"/>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库内设垃圾桶</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定期运往指定垃圾场。</w:t>
            </w:r>
          </w:p>
        </w:tc>
        <w:tc>
          <w:tcPr>
            <w:tcW w:w="1157" w:type="dxa"/>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基建资金</w:t>
            </w:r>
          </w:p>
        </w:tc>
        <w:tc>
          <w:tcPr>
            <w:tcW w:w="1303" w:type="dxa"/>
            <w:tcBorders>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运行期</w:t>
            </w:r>
          </w:p>
        </w:tc>
      </w:tr>
      <w:tr>
        <w:tblPrEx>
          <w:tblBorders>
            <w:top w:val="single" w:color="000000"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77" w:type="dxa"/>
            <w:vMerge w:val="continue"/>
            <w:tcBorders>
              <w:left w:val="single" w:color="auto" w:sz="4" w:space="0"/>
              <w:bottom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Cs w:val="21"/>
                <w:highlight w:val="none"/>
              </w:rPr>
            </w:pPr>
          </w:p>
        </w:tc>
        <w:tc>
          <w:tcPr>
            <w:tcW w:w="4467" w:type="dxa"/>
            <w:tcBorders>
              <w:bottom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eastAsia="zh-CN"/>
              </w:rPr>
              <w:t>危废暂存间</w:t>
            </w:r>
          </w:p>
        </w:tc>
        <w:tc>
          <w:tcPr>
            <w:tcW w:w="1157" w:type="dxa"/>
            <w:tcBorders>
              <w:bottom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rPr>
              <w:t>基建资金</w:t>
            </w:r>
          </w:p>
        </w:tc>
        <w:tc>
          <w:tcPr>
            <w:tcW w:w="1303" w:type="dxa"/>
            <w:tcBorders>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rPr>
              <w:t>运行期</w:t>
            </w:r>
          </w:p>
        </w:tc>
      </w:tr>
    </w:tbl>
    <w:p>
      <w:pPr>
        <w:pStyle w:val="4"/>
        <w:keepNext/>
        <w:keepLines/>
        <w:pageBreakBefore w:val="0"/>
        <w:widowControl w:val="0"/>
        <w:numPr>
          <w:ilvl w:val="1"/>
          <w:numId w:val="0"/>
        </w:numPr>
        <w:kinsoku/>
        <w:wordWrap/>
        <w:overflowPunct/>
        <w:topLinePunct w:val="0"/>
        <w:autoSpaceDE/>
        <w:autoSpaceDN/>
        <w:bidi w:val="0"/>
        <w:adjustRightInd/>
        <w:snapToGrid/>
        <w:ind w:left="0" w:leftChars="0" w:right="0" w:rightChars="0" w:firstLine="0" w:firstLineChars="0"/>
        <w:textAlignment w:val="auto"/>
        <w:rPr>
          <w:rFonts w:hint="default" w:ascii="Times New Roman" w:hAnsi="Times New Roman" w:eastAsia="宋体" w:cs="Times New Roman"/>
          <w:b/>
          <w:bCs w:val="0"/>
          <w:color w:val="auto"/>
          <w:sz w:val="28"/>
          <w:szCs w:val="28"/>
          <w:highlight w:val="none"/>
        </w:rPr>
      </w:pPr>
      <w:bookmarkStart w:id="1548" w:name="_Toc4818"/>
      <w:bookmarkStart w:id="1549" w:name="_Toc7839"/>
      <w:r>
        <w:rPr>
          <w:rFonts w:hint="default" w:ascii="Times New Roman" w:hAnsi="Times New Roman" w:eastAsia="宋体" w:cs="Times New Roman"/>
          <w:b/>
          <w:bCs w:val="0"/>
          <w:i w:val="0"/>
          <w:color w:val="auto"/>
          <w:kern w:val="2"/>
          <w:sz w:val="28"/>
          <w:szCs w:val="28"/>
          <w:highlight w:val="none"/>
          <w:lang w:val="en-US" w:eastAsia="zh-CN" w:bidi="ar-SA"/>
        </w:rPr>
        <w:t>11.3</w:t>
      </w:r>
      <w:r>
        <w:rPr>
          <w:rFonts w:hint="default" w:ascii="Times New Roman" w:hAnsi="Times New Roman" w:eastAsia="宋体" w:cs="Times New Roman"/>
          <w:b/>
          <w:bCs w:val="0"/>
          <w:color w:val="auto"/>
          <w:sz w:val="28"/>
          <w:szCs w:val="28"/>
          <w:highlight w:val="none"/>
        </w:rPr>
        <w:t>污染物排放清单</w:t>
      </w:r>
      <w:bookmarkEnd w:id="1548"/>
      <w:bookmarkEnd w:id="1549"/>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eastAsia="zh-CN"/>
        </w:rPr>
        <w:t>运营</w:t>
      </w:r>
      <w:r>
        <w:rPr>
          <w:rFonts w:hint="default" w:ascii="Times New Roman" w:hAnsi="Times New Roman" w:eastAsia="宋体" w:cs="Times New Roman"/>
          <w:color w:val="auto"/>
          <w:sz w:val="24"/>
          <w:highlight w:val="none"/>
        </w:rPr>
        <w:t>期污染物排放清单见表11-2。</w:t>
      </w:r>
    </w:p>
    <w:p>
      <w:pPr>
        <w:pageBreakBefore w:val="0"/>
        <w:tabs>
          <w:tab w:val="left" w:pos="3062"/>
        </w:tabs>
        <w:wordWrap/>
        <w:bidi w:val="0"/>
        <w:spacing w:line="360" w:lineRule="auto"/>
        <w:ind w:left="0" w:leftChars="0" w:right="0" w:rightChars="0" w:firstLine="482" w:firstLineChars="200"/>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表11-2污染物排放清单</w:t>
      </w:r>
    </w:p>
    <w:tbl>
      <w:tblPr>
        <w:tblStyle w:val="54"/>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0" w:type="dxa"/>
          <w:bottom w:w="0" w:type="dxa"/>
          <w:right w:w="0" w:type="dxa"/>
        </w:tblCellMar>
      </w:tblPr>
      <w:tblGrid>
        <w:gridCol w:w="1784"/>
        <w:gridCol w:w="2317"/>
        <w:gridCol w:w="3172"/>
        <w:gridCol w:w="104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tblHeader/>
        </w:trPr>
        <w:tc>
          <w:tcPr>
            <w:tcW w:w="1073"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污染源</w:t>
            </w:r>
          </w:p>
        </w:tc>
        <w:tc>
          <w:tcPr>
            <w:tcW w:w="1393"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环保设施</w:t>
            </w:r>
          </w:p>
        </w:tc>
        <w:tc>
          <w:tcPr>
            <w:tcW w:w="1907"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排放的污染物</w:t>
            </w:r>
          </w:p>
        </w:tc>
        <w:tc>
          <w:tcPr>
            <w:tcW w:w="627"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总量指标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trPr>
        <w:tc>
          <w:tcPr>
            <w:tcW w:w="1073"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废气来源</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bCs/>
                <w:color w:val="auto"/>
                <w:sz w:val="21"/>
                <w:szCs w:val="21"/>
                <w:highlight w:val="none"/>
              </w:rPr>
              <w:t>尾矿库干滩面产生的扬尘</w:t>
            </w:r>
          </w:p>
        </w:tc>
        <w:tc>
          <w:tcPr>
            <w:tcW w:w="1393"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尾矿库干滩面扬尘</w:t>
            </w:r>
            <w:r>
              <w:rPr>
                <w:rFonts w:hint="default" w:ascii="Times New Roman" w:hAnsi="Times New Roman" w:eastAsia="宋体" w:cs="Times New Roman"/>
                <w:color w:val="auto"/>
                <w:kern w:val="0"/>
                <w:sz w:val="21"/>
                <w:szCs w:val="21"/>
                <w:highlight w:val="none"/>
                <w:lang w:eastAsia="zh-CN"/>
              </w:rPr>
              <w:t>：分散放矿</w:t>
            </w:r>
            <w:r>
              <w:rPr>
                <w:rFonts w:hint="default" w:ascii="Times New Roman" w:hAnsi="Times New Roman" w:eastAsia="宋体" w:cs="Times New Roman"/>
                <w:color w:val="auto"/>
                <w:kern w:val="0"/>
                <w:sz w:val="21"/>
                <w:szCs w:val="21"/>
                <w:highlight w:val="none"/>
              </w:rPr>
              <w:t>配合洒水</w:t>
            </w:r>
          </w:p>
        </w:tc>
        <w:tc>
          <w:tcPr>
            <w:tcW w:w="1907"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尾矿库干滩面扬尘</w:t>
            </w:r>
            <w:r>
              <w:rPr>
                <w:rFonts w:hint="default"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颗粒物排放量为</w:t>
            </w:r>
            <w:r>
              <w:rPr>
                <w:rFonts w:hint="default" w:ascii="Times New Roman" w:hAnsi="Times New Roman" w:eastAsia="宋体" w:cs="Times New Roman"/>
                <w:color w:val="auto"/>
                <w:kern w:val="0"/>
                <w:sz w:val="21"/>
                <w:szCs w:val="21"/>
                <w:highlight w:val="none"/>
                <w:lang w:eastAsia="zh-CN"/>
              </w:rPr>
              <w:t>0.867</w:t>
            </w:r>
            <w:r>
              <w:rPr>
                <w:rFonts w:hint="default" w:ascii="Times New Roman" w:hAnsi="Times New Roman" w:eastAsia="宋体" w:cs="Times New Roman"/>
                <w:color w:val="auto"/>
                <w:kern w:val="0"/>
                <w:sz w:val="21"/>
                <w:szCs w:val="21"/>
                <w:highlight w:val="none"/>
              </w:rPr>
              <w:t>t/a</w:t>
            </w:r>
          </w:p>
        </w:tc>
        <w:tc>
          <w:tcPr>
            <w:tcW w:w="627"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color w:val="auto"/>
                <w:sz w:val="21"/>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trPr>
        <w:tc>
          <w:tcPr>
            <w:tcW w:w="1073"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废水来源</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bCs/>
                <w:color w:val="auto"/>
                <w:sz w:val="21"/>
                <w:szCs w:val="21"/>
                <w:highlight w:val="none"/>
                <w:lang w:eastAsia="zh-CN"/>
              </w:rPr>
              <w:t>尾矿水</w:t>
            </w:r>
          </w:p>
        </w:tc>
        <w:tc>
          <w:tcPr>
            <w:tcW w:w="1393" w:type="pct"/>
            <w:tcBorders>
              <w:top w:val="single" w:color="auto" w:sz="4" w:space="0"/>
              <w:left w:val="single" w:color="auto" w:sz="4" w:space="0"/>
              <w:bottom w:val="single" w:color="auto" w:sz="4" w:space="0"/>
              <w:right w:val="single" w:color="auto" w:sz="4" w:space="0"/>
            </w:tcBorders>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尾矿水：</w:t>
            </w:r>
            <w:r>
              <w:rPr>
                <w:rFonts w:hint="default" w:ascii="Times New Roman" w:hAnsi="Times New Roman" w:eastAsia="宋体" w:cs="Times New Roman"/>
                <w:color w:val="auto"/>
                <w:sz w:val="21"/>
                <w:szCs w:val="21"/>
                <w:highlight w:val="none"/>
              </w:rPr>
              <w:t>公司</w:t>
            </w:r>
            <w:r>
              <w:rPr>
                <w:rFonts w:hint="default" w:ascii="Times New Roman" w:hAnsi="Times New Roman" w:eastAsia="宋体" w:cs="Times New Roman"/>
                <w:bCs/>
                <w:color w:val="auto"/>
                <w:sz w:val="21"/>
                <w:szCs w:val="21"/>
                <w:highlight w:val="none"/>
              </w:rPr>
              <w:t>选矿厂重复利用</w:t>
            </w:r>
          </w:p>
        </w:tc>
        <w:tc>
          <w:tcPr>
            <w:tcW w:w="1907"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不外排</w:t>
            </w:r>
          </w:p>
        </w:tc>
        <w:tc>
          <w:tcPr>
            <w:tcW w:w="627" w:type="pct"/>
            <w:tcBorders>
              <w:top w:val="single" w:color="auto" w:sz="4" w:space="0"/>
              <w:left w:val="single" w:color="auto" w:sz="4" w:space="0"/>
              <w:bottom w:val="single" w:color="auto" w:sz="4" w:space="0"/>
              <w:right w:val="single" w:color="auto" w:sz="4" w:space="0"/>
            </w:tcBorders>
            <w:vAlign w:val="center"/>
          </w:tcPr>
          <w:p>
            <w:pPr>
              <w:pStyle w:val="53"/>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trPr>
        <w:tc>
          <w:tcPr>
            <w:tcW w:w="1073"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rPr>
              <w:t>噪声来源</w:t>
            </w:r>
            <w:r>
              <w:rPr>
                <w:rFonts w:hint="default" w:ascii="Times New Roman" w:hAnsi="Times New Roman" w:eastAsia="宋体" w:cs="Times New Roman"/>
                <w:bCs/>
                <w:color w:val="auto"/>
                <w:sz w:val="21"/>
                <w:szCs w:val="21"/>
                <w:highlight w:val="none"/>
                <w:lang w:eastAsia="zh-CN"/>
              </w:rPr>
              <w:t>：</w:t>
            </w:r>
            <w:r>
              <w:rPr>
                <w:rFonts w:hint="default" w:ascii="Times New Roman" w:hAnsi="Times New Roman" w:eastAsia="宋体" w:cs="Times New Roman"/>
                <w:bCs/>
                <w:color w:val="auto"/>
                <w:sz w:val="21"/>
                <w:szCs w:val="21"/>
                <w:highlight w:val="none"/>
              </w:rPr>
              <w:t>设备运行时产生的噪声</w:t>
            </w:r>
          </w:p>
        </w:tc>
        <w:tc>
          <w:tcPr>
            <w:tcW w:w="1393"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选用低噪声设备、安装减震基础</w:t>
            </w:r>
          </w:p>
        </w:tc>
        <w:tc>
          <w:tcPr>
            <w:tcW w:w="1907"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w:t>
            </w:r>
          </w:p>
        </w:tc>
        <w:tc>
          <w:tcPr>
            <w:tcW w:w="627"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r>
    </w:tbl>
    <w:p>
      <w:pPr>
        <w:pStyle w:val="4"/>
        <w:pageBreakBefore w:val="0"/>
        <w:numPr>
          <w:ilvl w:val="1"/>
          <w:numId w:val="0"/>
        </w:numPr>
        <w:wordWrap/>
        <w:bidi w:val="0"/>
        <w:ind w:left="0" w:leftChars="0" w:right="0" w:rightChars="0"/>
        <w:rPr>
          <w:rFonts w:hint="default" w:ascii="Times New Roman" w:hAnsi="Times New Roman" w:eastAsia="宋体" w:cs="Times New Roman"/>
          <w:b/>
          <w:bCs w:val="0"/>
          <w:color w:val="auto"/>
          <w:sz w:val="28"/>
          <w:szCs w:val="28"/>
          <w:highlight w:val="none"/>
        </w:rPr>
      </w:pPr>
      <w:bookmarkStart w:id="1550" w:name="_Toc20304"/>
      <w:bookmarkStart w:id="1551" w:name="_Toc14303"/>
      <w:r>
        <w:rPr>
          <w:rFonts w:hint="default" w:ascii="Times New Roman" w:hAnsi="Times New Roman" w:eastAsia="宋体" w:cs="Times New Roman"/>
          <w:b/>
          <w:bCs w:val="0"/>
          <w:i w:val="0"/>
          <w:color w:val="auto"/>
          <w:kern w:val="2"/>
          <w:sz w:val="28"/>
          <w:szCs w:val="28"/>
          <w:highlight w:val="none"/>
          <w:lang w:val="en-US" w:eastAsia="zh-CN" w:bidi="ar-SA"/>
        </w:rPr>
        <w:t>11.4</w:t>
      </w:r>
      <w:r>
        <w:rPr>
          <w:rFonts w:hint="default" w:ascii="Times New Roman" w:hAnsi="Times New Roman" w:eastAsia="宋体" w:cs="Times New Roman"/>
          <w:b/>
          <w:bCs w:val="0"/>
          <w:color w:val="auto"/>
          <w:sz w:val="28"/>
          <w:szCs w:val="28"/>
          <w:highlight w:val="none"/>
        </w:rPr>
        <w:t>环境监测计划</w:t>
      </w:r>
      <w:bookmarkEnd w:id="1550"/>
      <w:bookmarkEnd w:id="1551"/>
    </w:p>
    <w:p>
      <w:pPr>
        <w:pStyle w:val="5"/>
        <w:pageBreakBefore w:val="0"/>
        <w:numPr>
          <w:ilvl w:val="2"/>
          <w:numId w:val="0"/>
        </w:numPr>
        <w:wordWrap/>
        <w:bidi w:val="0"/>
        <w:ind w:left="0" w:leftChars="0" w:right="0" w:rightChars="0"/>
        <w:rPr>
          <w:rFonts w:hint="default" w:ascii="Times New Roman" w:hAnsi="Times New Roman" w:eastAsia="宋体" w:cs="Times New Roman"/>
          <w:b/>
          <w:bCs w:val="0"/>
          <w:color w:val="auto"/>
          <w:sz w:val="24"/>
          <w:szCs w:val="24"/>
          <w:highlight w:val="none"/>
        </w:rPr>
      </w:pPr>
      <w:bookmarkStart w:id="1552" w:name="_Toc21924"/>
      <w:bookmarkStart w:id="1553" w:name="_Toc27529"/>
      <w:bookmarkStart w:id="1554" w:name="_Toc20650"/>
      <w:bookmarkStart w:id="1555" w:name="_Toc480548308"/>
      <w:r>
        <w:rPr>
          <w:rFonts w:hint="default" w:ascii="Times New Roman" w:hAnsi="Times New Roman" w:eastAsia="宋体" w:cs="Times New Roman"/>
          <w:b/>
          <w:bCs w:val="0"/>
          <w:i w:val="0"/>
          <w:iCs w:val="0"/>
          <w:caps w:val="0"/>
          <w:smallCaps w:val="0"/>
          <w:strike w:val="0"/>
          <w:dstrike w:val="0"/>
          <w:vanish w:val="0"/>
          <w:color w:val="auto"/>
          <w:spacing w:val="0"/>
          <w:kern w:val="2"/>
          <w:position w:val="0"/>
          <w:sz w:val="24"/>
          <w:szCs w:val="24"/>
          <w:highlight w:val="none"/>
          <w:u w:val="none"/>
          <w:vertAlign w:val="baseline"/>
          <w:lang w:val="en-US" w:eastAsia="zh-CN" w:bidi="ar-SA"/>
          <w14:shadow w14:blurRad="0" w14:dist="0" w14:dir="0" w14:sx="0" w14:sy="0" w14:kx="0" w14:ky="0" w14:algn="none">
            <w14:srgbClr w14:val="000000"/>
          </w14:shadow>
        </w:rPr>
        <w:t>11.4.1</w:t>
      </w:r>
      <w:r>
        <w:rPr>
          <w:rFonts w:hint="default" w:ascii="Times New Roman" w:hAnsi="Times New Roman" w:eastAsia="宋体" w:cs="Times New Roman"/>
          <w:b/>
          <w:bCs w:val="0"/>
          <w:color w:val="auto"/>
          <w:sz w:val="24"/>
          <w:szCs w:val="24"/>
          <w:highlight w:val="none"/>
        </w:rPr>
        <w:t>监测目的</w:t>
      </w:r>
      <w:bookmarkEnd w:id="1552"/>
      <w:bookmarkEnd w:id="1553"/>
      <w:bookmarkEnd w:id="1554"/>
      <w:bookmarkEnd w:id="1555"/>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通过必要的环境监测计划的实施</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全面及时地掌握工程</w:t>
      </w:r>
      <w:r>
        <w:rPr>
          <w:rFonts w:hint="default" w:ascii="Times New Roman" w:hAnsi="Times New Roman" w:eastAsia="宋体" w:cs="Times New Roman"/>
          <w:color w:val="auto"/>
          <w:sz w:val="24"/>
          <w:szCs w:val="24"/>
          <w:highlight w:val="none"/>
          <w:lang w:eastAsia="zh-CN"/>
        </w:rPr>
        <w:t>运营</w:t>
      </w:r>
      <w:r>
        <w:rPr>
          <w:rFonts w:hint="default" w:ascii="Times New Roman" w:hAnsi="Times New Roman" w:eastAsia="宋体" w:cs="Times New Roman"/>
          <w:color w:val="auto"/>
          <w:sz w:val="24"/>
          <w:szCs w:val="24"/>
          <w:highlight w:val="none"/>
        </w:rPr>
        <w:t>期环境状况</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为制定必要的污染控制措施提供依据。</w:t>
      </w:r>
    </w:p>
    <w:p>
      <w:pPr>
        <w:pStyle w:val="5"/>
        <w:pageBreakBefore w:val="0"/>
        <w:numPr>
          <w:ilvl w:val="2"/>
          <w:numId w:val="0"/>
        </w:numPr>
        <w:wordWrap/>
        <w:bidi w:val="0"/>
        <w:ind w:left="0" w:leftChars="0" w:right="0" w:rightChars="0"/>
        <w:rPr>
          <w:rFonts w:hint="default" w:ascii="Times New Roman" w:hAnsi="Times New Roman" w:eastAsia="宋体" w:cs="Times New Roman"/>
          <w:b/>
          <w:bCs/>
          <w:color w:val="auto"/>
          <w:sz w:val="24"/>
          <w:szCs w:val="24"/>
          <w:highlight w:val="none"/>
        </w:rPr>
      </w:pPr>
      <w:bookmarkStart w:id="1556" w:name="_Toc1075"/>
      <w:bookmarkStart w:id="1557" w:name="_Toc29683"/>
      <w:bookmarkStart w:id="1558" w:name="_Toc14032"/>
      <w:bookmarkStart w:id="1559" w:name="_Toc480548309"/>
      <w:r>
        <w:rPr>
          <w:rFonts w:hint="default" w:ascii="Times New Roman" w:hAnsi="Times New Roman" w:eastAsia="宋体" w:cs="Times New Roman"/>
          <w:b/>
          <w:bCs/>
          <w:i w:val="0"/>
          <w:iCs w:val="0"/>
          <w:caps w:val="0"/>
          <w:smallCaps w:val="0"/>
          <w:strike w:val="0"/>
          <w:dstrike w:val="0"/>
          <w:vanish w:val="0"/>
          <w:color w:val="auto"/>
          <w:spacing w:val="0"/>
          <w:kern w:val="2"/>
          <w:position w:val="0"/>
          <w:sz w:val="24"/>
          <w:szCs w:val="24"/>
          <w:highlight w:val="none"/>
          <w:u w:val="none"/>
          <w:vertAlign w:val="baseline"/>
          <w:lang w:val="en-US" w:eastAsia="zh-CN" w:bidi="ar-SA"/>
          <w14:shadow w14:blurRad="0" w14:dist="0" w14:dir="0" w14:sx="0" w14:sy="0" w14:kx="0" w14:ky="0" w14:algn="none">
            <w14:srgbClr w14:val="000000"/>
          </w14:shadow>
        </w:rPr>
        <w:t>11.4.2</w:t>
      </w:r>
      <w:r>
        <w:rPr>
          <w:rFonts w:hint="default" w:ascii="Times New Roman" w:hAnsi="Times New Roman" w:eastAsia="宋体" w:cs="Times New Roman"/>
          <w:b/>
          <w:bCs/>
          <w:color w:val="auto"/>
          <w:sz w:val="24"/>
          <w:szCs w:val="24"/>
          <w:highlight w:val="none"/>
        </w:rPr>
        <w:t>监测机构</w:t>
      </w:r>
      <w:bookmarkEnd w:id="1556"/>
      <w:bookmarkEnd w:id="1557"/>
      <w:bookmarkEnd w:id="1558"/>
      <w:bookmarkEnd w:id="1559"/>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eastAsia="zh-CN"/>
        </w:rPr>
        <w:t>运营</w:t>
      </w:r>
      <w:r>
        <w:rPr>
          <w:rFonts w:hint="default" w:ascii="Times New Roman" w:hAnsi="Times New Roman" w:eastAsia="宋体" w:cs="Times New Roman"/>
          <w:color w:val="auto"/>
          <w:sz w:val="24"/>
          <w:szCs w:val="24"/>
          <w:highlight w:val="none"/>
        </w:rPr>
        <w:t>期的环境监测委托有资质的环境监测公司进行监测。</w:t>
      </w:r>
    </w:p>
    <w:p>
      <w:pPr>
        <w:pStyle w:val="5"/>
        <w:pageBreakBefore w:val="0"/>
        <w:numPr>
          <w:ilvl w:val="2"/>
          <w:numId w:val="0"/>
        </w:numPr>
        <w:wordWrap/>
        <w:bidi w:val="0"/>
        <w:ind w:left="0" w:leftChars="0" w:right="0" w:rightChars="0"/>
        <w:rPr>
          <w:rFonts w:hint="default" w:ascii="Times New Roman" w:hAnsi="Times New Roman" w:eastAsia="宋体" w:cs="Times New Roman"/>
          <w:b/>
          <w:bCs/>
          <w:color w:val="auto"/>
          <w:sz w:val="24"/>
          <w:szCs w:val="24"/>
          <w:highlight w:val="none"/>
        </w:rPr>
      </w:pPr>
      <w:bookmarkStart w:id="1560" w:name="_Toc21407"/>
      <w:bookmarkStart w:id="1561" w:name="_Toc2889"/>
      <w:bookmarkStart w:id="1562" w:name="_Toc480548310"/>
      <w:bookmarkStart w:id="1563" w:name="_Toc22962"/>
      <w:r>
        <w:rPr>
          <w:rFonts w:hint="default" w:ascii="Times New Roman" w:hAnsi="Times New Roman" w:eastAsia="宋体" w:cs="Times New Roman"/>
          <w:b/>
          <w:bCs/>
          <w:i w:val="0"/>
          <w:iCs w:val="0"/>
          <w:caps w:val="0"/>
          <w:smallCaps w:val="0"/>
          <w:strike w:val="0"/>
          <w:dstrike w:val="0"/>
          <w:vanish w:val="0"/>
          <w:color w:val="auto"/>
          <w:spacing w:val="0"/>
          <w:kern w:val="2"/>
          <w:position w:val="0"/>
          <w:sz w:val="24"/>
          <w:szCs w:val="24"/>
          <w:highlight w:val="none"/>
          <w:u w:val="none"/>
          <w:vertAlign w:val="baseline"/>
          <w:lang w:val="en-US" w:eastAsia="zh-CN" w:bidi="ar-SA"/>
          <w14:shadow w14:blurRad="0" w14:dist="0" w14:dir="0" w14:sx="0" w14:sy="0" w14:kx="0" w14:ky="0" w14:algn="none">
            <w14:srgbClr w14:val="000000"/>
          </w14:shadow>
        </w:rPr>
        <w:t>11.4.3</w:t>
      </w:r>
      <w:r>
        <w:rPr>
          <w:rFonts w:hint="default" w:ascii="Times New Roman" w:hAnsi="Times New Roman" w:eastAsia="宋体" w:cs="Times New Roman"/>
          <w:b/>
          <w:bCs/>
          <w:color w:val="auto"/>
          <w:sz w:val="24"/>
          <w:szCs w:val="24"/>
          <w:highlight w:val="none"/>
        </w:rPr>
        <w:t>监测计划</w:t>
      </w:r>
      <w:bookmarkEnd w:id="1560"/>
      <w:bookmarkEnd w:id="1561"/>
      <w:bookmarkEnd w:id="1562"/>
      <w:bookmarkEnd w:id="1563"/>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建设项目在运</w:t>
      </w:r>
      <w:r>
        <w:rPr>
          <w:rFonts w:hint="default" w:ascii="Times New Roman" w:hAnsi="Times New Roman" w:eastAsia="宋体" w:cs="Times New Roman"/>
          <w:color w:val="auto"/>
          <w:sz w:val="24"/>
          <w:szCs w:val="24"/>
          <w:highlight w:val="none"/>
          <w:lang w:eastAsia="zh-CN"/>
        </w:rPr>
        <w:t>营</w:t>
      </w:r>
      <w:r>
        <w:rPr>
          <w:rFonts w:hint="default" w:ascii="Times New Roman" w:hAnsi="Times New Roman" w:eastAsia="宋体" w:cs="Times New Roman"/>
          <w:color w:val="auto"/>
          <w:sz w:val="24"/>
          <w:szCs w:val="24"/>
          <w:highlight w:val="none"/>
        </w:rPr>
        <w:t>期须对生产中产生的废气、废水、噪声等进行监测</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根据工程具体排污情况及《排污单位自行监测技术指南总则》（HJ819-2017</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污染源和环境监测计划如表11-3</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监测分析方法按照国家有关技术标准和规范进行。</w:t>
      </w:r>
    </w:p>
    <w:p>
      <w:pPr>
        <w:pageBreakBefore w:val="0"/>
        <w:tabs>
          <w:tab w:val="left" w:pos="3062"/>
        </w:tabs>
        <w:wordWrap/>
        <w:bidi w:val="0"/>
        <w:spacing w:line="360" w:lineRule="auto"/>
        <w:ind w:left="0" w:leftChars="0" w:right="0" w:rightChars="0" w:firstLine="482" w:firstLineChars="200"/>
        <w:jc w:val="center"/>
        <w:rPr>
          <w:rFonts w:hint="default" w:ascii="Times New Roman" w:hAnsi="Times New Roman" w:eastAsia="宋体" w:cs="Times New Roman"/>
          <w:color w:val="auto"/>
          <w:sz w:val="24"/>
          <w:szCs w:val="24"/>
          <w:highlight w:val="none"/>
        </w:rPr>
      </w:pPr>
      <w:bookmarkStart w:id="1564" w:name="_Toc148040090"/>
      <w:r>
        <w:rPr>
          <w:rFonts w:hint="default" w:ascii="Times New Roman" w:hAnsi="Times New Roman" w:eastAsia="宋体" w:cs="Times New Roman"/>
          <w:b/>
          <w:bCs/>
          <w:color w:val="auto"/>
          <w:sz w:val="24"/>
          <w:szCs w:val="24"/>
          <w:highlight w:val="none"/>
        </w:rPr>
        <w:t>表11-3项目污染源及环境监测计划</w:t>
      </w:r>
      <w:bookmarkEnd w:id="1564"/>
    </w:p>
    <w:tbl>
      <w:tblPr>
        <w:tblStyle w:val="54"/>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28" w:type="dxa"/>
          <w:bottom w:w="0" w:type="dxa"/>
          <w:right w:w="28" w:type="dxa"/>
        </w:tblCellMar>
      </w:tblPr>
      <w:tblGrid>
        <w:gridCol w:w="1527"/>
        <w:gridCol w:w="1810"/>
        <w:gridCol w:w="1527"/>
        <w:gridCol w:w="1527"/>
        <w:gridCol w:w="1971"/>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500"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监测要素</w:t>
            </w:r>
          </w:p>
        </w:tc>
        <w:tc>
          <w:tcPr>
            <w:tcW w:w="500"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监测点位</w:t>
            </w:r>
          </w:p>
        </w:tc>
        <w:tc>
          <w:tcPr>
            <w:tcW w:w="500"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监测项目</w:t>
            </w:r>
          </w:p>
        </w:tc>
        <w:tc>
          <w:tcPr>
            <w:tcW w:w="500"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监测频次</w:t>
            </w:r>
          </w:p>
        </w:tc>
        <w:tc>
          <w:tcPr>
            <w:tcW w:w="500"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执行标准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500"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废气</w:t>
            </w:r>
          </w:p>
        </w:tc>
        <w:tc>
          <w:tcPr>
            <w:tcW w:w="500"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尾矿库四周</w:t>
            </w:r>
          </w:p>
        </w:tc>
        <w:tc>
          <w:tcPr>
            <w:tcW w:w="500"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TSP</w:t>
            </w:r>
          </w:p>
        </w:tc>
        <w:tc>
          <w:tcPr>
            <w:tcW w:w="500"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每</w:t>
            </w:r>
            <w:r>
              <w:rPr>
                <w:rFonts w:hint="default" w:ascii="Times New Roman" w:hAnsi="Times New Roman" w:eastAsia="宋体" w:cs="Times New Roman"/>
                <w:color w:val="auto"/>
                <w:sz w:val="21"/>
                <w:szCs w:val="21"/>
                <w:highlight w:val="none"/>
                <w:lang w:eastAsia="zh-CN"/>
              </w:rPr>
              <w:t>半</w:t>
            </w:r>
            <w:r>
              <w:rPr>
                <w:rFonts w:hint="default" w:ascii="Times New Roman" w:hAnsi="Times New Roman" w:eastAsia="宋体" w:cs="Times New Roman"/>
                <w:color w:val="auto"/>
                <w:sz w:val="21"/>
                <w:szCs w:val="21"/>
                <w:highlight w:val="none"/>
              </w:rPr>
              <w:t>年1次</w:t>
            </w:r>
          </w:p>
        </w:tc>
        <w:tc>
          <w:tcPr>
            <w:tcW w:w="500"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rPr>
              <w:t>《大气污染物综合排放标准》（GB16297-1996</w:t>
            </w:r>
            <w:r>
              <w:rPr>
                <w:rFonts w:hint="default" w:ascii="Times New Roman" w:hAnsi="Times New Roman" w:eastAsia="宋体" w:cs="Times New Roman"/>
                <w:bCs/>
                <w:color w:val="auto"/>
                <w:sz w:val="21"/>
                <w:szCs w:val="21"/>
                <w:highlight w:val="none"/>
                <w:lang w:eastAsia="zh-CN"/>
              </w:rPr>
              <w:t>）</w:t>
            </w:r>
            <w:r>
              <w:rPr>
                <w:rFonts w:hint="default" w:ascii="Times New Roman" w:hAnsi="Times New Roman" w:eastAsia="宋体" w:cs="Times New Roman"/>
                <w:bCs/>
                <w:color w:val="auto"/>
                <w:sz w:val="21"/>
                <w:szCs w:val="21"/>
                <w:highlight w:val="none"/>
              </w:rPr>
              <w:t>表2新污染源大气污染物排放限值中“无组织排放监控浓度限值”</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500"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地下水</w:t>
            </w:r>
          </w:p>
        </w:tc>
        <w:tc>
          <w:tcPr>
            <w:tcW w:w="500"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尾矿库设3座跟踪监控井：1#E109°25'32.33"</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N40°48'56.79"；2#E109°26'06.67"</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N40°48'16.35"；3#E109°25'16.02"</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N40°47'18.73"；</w:t>
            </w:r>
          </w:p>
        </w:tc>
        <w:tc>
          <w:tcPr>
            <w:tcW w:w="500"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pH值、氨氮、硝酸盐、亚硝酸盐、氰化物、砷、汞、铬（六价</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、总硬度、铅、氟化物、镉、铁、锰、溶解性总固体、高锰酸盐指数、硫酸盐、氯化物、总大肠菌群、铜、锌</w:t>
            </w:r>
            <w:r>
              <w:rPr>
                <w:rFonts w:hint="default" w:ascii="Times New Roman" w:hAnsi="Times New Roman" w:eastAsia="宋体" w:cs="Times New Roman"/>
                <w:color w:val="auto"/>
                <w:sz w:val="21"/>
                <w:szCs w:val="21"/>
                <w:highlight w:val="none"/>
                <w:lang w:eastAsia="zh-CN"/>
              </w:rPr>
              <w:t>、钼</w:t>
            </w:r>
            <w:r>
              <w:rPr>
                <w:rFonts w:hint="default" w:ascii="Times New Roman" w:hAnsi="Times New Roman" w:eastAsia="宋体" w:cs="Times New Roman"/>
                <w:color w:val="auto"/>
                <w:sz w:val="21"/>
                <w:szCs w:val="21"/>
                <w:highlight w:val="none"/>
              </w:rPr>
              <w:t>。</w:t>
            </w:r>
          </w:p>
        </w:tc>
        <w:tc>
          <w:tcPr>
            <w:tcW w:w="500"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每季度1次</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每2次监测之间间隔不少于1个月</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封场后</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监测频次至少每半年1次</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直到地下水水质连续2年不超出地下水本底水平</w:t>
            </w:r>
          </w:p>
        </w:tc>
        <w:tc>
          <w:tcPr>
            <w:tcW w:w="500"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满足《地下水质量标准》（GB/T14848-2017</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中</w:t>
            </w:r>
            <w:r>
              <w:rPr>
                <w:rFonts w:hint="default" w:ascii="Times New Roman" w:hAnsi="Times New Roman" w:eastAsia="宋体" w:cs="Times New Roman"/>
                <w:color w:val="auto"/>
                <w:sz w:val="21"/>
                <w:szCs w:val="21"/>
                <w:highlight w:val="none"/>
                <w:lang w:eastAsia="zh-CN"/>
              </w:rPr>
              <w:t>Ⅲ</w:t>
            </w:r>
            <w:r>
              <w:rPr>
                <w:rFonts w:hint="default" w:ascii="Times New Roman" w:hAnsi="Times New Roman" w:eastAsia="宋体" w:cs="Times New Roman"/>
                <w:color w:val="auto"/>
                <w:sz w:val="21"/>
                <w:szCs w:val="21"/>
                <w:highlight w:val="none"/>
              </w:rPr>
              <w:t>类标准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500"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噪声</w:t>
            </w:r>
          </w:p>
        </w:tc>
        <w:tc>
          <w:tcPr>
            <w:tcW w:w="500"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尾矿库四周</w:t>
            </w:r>
          </w:p>
        </w:tc>
        <w:tc>
          <w:tcPr>
            <w:tcW w:w="500"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连续等效A声级</w:t>
            </w:r>
          </w:p>
        </w:tc>
        <w:tc>
          <w:tcPr>
            <w:tcW w:w="500"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每季1次</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昼夜监测</w:t>
            </w:r>
          </w:p>
        </w:tc>
        <w:tc>
          <w:tcPr>
            <w:tcW w:w="500"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《工业企业厂界环境噪声排放标准》（GB12348-2008</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2类标准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500"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土壤</w:t>
            </w:r>
          </w:p>
        </w:tc>
        <w:tc>
          <w:tcPr>
            <w:tcW w:w="500"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尾矿库主导风向上风向、下风向分别布设1个点</w:t>
            </w:r>
          </w:p>
        </w:tc>
        <w:tc>
          <w:tcPr>
            <w:tcW w:w="500"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砷、镉、六价铬、铜、铅、汞、镍</w:t>
            </w:r>
            <w:r>
              <w:rPr>
                <w:rFonts w:hint="default" w:ascii="Times New Roman" w:hAnsi="Times New Roman" w:eastAsia="宋体" w:cs="Times New Roman"/>
                <w:color w:val="auto"/>
                <w:sz w:val="21"/>
                <w:szCs w:val="21"/>
                <w:highlight w:val="none"/>
                <w:lang w:eastAsia="zh-CN"/>
              </w:rPr>
              <w:t>、钼</w:t>
            </w:r>
          </w:p>
        </w:tc>
        <w:tc>
          <w:tcPr>
            <w:tcW w:w="500"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必要时监测</w:t>
            </w:r>
          </w:p>
        </w:tc>
        <w:tc>
          <w:tcPr>
            <w:tcW w:w="500"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《土壤环境质量建设用地土壤污染风险管控标准》（GB36600-2018</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中表1的风险筛选值第二类用地限值要求</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500"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生态恢复</w:t>
            </w:r>
          </w:p>
        </w:tc>
        <w:tc>
          <w:tcPr>
            <w:tcW w:w="500"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尾矿库</w:t>
            </w:r>
          </w:p>
        </w:tc>
        <w:tc>
          <w:tcPr>
            <w:tcW w:w="500"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复垦工程与生态恢复质量评估和土壤熟化、品种、生长势；重建植被的面积、类型、覆盖度、草、灌品种比例；当地野生动植物物种丰度变化</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是指衡量被评价区域内生物多样性的丰度变化；植被覆盖度变化</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即指被评价区域内草原等植被类型的面积占被评价区域面积的比值变化。</w:t>
            </w:r>
          </w:p>
        </w:tc>
        <w:tc>
          <w:tcPr>
            <w:tcW w:w="500"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适时监测</w:t>
            </w:r>
          </w:p>
        </w:tc>
        <w:tc>
          <w:tcPr>
            <w:tcW w:w="500"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w:t>
            </w:r>
          </w:p>
        </w:tc>
      </w:tr>
    </w:tbl>
    <w:p>
      <w:pPr>
        <w:pStyle w:val="4"/>
        <w:pageBreakBefore w:val="0"/>
        <w:numPr>
          <w:ilvl w:val="1"/>
          <w:numId w:val="0"/>
        </w:numPr>
        <w:wordWrap/>
        <w:bidi w:val="0"/>
        <w:ind w:left="0" w:leftChars="0" w:right="0" w:rightChars="0"/>
        <w:rPr>
          <w:rFonts w:hint="default" w:ascii="Times New Roman" w:hAnsi="Times New Roman" w:eastAsia="宋体" w:cs="Times New Roman"/>
          <w:b/>
          <w:bCs w:val="0"/>
          <w:color w:val="auto"/>
          <w:sz w:val="28"/>
          <w:szCs w:val="28"/>
          <w:highlight w:val="none"/>
        </w:rPr>
      </w:pPr>
      <w:bookmarkStart w:id="1565" w:name="_Toc15360"/>
      <w:bookmarkStart w:id="1566" w:name="_Toc30018"/>
      <w:r>
        <w:rPr>
          <w:rFonts w:hint="default" w:ascii="Times New Roman" w:hAnsi="Times New Roman" w:eastAsia="宋体" w:cs="Times New Roman"/>
          <w:b/>
          <w:bCs w:val="0"/>
          <w:i w:val="0"/>
          <w:color w:val="auto"/>
          <w:kern w:val="2"/>
          <w:sz w:val="28"/>
          <w:szCs w:val="28"/>
          <w:highlight w:val="none"/>
          <w:lang w:val="en-US" w:eastAsia="zh-CN" w:bidi="ar-SA"/>
        </w:rPr>
        <w:t>11.5</w:t>
      </w:r>
      <w:r>
        <w:rPr>
          <w:rFonts w:hint="default" w:ascii="Times New Roman" w:hAnsi="Times New Roman" w:eastAsia="宋体" w:cs="Times New Roman"/>
          <w:b/>
          <w:bCs w:val="0"/>
          <w:color w:val="auto"/>
          <w:sz w:val="28"/>
          <w:szCs w:val="28"/>
          <w:highlight w:val="none"/>
        </w:rPr>
        <w:t>环保措施“三同时”验收一览表</w:t>
      </w:r>
      <w:bookmarkEnd w:id="1565"/>
      <w:bookmarkEnd w:id="1566"/>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根据《建设项目环境保护管理条例》和《建设项目竣工环境保护验收暂行办法》的规定</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编制环境影响报告书、环境影响报告表的建设项目竣工后</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建设单位应当按照国务院环境保护行政主管部门规定的标准和程序</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对配套建设的环境保护设施进行验收</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编制验收监测报告。本项目建成后</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建设单位应组织开展竣工环境保护验收工作</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竣工环境保护验收通过后</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方可正式投产运行。</w:t>
      </w:r>
    </w:p>
    <w:p>
      <w:pPr>
        <w:pageBreakBefore w:val="0"/>
        <w:wordWrap/>
        <w:bidi w:val="0"/>
        <w:spacing w:line="360" w:lineRule="auto"/>
        <w:ind w:left="0" w:leftChars="0" w:right="0" w:rightChars="0"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依据建设项目“三同时”原则</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环境污染防治设施应与主体工程同时设计、同时施工、同时投入使用。本项目验收内容见表11-4。</w:t>
      </w:r>
    </w:p>
    <w:p>
      <w:pPr>
        <w:pageBreakBefore w:val="0"/>
        <w:tabs>
          <w:tab w:val="left" w:pos="3062"/>
        </w:tabs>
        <w:wordWrap/>
        <w:bidi w:val="0"/>
        <w:spacing w:line="360" w:lineRule="auto"/>
        <w:ind w:left="0" w:leftChars="0" w:right="0" w:rightChars="0"/>
        <w:jc w:val="center"/>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表11-4环境保护“三同时”及验收一览表</w:t>
      </w:r>
    </w:p>
    <w:tbl>
      <w:tblPr>
        <w:tblStyle w:val="54"/>
        <w:tblW w:w="4998"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56" w:type="dxa"/>
          <w:bottom w:w="0" w:type="dxa"/>
          <w:right w:w="56" w:type="dxa"/>
        </w:tblCellMar>
      </w:tblPr>
      <w:tblGrid>
        <w:gridCol w:w="427"/>
        <w:gridCol w:w="650"/>
        <w:gridCol w:w="478"/>
        <w:gridCol w:w="1090"/>
        <w:gridCol w:w="879"/>
        <w:gridCol w:w="879"/>
        <w:gridCol w:w="881"/>
        <w:gridCol w:w="3131"/>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6" w:type="dxa"/>
            <w:bottom w:w="0" w:type="dxa"/>
            <w:right w:w="56" w:type="dxa"/>
          </w:tblCellMar>
        </w:tblPrEx>
        <w:trPr>
          <w:trHeight w:val="340" w:hRule="atLeast"/>
          <w:jc w:val="center"/>
        </w:trPr>
        <w:tc>
          <w:tcPr>
            <w:tcW w:w="254" w:type="pct"/>
            <w:tcBorders>
              <w:top w:val="single" w:color="auto" w:sz="4" w:space="0"/>
              <w:left w:val="single" w:color="auto" w:sz="4" w:space="0"/>
              <w:bottom w:val="single" w:color="auto" w:sz="4" w:space="0"/>
              <w:right w:val="single" w:color="auto" w:sz="4" w:space="0"/>
            </w:tcBorders>
            <w:vAlign w:val="center"/>
          </w:tcPr>
          <w:p>
            <w:pPr>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环境要素</w:t>
            </w:r>
          </w:p>
        </w:tc>
        <w:tc>
          <w:tcPr>
            <w:tcW w:w="670" w:type="pct"/>
            <w:gridSpan w:val="2"/>
            <w:tcBorders>
              <w:top w:val="single" w:color="auto" w:sz="4" w:space="0"/>
              <w:left w:val="single" w:color="auto" w:sz="4" w:space="0"/>
              <w:bottom w:val="single" w:color="auto" w:sz="4" w:space="0"/>
              <w:right w:val="single" w:color="auto" w:sz="4" w:space="0"/>
            </w:tcBorders>
            <w:vAlign w:val="center"/>
          </w:tcPr>
          <w:p>
            <w:pPr>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污染物</w:t>
            </w:r>
          </w:p>
        </w:tc>
        <w:tc>
          <w:tcPr>
            <w:tcW w:w="647" w:type="pct"/>
            <w:tcBorders>
              <w:top w:val="single" w:color="auto" w:sz="4" w:space="0"/>
              <w:left w:val="single" w:color="auto" w:sz="4" w:space="0"/>
              <w:bottom w:val="single" w:color="auto" w:sz="4" w:space="0"/>
              <w:right w:val="single" w:color="auto" w:sz="4" w:space="0"/>
            </w:tcBorders>
            <w:vAlign w:val="center"/>
          </w:tcPr>
          <w:p>
            <w:pPr>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污染防治措施</w:t>
            </w:r>
          </w:p>
        </w:tc>
        <w:tc>
          <w:tcPr>
            <w:tcW w:w="522" w:type="pct"/>
            <w:tcBorders>
              <w:top w:val="single" w:color="auto" w:sz="4" w:space="0"/>
              <w:left w:val="single" w:color="auto" w:sz="4" w:space="0"/>
              <w:bottom w:val="single" w:color="auto" w:sz="4" w:space="0"/>
              <w:right w:val="single" w:color="auto" w:sz="4" w:space="0"/>
            </w:tcBorders>
            <w:vAlign w:val="center"/>
          </w:tcPr>
          <w:p>
            <w:pPr>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监测点位</w:t>
            </w:r>
          </w:p>
        </w:tc>
        <w:tc>
          <w:tcPr>
            <w:tcW w:w="522" w:type="pct"/>
            <w:tcBorders>
              <w:top w:val="single" w:color="auto" w:sz="4" w:space="0"/>
              <w:left w:val="single" w:color="auto" w:sz="4" w:space="0"/>
              <w:bottom w:val="single" w:color="auto" w:sz="4" w:space="0"/>
              <w:right w:val="single" w:color="auto" w:sz="4" w:space="0"/>
            </w:tcBorders>
            <w:vAlign w:val="center"/>
          </w:tcPr>
          <w:p>
            <w:pPr>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监测频次</w:t>
            </w:r>
          </w:p>
        </w:tc>
        <w:tc>
          <w:tcPr>
            <w:tcW w:w="523" w:type="pct"/>
            <w:tcBorders>
              <w:top w:val="single" w:color="auto" w:sz="4" w:space="0"/>
              <w:left w:val="single" w:color="auto" w:sz="4" w:space="0"/>
              <w:bottom w:val="single" w:color="auto" w:sz="4" w:space="0"/>
              <w:right w:val="single" w:color="auto" w:sz="4" w:space="0"/>
            </w:tcBorders>
            <w:vAlign w:val="center"/>
          </w:tcPr>
          <w:p>
            <w:pPr>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t>预期效果</w:t>
            </w:r>
          </w:p>
        </w:tc>
        <w:tc>
          <w:tcPr>
            <w:tcW w:w="1859"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备注</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6" w:type="dxa"/>
            <w:bottom w:w="0" w:type="dxa"/>
            <w:right w:w="56" w:type="dxa"/>
          </w:tblCellMar>
        </w:tblPrEx>
        <w:trPr>
          <w:trHeight w:val="340" w:hRule="atLeast"/>
          <w:jc w:val="center"/>
        </w:trPr>
        <w:tc>
          <w:tcPr>
            <w:tcW w:w="254" w:type="pct"/>
            <w:tcBorders>
              <w:top w:val="single" w:color="auto" w:sz="4" w:space="0"/>
              <w:left w:val="single" w:color="auto" w:sz="4" w:space="0"/>
              <w:bottom w:val="single" w:color="auto" w:sz="4" w:space="0"/>
              <w:right w:val="single" w:color="auto" w:sz="4" w:space="0"/>
            </w:tcBorders>
            <w:vAlign w:val="center"/>
          </w:tcPr>
          <w:p>
            <w:pPr>
              <w:pStyle w:val="32"/>
              <w:pageBreakBefore w:val="0"/>
              <w:tabs>
                <w:tab w:val="left" w:pos="3794"/>
              </w:tabs>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w:t>
            </w:r>
          </w:p>
          <w:p>
            <w:pPr>
              <w:pStyle w:val="32"/>
              <w:pageBreakBefore w:val="0"/>
              <w:tabs>
                <w:tab w:val="left" w:pos="3794"/>
              </w:tabs>
              <w:wordWrap/>
              <w:bidi w:val="0"/>
              <w:spacing w:line="240" w:lineRule="auto"/>
              <w:ind w:left="0" w:leftChars="0" w:right="0" w:rightChars="0"/>
              <w:jc w:val="center"/>
              <w:rPr>
                <w:rFonts w:hint="default" w:ascii="Times New Roman" w:hAnsi="Times New Roman" w:eastAsia="宋体" w:cs="Times New Roman"/>
                <w:color w:val="auto"/>
                <w:spacing w:val="-20"/>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空气</w:t>
            </w:r>
          </w:p>
        </w:tc>
        <w:tc>
          <w:tcPr>
            <w:tcW w:w="386"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rPr>
              <w:t>尾矿库干滩扬尘</w:t>
            </w:r>
          </w:p>
        </w:tc>
        <w:tc>
          <w:tcPr>
            <w:tcW w:w="284"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rPr>
              <w:t>TSP</w:t>
            </w:r>
          </w:p>
        </w:tc>
        <w:tc>
          <w:tcPr>
            <w:tcW w:w="647"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eastAsia="zh-CN"/>
              </w:rPr>
              <w:t>分散放矿</w:t>
            </w:r>
            <w:r>
              <w:rPr>
                <w:rFonts w:hint="default" w:ascii="Times New Roman" w:hAnsi="Times New Roman" w:eastAsia="宋体" w:cs="Times New Roman"/>
                <w:color w:val="auto"/>
                <w:szCs w:val="21"/>
                <w:highlight w:val="none"/>
              </w:rPr>
              <w:t>配合洒水</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坝坡和达到设计标高的堆积坝坝顶进行覆土绿化</w:t>
            </w:r>
          </w:p>
        </w:tc>
        <w:tc>
          <w:tcPr>
            <w:tcW w:w="522" w:type="pct"/>
            <w:tcBorders>
              <w:top w:val="single" w:color="auto" w:sz="4" w:space="0"/>
              <w:left w:val="single" w:color="auto" w:sz="4" w:space="0"/>
              <w:bottom w:val="single" w:color="auto" w:sz="4" w:space="0"/>
              <w:right w:val="single" w:color="auto" w:sz="4" w:space="0"/>
            </w:tcBorders>
            <w:vAlign w:val="center"/>
          </w:tcPr>
          <w:p>
            <w:pPr>
              <w:pStyle w:val="32"/>
              <w:pageBreakBefore w:val="0"/>
              <w:tabs>
                <w:tab w:val="left" w:pos="3794"/>
              </w:tabs>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上风向1个点位、下风向3个点位</w:t>
            </w:r>
          </w:p>
          <w:p>
            <w:pPr>
              <w:pageBreakBefore w:val="0"/>
              <w:wordWrap/>
              <w:bidi w:val="0"/>
              <w:ind w:left="0" w:leftChars="0" w:right="0" w:rightChars="0"/>
              <w:rPr>
                <w:rFonts w:hint="default" w:ascii="Times New Roman" w:hAnsi="Times New Roman" w:eastAsia="宋体" w:cs="Times New Roman"/>
                <w:color w:val="auto"/>
                <w:kern w:val="2"/>
                <w:sz w:val="21"/>
                <w:szCs w:val="24"/>
                <w:highlight w:val="none"/>
                <w:lang w:val="en-US" w:eastAsia="zh-CN" w:bidi="ar-SA"/>
              </w:rPr>
            </w:pPr>
          </w:p>
        </w:tc>
        <w:tc>
          <w:tcPr>
            <w:tcW w:w="522" w:type="pct"/>
            <w:tcBorders>
              <w:top w:val="single" w:color="auto" w:sz="4" w:space="0"/>
              <w:left w:val="single" w:color="auto" w:sz="4" w:space="0"/>
              <w:bottom w:val="single" w:color="auto" w:sz="4" w:space="0"/>
              <w:right w:val="single" w:color="auto" w:sz="4" w:space="0"/>
            </w:tcBorders>
            <w:vAlign w:val="center"/>
          </w:tcPr>
          <w:p>
            <w:pPr>
              <w:pStyle w:val="32"/>
              <w:pageBreakBefore w:val="0"/>
              <w:tabs>
                <w:tab w:val="left" w:pos="3794"/>
              </w:tabs>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4次/d，共监测2天</w:t>
            </w:r>
          </w:p>
        </w:tc>
        <w:tc>
          <w:tcPr>
            <w:tcW w:w="523" w:type="pct"/>
            <w:tcBorders>
              <w:top w:val="single" w:color="auto" w:sz="4" w:space="0"/>
              <w:left w:val="single" w:color="auto" w:sz="4" w:space="0"/>
              <w:bottom w:val="single" w:color="auto" w:sz="4" w:space="0"/>
              <w:right w:val="single" w:color="auto" w:sz="4" w:space="0"/>
            </w:tcBorders>
            <w:vAlign w:val="center"/>
          </w:tcPr>
          <w:p>
            <w:pPr>
              <w:pStyle w:val="32"/>
              <w:pageBreakBefore w:val="0"/>
              <w:tabs>
                <w:tab w:val="left" w:pos="3794"/>
              </w:tabs>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达标排放</w:t>
            </w:r>
          </w:p>
        </w:tc>
        <w:tc>
          <w:tcPr>
            <w:tcW w:w="1859"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Cs/>
                <w:color w:val="auto"/>
                <w:szCs w:val="21"/>
                <w:highlight w:val="none"/>
              </w:rPr>
              <w:t>《大气污染物综合排放标准》（GB16297-1996</w:t>
            </w:r>
            <w:r>
              <w:rPr>
                <w:rFonts w:hint="default" w:ascii="Times New Roman" w:hAnsi="Times New Roman" w:eastAsia="宋体" w:cs="Times New Roman"/>
                <w:bCs/>
                <w:color w:val="auto"/>
                <w:szCs w:val="21"/>
                <w:highlight w:val="none"/>
                <w:lang w:eastAsia="zh-CN"/>
              </w:rPr>
              <w:t>）</w:t>
            </w:r>
            <w:r>
              <w:rPr>
                <w:rFonts w:hint="default" w:ascii="Times New Roman" w:hAnsi="Times New Roman" w:eastAsia="宋体" w:cs="Times New Roman"/>
                <w:bCs/>
                <w:color w:val="auto"/>
                <w:szCs w:val="21"/>
                <w:highlight w:val="none"/>
              </w:rPr>
              <w:t>表2新污染源大气污染物排放限值中“无组织排放监控浓度限值”</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6" w:type="dxa"/>
            <w:bottom w:w="0" w:type="dxa"/>
            <w:right w:w="56" w:type="dxa"/>
          </w:tblCellMar>
        </w:tblPrEx>
        <w:trPr>
          <w:trHeight w:val="340" w:hRule="atLeast"/>
          <w:jc w:val="center"/>
        </w:trPr>
        <w:tc>
          <w:tcPr>
            <w:tcW w:w="254" w:type="pct"/>
            <w:tcBorders>
              <w:top w:val="single" w:color="auto" w:sz="4" w:space="0"/>
              <w:left w:val="single" w:color="auto" w:sz="4" w:space="0"/>
              <w:bottom w:val="single" w:color="auto" w:sz="4" w:space="0"/>
              <w:right w:val="single" w:color="auto" w:sz="4" w:space="0"/>
            </w:tcBorders>
            <w:vAlign w:val="center"/>
          </w:tcPr>
          <w:p>
            <w:pPr>
              <w:pStyle w:val="32"/>
              <w:pageBreakBefore w:val="0"/>
              <w:tabs>
                <w:tab w:val="left" w:pos="3794"/>
              </w:tabs>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水环境</w:t>
            </w:r>
          </w:p>
        </w:tc>
        <w:tc>
          <w:tcPr>
            <w:tcW w:w="670" w:type="pct"/>
            <w:gridSpan w:val="2"/>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eastAsia="zh-CN"/>
              </w:rPr>
              <w:t>尾矿水</w:t>
            </w:r>
          </w:p>
        </w:tc>
        <w:tc>
          <w:tcPr>
            <w:tcW w:w="647"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回用于选矿厂</w:t>
            </w:r>
          </w:p>
        </w:tc>
        <w:tc>
          <w:tcPr>
            <w:tcW w:w="522" w:type="pct"/>
            <w:tcBorders>
              <w:top w:val="single" w:color="auto" w:sz="4" w:space="0"/>
              <w:left w:val="single" w:color="auto" w:sz="4" w:space="0"/>
              <w:bottom w:val="single" w:color="auto" w:sz="4" w:space="0"/>
              <w:right w:val="single" w:color="auto" w:sz="4" w:space="0"/>
            </w:tcBorders>
            <w:vAlign w:val="center"/>
          </w:tcPr>
          <w:p>
            <w:pPr>
              <w:pStyle w:val="32"/>
              <w:pageBreakBefore w:val="0"/>
              <w:tabs>
                <w:tab w:val="left" w:pos="3794"/>
              </w:tabs>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eastAsia="zh-CN"/>
              </w:rPr>
            </w:pPr>
          </w:p>
        </w:tc>
        <w:tc>
          <w:tcPr>
            <w:tcW w:w="522" w:type="pct"/>
            <w:tcBorders>
              <w:top w:val="single" w:color="auto" w:sz="4" w:space="0"/>
              <w:left w:val="single" w:color="auto" w:sz="4" w:space="0"/>
              <w:bottom w:val="single" w:color="auto" w:sz="4" w:space="0"/>
              <w:right w:val="single" w:color="auto" w:sz="4" w:space="0"/>
            </w:tcBorders>
            <w:vAlign w:val="center"/>
          </w:tcPr>
          <w:p>
            <w:pPr>
              <w:pStyle w:val="32"/>
              <w:pageBreakBefore w:val="0"/>
              <w:tabs>
                <w:tab w:val="left" w:pos="3794"/>
              </w:tabs>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eastAsia="zh-CN"/>
              </w:rPr>
            </w:pPr>
          </w:p>
        </w:tc>
        <w:tc>
          <w:tcPr>
            <w:tcW w:w="523" w:type="pct"/>
            <w:tcBorders>
              <w:top w:val="single" w:color="auto" w:sz="4" w:space="0"/>
              <w:left w:val="single" w:color="auto" w:sz="4" w:space="0"/>
              <w:bottom w:val="single" w:color="auto" w:sz="4" w:space="0"/>
              <w:right w:val="single" w:color="auto" w:sz="4" w:space="0"/>
            </w:tcBorders>
            <w:vAlign w:val="center"/>
          </w:tcPr>
          <w:p>
            <w:pPr>
              <w:pStyle w:val="32"/>
              <w:pageBreakBefore w:val="0"/>
              <w:tabs>
                <w:tab w:val="left" w:pos="3794"/>
              </w:tabs>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w:t>
            </w:r>
          </w:p>
        </w:tc>
        <w:tc>
          <w:tcPr>
            <w:tcW w:w="1859" w:type="pct"/>
            <w:tcBorders>
              <w:top w:val="single" w:color="auto" w:sz="4" w:space="0"/>
              <w:left w:val="single" w:color="auto" w:sz="4" w:space="0"/>
              <w:bottom w:val="single" w:color="auto" w:sz="4" w:space="0"/>
              <w:right w:val="single" w:color="auto" w:sz="4" w:space="0"/>
            </w:tcBorders>
            <w:vAlign w:val="center"/>
          </w:tcPr>
          <w:p>
            <w:pPr>
              <w:pStyle w:val="32"/>
              <w:pageBreakBefore w:val="0"/>
              <w:tabs>
                <w:tab w:val="left" w:pos="3794"/>
              </w:tabs>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不外排</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6" w:type="dxa"/>
            <w:bottom w:w="0" w:type="dxa"/>
            <w:right w:w="56" w:type="dxa"/>
          </w:tblCellMar>
        </w:tblPrEx>
        <w:trPr>
          <w:trHeight w:val="340" w:hRule="atLeast"/>
          <w:jc w:val="center"/>
        </w:trPr>
        <w:tc>
          <w:tcPr>
            <w:tcW w:w="254" w:type="pct"/>
            <w:tcBorders>
              <w:top w:val="single" w:color="auto" w:sz="4" w:space="0"/>
              <w:left w:val="single" w:color="auto" w:sz="4" w:space="0"/>
              <w:bottom w:val="single" w:color="auto" w:sz="4" w:space="0"/>
              <w:right w:val="single" w:color="auto" w:sz="4" w:space="0"/>
            </w:tcBorders>
            <w:vAlign w:val="center"/>
          </w:tcPr>
          <w:p>
            <w:pPr>
              <w:pStyle w:val="32"/>
              <w:pageBreakBefore w:val="0"/>
              <w:tabs>
                <w:tab w:val="left" w:pos="3794"/>
              </w:tabs>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声环境</w:t>
            </w:r>
          </w:p>
        </w:tc>
        <w:tc>
          <w:tcPr>
            <w:tcW w:w="670" w:type="pct"/>
            <w:gridSpan w:val="2"/>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泵类等设备噪声</w:t>
            </w:r>
          </w:p>
        </w:tc>
        <w:tc>
          <w:tcPr>
            <w:tcW w:w="647"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隔声、减震</w:t>
            </w:r>
          </w:p>
        </w:tc>
        <w:tc>
          <w:tcPr>
            <w:tcW w:w="522" w:type="pct"/>
            <w:tcBorders>
              <w:top w:val="single" w:color="auto" w:sz="4" w:space="0"/>
              <w:left w:val="single" w:color="auto" w:sz="4" w:space="0"/>
              <w:bottom w:val="single" w:color="auto" w:sz="4" w:space="0"/>
              <w:right w:val="single" w:color="auto" w:sz="4" w:space="0"/>
            </w:tcBorders>
            <w:vAlign w:val="center"/>
          </w:tcPr>
          <w:p>
            <w:pPr>
              <w:pStyle w:val="32"/>
              <w:pageBreakBefore w:val="0"/>
              <w:tabs>
                <w:tab w:val="left" w:pos="3794"/>
              </w:tabs>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522" w:type="pct"/>
            <w:tcBorders>
              <w:top w:val="single" w:color="auto" w:sz="4" w:space="0"/>
              <w:left w:val="single" w:color="auto" w:sz="4" w:space="0"/>
              <w:bottom w:val="single" w:color="auto" w:sz="4" w:space="0"/>
              <w:right w:val="single" w:color="auto" w:sz="4" w:space="0"/>
            </w:tcBorders>
            <w:vAlign w:val="center"/>
          </w:tcPr>
          <w:p>
            <w:pPr>
              <w:pStyle w:val="32"/>
              <w:pageBreakBefore w:val="0"/>
              <w:tabs>
                <w:tab w:val="left" w:pos="3794"/>
              </w:tabs>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p>
        </w:tc>
        <w:tc>
          <w:tcPr>
            <w:tcW w:w="523" w:type="pct"/>
            <w:tcBorders>
              <w:top w:val="single" w:color="auto" w:sz="4" w:space="0"/>
              <w:left w:val="single" w:color="auto" w:sz="4" w:space="0"/>
              <w:bottom w:val="single" w:color="auto" w:sz="4" w:space="0"/>
              <w:right w:val="single" w:color="auto" w:sz="4" w:space="0"/>
            </w:tcBorders>
            <w:vAlign w:val="center"/>
          </w:tcPr>
          <w:p>
            <w:pPr>
              <w:pStyle w:val="32"/>
              <w:pageBreakBefore w:val="0"/>
              <w:tabs>
                <w:tab w:val="left" w:pos="3794"/>
              </w:tabs>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厂界达标</w:t>
            </w:r>
          </w:p>
        </w:tc>
        <w:tc>
          <w:tcPr>
            <w:tcW w:w="1859" w:type="pct"/>
            <w:tcBorders>
              <w:top w:val="single" w:color="auto" w:sz="4" w:space="0"/>
              <w:left w:val="single" w:color="auto" w:sz="4" w:space="0"/>
              <w:bottom w:val="single" w:color="auto" w:sz="4" w:space="0"/>
              <w:right w:val="single" w:color="auto" w:sz="4" w:space="0"/>
            </w:tcBorders>
            <w:vAlign w:val="center"/>
          </w:tcPr>
          <w:p>
            <w:pPr>
              <w:pStyle w:val="32"/>
              <w:pageBreakBefore w:val="0"/>
              <w:tabs>
                <w:tab w:val="left" w:pos="3794"/>
              </w:tabs>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《工业企业厂界环境噪声排放标准》（GB12348-2008</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2类标准</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6" w:type="dxa"/>
            <w:bottom w:w="0" w:type="dxa"/>
            <w:right w:w="56" w:type="dxa"/>
          </w:tblCellMar>
        </w:tblPrEx>
        <w:trPr>
          <w:trHeight w:val="340" w:hRule="atLeast"/>
          <w:jc w:val="center"/>
        </w:trPr>
        <w:tc>
          <w:tcPr>
            <w:tcW w:w="254" w:type="pct"/>
            <w:tcBorders>
              <w:top w:val="single" w:color="auto" w:sz="4" w:space="0"/>
              <w:left w:val="single" w:color="auto" w:sz="4" w:space="0"/>
              <w:bottom w:val="single" w:color="auto" w:sz="4" w:space="0"/>
              <w:right w:val="single" w:color="auto" w:sz="4" w:space="0"/>
            </w:tcBorders>
            <w:vAlign w:val="center"/>
          </w:tcPr>
          <w:p>
            <w:pPr>
              <w:pStyle w:val="32"/>
              <w:pageBreakBefore w:val="0"/>
              <w:tabs>
                <w:tab w:val="left" w:pos="3794"/>
              </w:tabs>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固体废物</w:t>
            </w:r>
          </w:p>
        </w:tc>
        <w:tc>
          <w:tcPr>
            <w:tcW w:w="670" w:type="pct"/>
            <w:gridSpan w:val="2"/>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eastAsia="zh-CN"/>
              </w:rPr>
              <w:t>废润滑油</w:t>
            </w:r>
          </w:p>
        </w:tc>
        <w:tc>
          <w:tcPr>
            <w:tcW w:w="647" w:type="pct"/>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eastAsia="zh-CN"/>
              </w:rPr>
              <w:t>危废暂存间</w:t>
            </w:r>
          </w:p>
        </w:tc>
        <w:tc>
          <w:tcPr>
            <w:tcW w:w="522" w:type="pct"/>
            <w:tcBorders>
              <w:top w:val="single" w:color="auto" w:sz="4" w:space="0"/>
              <w:left w:val="single" w:color="auto" w:sz="4" w:space="0"/>
              <w:bottom w:val="single" w:color="auto" w:sz="4" w:space="0"/>
              <w:right w:val="single" w:color="auto" w:sz="4" w:space="0"/>
            </w:tcBorders>
            <w:vAlign w:val="center"/>
          </w:tcPr>
          <w:p>
            <w:pPr>
              <w:pStyle w:val="32"/>
              <w:pageBreakBefore w:val="0"/>
              <w:tabs>
                <w:tab w:val="left" w:pos="3794"/>
              </w:tabs>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eastAsia="zh-CN"/>
              </w:rPr>
            </w:pPr>
          </w:p>
        </w:tc>
        <w:tc>
          <w:tcPr>
            <w:tcW w:w="522" w:type="pct"/>
            <w:tcBorders>
              <w:top w:val="single" w:color="auto" w:sz="4" w:space="0"/>
              <w:left w:val="single" w:color="auto" w:sz="4" w:space="0"/>
              <w:bottom w:val="single" w:color="auto" w:sz="4" w:space="0"/>
              <w:right w:val="single" w:color="auto" w:sz="4" w:space="0"/>
            </w:tcBorders>
            <w:vAlign w:val="center"/>
          </w:tcPr>
          <w:p>
            <w:pPr>
              <w:pStyle w:val="32"/>
              <w:pageBreakBefore w:val="0"/>
              <w:tabs>
                <w:tab w:val="left" w:pos="3794"/>
              </w:tabs>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eastAsia="zh-CN"/>
              </w:rPr>
            </w:pPr>
          </w:p>
        </w:tc>
        <w:tc>
          <w:tcPr>
            <w:tcW w:w="523" w:type="pct"/>
            <w:tcBorders>
              <w:top w:val="single" w:color="auto" w:sz="4" w:space="0"/>
              <w:left w:val="single" w:color="auto" w:sz="4" w:space="0"/>
              <w:bottom w:val="single" w:color="auto" w:sz="4" w:space="0"/>
              <w:right w:val="single" w:color="auto" w:sz="4" w:space="0"/>
            </w:tcBorders>
            <w:vAlign w:val="center"/>
          </w:tcPr>
          <w:p>
            <w:pPr>
              <w:pStyle w:val="32"/>
              <w:pageBreakBefore w:val="0"/>
              <w:tabs>
                <w:tab w:val="left" w:pos="3794"/>
              </w:tabs>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w:t>
            </w:r>
          </w:p>
        </w:tc>
        <w:tc>
          <w:tcPr>
            <w:tcW w:w="1859" w:type="pct"/>
            <w:tcBorders>
              <w:top w:val="single" w:color="auto" w:sz="4" w:space="0"/>
              <w:left w:val="single" w:color="auto" w:sz="4" w:space="0"/>
              <w:bottom w:val="single" w:color="auto" w:sz="4" w:space="0"/>
              <w:right w:val="single" w:color="auto" w:sz="4" w:space="0"/>
            </w:tcBorders>
            <w:vAlign w:val="center"/>
          </w:tcPr>
          <w:p>
            <w:pPr>
              <w:pStyle w:val="32"/>
              <w:pageBreakBefore w:val="0"/>
              <w:tabs>
                <w:tab w:val="left" w:pos="3794"/>
              </w:tabs>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《危险废物贮存污染控制标准》（GB18597-2023）</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6" w:type="dxa"/>
            <w:bottom w:w="0" w:type="dxa"/>
            <w:right w:w="56" w:type="dxa"/>
          </w:tblCellMar>
        </w:tblPrEx>
        <w:trPr>
          <w:trHeight w:val="340" w:hRule="atLeast"/>
          <w:jc w:val="center"/>
        </w:trPr>
        <w:tc>
          <w:tcPr>
            <w:tcW w:w="254" w:type="pct"/>
            <w:tcBorders>
              <w:top w:val="single" w:color="auto" w:sz="4" w:space="0"/>
              <w:left w:val="single" w:color="auto" w:sz="4" w:space="0"/>
              <w:bottom w:val="single" w:color="auto" w:sz="4" w:space="0"/>
              <w:right w:val="single" w:color="auto" w:sz="4" w:space="0"/>
            </w:tcBorders>
            <w:vAlign w:val="center"/>
          </w:tcPr>
          <w:p>
            <w:pPr>
              <w:pStyle w:val="32"/>
              <w:pageBreakBefore w:val="0"/>
              <w:tabs>
                <w:tab w:val="left" w:pos="3794"/>
              </w:tabs>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地下水</w:t>
            </w:r>
          </w:p>
        </w:tc>
        <w:tc>
          <w:tcPr>
            <w:tcW w:w="1317" w:type="pct"/>
            <w:gridSpan w:val="3"/>
            <w:tcBorders>
              <w:top w:val="single" w:color="auto" w:sz="4" w:space="0"/>
              <w:left w:val="single" w:color="auto" w:sz="4" w:space="0"/>
              <w:bottom w:val="single" w:color="auto" w:sz="4" w:space="0"/>
              <w:right w:val="single" w:color="auto" w:sz="4" w:space="0"/>
            </w:tcBorders>
            <w:vAlign w:val="center"/>
          </w:tcPr>
          <w:p>
            <w:pPr>
              <w:pageBreakBefore w:val="0"/>
              <w:wordWrap/>
              <w:bidi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尾矿库设3座跟踪监控井</w:t>
            </w:r>
          </w:p>
        </w:tc>
        <w:tc>
          <w:tcPr>
            <w:tcW w:w="522" w:type="pct"/>
            <w:tcBorders>
              <w:top w:val="single" w:color="auto" w:sz="4" w:space="0"/>
              <w:left w:val="single" w:color="auto" w:sz="4" w:space="0"/>
              <w:bottom w:val="single" w:color="auto" w:sz="4" w:space="0"/>
              <w:right w:val="single" w:color="auto" w:sz="4" w:space="0"/>
            </w:tcBorders>
            <w:vAlign w:val="center"/>
          </w:tcPr>
          <w:p>
            <w:pPr>
              <w:pStyle w:val="32"/>
              <w:pageBreakBefore w:val="0"/>
              <w:tabs>
                <w:tab w:val="left" w:pos="3794"/>
              </w:tabs>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eastAsia="zh-CN"/>
              </w:rPr>
            </w:pPr>
          </w:p>
        </w:tc>
        <w:tc>
          <w:tcPr>
            <w:tcW w:w="522" w:type="pct"/>
            <w:tcBorders>
              <w:top w:val="single" w:color="auto" w:sz="4" w:space="0"/>
              <w:left w:val="single" w:color="auto" w:sz="4" w:space="0"/>
              <w:bottom w:val="single" w:color="auto" w:sz="4" w:space="0"/>
              <w:right w:val="single" w:color="auto" w:sz="4" w:space="0"/>
            </w:tcBorders>
            <w:vAlign w:val="center"/>
          </w:tcPr>
          <w:p>
            <w:pPr>
              <w:pStyle w:val="32"/>
              <w:pageBreakBefore w:val="0"/>
              <w:tabs>
                <w:tab w:val="left" w:pos="3794"/>
              </w:tabs>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eastAsia="zh-CN"/>
              </w:rPr>
            </w:pPr>
          </w:p>
        </w:tc>
        <w:tc>
          <w:tcPr>
            <w:tcW w:w="523" w:type="pct"/>
            <w:tcBorders>
              <w:top w:val="single" w:color="auto" w:sz="4" w:space="0"/>
              <w:left w:val="single" w:color="auto" w:sz="4" w:space="0"/>
              <w:bottom w:val="single" w:color="auto" w:sz="4" w:space="0"/>
              <w:right w:val="single" w:color="auto" w:sz="4" w:space="0"/>
            </w:tcBorders>
            <w:vAlign w:val="center"/>
          </w:tcPr>
          <w:p>
            <w:pPr>
              <w:pStyle w:val="32"/>
              <w:pageBreakBefore w:val="0"/>
              <w:tabs>
                <w:tab w:val="left" w:pos="3794"/>
              </w:tabs>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w:t>
            </w:r>
          </w:p>
        </w:tc>
        <w:tc>
          <w:tcPr>
            <w:tcW w:w="1859" w:type="pct"/>
            <w:tcBorders>
              <w:top w:val="single" w:color="auto" w:sz="4" w:space="0"/>
              <w:left w:val="single" w:color="auto" w:sz="4" w:space="0"/>
              <w:bottom w:val="single" w:color="auto" w:sz="4" w:space="0"/>
              <w:right w:val="single" w:color="auto" w:sz="4" w:space="0"/>
            </w:tcBorders>
            <w:vAlign w:val="center"/>
          </w:tcPr>
          <w:p>
            <w:pPr>
              <w:pStyle w:val="32"/>
              <w:pageBreakBefore w:val="0"/>
              <w:tabs>
                <w:tab w:val="left" w:pos="3794"/>
              </w:tabs>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做好跟踪监测</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水井水质需达到《地下水质量标准》（GB/T14848-2017</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中</w:t>
            </w:r>
            <w:r>
              <w:rPr>
                <w:rFonts w:hint="default" w:ascii="Times New Roman" w:hAnsi="Times New Roman" w:eastAsia="宋体" w:cs="Times New Roman"/>
                <w:color w:val="auto"/>
                <w:sz w:val="21"/>
                <w:szCs w:val="21"/>
                <w:highlight w:val="none"/>
                <w:lang w:eastAsia="zh-CN"/>
              </w:rPr>
              <w:t>Ⅲ</w:t>
            </w:r>
            <w:r>
              <w:rPr>
                <w:rFonts w:hint="default" w:ascii="Times New Roman" w:hAnsi="Times New Roman" w:eastAsia="宋体" w:cs="Times New Roman"/>
                <w:color w:val="auto"/>
                <w:sz w:val="21"/>
                <w:szCs w:val="21"/>
                <w:highlight w:val="none"/>
              </w:rPr>
              <w:t>类标准</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6" w:type="dxa"/>
            <w:bottom w:w="0" w:type="dxa"/>
            <w:right w:w="56" w:type="dxa"/>
          </w:tblCellMar>
        </w:tblPrEx>
        <w:trPr>
          <w:trHeight w:val="340" w:hRule="atLeast"/>
          <w:jc w:val="center"/>
        </w:trPr>
        <w:tc>
          <w:tcPr>
            <w:tcW w:w="254" w:type="pct"/>
            <w:tcBorders>
              <w:top w:val="single" w:color="auto" w:sz="4" w:space="0"/>
              <w:left w:val="single" w:color="auto" w:sz="4" w:space="0"/>
              <w:bottom w:val="single" w:color="auto" w:sz="4" w:space="0"/>
              <w:right w:val="single" w:color="auto" w:sz="4" w:space="0"/>
            </w:tcBorders>
            <w:vAlign w:val="center"/>
          </w:tcPr>
          <w:p>
            <w:pPr>
              <w:pStyle w:val="32"/>
              <w:pageBreakBefore w:val="0"/>
              <w:tabs>
                <w:tab w:val="left" w:pos="3794"/>
              </w:tabs>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风险防范措施</w:t>
            </w:r>
          </w:p>
        </w:tc>
        <w:tc>
          <w:tcPr>
            <w:tcW w:w="1317" w:type="pct"/>
            <w:gridSpan w:val="3"/>
            <w:tcBorders>
              <w:top w:val="single" w:color="auto" w:sz="4" w:space="0"/>
              <w:left w:val="single" w:color="auto" w:sz="4" w:space="0"/>
              <w:bottom w:val="single" w:color="auto" w:sz="4" w:space="0"/>
              <w:right w:val="single" w:color="auto" w:sz="4" w:space="0"/>
            </w:tcBorders>
            <w:vAlign w:val="center"/>
          </w:tcPr>
          <w:p>
            <w:pPr>
              <w:pStyle w:val="32"/>
              <w:pageBreakBefore w:val="0"/>
              <w:tabs>
                <w:tab w:val="left" w:pos="3794"/>
              </w:tabs>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设有溢洪道、排洪沟、坝肩截水沟、安全观测设施等</w:t>
            </w:r>
          </w:p>
        </w:tc>
        <w:tc>
          <w:tcPr>
            <w:tcW w:w="522" w:type="pct"/>
            <w:tcBorders>
              <w:top w:val="single" w:color="auto" w:sz="4" w:space="0"/>
              <w:left w:val="single" w:color="auto" w:sz="4" w:space="0"/>
              <w:bottom w:val="single" w:color="auto" w:sz="4" w:space="0"/>
              <w:right w:val="single" w:color="auto" w:sz="4" w:space="0"/>
            </w:tcBorders>
            <w:vAlign w:val="center"/>
          </w:tcPr>
          <w:p>
            <w:pPr>
              <w:pStyle w:val="32"/>
              <w:pageBreakBefore w:val="0"/>
              <w:tabs>
                <w:tab w:val="left" w:pos="3794"/>
              </w:tabs>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eastAsia="zh-CN"/>
              </w:rPr>
            </w:pPr>
          </w:p>
        </w:tc>
        <w:tc>
          <w:tcPr>
            <w:tcW w:w="522" w:type="pct"/>
            <w:tcBorders>
              <w:top w:val="single" w:color="auto" w:sz="4" w:space="0"/>
              <w:left w:val="single" w:color="auto" w:sz="4" w:space="0"/>
              <w:bottom w:val="single" w:color="auto" w:sz="4" w:space="0"/>
              <w:right w:val="single" w:color="auto" w:sz="4" w:space="0"/>
            </w:tcBorders>
            <w:vAlign w:val="center"/>
          </w:tcPr>
          <w:p>
            <w:pPr>
              <w:pStyle w:val="32"/>
              <w:pageBreakBefore w:val="0"/>
              <w:tabs>
                <w:tab w:val="left" w:pos="3794"/>
              </w:tabs>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eastAsia="zh-CN"/>
              </w:rPr>
            </w:pPr>
          </w:p>
        </w:tc>
        <w:tc>
          <w:tcPr>
            <w:tcW w:w="523" w:type="pct"/>
            <w:tcBorders>
              <w:top w:val="single" w:color="auto" w:sz="4" w:space="0"/>
              <w:left w:val="single" w:color="auto" w:sz="4" w:space="0"/>
              <w:bottom w:val="single" w:color="auto" w:sz="4" w:space="0"/>
              <w:right w:val="single" w:color="auto" w:sz="4" w:space="0"/>
            </w:tcBorders>
            <w:vAlign w:val="center"/>
          </w:tcPr>
          <w:p>
            <w:pPr>
              <w:pStyle w:val="32"/>
              <w:pageBreakBefore w:val="0"/>
              <w:tabs>
                <w:tab w:val="left" w:pos="3794"/>
              </w:tabs>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w:t>
            </w:r>
          </w:p>
        </w:tc>
        <w:tc>
          <w:tcPr>
            <w:tcW w:w="1859" w:type="pct"/>
            <w:tcBorders>
              <w:top w:val="single" w:color="auto" w:sz="4" w:space="0"/>
              <w:left w:val="single" w:color="auto" w:sz="4" w:space="0"/>
              <w:bottom w:val="single" w:color="auto" w:sz="4" w:space="0"/>
              <w:right w:val="single" w:color="auto" w:sz="4" w:space="0"/>
            </w:tcBorders>
            <w:vAlign w:val="center"/>
          </w:tcPr>
          <w:p>
            <w:pPr>
              <w:pStyle w:val="32"/>
              <w:pageBreakBefore w:val="0"/>
              <w:tabs>
                <w:tab w:val="left" w:pos="3794"/>
              </w:tabs>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6" w:type="dxa"/>
            <w:bottom w:w="0" w:type="dxa"/>
            <w:right w:w="56" w:type="dxa"/>
          </w:tblCellMar>
        </w:tblPrEx>
        <w:trPr>
          <w:trHeight w:val="340" w:hRule="atLeast"/>
          <w:jc w:val="center"/>
        </w:trPr>
        <w:tc>
          <w:tcPr>
            <w:tcW w:w="254" w:type="pct"/>
            <w:tcBorders>
              <w:top w:val="single" w:color="auto" w:sz="4" w:space="0"/>
              <w:left w:val="single" w:color="auto" w:sz="4" w:space="0"/>
              <w:bottom w:val="single" w:color="auto" w:sz="4" w:space="0"/>
              <w:right w:val="single" w:color="auto" w:sz="4" w:space="0"/>
            </w:tcBorders>
            <w:vAlign w:val="center"/>
          </w:tcPr>
          <w:p>
            <w:pPr>
              <w:pStyle w:val="32"/>
              <w:pageBreakBefore w:val="0"/>
              <w:tabs>
                <w:tab w:val="left" w:pos="3794"/>
              </w:tabs>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生态防护措施</w:t>
            </w:r>
          </w:p>
        </w:tc>
        <w:tc>
          <w:tcPr>
            <w:tcW w:w="1317" w:type="pct"/>
            <w:gridSpan w:val="3"/>
            <w:tcBorders>
              <w:top w:val="single" w:color="auto" w:sz="4" w:space="0"/>
              <w:left w:val="single" w:color="auto" w:sz="4" w:space="0"/>
              <w:bottom w:val="single" w:color="auto" w:sz="4" w:space="0"/>
              <w:right w:val="single" w:color="auto" w:sz="4" w:space="0"/>
            </w:tcBorders>
            <w:vAlign w:val="center"/>
          </w:tcPr>
          <w:p>
            <w:pPr>
              <w:pStyle w:val="32"/>
              <w:pageBreakBefore w:val="0"/>
              <w:tabs>
                <w:tab w:val="left" w:pos="3794"/>
              </w:tabs>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运</w:t>
            </w:r>
            <w:r>
              <w:rPr>
                <w:rFonts w:hint="default" w:ascii="Times New Roman" w:hAnsi="Times New Roman" w:eastAsia="宋体" w:cs="Times New Roman"/>
                <w:color w:val="auto"/>
                <w:sz w:val="21"/>
                <w:szCs w:val="21"/>
                <w:highlight w:val="none"/>
                <w:lang w:eastAsia="zh-CN"/>
              </w:rPr>
              <w:t>营</w:t>
            </w:r>
            <w:r>
              <w:rPr>
                <w:rFonts w:hint="default" w:ascii="Times New Roman" w:hAnsi="Times New Roman" w:eastAsia="宋体" w:cs="Times New Roman"/>
                <w:color w:val="auto"/>
                <w:sz w:val="21"/>
                <w:szCs w:val="21"/>
                <w:highlight w:val="none"/>
              </w:rPr>
              <w:t>期针对尾矿库达到设计标高的堆积坝坝顶及其坝体外边坡采用不低于30cm的土进行覆土绿化；服务期满后对尾矿库最终设计坝顶进行覆土绿化</w:t>
            </w:r>
          </w:p>
        </w:tc>
        <w:tc>
          <w:tcPr>
            <w:tcW w:w="522" w:type="pct"/>
            <w:tcBorders>
              <w:top w:val="single" w:color="auto" w:sz="4" w:space="0"/>
              <w:left w:val="single" w:color="auto" w:sz="4" w:space="0"/>
              <w:bottom w:val="single" w:color="auto" w:sz="4" w:space="0"/>
              <w:right w:val="single" w:color="auto" w:sz="4" w:space="0"/>
            </w:tcBorders>
            <w:vAlign w:val="center"/>
          </w:tcPr>
          <w:p>
            <w:pPr>
              <w:pStyle w:val="32"/>
              <w:pageBreakBefore w:val="0"/>
              <w:tabs>
                <w:tab w:val="left" w:pos="3794"/>
              </w:tabs>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eastAsia="zh-CN"/>
              </w:rPr>
            </w:pPr>
          </w:p>
        </w:tc>
        <w:tc>
          <w:tcPr>
            <w:tcW w:w="522" w:type="pct"/>
            <w:tcBorders>
              <w:top w:val="single" w:color="auto" w:sz="4" w:space="0"/>
              <w:left w:val="single" w:color="auto" w:sz="4" w:space="0"/>
              <w:bottom w:val="single" w:color="auto" w:sz="4" w:space="0"/>
              <w:right w:val="single" w:color="auto" w:sz="4" w:space="0"/>
            </w:tcBorders>
            <w:vAlign w:val="center"/>
          </w:tcPr>
          <w:p>
            <w:pPr>
              <w:pStyle w:val="32"/>
              <w:pageBreakBefore w:val="0"/>
              <w:tabs>
                <w:tab w:val="left" w:pos="3794"/>
              </w:tabs>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eastAsia="zh-CN"/>
              </w:rPr>
            </w:pPr>
          </w:p>
        </w:tc>
        <w:tc>
          <w:tcPr>
            <w:tcW w:w="523" w:type="pct"/>
            <w:tcBorders>
              <w:top w:val="single" w:color="auto" w:sz="4" w:space="0"/>
              <w:left w:val="single" w:color="auto" w:sz="4" w:space="0"/>
              <w:bottom w:val="single" w:color="auto" w:sz="4" w:space="0"/>
              <w:right w:val="single" w:color="auto" w:sz="4" w:space="0"/>
            </w:tcBorders>
            <w:vAlign w:val="center"/>
          </w:tcPr>
          <w:p>
            <w:pPr>
              <w:pStyle w:val="32"/>
              <w:pageBreakBefore w:val="0"/>
              <w:tabs>
                <w:tab w:val="left" w:pos="3794"/>
              </w:tabs>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w:t>
            </w:r>
          </w:p>
        </w:tc>
        <w:tc>
          <w:tcPr>
            <w:tcW w:w="1859" w:type="pct"/>
            <w:tcBorders>
              <w:top w:val="single" w:color="auto" w:sz="4" w:space="0"/>
              <w:left w:val="single" w:color="auto" w:sz="4" w:space="0"/>
              <w:bottom w:val="single" w:color="auto" w:sz="4" w:space="0"/>
              <w:right w:val="single" w:color="auto" w:sz="4" w:space="0"/>
            </w:tcBorders>
            <w:vAlign w:val="center"/>
          </w:tcPr>
          <w:p>
            <w:pPr>
              <w:pStyle w:val="32"/>
              <w:pageBreakBefore w:val="0"/>
              <w:tabs>
                <w:tab w:val="left" w:pos="3794"/>
              </w:tabs>
              <w:wordWrap/>
              <w:bidi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rPr>
              <w:t>防治水土流失、恢复植被、保持生态系统稳定性</w:t>
            </w:r>
          </w:p>
        </w:tc>
      </w:tr>
    </w:tbl>
    <w:p>
      <w:pPr>
        <w:bidi w:val="0"/>
        <w:rPr>
          <w:rFonts w:hint="default" w:ascii="Times New Roman" w:hAnsi="Times New Roman" w:eastAsia="宋体" w:cs="Times New Roman"/>
          <w:color w:val="auto"/>
          <w:lang w:val="en-US" w:eastAsia="zh-CN"/>
        </w:rPr>
      </w:pPr>
      <w:bookmarkStart w:id="1567" w:name="_Toc1825"/>
      <w:bookmarkStart w:id="1568" w:name="_Toc163269340"/>
      <w:bookmarkStart w:id="1569" w:name="_Toc252372525"/>
      <w:bookmarkStart w:id="1570" w:name="_Toc288306294"/>
      <w:bookmarkStart w:id="1571" w:name="_Toc260568005"/>
      <w:bookmarkStart w:id="1572" w:name="_Toc32334"/>
    </w:p>
    <w:p>
      <w:pPr>
        <w:bidi w:val="0"/>
        <w:rPr>
          <w:rFonts w:hint="default" w:ascii="Times New Roman" w:hAnsi="Times New Roman" w:eastAsia="宋体" w:cs="Times New Roman"/>
          <w:color w:val="auto"/>
          <w:lang w:val="en-US" w:eastAsia="zh-CN"/>
        </w:rPr>
      </w:pPr>
    </w:p>
    <w:p>
      <w:pPr>
        <w:bidi w:val="0"/>
        <w:rPr>
          <w:rFonts w:hint="default" w:ascii="Times New Roman" w:hAnsi="Times New Roman" w:eastAsia="宋体" w:cs="Times New Roman"/>
          <w:color w:val="auto"/>
          <w:lang w:val="en-US" w:eastAsia="zh-CN"/>
        </w:rPr>
      </w:pPr>
    </w:p>
    <w:p>
      <w:pPr>
        <w:bidi w:val="0"/>
        <w:rPr>
          <w:rFonts w:hint="default" w:ascii="Times New Roman" w:hAnsi="Times New Roman" w:eastAsia="宋体" w:cs="Times New Roman"/>
          <w:color w:val="auto"/>
          <w:lang w:val="en-US" w:eastAsia="zh-CN"/>
        </w:rPr>
        <w:sectPr>
          <w:pgSz w:w="11906" w:h="16838"/>
          <w:pgMar w:top="1440" w:right="1800" w:bottom="1440" w:left="1800" w:header="851" w:footer="1020" w:gutter="0"/>
          <w:pgNumType w:fmt="decimal"/>
          <w:cols w:space="720" w:num="1"/>
          <w:docGrid w:linePitch="312" w:charSpace="0"/>
        </w:sectPr>
      </w:pPr>
    </w:p>
    <w:p>
      <w:pPr>
        <w:pStyle w:val="3"/>
        <w:keepNext/>
        <w:keepLines/>
        <w:pageBreakBefore w:val="0"/>
        <w:widowControl w:val="0"/>
        <w:numPr>
          <w:ilvl w:val="0"/>
          <w:numId w:val="0"/>
        </w:numPr>
        <w:kinsoku/>
        <w:wordWrap/>
        <w:overflowPunct/>
        <w:topLinePunct w:val="0"/>
        <w:autoSpaceDE/>
        <w:autoSpaceDN/>
        <w:bidi w:val="0"/>
        <w:adjustRightInd/>
        <w:snapToGrid/>
        <w:ind w:left="0" w:leftChars="0" w:right="0" w:rightChars="0" w:firstLine="0" w:firstLineChars="0"/>
        <w:textAlignment w:val="auto"/>
        <w:outlineLvl w:val="2"/>
        <w:rPr>
          <w:rFonts w:hint="default" w:ascii="Times New Roman" w:hAnsi="Times New Roman" w:eastAsia="宋体" w:cs="Times New Roman"/>
          <w:b/>
          <w:bCs w:val="0"/>
          <w:color w:val="auto"/>
          <w:sz w:val="32"/>
          <w:szCs w:val="32"/>
          <w:highlight w:val="none"/>
        </w:rPr>
      </w:pPr>
      <w:r>
        <w:rPr>
          <w:rFonts w:hint="default" w:ascii="Times New Roman" w:hAnsi="Times New Roman" w:eastAsia="宋体" w:cs="Times New Roman"/>
          <w:b/>
          <w:bCs w:val="0"/>
          <w:i w:val="0"/>
          <w:color w:val="auto"/>
          <w:kern w:val="44"/>
          <w:sz w:val="32"/>
          <w:szCs w:val="32"/>
          <w:highlight w:val="none"/>
          <w:lang w:val="en-US" w:eastAsia="zh-CN" w:bidi="ar-SA"/>
        </w:rPr>
        <w:t>12</w:t>
      </w:r>
      <w:r>
        <w:rPr>
          <w:rFonts w:hint="default" w:ascii="Times New Roman" w:hAnsi="Times New Roman" w:eastAsia="宋体" w:cs="Times New Roman"/>
          <w:b/>
          <w:bCs w:val="0"/>
          <w:color w:val="auto"/>
          <w:sz w:val="32"/>
          <w:szCs w:val="32"/>
          <w:highlight w:val="none"/>
        </w:rPr>
        <w:t>结论与建议</w:t>
      </w:r>
      <w:bookmarkEnd w:id="1567"/>
      <w:bookmarkEnd w:id="1568"/>
      <w:bookmarkEnd w:id="1569"/>
      <w:bookmarkEnd w:id="1570"/>
      <w:bookmarkEnd w:id="1571"/>
      <w:bookmarkEnd w:id="1572"/>
    </w:p>
    <w:p>
      <w:pPr>
        <w:pStyle w:val="4"/>
        <w:keepNext/>
        <w:keepLines/>
        <w:pageBreakBefore w:val="0"/>
        <w:widowControl w:val="0"/>
        <w:numPr>
          <w:ilvl w:val="1"/>
          <w:numId w:val="0"/>
        </w:numPr>
        <w:kinsoku/>
        <w:wordWrap/>
        <w:overflowPunct/>
        <w:topLinePunct w:val="0"/>
        <w:autoSpaceDE/>
        <w:autoSpaceDN/>
        <w:bidi w:val="0"/>
        <w:adjustRightInd/>
        <w:snapToGrid/>
        <w:ind w:left="0" w:leftChars="0" w:right="0" w:rightChars="0" w:firstLine="0" w:firstLineChars="0"/>
        <w:textAlignment w:val="auto"/>
        <w:rPr>
          <w:rFonts w:hint="default" w:ascii="Times New Roman" w:hAnsi="Times New Roman" w:eastAsia="宋体" w:cs="Times New Roman"/>
          <w:b/>
          <w:bCs w:val="0"/>
          <w:color w:val="auto"/>
          <w:sz w:val="28"/>
          <w:szCs w:val="28"/>
          <w:highlight w:val="none"/>
        </w:rPr>
      </w:pPr>
      <w:bookmarkStart w:id="1573" w:name="_Toc16484"/>
      <w:bookmarkStart w:id="1574" w:name="_Toc6812"/>
      <w:bookmarkStart w:id="1575" w:name="_Toc131296120"/>
      <w:r>
        <w:rPr>
          <w:rFonts w:hint="default" w:ascii="Times New Roman" w:hAnsi="Times New Roman" w:eastAsia="宋体" w:cs="Times New Roman"/>
          <w:b/>
          <w:bCs w:val="0"/>
          <w:i w:val="0"/>
          <w:color w:val="auto"/>
          <w:kern w:val="2"/>
          <w:sz w:val="28"/>
          <w:szCs w:val="28"/>
          <w:highlight w:val="none"/>
          <w:lang w:val="en-US" w:eastAsia="zh-CN" w:bidi="ar-SA"/>
        </w:rPr>
        <w:t>12.1</w:t>
      </w:r>
      <w:r>
        <w:rPr>
          <w:rFonts w:hint="default" w:ascii="Times New Roman" w:hAnsi="Times New Roman" w:eastAsia="宋体" w:cs="Times New Roman"/>
          <w:b/>
          <w:bCs w:val="0"/>
          <w:color w:val="auto"/>
          <w:sz w:val="28"/>
          <w:szCs w:val="28"/>
          <w:highlight w:val="none"/>
        </w:rPr>
        <w:t>项目概况</w:t>
      </w:r>
      <w:bookmarkEnd w:id="1573"/>
      <w:bookmarkEnd w:id="1574"/>
    </w:p>
    <w:bookmarkEnd w:id="1575"/>
    <w:p>
      <w:pPr>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lang w:eastAsia="zh-CN"/>
        </w:rPr>
      </w:pPr>
      <w:bookmarkStart w:id="1576" w:name="_Toc136052411"/>
      <w:bookmarkStart w:id="1577" w:name="_Toc131306317"/>
      <w:bookmarkStart w:id="1578" w:name="_Toc131296123"/>
      <w:r>
        <w:rPr>
          <w:rFonts w:hint="default" w:ascii="Times New Roman" w:hAnsi="Times New Roman" w:eastAsia="宋体" w:cs="Times New Roman"/>
          <w:bCs/>
          <w:color w:val="auto"/>
          <w:sz w:val="24"/>
          <w:szCs w:val="24"/>
          <w:highlight w:val="none"/>
          <w:lang w:bidi="en-US"/>
        </w:rPr>
        <w:t>本次扩建</w:t>
      </w:r>
      <w:r>
        <w:rPr>
          <w:rFonts w:hint="default" w:ascii="Times New Roman" w:hAnsi="Times New Roman" w:eastAsia="宋体" w:cs="Times New Roman"/>
          <w:color w:val="auto"/>
          <w:sz w:val="24"/>
          <w:szCs w:val="24"/>
          <w:highlight w:val="none"/>
        </w:rPr>
        <w:t>内容为</w:t>
      </w:r>
      <w:r>
        <w:rPr>
          <w:rFonts w:hint="default" w:ascii="Times New Roman" w:hAnsi="Times New Roman" w:eastAsia="宋体" w:cs="Times New Roman"/>
          <w:color w:val="auto"/>
          <w:sz w:val="24"/>
          <w:szCs w:val="24"/>
          <w:highlight w:val="none"/>
          <w:lang w:eastAsia="zh-CN"/>
        </w:rPr>
        <w:t>：对</w:t>
      </w:r>
      <w:r>
        <w:rPr>
          <w:rFonts w:hint="default" w:ascii="Times New Roman" w:hAnsi="Times New Roman" w:eastAsia="宋体" w:cs="Times New Roman"/>
          <w:color w:val="auto"/>
          <w:sz w:val="24"/>
          <w:szCs w:val="24"/>
          <w:highlight w:val="none"/>
        </w:rPr>
        <w:t>西沙德盖钼业公司现有尾矿库进行加高扩容</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扩建后</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尾矿库</w:t>
      </w:r>
      <w:r>
        <w:rPr>
          <w:rFonts w:hint="default" w:ascii="Times New Roman" w:hAnsi="Times New Roman" w:eastAsia="宋体" w:cs="Times New Roman"/>
          <w:color w:val="auto"/>
          <w:sz w:val="24"/>
          <w:szCs w:val="24"/>
          <w:highlight w:val="none"/>
          <w:lang w:eastAsia="zh-CN"/>
        </w:rPr>
        <w:t>占地面积</w:t>
      </w:r>
      <w:r>
        <w:rPr>
          <w:rFonts w:hint="default" w:ascii="Times New Roman" w:hAnsi="Times New Roman" w:eastAsia="宋体" w:cs="Times New Roman"/>
          <w:color w:val="auto"/>
          <w:sz w:val="24"/>
          <w:szCs w:val="24"/>
          <w:highlight w:val="none"/>
        </w:rPr>
        <w:t>由现有</w:t>
      </w:r>
      <w:r>
        <w:rPr>
          <w:rFonts w:hint="default" w:ascii="Times New Roman" w:hAnsi="Times New Roman" w:eastAsia="宋体" w:cs="Times New Roman"/>
          <w:color w:val="auto"/>
          <w:sz w:val="24"/>
          <w:highlight w:val="none"/>
        </w:rPr>
        <w:t>378655.29m</w:t>
      </w:r>
      <w:r>
        <w:rPr>
          <w:rFonts w:hint="default" w:ascii="Times New Roman" w:hAnsi="Times New Roman" w:eastAsia="宋体" w:cs="Times New Roman"/>
          <w:color w:val="auto"/>
          <w:sz w:val="24"/>
          <w:highlight w:val="none"/>
          <w:vertAlign w:val="superscript"/>
        </w:rPr>
        <w:t>2</w:t>
      </w:r>
      <w:r>
        <w:rPr>
          <w:rFonts w:hint="default" w:ascii="Times New Roman" w:hAnsi="Times New Roman" w:eastAsia="宋体" w:cs="Times New Roman"/>
          <w:color w:val="auto"/>
          <w:sz w:val="24"/>
          <w:highlight w:val="none"/>
          <w:vertAlign w:val="baseline"/>
          <w:lang w:eastAsia="zh-CN"/>
        </w:rPr>
        <w:t>扩大</w:t>
      </w:r>
      <w:r>
        <w:rPr>
          <w:rFonts w:hint="default" w:ascii="Times New Roman" w:hAnsi="Times New Roman" w:eastAsia="宋体" w:cs="Times New Roman"/>
          <w:color w:val="auto"/>
          <w:sz w:val="24"/>
          <w:szCs w:val="24"/>
          <w:highlight w:val="none"/>
        </w:rPr>
        <w:t>至</w:t>
      </w:r>
      <w:r>
        <w:rPr>
          <w:rFonts w:hint="default" w:ascii="Times New Roman" w:hAnsi="Times New Roman" w:eastAsia="宋体" w:cs="Times New Roman"/>
          <w:color w:val="auto"/>
          <w:sz w:val="24"/>
          <w:szCs w:val="24"/>
          <w:highlight w:val="none"/>
          <w:lang w:val="en-US" w:eastAsia="zh-CN"/>
        </w:rPr>
        <w:t>591800m</w:t>
      </w:r>
      <w:r>
        <w:rPr>
          <w:rFonts w:hint="default" w:ascii="Times New Roman" w:hAnsi="Times New Roman" w:eastAsia="宋体" w:cs="Times New Roman"/>
          <w:color w:val="auto"/>
          <w:sz w:val="24"/>
          <w:szCs w:val="24"/>
          <w:highlight w:val="none"/>
          <w:vertAlign w:val="superscript"/>
          <w:lang w:val="en-US" w:eastAsia="zh-CN"/>
        </w:rPr>
        <w:t>2</w:t>
      </w:r>
      <w:r>
        <w:rPr>
          <w:rFonts w:hint="default" w:ascii="Times New Roman" w:hAnsi="Times New Roman" w:eastAsia="宋体" w:cs="Times New Roman"/>
          <w:color w:val="auto"/>
          <w:sz w:val="24"/>
          <w:szCs w:val="24"/>
          <w:highlight w:val="none"/>
          <w:lang w:eastAsia="zh-CN"/>
        </w:rPr>
        <w:t>（新增占地面积</w:t>
      </w:r>
      <w:r>
        <w:rPr>
          <w:rFonts w:hint="default" w:ascii="Times New Roman" w:hAnsi="Times New Roman" w:eastAsia="宋体" w:cs="Times New Roman"/>
          <w:color w:val="auto"/>
          <w:sz w:val="24"/>
          <w:szCs w:val="24"/>
          <w:highlight w:val="none"/>
          <w:lang w:val="en-US" w:eastAsia="zh-CN"/>
        </w:rPr>
        <w:t>213144.71m</w:t>
      </w:r>
      <w:r>
        <w:rPr>
          <w:rFonts w:hint="default" w:ascii="Times New Roman" w:hAnsi="Times New Roman" w:eastAsia="宋体" w:cs="Times New Roman"/>
          <w:color w:val="auto"/>
          <w:sz w:val="24"/>
          <w:szCs w:val="24"/>
          <w:highlight w:val="none"/>
          <w:vertAlign w:val="superscript"/>
          <w:lang w:val="en-US" w:eastAsia="zh-CN"/>
        </w:rPr>
        <w:t>2</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新增占地性质为其他草原，土地手续正在办理中</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总坝高由现有的</w:t>
      </w:r>
      <w:r>
        <w:rPr>
          <w:rFonts w:hint="default" w:ascii="Times New Roman" w:hAnsi="Times New Roman" w:eastAsia="宋体" w:cs="Times New Roman"/>
          <w:color w:val="auto"/>
          <w:sz w:val="24"/>
          <w:szCs w:val="24"/>
          <w:highlight w:val="none"/>
          <w:lang w:val="en-US" w:eastAsia="zh-CN"/>
        </w:rPr>
        <w:t>88m</w:t>
      </w:r>
      <w:r>
        <w:rPr>
          <w:rFonts w:hint="default" w:ascii="Times New Roman" w:hAnsi="Times New Roman" w:eastAsia="宋体" w:cs="Times New Roman"/>
          <w:color w:val="auto"/>
          <w:sz w:val="24"/>
          <w:highlight w:val="none"/>
          <w:vertAlign w:val="baseline"/>
          <w:lang w:eastAsia="zh-CN"/>
        </w:rPr>
        <w:t>扩大</w:t>
      </w:r>
      <w:r>
        <w:rPr>
          <w:rFonts w:hint="default" w:ascii="Times New Roman" w:hAnsi="Times New Roman" w:eastAsia="宋体" w:cs="Times New Roman"/>
          <w:color w:val="auto"/>
          <w:sz w:val="24"/>
          <w:szCs w:val="24"/>
          <w:highlight w:val="none"/>
        </w:rPr>
        <w:t>至</w:t>
      </w:r>
      <w:r>
        <w:rPr>
          <w:rFonts w:hint="default" w:ascii="Times New Roman" w:hAnsi="Times New Roman" w:eastAsia="宋体" w:cs="Times New Roman"/>
          <w:color w:val="auto"/>
          <w:sz w:val="24"/>
          <w:highlight w:val="none"/>
          <w:vertAlign w:val="baseline"/>
          <w:lang w:val="en-US" w:eastAsia="zh-CN"/>
        </w:rPr>
        <w:t>129m</w:t>
      </w:r>
      <w:r>
        <w:rPr>
          <w:rFonts w:hint="default" w:ascii="Times New Roman" w:hAnsi="Times New Roman" w:eastAsia="宋体" w:cs="Times New Roman"/>
          <w:color w:val="auto"/>
          <w:sz w:val="24"/>
          <w:szCs w:val="24"/>
          <w:highlight w:val="none"/>
          <w:lang w:eastAsia="zh-CN"/>
        </w:rPr>
        <w:t>（新增坝高</w:t>
      </w:r>
      <w:r>
        <w:rPr>
          <w:rFonts w:hint="default" w:ascii="Times New Roman" w:hAnsi="Times New Roman" w:eastAsia="宋体" w:cs="Times New Roman"/>
          <w:color w:val="auto"/>
          <w:sz w:val="24"/>
          <w:szCs w:val="24"/>
          <w:highlight w:val="none"/>
          <w:lang w:val="en-US" w:eastAsia="zh-CN"/>
        </w:rPr>
        <w:t>41m</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highlight w:val="none"/>
          <w:vertAlign w:val="baseline"/>
          <w:lang w:val="en-US" w:eastAsia="zh-CN"/>
        </w:rPr>
        <w:t>，</w:t>
      </w:r>
      <w:r>
        <w:rPr>
          <w:rFonts w:hint="default" w:ascii="Times New Roman" w:hAnsi="Times New Roman" w:eastAsia="宋体" w:cs="Times New Roman"/>
          <w:color w:val="auto"/>
          <w:sz w:val="24"/>
          <w:szCs w:val="24"/>
          <w:highlight w:val="none"/>
        </w:rPr>
        <w:t>库容由现有设计库容1219.53万m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扩大至2145万m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lang w:eastAsia="zh-CN"/>
        </w:rPr>
        <w:t>（新增</w:t>
      </w:r>
      <w:r>
        <w:rPr>
          <w:rFonts w:hint="default" w:ascii="Times New Roman" w:hAnsi="Times New Roman" w:eastAsia="宋体" w:cs="Times New Roman"/>
          <w:color w:val="auto"/>
          <w:sz w:val="24"/>
          <w:szCs w:val="24"/>
          <w:highlight w:val="none"/>
        </w:rPr>
        <w:t>库容926万m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lang w:eastAsia="zh-CN"/>
        </w:rPr>
        <w:t>，利用系数按</w:t>
      </w:r>
      <w:r>
        <w:rPr>
          <w:rFonts w:hint="default" w:ascii="Times New Roman" w:hAnsi="Times New Roman" w:eastAsia="宋体" w:cs="Times New Roman"/>
          <w:color w:val="auto"/>
          <w:sz w:val="24"/>
          <w:szCs w:val="24"/>
          <w:highlight w:val="none"/>
          <w:lang w:val="en-US" w:eastAsia="zh-CN"/>
        </w:rPr>
        <w:t>0.75计算，</w:t>
      </w:r>
      <w:r>
        <w:rPr>
          <w:rFonts w:hint="default" w:ascii="Times New Roman" w:hAnsi="Times New Roman" w:eastAsia="宋体" w:cs="Times New Roman"/>
          <w:color w:val="auto"/>
          <w:sz w:val="24"/>
          <w:szCs w:val="24"/>
          <w:highlight w:val="none"/>
        </w:rPr>
        <w:t>有效库容增加695万m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lang w:eastAsia="zh-CN"/>
        </w:rPr>
        <w:t>），尾矿库等别</w:t>
      </w:r>
      <w:r>
        <w:rPr>
          <w:rFonts w:hint="default" w:ascii="Times New Roman" w:hAnsi="Times New Roman" w:eastAsia="宋体" w:cs="Times New Roman"/>
          <w:color w:val="auto"/>
          <w:sz w:val="24"/>
          <w:szCs w:val="24"/>
          <w:highlight w:val="none"/>
        </w:rPr>
        <w:t>由</w:t>
      </w:r>
      <w:r>
        <w:rPr>
          <w:rFonts w:hint="default" w:ascii="Times New Roman" w:hAnsi="Times New Roman" w:eastAsia="宋体" w:cs="Times New Roman"/>
          <w:color w:val="auto"/>
          <w:sz w:val="24"/>
          <w:szCs w:val="24"/>
          <w:highlight w:val="none"/>
          <w:lang w:eastAsia="zh-CN"/>
        </w:rPr>
        <w:t>现在的</w:t>
      </w:r>
      <w:r>
        <w:rPr>
          <w:rFonts w:hint="default" w:ascii="Times New Roman" w:hAnsi="Times New Roman" w:eastAsia="宋体" w:cs="Times New Roman"/>
          <w:color w:val="auto"/>
          <w:sz w:val="24"/>
          <w:szCs w:val="24"/>
          <w:highlight w:val="none"/>
        </w:rPr>
        <w:t>三等库提高为二等库</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GB"/>
        </w:rPr>
        <w:t>按照年排尾矿量</w:t>
      </w:r>
      <w:r>
        <w:rPr>
          <w:rFonts w:hint="default" w:ascii="Times New Roman" w:hAnsi="Times New Roman" w:eastAsia="宋体" w:cs="Times New Roman"/>
          <w:color w:val="auto"/>
          <w:sz w:val="24"/>
          <w:szCs w:val="24"/>
          <w:highlight w:val="none"/>
          <w:lang w:val="en-GB" w:eastAsia="zh-CN"/>
        </w:rPr>
        <w:t>299.46</w:t>
      </w:r>
      <w:r>
        <w:rPr>
          <w:rFonts w:hint="default" w:ascii="Times New Roman" w:hAnsi="Times New Roman" w:eastAsia="宋体" w:cs="Times New Roman"/>
          <w:color w:val="auto"/>
          <w:sz w:val="24"/>
          <w:szCs w:val="24"/>
          <w:highlight w:val="none"/>
          <w:lang w:val="en-GB"/>
        </w:rPr>
        <w:t>万</w:t>
      </w:r>
      <w:r>
        <w:rPr>
          <w:rFonts w:hint="default" w:ascii="Times New Roman" w:hAnsi="Times New Roman" w:eastAsia="宋体" w:cs="Times New Roman"/>
          <w:color w:val="auto"/>
          <w:sz w:val="24"/>
          <w:szCs w:val="24"/>
          <w:highlight w:val="none"/>
        </w:rPr>
        <w:t>t</w:t>
      </w:r>
      <w:r>
        <w:rPr>
          <w:rFonts w:hint="default" w:ascii="Times New Roman" w:hAnsi="Times New Roman" w:eastAsia="宋体" w:cs="Times New Roman"/>
          <w:color w:val="auto"/>
          <w:sz w:val="24"/>
          <w:szCs w:val="24"/>
          <w:highlight w:val="none"/>
          <w:lang w:val="en-GB"/>
        </w:rPr>
        <w:t>/a计算</w:t>
      </w:r>
      <w:r>
        <w:rPr>
          <w:rFonts w:hint="default" w:ascii="Times New Roman" w:hAnsi="Times New Roman" w:eastAsia="宋体" w:cs="Times New Roman"/>
          <w:color w:val="auto"/>
          <w:sz w:val="24"/>
          <w:szCs w:val="24"/>
          <w:highlight w:val="none"/>
          <w:lang w:val="en-GB" w:eastAsia="zh-CN"/>
        </w:rPr>
        <w:t>，</w:t>
      </w:r>
      <w:r>
        <w:rPr>
          <w:rFonts w:hint="default" w:ascii="Times New Roman" w:hAnsi="Times New Roman" w:eastAsia="宋体" w:cs="Times New Roman"/>
          <w:color w:val="auto"/>
          <w:sz w:val="24"/>
          <w:szCs w:val="24"/>
          <w:highlight w:val="none"/>
          <w:lang w:val="en-GB"/>
        </w:rPr>
        <w:t>尾矿平均堆积干容重按1.6t/m</w:t>
      </w:r>
      <w:r>
        <w:rPr>
          <w:rFonts w:hint="default" w:ascii="Times New Roman" w:hAnsi="Times New Roman" w:eastAsia="宋体" w:cs="Times New Roman"/>
          <w:color w:val="auto"/>
          <w:sz w:val="24"/>
          <w:szCs w:val="24"/>
          <w:highlight w:val="none"/>
          <w:vertAlign w:val="superscript"/>
          <w:lang w:val="en-GB"/>
        </w:rPr>
        <w:t>3</w:t>
      </w:r>
      <w:r>
        <w:rPr>
          <w:rFonts w:hint="default" w:ascii="Times New Roman" w:hAnsi="Times New Roman" w:eastAsia="宋体" w:cs="Times New Roman"/>
          <w:color w:val="auto"/>
          <w:sz w:val="24"/>
          <w:szCs w:val="24"/>
          <w:highlight w:val="none"/>
          <w:lang w:val="en-GB"/>
        </w:rPr>
        <w:t>计算</w:t>
      </w:r>
      <w:r>
        <w:rPr>
          <w:rFonts w:hint="default" w:ascii="Times New Roman" w:hAnsi="Times New Roman" w:eastAsia="宋体" w:cs="Times New Roman"/>
          <w:color w:val="auto"/>
          <w:sz w:val="24"/>
          <w:szCs w:val="24"/>
          <w:highlight w:val="none"/>
          <w:lang w:val="en-GB" w:eastAsia="zh-CN"/>
        </w:rPr>
        <w:t>，现有尾矿库剩余服务年限约0.9年，</w:t>
      </w:r>
      <w:r>
        <w:rPr>
          <w:rFonts w:hint="default" w:ascii="Times New Roman" w:hAnsi="Times New Roman" w:eastAsia="宋体" w:cs="Times New Roman"/>
          <w:color w:val="auto"/>
          <w:sz w:val="24"/>
          <w:szCs w:val="24"/>
          <w:highlight w:val="none"/>
        </w:rPr>
        <w:t>扩建尾矿库服务年限约</w:t>
      </w:r>
      <w:r>
        <w:rPr>
          <w:rFonts w:hint="default" w:ascii="Times New Roman" w:hAnsi="Times New Roman" w:eastAsia="宋体" w:cs="Times New Roman"/>
          <w:color w:val="auto"/>
          <w:sz w:val="24"/>
          <w:szCs w:val="24"/>
          <w:highlight w:val="none"/>
          <w:lang w:eastAsia="zh-CN"/>
        </w:rPr>
        <w:t>3.7</w:t>
      </w:r>
      <w:r>
        <w:rPr>
          <w:rFonts w:hint="default" w:ascii="Times New Roman" w:hAnsi="Times New Roman" w:eastAsia="宋体" w:cs="Times New Roman"/>
          <w:color w:val="auto"/>
          <w:sz w:val="24"/>
          <w:szCs w:val="24"/>
          <w:highlight w:val="none"/>
        </w:rPr>
        <w:t>年</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扩建后尾矿库</w:t>
      </w:r>
      <w:r>
        <w:rPr>
          <w:rFonts w:hint="default" w:ascii="Times New Roman" w:hAnsi="Times New Roman" w:eastAsia="宋体" w:cs="Times New Roman"/>
          <w:color w:val="auto"/>
          <w:sz w:val="24"/>
          <w:szCs w:val="24"/>
          <w:highlight w:val="none"/>
        </w:rPr>
        <w:t>服务年限约</w:t>
      </w:r>
      <w:r>
        <w:rPr>
          <w:rFonts w:hint="default" w:ascii="Times New Roman" w:hAnsi="Times New Roman" w:eastAsia="宋体" w:cs="Times New Roman"/>
          <w:color w:val="auto"/>
          <w:sz w:val="24"/>
          <w:szCs w:val="24"/>
          <w:highlight w:val="none"/>
          <w:lang w:val="en-US" w:eastAsia="zh-CN"/>
        </w:rPr>
        <w:t>4.6</w:t>
      </w:r>
      <w:r>
        <w:rPr>
          <w:rFonts w:hint="default" w:ascii="Times New Roman" w:hAnsi="Times New Roman" w:eastAsia="宋体" w:cs="Times New Roman"/>
          <w:color w:val="auto"/>
          <w:sz w:val="24"/>
          <w:szCs w:val="24"/>
          <w:highlight w:val="none"/>
        </w:rPr>
        <w:t>年</w:t>
      </w:r>
      <w:r>
        <w:rPr>
          <w:rFonts w:hint="default" w:ascii="Times New Roman" w:hAnsi="Times New Roman" w:eastAsia="宋体" w:cs="Times New Roman"/>
          <w:color w:val="auto"/>
          <w:sz w:val="24"/>
          <w:szCs w:val="24"/>
          <w:highlight w:val="none"/>
          <w:lang w:eastAsia="zh-CN"/>
        </w:rPr>
        <w:t>。</w:t>
      </w:r>
    </w:p>
    <w:p>
      <w:pPr>
        <w:pStyle w:val="4"/>
        <w:pageBreakBefore w:val="0"/>
        <w:widowControl w:val="0"/>
        <w:numPr>
          <w:ilvl w:val="1"/>
          <w:numId w:val="0"/>
        </w:numPr>
        <w:kinsoku/>
        <w:wordWrap/>
        <w:overflowPunct/>
        <w:topLinePunct w:val="0"/>
        <w:autoSpaceDE/>
        <w:autoSpaceDN/>
        <w:bidi w:val="0"/>
        <w:ind w:left="0" w:leftChars="0" w:right="0" w:rightChars="0"/>
        <w:textAlignment w:val="auto"/>
        <w:rPr>
          <w:rFonts w:hint="default" w:ascii="Times New Roman" w:hAnsi="Times New Roman" w:eastAsia="宋体" w:cs="Times New Roman"/>
          <w:b/>
          <w:bCs w:val="0"/>
          <w:color w:val="auto"/>
          <w:sz w:val="28"/>
          <w:szCs w:val="28"/>
          <w:highlight w:val="none"/>
        </w:rPr>
      </w:pPr>
      <w:bookmarkStart w:id="1579" w:name="_Toc3671"/>
      <w:bookmarkStart w:id="1580" w:name="_Toc26513"/>
      <w:r>
        <w:rPr>
          <w:rFonts w:hint="default" w:ascii="Times New Roman" w:hAnsi="Times New Roman" w:eastAsia="宋体" w:cs="Times New Roman"/>
          <w:b/>
          <w:bCs w:val="0"/>
          <w:i w:val="0"/>
          <w:color w:val="auto"/>
          <w:kern w:val="2"/>
          <w:sz w:val="28"/>
          <w:szCs w:val="28"/>
          <w:highlight w:val="none"/>
          <w:lang w:val="en-US" w:eastAsia="zh-CN" w:bidi="ar-SA"/>
        </w:rPr>
        <w:t>12.2</w:t>
      </w:r>
      <w:r>
        <w:rPr>
          <w:rFonts w:hint="default" w:ascii="Times New Roman" w:hAnsi="Times New Roman" w:eastAsia="宋体" w:cs="Times New Roman"/>
          <w:b/>
          <w:bCs w:val="0"/>
          <w:color w:val="auto"/>
          <w:sz w:val="28"/>
          <w:szCs w:val="28"/>
          <w:highlight w:val="none"/>
        </w:rPr>
        <w:t>产业政策符合性结论</w:t>
      </w:r>
      <w:bookmarkEnd w:id="1579"/>
      <w:bookmarkEnd w:id="1580"/>
    </w:p>
    <w:p>
      <w:pPr>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highlight w:val="none"/>
        </w:rPr>
        <w:t>根据《</w:t>
      </w:r>
      <w:r>
        <w:rPr>
          <w:rFonts w:hint="default" w:ascii="Times New Roman" w:hAnsi="Times New Roman" w:eastAsia="宋体" w:cs="Times New Roman"/>
          <w:color w:val="auto"/>
          <w:sz w:val="24"/>
          <w:highlight w:val="none"/>
          <w:lang w:eastAsia="zh-CN"/>
        </w:rPr>
        <w:t>产业结构调整指导目录</w:t>
      </w:r>
      <w:r>
        <w:rPr>
          <w:rFonts w:hint="default" w:ascii="Times New Roman" w:hAnsi="Times New Roman" w:eastAsia="宋体" w:cs="Times New Roman"/>
          <w:color w:val="auto"/>
          <w:sz w:val="24"/>
          <w:highlight w:val="none"/>
        </w:rPr>
        <w:t>（20</w:t>
      </w:r>
      <w:r>
        <w:rPr>
          <w:rFonts w:hint="default" w:ascii="Times New Roman" w:hAnsi="Times New Roman" w:eastAsia="宋体" w:cs="Times New Roman"/>
          <w:color w:val="auto"/>
          <w:sz w:val="24"/>
          <w:highlight w:val="none"/>
          <w:lang w:val="en-US" w:eastAsia="zh-CN"/>
        </w:rPr>
        <w:t>24</w:t>
      </w:r>
      <w:r>
        <w:rPr>
          <w:rFonts w:hint="default" w:ascii="Times New Roman" w:hAnsi="Times New Roman" w:eastAsia="宋体" w:cs="Times New Roman"/>
          <w:color w:val="auto"/>
          <w:sz w:val="24"/>
          <w:highlight w:val="none"/>
        </w:rPr>
        <w:t>年本</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本次工程为</w:t>
      </w:r>
      <w:r>
        <w:rPr>
          <w:rFonts w:hint="default" w:ascii="Times New Roman" w:hAnsi="Times New Roman" w:eastAsia="宋体" w:cs="Times New Roman"/>
          <w:color w:val="auto"/>
          <w:sz w:val="24"/>
          <w:highlight w:val="none"/>
          <w:lang w:eastAsia="zh-CN"/>
        </w:rPr>
        <w:t>尾矿库加高扩容</w:t>
      </w:r>
      <w:r>
        <w:rPr>
          <w:rFonts w:hint="default" w:ascii="Times New Roman" w:hAnsi="Times New Roman" w:eastAsia="宋体" w:cs="Times New Roman"/>
          <w:color w:val="auto"/>
          <w:sz w:val="24"/>
          <w:highlight w:val="none"/>
        </w:rPr>
        <w:t>项目</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未在鼓励类、限制类和淘汰类中列出</w:t>
      </w:r>
      <w:r>
        <w:rPr>
          <w:rFonts w:hint="default" w:ascii="Times New Roman" w:hAnsi="Times New Roman" w:eastAsia="宋体" w:cs="Times New Roman"/>
          <w:color w:val="auto"/>
          <w:sz w:val="24"/>
          <w:highlight w:val="none"/>
          <w:lang w:eastAsia="zh-CN"/>
        </w:rPr>
        <w:t>，属</w:t>
      </w:r>
      <w:r>
        <w:rPr>
          <w:rFonts w:hint="default" w:ascii="Times New Roman" w:hAnsi="Times New Roman" w:eastAsia="宋体" w:cs="Times New Roman"/>
          <w:color w:val="auto"/>
          <w:sz w:val="24"/>
          <w:highlight w:val="none"/>
        </w:rPr>
        <w:t>于允许类；同时</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本次工程于2023年2月取得了乌拉特前旗工业信息化局</w:t>
      </w:r>
      <w:r>
        <w:rPr>
          <w:rFonts w:hint="default" w:ascii="Times New Roman" w:hAnsi="Times New Roman" w:eastAsia="宋体" w:cs="Times New Roman"/>
          <w:color w:val="auto"/>
          <w:sz w:val="24"/>
          <w:highlight w:val="none"/>
          <w:lang w:eastAsia="zh-CN"/>
        </w:rPr>
        <w:t>出具的</w:t>
      </w:r>
      <w:r>
        <w:rPr>
          <w:rFonts w:hint="default" w:ascii="Times New Roman" w:hAnsi="Times New Roman" w:eastAsia="宋体" w:cs="Times New Roman"/>
          <w:color w:val="auto"/>
          <w:sz w:val="24"/>
          <w:highlight w:val="none"/>
        </w:rPr>
        <w:t>《项目备案告知书》</w:t>
      </w:r>
      <w:r>
        <w:rPr>
          <w:rFonts w:hint="default" w:ascii="Times New Roman" w:hAnsi="Times New Roman" w:eastAsia="宋体" w:cs="Times New Roman"/>
          <w:color w:val="auto"/>
          <w:sz w:val="24"/>
          <w:highlight w:val="none"/>
          <w:lang w:eastAsia="zh-CN"/>
        </w:rPr>
        <w:t>，项目代码：</w:t>
      </w:r>
      <w:r>
        <w:rPr>
          <w:rFonts w:hint="default" w:ascii="Times New Roman" w:hAnsi="Times New Roman" w:eastAsia="宋体" w:cs="Times New Roman"/>
          <w:color w:val="auto"/>
          <w:sz w:val="24"/>
          <w:highlight w:val="none"/>
        </w:rPr>
        <w:t>2302-150823-07-02-595828</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因此</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本项目建设符合国家产业政策要求</w:t>
      </w:r>
      <w:r>
        <w:rPr>
          <w:rFonts w:hint="default" w:ascii="Times New Roman" w:hAnsi="Times New Roman" w:eastAsia="宋体" w:cs="Times New Roman"/>
          <w:color w:val="auto"/>
          <w:sz w:val="24"/>
          <w:szCs w:val="24"/>
          <w:highlight w:val="none"/>
        </w:rPr>
        <w:t>。</w:t>
      </w:r>
    </w:p>
    <w:p>
      <w:pPr>
        <w:pStyle w:val="4"/>
        <w:pageBreakBefore w:val="0"/>
        <w:widowControl w:val="0"/>
        <w:numPr>
          <w:ilvl w:val="1"/>
          <w:numId w:val="0"/>
        </w:numPr>
        <w:kinsoku/>
        <w:wordWrap/>
        <w:overflowPunct/>
        <w:topLinePunct w:val="0"/>
        <w:autoSpaceDE/>
        <w:autoSpaceDN/>
        <w:bidi w:val="0"/>
        <w:ind w:left="0" w:leftChars="0" w:right="0" w:rightChars="0"/>
        <w:textAlignment w:val="auto"/>
        <w:rPr>
          <w:rFonts w:hint="default" w:ascii="Times New Roman" w:hAnsi="Times New Roman" w:eastAsia="宋体" w:cs="Times New Roman"/>
          <w:b/>
          <w:bCs w:val="0"/>
          <w:color w:val="auto"/>
          <w:sz w:val="28"/>
          <w:szCs w:val="28"/>
          <w:highlight w:val="none"/>
        </w:rPr>
      </w:pPr>
      <w:bookmarkStart w:id="1581" w:name="_Toc24965"/>
      <w:bookmarkStart w:id="1582" w:name="_Toc6713"/>
      <w:r>
        <w:rPr>
          <w:rFonts w:hint="default" w:ascii="Times New Roman" w:hAnsi="Times New Roman" w:eastAsia="宋体" w:cs="Times New Roman"/>
          <w:b/>
          <w:bCs w:val="0"/>
          <w:i w:val="0"/>
          <w:color w:val="auto"/>
          <w:kern w:val="2"/>
          <w:sz w:val="28"/>
          <w:szCs w:val="28"/>
          <w:highlight w:val="none"/>
          <w:lang w:val="en-US" w:eastAsia="zh-CN" w:bidi="ar-SA"/>
        </w:rPr>
        <w:t>12.3</w:t>
      </w:r>
      <w:r>
        <w:rPr>
          <w:rFonts w:hint="default" w:ascii="Times New Roman" w:hAnsi="Times New Roman" w:eastAsia="宋体" w:cs="Times New Roman"/>
          <w:b/>
          <w:bCs w:val="0"/>
          <w:color w:val="auto"/>
          <w:sz w:val="28"/>
          <w:szCs w:val="28"/>
          <w:highlight w:val="none"/>
        </w:rPr>
        <w:t>选址合理性结论</w:t>
      </w:r>
      <w:bookmarkEnd w:id="1581"/>
      <w:bookmarkEnd w:id="1582"/>
    </w:p>
    <w:p>
      <w:pPr>
        <w:pageBreakBefore w:val="0"/>
        <w:wordWrap/>
        <w:bidi w:val="0"/>
        <w:spacing w:line="360" w:lineRule="auto"/>
        <w:ind w:left="0" w:leftChars="0" w:right="0" w:rightChars="0" w:firstLine="480" w:firstLineChars="20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本项目在西沙德盖钼业公司现有尾矿库基础上进行</w:t>
      </w:r>
      <w:r>
        <w:rPr>
          <w:rFonts w:hint="default" w:ascii="Times New Roman" w:hAnsi="Times New Roman" w:eastAsia="宋体" w:cs="Times New Roman"/>
          <w:bCs/>
          <w:color w:val="auto"/>
          <w:sz w:val="24"/>
          <w:highlight w:val="none"/>
          <w:lang w:bidi="en-US"/>
        </w:rPr>
        <w:t>加高扩容</w:t>
      </w:r>
      <w:r>
        <w:rPr>
          <w:rFonts w:hint="default" w:ascii="Times New Roman" w:hAnsi="Times New Roman" w:eastAsia="宋体" w:cs="Times New Roman"/>
          <w:bCs/>
          <w:color w:val="auto"/>
          <w:sz w:val="24"/>
          <w:highlight w:val="none"/>
          <w:lang w:eastAsia="zh-CN" w:bidi="en-US"/>
        </w:rPr>
        <w:t>，</w:t>
      </w:r>
      <w:r>
        <w:rPr>
          <w:rFonts w:hint="default" w:ascii="Times New Roman" w:hAnsi="Times New Roman" w:eastAsia="宋体" w:cs="Times New Roman"/>
          <w:color w:val="auto"/>
          <w:sz w:val="24"/>
          <w:highlight w:val="none"/>
        </w:rPr>
        <w:t>尾矿库</w:t>
      </w:r>
      <w:r>
        <w:rPr>
          <w:rFonts w:hint="default" w:ascii="Times New Roman" w:hAnsi="Times New Roman" w:eastAsia="宋体" w:cs="Times New Roman"/>
          <w:color w:val="auto"/>
          <w:sz w:val="24"/>
          <w:highlight w:val="none"/>
          <w:lang w:eastAsia="zh-CN"/>
        </w:rPr>
        <w:t>属</w:t>
      </w:r>
      <w:r>
        <w:rPr>
          <w:rFonts w:hint="default" w:ascii="Times New Roman" w:hAnsi="Times New Roman" w:eastAsia="宋体" w:cs="Times New Roman"/>
          <w:color w:val="auto"/>
          <w:sz w:val="24"/>
          <w:highlight w:val="none"/>
        </w:rPr>
        <w:t>于山谷型尾矿库</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szCs w:val="24"/>
          <w:highlight w:val="none"/>
        </w:rPr>
        <w:t>扩建后，尾矿库</w:t>
      </w:r>
      <w:r>
        <w:rPr>
          <w:rFonts w:hint="default" w:ascii="Times New Roman" w:hAnsi="Times New Roman" w:eastAsia="宋体" w:cs="Times New Roman"/>
          <w:color w:val="auto"/>
          <w:sz w:val="24"/>
          <w:szCs w:val="24"/>
          <w:highlight w:val="none"/>
          <w:lang w:eastAsia="zh-CN"/>
        </w:rPr>
        <w:t>总占地面积</w:t>
      </w:r>
      <w:r>
        <w:rPr>
          <w:rFonts w:hint="default" w:ascii="Times New Roman" w:hAnsi="Times New Roman" w:eastAsia="宋体" w:cs="Times New Roman"/>
          <w:color w:val="auto"/>
          <w:sz w:val="24"/>
          <w:szCs w:val="24"/>
          <w:highlight w:val="none"/>
          <w:lang w:val="en-US" w:eastAsia="zh-CN"/>
        </w:rPr>
        <w:t>591800m</w:t>
      </w:r>
      <w:r>
        <w:rPr>
          <w:rFonts w:hint="default" w:ascii="Times New Roman" w:hAnsi="Times New Roman" w:eastAsia="宋体" w:cs="Times New Roman"/>
          <w:color w:val="auto"/>
          <w:sz w:val="24"/>
          <w:szCs w:val="24"/>
          <w:highlight w:val="none"/>
          <w:vertAlign w:val="superscript"/>
          <w:lang w:val="en-US" w:eastAsia="zh-CN"/>
        </w:rPr>
        <w:t>2</w:t>
      </w:r>
      <w:r>
        <w:rPr>
          <w:rFonts w:hint="default" w:ascii="Times New Roman" w:hAnsi="Times New Roman" w:eastAsia="宋体" w:cs="Times New Roman"/>
          <w:color w:val="auto"/>
          <w:sz w:val="24"/>
          <w:szCs w:val="24"/>
          <w:highlight w:val="none"/>
          <w:lang w:eastAsia="zh-CN"/>
        </w:rPr>
        <w:t>（新增占地面积</w:t>
      </w:r>
      <w:r>
        <w:rPr>
          <w:rFonts w:hint="default" w:ascii="Times New Roman" w:hAnsi="Times New Roman" w:eastAsia="宋体" w:cs="Times New Roman"/>
          <w:color w:val="auto"/>
          <w:sz w:val="24"/>
          <w:szCs w:val="24"/>
          <w:highlight w:val="none"/>
          <w:lang w:val="en-US" w:eastAsia="zh-CN"/>
        </w:rPr>
        <w:t>213144.71m</w:t>
      </w:r>
      <w:r>
        <w:rPr>
          <w:rFonts w:hint="default" w:ascii="Times New Roman" w:hAnsi="Times New Roman" w:eastAsia="宋体" w:cs="Times New Roman"/>
          <w:color w:val="auto"/>
          <w:sz w:val="24"/>
          <w:szCs w:val="24"/>
          <w:highlight w:val="none"/>
          <w:vertAlign w:val="superscript"/>
          <w:lang w:val="en-US" w:eastAsia="zh-CN"/>
        </w:rPr>
        <w:t>2</w:t>
      </w:r>
      <w:r>
        <w:rPr>
          <w:rFonts w:hint="default" w:ascii="Times New Roman" w:hAnsi="Times New Roman" w:eastAsia="宋体" w:cs="Times New Roman"/>
          <w:color w:val="auto"/>
          <w:sz w:val="24"/>
          <w:szCs w:val="24"/>
          <w:highlight w:val="none"/>
          <w:lang w:eastAsia="zh-CN"/>
        </w:rPr>
        <w:t>），新增用地的土地类型主要为天然牧草地、其他林地，不涉及基本草地，目前正在办理征占草地手续；</w:t>
      </w:r>
      <w:r>
        <w:rPr>
          <w:rFonts w:hint="default" w:ascii="Times New Roman" w:hAnsi="Times New Roman" w:eastAsia="宋体" w:cs="Times New Roman"/>
          <w:color w:val="auto"/>
          <w:sz w:val="24"/>
          <w:highlight w:val="none"/>
        </w:rPr>
        <w:t>项目用地不在风景名胜区、自然保护区、国防设施等保护区范围内。</w:t>
      </w:r>
    </w:p>
    <w:p>
      <w:pPr>
        <w:pageBreakBefore w:val="0"/>
        <w:wordWrap/>
        <w:bidi w:val="0"/>
        <w:spacing w:line="360" w:lineRule="auto"/>
        <w:ind w:left="0" w:leftChars="0" w:right="0" w:rightChars="0" w:firstLine="480" w:firstLineChars="200"/>
        <w:jc w:val="left"/>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本项目已取得了巴彦淖尔市应急管理局文件（巴应急基础发</w:t>
      </w:r>
      <w:r>
        <w:rPr>
          <w:rFonts w:hint="default" w:ascii="Times New Roman" w:hAnsi="Times New Roman" w:eastAsia="宋体" w:cs="Times New Roman"/>
          <w:color w:val="auto"/>
          <w:sz w:val="24"/>
          <w:highlight w:val="none"/>
        </w:rPr>
        <w:t>〔202</w:t>
      </w:r>
      <w:r>
        <w:rPr>
          <w:rFonts w:hint="default" w:ascii="Times New Roman" w:hAnsi="Times New Roman" w:eastAsia="宋体" w:cs="Times New Roman"/>
          <w:color w:val="auto"/>
          <w:sz w:val="24"/>
          <w:highlight w:val="none"/>
          <w:lang w:val="en-US" w:eastAsia="zh-CN"/>
        </w:rPr>
        <w:t>3</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32号</w:t>
      </w:r>
      <w:r>
        <w:rPr>
          <w:rFonts w:hint="default" w:ascii="Times New Roman" w:hAnsi="Times New Roman" w:eastAsia="宋体" w:cs="Times New Roman"/>
          <w:color w:val="auto"/>
          <w:sz w:val="24"/>
          <w:highlight w:val="none"/>
          <w:lang w:eastAsia="zh-CN"/>
        </w:rPr>
        <w:t>），项目《安全设施设计》符合《金属非金属矿山建设项目安全设施目录（试行）》和《国家安全监管总局关于印发金属非金属矿山建设项目安全设施设计编写提纲</w:t>
      </w:r>
      <w:r>
        <w:rPr>
          <w:rFonts w:hint="default" w:ascii="Times New Roman" w:hAnsi="Times New Roman" w:eastAsia="宋体" w:cs="Times New Roman"/>
          <w:color w:val="auto"/>
          <w:sz w:val="24"/>
          <w:highlight w:val="none"/>
          <w:lang w:val="en-US" w:eastAsia="zh-CN"/>
        </w:rPr>
        <w:t>的通知</w:t>
      </w:r>
      <w:r>
        <w:rPr>
          <w:rFonts w:hint="default" w:ascii="Times New Roman" w:hAnsi="Times New Roman" w:eastAsia="宋体" w:cs="Times New Roman"/>
          <w:color w:val="auto"/>
          <w:sz w:val="24"/>
          <w:highlight w:val="none"/>
          <w:lang w:eastAsia="zh-CN"/>
        </w:rPr>
        <w:t>》要求以及相关国家和行业标准的规定。</w:t>
      </w:r>
    </w:p>
    <w:p>
      <w:pPr>
        <w:pageBreakBefore w:val="0"/>
        <w:wordWrap/>
        <w:bidi w:val="0"/>
        <w:spacing w:line="360" w:lineRule="auto"/>
        <w:ind w:left="0" w:leftChars="0" w:right="0" w:rightChars="0" w:firstLine="480" w:firstLineChars="20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本项目尾矿库场址符合《一般工业固体废物贮存和填埋污染控制标准》（GB18599-2020</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和《尾矿设施设计规范》（GB50863-2013</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的相关规定</w:t>
      </w:r>
      <w:r>
        <w:rPr>
          <w:rFonts w:hint="default" w:ascii="Times New Roman" w:hAnsi="Times New Roman" w:eastAsia="宋体" w:cs="Times New Roman"/>
          <w:color w:val="auto"/>
          <w:sz w:val="24"/>
          <w:highlight w:val="none"/>
          <w:lang w:eastAsia="zh-CN"/>
        </w:rPr>
        <w:t>；产生的各类污染物均能达标排放，</w:t>
      </w:r>
      <w:r>
        <w:rPr>
          <w:rFonts w:hint="default" w:ascii="Times New Roman" w:hAnsi="Times New Roman" w:eastAsia="宋体" w:cs="Times New Roman"/>
          <w:color w:val="auto"/>
          <w:sz w:val="24"/>
          <w:highlight w:val="none"/>
        </w:rPr>
        <w:t>对周围环境影响较小。</w:t>
      </w:r>
    </w:p>
    <w:p>
      <w:pPr>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highlight w:val="none"/>
        </w:rPr>
        <w:t>因此</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本项目选址合理</w:t>
      </w:r>
      <w:r>
        <w:rPr>
          <w:rFonts w:hint="default" w:ascii="Times New Roman" w:hAnsi="Times New Roman" w:eastAsia="宋体" w:cs="Times New Roman"/>
          <w:color w:val="auto"/>
          <w:sz w:val="24"/>
          <w:szCs w:val="24"/>
          <w:highlight w:val="none"/>
        </w:rPr>
        <w:t>。</w:t>
      </w:r>
    </w:p>
    <w:p>
      <w:pPr>
        <w:pStyle w:val="5"/>
        <w:pageBreakBefore w:val="0"/>
        <w:widowControl w:val="0"/>
        <w:numPr>
          <w:ilvl w:val="2"/>
          <w:numId w:val="0"/>
        </w:numPr>
        <w:kinsoku/>
        <w:wordWrap/>
        <w:overflowPunct/>
        <w:topLinePunct w:val="0"/>
        <w:autoSpaceDE/>
        <w:autoSpaceDN/>
        <w:bidi w:val="0"/>
        <w:adjustRightInd w:val="0"/>
        <w:snapToGrid w:val="0"/>
        <w:ind w:left="0" w:leftChars="0" w:right="0" w:rightChars="0"/>
        <w:textAlignment w:val="auto"/>
        <w:rPr>
          <w:rFonts w:hint="default" w:ascii="Times New Roman" w:hAnsi="Times New Roman" w:eastAsia="宋体" w:cs="Times New Roman"/>
          <w:b/>
          <w:bCs/>
          <w:color w:val="auto"/>
          <w:sz w:val="24"/>
          <w:szCs w:val="24"/>
          <w:highlight w:val="none"/>
        </w:rPr>
      </w:pPr>
      <w:bookmarkStart w:id="1583" w:name="_Toc11407"/>
      <w:bookmarkStart w:id="1584" w:name="_Toc5202"/>
      <w:bookmarkStart w:id="1585" w:name="_Toc15841"/>
      <w:r>
        <w:rPr>
          <w:rFonts w:hint="default" w:ascii="Times New Roman" w:hAnsi="Times New Roman" w:eastAsia="宋体" w:cs="Times New Roman"/>
          <w:b/>
          <w:bCs/>
          <w:i w:val="0"/>
          <w:iCs w:val="0"/>
          <w:caps w:val="0"/>
          <w:smallCaps w:val="0"/>
          <w:strike w:val="0"/>
          <w:dstrike w:val="0"/>
          <w:vanish w:val="0"/>
          <w:color w:val="auto"/>
          <w:spacing w:val="0"/>
          <w:kern w:val="2"/>
          <w:position w:val="0"/>
          <w:sz w:val="24"/>
          <w:szCs w:val="24"/>
          <w:highlight w:val="none"/>
          <w:u w:val="none"/>
          <w:vertAlign w:val="baseline"/>
          <w:lang w:val="en-US" w:eastAsia="zh-CN" w:bidi="ar-SA"/>
          <w14:shadow w14:blurRad="0" w14:dist="0" w14:dir="0" w14:sx="0" w14:sy="0" w14:kx="0" w14:ky="0" w14:algn="none">
            <w14:srgbClr w14:val="000000"/>
          </w14:shadow>
        </w:rPr>
        <w:t>12.3.1</w:t>
      </w:r>
      <w:r>
        <w:rPr>
          <w:rFonts w:hint="default" w:ascii="Times New Roman" w:hAnsi="Times New Roman" w:eastAsia="宋体" w:cs="Times New Roman"/>
          <w:b/>
          <w:bCs/>
          <w:color w:val="auto"/>
          <w:sz w:val="24"/>
          <w:szCs w:val="24"/>
          <w:highlight w:val="none"/>
        </w:rPr>
        <w:t>与《尾矿库设施设计规范》（GB50863-2013</w:t>
      </w:r>
      <w:r>
        <w:rPr>
          <w:rFonts w:hint="default" w:ascii="Times New Roman" w:hAnsi="Times New Roman" w:eastAsia="宋体" w:cs="Times New Roman"/>
          <w:b/>
          <w:bCs/>
          <w:color w:val="auto"/>
          <w:sz w:val="24"/>
          <w:szCs w:val="24"/>
          <w:highlight w:val="none"/>
          <w:lang w:eastAsia="zh-CN"/>
        </w:rPr>
        <w:t>）</w:t>
      </w:r>
      <w:r>
        <w:rPr>
          <w:rFonts w:hint="default" w:ascii="Times New Roman" w:hAnsi="Times New Roman" w:eastAsia="宋体" w:cs="Times New Roman"/>
          <w:b/>
          <w:bCs/>
          <w:color w:val="auto"/>
          <w:sz w:val="24"/>
          <w:szCs w:val="24"/>
          <w:highlight w:val="none"/>
        </w:rPr>
        <w:t>中选址要求分析</w:t>
      </w:r>
      <w:bookmarkEnd w:id="1583"/>
      <w:bookmarkEnd w:id="1584"/>
      <w:bookmarkEnd w:id="1585"/>
    </w:p>
    <w:p>
      <w:pPr>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尾矿库库址选择按照《尾矿设施设计规范》（GB50863-2013</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规定</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应经多方案技术经济比较综合确定</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并应符合下列要求</w:t>
      </w:r>
      <w:r>
        <w:rPr>
          <w:rFonts w:hint="default" w:ascii="Times New Roman" w:hAnsi="Times New Roman" w:eastAsia="宋体" w:cs="Times New Roman"/>
          <w:color w:val="auto"/>
          <w:sz w:val="24"/>
          <w:szCs w:val="24"/>
          <w:highlight w:val="none"/>
          <w:lang w:eastAsia="zh-CN"/>
        </w:rPr>
        <w:t>：</w:t>
      </w:r>
    </w:p>
    <w:p>
      <w:pPr>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不宜位于大型工矿企业、大型水源地、重要铁路和公路、水产基地和大型居民区上游；</w:t>
      </w:r>
    </w:p>
    <w:p>
      <w:pPr>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（2</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不宜位于大型居民区及厂区主导风向的上风侧；</w:t>
      </w:r>
    </w:p>
    <w:p>
      <w:pPr>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（3</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不占或少占农田</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不迁或少迁居民；</w:t>
      </w:r>
    </w:p>
    <w:p>
      <w:pPr>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（4</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不宜位于有开采价值的矿床上面；</w:t>
      </w:r>
    </w:p>
    <w:p>
      <w:pPr>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（5</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汇水面积小</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有足够的库容；</w:t>
      </w:r>
    </w:p>
    <w:p>
      <w:pPr>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（6</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上游式湿排尾矿库有足够的初、终期库长；</w:t>
      </w:r>
    </w:p>
    <w:p>
      <w:pPr>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（7</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筑坝工程量小</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生产管理方便；</w:t>
      </w:r>
    </w:p>
    <w:p>
      <w:pPr>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（8</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应避开地质构造复杂、不良地质现象严重区域；</w:t>
      </w:r>
    </w:p>
    <w:p>
      <w:pPr>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9</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尾矿输送距离短</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能自流或扬程小。</w:t>
      </w:r>
    </w:p>
    <w:p>
      <w:pPr>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根据以上要求</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本项目与《尾矿设施设计规范》（GB50863-2013</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中规定的选址要求对比情况见表12-1。</w:t>
      </w:r>
    </w:p>
    <w:p>
      <w:pPr>
        <w:pStyle w:val="53"/>
        <w:pageBreakBefore w:val="0"/>
        <w:widowControl w:val="0"/>
        <w:kinsoku/>
        <w:wordWrap/>
        <w:overflowPunct/>
        <w:topLinePunct w:val="0"/>
        <w:autoSpaceDE/>
        <w:autoSpaceDN/>
        <w:bidi w:val="0"/>
        <w:adjustRightInd w:val="0"/>
        <w:snapToGrid w:val="0"/>
        <w:ind w:left="0" w:leftChars="0" w:right="0" w:rightChars="0" w:firstLine="482" w:firstLineChars="200"/>
        <w:jc w:val="center"/>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表12-1库址选择合理性分析表</w:t>
      </w:r>
    </w:p>
    <w:tbl>
      <w:tblPr>
        <w:tblStyle w:val="54"/>
        <w:tblW w:w="5004" w:type="pct"/>
        <w:tblInd w:w="17"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466"/>
        <w:gridCol w:w="3233"/>
        <w:gridCol w:w="3753"/>
        <w:gridCol w:w="87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80" w:type="pct"/>
            <w:tcBorders>
              <w:top w:val="single" w:color="auto" w:sz="4" w:space="0"/>
              <w:left w:val="single" w:color="auto" w:sz="4" w:space="0"/>
            </w:tcBorders>
            <w:vAlign w:val="center"/>
          </w:tcPr>
          <w:p>
            <w:pPr>
              <w:pStyle w:val="53"/>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序号</w:t>
            </w:r>
          </w:p>
        </w:tc>
        <w:tc>
          <w:tcPr>
            <w:tcW w:w="1942" w:type="pct"/>
            <w:tcBorders>
              <w:top w:val="single" w:color="auto" w:sz="4" w:space="0"/>
            </w:tcBorders>
            <w:vAlign w:val="center"/>
          </w:tcPr>
          <w:p>
            <w:pPr>
              <w:pStyle w:val="53"/>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规范要求</w:t>
            </w:r>
          </w:p>
        </w:tc>
        <w:tc>
          <w:tcPr>
            <w:tcW w:w="2254" w:type="pct"/>
            <w:tcBorders>
              <w:top w:val="single" w:color="auto" w:sz="4" w:space="0"/>
            </w:tcBorders>
            <w:vAlign w:val="center"/>
          </w:tcPr>
          <w:p>
            <w:pPr>
              <w:pStyle w:val="53"/>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本项目</w:t>
            </w:r>
          </w:p>
        </w:tc>
        <w:tc>
          <w:tcPr>
            <w:tcW w:w="523" w:type="pct"/>
            <w:tcBorders>
              <w:top w:val="single" w:color="auto" w:sz="4" w:space="0"/>
              <w:right w:val="single" w:color="auto" w:sz="4" w:space="0"/>
            </w:tcBorders>
            <w:vAlign w:val="center"/>
          </w:tcPr>
          <w:p>
            <w:pPr>
              <w:pStyle w:val="53"/>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分析判定</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80" w:type="pct"/>
            <w:tcBorders>
              <w:left w:val="single" w:color="auto" w:sz="4" w:space="0"/>
            </w:tcBorders>
            <w:vAlign w:val="center"/>
          </w:tcPr>
          <w:p>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1942" w:type="pct"/>
            <w:vAlign w:val="center"/>
          </w:tcPr>
          <w:p>
            <w:pPr>
              <w:keepNext w:val="0"/>
              <w:keepLines w:val="0"/>
              <w:pageBreakBefore w:val="0"/>
              <w:widowControl w:val="0"/>
              <w:kinsoku/>
              <w:wordWrap/>
              <w:overflowPunct/>
              <w:topLinePunct w:val="0"/>
              <w:autoSpaceDE/>
              <w:autoSpaceDN/>
              <w:bidi w:val="0"/>
              <w:adjustRightInd/>
              <w:snapToGrid/>
              <w:ind w:left="0" w:leftChars="0" w:right="0" w:rightChars="0"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不宜位于大型工矿企业、大型水源地、重要铁路和公路、水产基地和大型居民区上游。</w:t>
            </w:r>
          </w:p>
        </w:tc>
        <w:tc>
          <w:tcPr>
            <w:tcW w:w="2254" w:type="pct"/>
            <w:vAlign w:val="center"/>
          </w:tcPr>
          <w:p>
            <w:pPr>
              <w:keepNext w:val="0"/>
              <w:keepLines w:val="0"/>
              <w:pageBreakBefore w:val="0"/>
              <w:widowControl w:val="0"/>
              <w:kinsoku/>
              <w:wordWrap/>
              <w:overflowPunct/>
              <w:topLinePunct w:val="0"/>
              <w:autoSpaceDE/>
              <w:autoSpaceDN/>
              <w:bidi w:val="0"/>
              <w:adjustRightInd/>
              <w:snapToGrid/>
              <w:ind w:left="0" w:leftChars="0" w:right="0" w:rightChars="0"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本项目</w:t>
            </w:r>
            <w:r>
              <w:rPr>
                <w:rFonts w:hint="default" w:ascii="Times New Roman" w:hAnsi="Times New Roman" w:eastAsia="宋体" w:cs="Times New Roman"/>
                <w:color w:val="auto"/>
                <w:highlight w:val="none"/>
              </w:rPr>
              <w:t>尾矿库</w:t>
            </w:r>
            <w:r>
              <w:rPr>
                <w:rFonts w:hint="default" w:ascii="Times New Roman" w:hAnsi="Times New Roman" w:eastAsia="宋体" w:cs="Times New Roman"/>
                <w:color w:val="auto"/>
                <w:highlight w:val="none"/>
                <w:lang w:val="en-US" w:eastAsia="zh-CN"/>
              </w:rPr>
              <w:t>不在</w:t>
            </w:r>
            <w:r>
              <w:rPr>
                <w:rFonts w:hint="default" w:ascii="Times New Roman" w:hAnsi="Times New Roman" w:eastAsia="宋体" w:cs="Times New Roman"/>
                <w:color w:val="auto"/>
                <w:highlight w:val="none"/>
              </w:rPr>
              <w:t>大型工矿企业、大型水源地、重要铁路和公路、水产基地和大型居民区上游。</w:t>
            </w:r>
          </w:p>
        </w:tc>
        <w:tc>
          <w:tcPr>
            <w:tcW w:w="523" w:type="pct"/>
            <w:tcBorders>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80" w:type="pct"/>
            <w:tcBorders>
              <w:left w:val="single" w:color="auto" w:sz="4" w:space="0"/>
            </w:tcBorders>
            <w:vAlign w:val="center"/>
          </w:tcPr>
          <w:p>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w:t>
            </w:r>
          </w:p>
        </w:tc>
        <w:tc>
          <w:tcPr>
            <w:tcW w:w="1942" w:type="pct"/>
            <w:vAlign w:val="center"/>
          </w:tcPr>
          <w:p>
            <w:pPr>
              <w:keepNext w:val="0"/>
              <w:keepLines w:val="0"/>
              <w:pageBreakBefore w:val="0"/>
              <w:widowControl w:val="0"/>
              <w:kinsoku/>
              <w:wordWrap/>
              <w:overflowPunct/>
              <w:topLinePunct w:val="0"/>
              <w:autoSpaceDE/>
              <w:autoSpaceDN/>
              <w:bidi w:val="0"/>
              <w:adjustRightInd/>
              <w:snapToGrid/>
              <w:ind w:left="0" w:leftChars="0" w:right="0" w:rightChars="0"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不宜位于居民集中区主导风向的上风侧。</w:t>
            </w:r>
          </w:p>
        </w:tc>
        <w:tc>
          <w:tcPr>
            <w:tcW w:w="2254" w:type="pct"/>
            <w:vAlign w:val="center"/>
          </w:tcPr>
          <w:p>
            <w:pPr>
              <w:keepNext w:val="0"/>
              <w:keepLines w:val="0"/>
              <w:pageBreakBefore w:val="0"/>
              <w:widowControl w:val="0"/>
              <w:kinsoku/>
              <w:wordWrap/>
              <w:overflowPunct/>
              <w:topLinePunct w:val="0"/>
              <w:autoSpaceDE/>
              <w:autoSpaceDN/>
              <w:bidi w:val="0"/>
              <w:adjustRightInd/>
              <w:snapToGrid/>
              <w:ind w:left="0" w:leftChars="0" w:right="0" w:rightChars="0"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居民集中区位于尾矿库主导风向的侧风向。</w:t>
            </w:r>
          </w:p>
        </w:tc>
        <w:tc>
          <w:tcPr>
            <w:tcW w:w="523" w:type="pct"/>
            <w:tcBorders>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80" w:type="pct"/>
            <w:tcBorders>
              <w:left w:val="single" w:color="auto" w:sz="4" w:space="0"/>
            </w:tcBorders>
            <w:vAlign w:val="center"/>
          </w:tcPr>
          <w:p>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w:t>
            </w:r>
          </w:p>
        </w:tc>
        <w:tc>
          <w:tcPr>
            <w:tcW w:w="1942" w:type="pct"/>
            <w:vAlign w:val="center"/>
          </w:tcPr>
          <w:p>
            <w:pPr>
              <w:keepNext w:val="0"/>
              <w:keepLines w:val="0"/>
              <w:pageBreakBefore w:val="0"/>
              <w:widowControl w:val="0"/>
              <w:kinsoku/>
              <w:wordWrap/>
              <w:overflowPunct/>
              <w:topLinePunct w:val="0"/>
              <w:autoSpaceDE/>
              <w:autoSpaceDN/>
              <w:bidi w:val="0"/>
              <w:adjustRightInd/>
              <w:snapToGrid/>
              <w:ind w:left="0" w:leftChars="0" w:right="0" w:rightChars="0"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不占或少占农田，不迁或少迁居民。</w:t>
            </w:r>
          </w:p>
        </w:tc>
        <w:tc>
          <w:tcPr>
            <w:tcW w:w="2254" w:type="pct"/>
            <w:vAlign w:val="center"/>
          </w:tcPr>
          <w:p>
            <w:pPr>
              <w:keepNext w:val="0"/>
              <w:keepLines w:val="0"/>
              <w:pageBreakBefore w:val="0"/>
              <w:widowControl w:val="0"/>
              <w:kinsoku/>
              <w:wordWrap/>
              <w:overflowPunct/>
              <w:topLinePunct w:val="0"/>
              <w:autoSpaceDE/>
              <w:autoSpaceDN/>
              <w:bidi w:val="0"/>
              <w:adjustRightInd/>
              <w:snapToGrid/>
              <w:ind w:left="0" w:leftChars="0" w:right="0" w:rightChars="0"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不占用农田，不涉及居民搬迁。</w:t>
            </w:r>
          </w:p>
        </w:tc>
        <w:tc>
          <w:tcPr>
            <w:tcW w:w="523" w:type="pct"/>
            <w:tcBorders>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80" w:type="pct"/>
            <w:tcBorders>
              <w:left w:val="single" w:color="auto" w:sz="4" w:space="0"/>
            </w:tcBorders>
            <w:vAlign w:val="center"/>
          </w:tcPr>
          <w:p>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w:t>
            </w:r>
          </w:p>
        </w:tc>
        <w:tc>
          <w:tcPr>
            <w:tcW w:w="1942" w:type="pct"/>
            <w:vAlign w:val="center"/>
          </w:tcPr>
          <w:p>
            <w:pPr>
              <w:keepNext w:val="0"/>
              <w:keepLines w:val="0"/>
              <w:pageBreakBefore w:val="0"/>
              <w:widowControl w:val="0"/>
              <w:kinsoku/>
              <w:wordWrap/>
              <w:overflowPunct/>
              <w:topLinePunct w:val="0"/>
              <w:autoSpaceDE/>
              <w:autoSpaceDN/>
              <w:bidi w:val="0"/>
              <w:adjustRightInd/>
              <w:snapToGrid/>
              <w:ind w:left="0" w:leftChars="0" w:right="0" w:rightChars="0"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不宜位于有开采价值的矿床上面。</w:t>
            </w:r>
          </w:p>
        </w:tc>
        <w:tc>
          <w:tcPr>
            <w:tcW w:w="2254" w:type="pct"/>
            <w:vAlign w:val="center"/>
          </w:tcPr>
          <w:p>
            <w:pPr>
              <w:keepNext w:val="0"/>
              <w:keepLines w:val="0"/>
              <w:pageBreakBefore w:val="0"/>
              <w:widowControl w:val="0"/>
              <w:kinsoku/>
              <w:wordWrap/>
              <w:overflowPunct/>
              <w:topLinePunct w:val="0"/>
              <w:autoSpaceDE/>
              <w:autoSpaceDN/>
              <w:bidi w:val="0"/>
              <w:adjustRightInd/>
              <w:snapToGrid/>
              <w:ind w:left="0" w:leftChars="0" w:right="0" w:rightChars="0"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尾矿库库区地下无开采价值的矿床。</w:t>
            </w:r>
          </w:p>
        </w:tc>
        <w:tc>
          <w:tcPr>
            <w:tcW w:w="523" w:type="pct"/>
            <w:tcBorders>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80" w:type="pct"/>
            <w:tcBorders>
              <w:left w:val="single" w:color="auto" w:sz="4" w:space="0"/>
            </w:tcBorders>
            <w:vAlign w:val="center"/>
          </w:tcPr>
          <w:p>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w:t>
            </w:r>
          </w:p>
        </w:tc>
        <w:tc>
          <w:tcPr>
            <w:tcW w:w="1942" w:type="pct"/>
            <w:vAlign w:val="center"/>
          </w:tcPr>
          <w:p>
            <w:pPr>
              <w:keepNext w:val="0"/>
              <w:keepLines w:val="0"/>
              <w:pageBreakBefore w:val="0"/>
              <w:widowControl w:val="0"/>
              <w:kinsoku/>
              <w:wordWrap/>
              <w:overflowPunct/>
              <w:topLinePunct w:val="0"/>
              <w:autoSpaceDE/>
              <w:autoSpaceDN/>
              <w:bidi w:val="0"/>
              <w:adjustRightInd/>
              <w:snapToGrid/>
              <w:ind w:left="0" w:leftChars="0" w:right="0" w:rightChars="0"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汇水面积小，有足够的库容。</w:t>
            </w:r>
          </w:p>
        </w:tc>
        <w:tc>
          <w:tcPr>
            <w:tcW w:w="2254" w:type="pct"/>
            <w:vAlign w:val="center"/>
          </w:tcPr>
          <w:p>
            <w:pPr>
              <w:keepNext w:val="0"/>
              <w:keepLines w:val="0"/>
              <w:pageBreakBefore w:val="0"/>
              <w:widowControl w:val="0"/>
              <w:kinsoku/>
              <w:wordWrap/>
              <w:overflowPunct/>
              <w:topLinePunct w:val="0"/>
              <w:autoSpaceDE/>
              <w:autoSpaceDN/>
              <w:bidi w:val="0"/>
              <w:adjustRightInd/>
              <w:snapToGrid/>
              <w:ind w:left="0" w:leftChars="0" w:right="0" w:rightChars="0"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根据《乌拉特前旗西沙德盖钼业有限责任公司年处理300万吨钼矿选矿节能技改扩产项目尾矿库加高扩容工程初步设计》：</w:t>
            </w:r>
            <w:r>
              <w:rPr>
                <w:rFonts w:hint="default" w:ascii="Times New Roman" w:hAnsi="Times New Roman" w:eastAsia="宋体" w:cs="Times New Roman"/>
                <w:color w:val="auto"/>
                <w:highlight w:val="none"/>
              </w:rPr>
              <w:t>通过调洪演算结果可得出，尾矿库运行期间，遭遇设计频率洪水时最小干滩长度、安全超高均能满足规范要求。尾矿库防洪能力满足规范要求。</w:t>
            </w:r>
          </w:p>
        </w:tc>
        <w:tc>
          <w:tcPr>
            <w:tcW w:w="523" w:type="pct"/>
            <w:tcBorders>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80" w:type="pct"/>
            <w:tcBorders>
              <w:left w:val="single" w:color="auto" w:sz="4" w:space="0"/>
            </w:tcBorders>
            <w:vAlign w:val="center"/>
          </w:tcPr>
          <w:p>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w:t>
            </w:r>
          </w:p>
        </w:tc>
        <w:tc>
          <w:tcPr>
            <w:tcW w:w="1942" w:type="pct"/>
            <w:vAlign w:val="center"/>
          </w:tcPr>
          <w:p>
            <w:pPr>
              <w:keepNext w:val="0"/>
              <w:keepLines w:val="0"/>
              <w:pageBreakBefore w:val="0"/>
              <w:widowControl w:val="0"/>
              <w:kinsoku/>
              <w:wordWrap/>
              <w:overflowPunct/>
              <w:topLinePunct w:val="0"/>
              <w:autoSpaceDE/>
              <w:autoSpaceDN/>
              <w:bidi w:val="0"/>
              <w:adjustRightInd/>
              <w:snapToGrid/>
              <w:ind w:left="0" w:leftChars="0" w:right="0" w:rightChars="0" w:firstLine="420" w:firstLineChars="200"/>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上游式湿排尾矿库有足够的初、终期库长</w:t>
            </w:r>
            <w:r>
              <w:rPr>
                <w:rFonts w:hint="default" w:ascii="Times New Roman" w:hAnsi="Times New Roman" w:eastAsia="宋体" w:cs="Times New Roman"/>
                <w:color w:val="auto"/>
                <w:highlight w:val="none"/>
                <w:lang w:eastAsia="zh-CN"/>
              </w:rPr>
              <w:t>。</w:t>
            </w:r>
          </w:p>
        </w:tc>
        <w:tc>
          <w:tcPr>
            <w:tcW w:w="2254" w:type="pct"/>
            <w:vAlign w:val="center"/>
          </w:tcPr>
          <w:p>
            <w:pPr>
              <w:keepNext w:val="0"/>
              <w:keepLines w:val="0"/>
              <w:pageBreakBefore w:val="0"/>
              <w:widowControl w:val="0"/>
              <w:kinsoku/>
              <w:wordWrap/>
              <w:overflowPunct/>
              <w:topLinePunct w:val="0"/>
              <w:autoSpaceDE/>
              <w:autoSpaceDN/>
              <w:bidi w:val="0"/>
              <w:adjustRightInd/>
              <w:snapToGrid/>
              <w:ind w:left="0" w:leftChars="0" w:right="0" w:rightChars="0"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根据《乌拉特前旗西沙德盖钼业有限责任公司年处理300万吨钼矿选矿节能技改扩产项目尾矿库加高扩容工程初步设计》：本次</w:t>
            </w:r>
            <w:r>
              <w:rPr>
                <w:rFonts w:hint="default" w:ascii="Times New Roman" w:hAnsi="Times New Roman" w:eastAsia="宋体" w:cs="Times New Roman"/>
                <w:color w:val="auto"/>
                <w:highlight w:val="none"/>
              </w:rPr>
              <w:t>尾矿坝加高至1495m标高时，总坝高为129m，此时初期坝坝高与总坝高的比值约为1:3.3，满足《尾矿库安全规程》（GB39496-2020）中“5.3.3第6条：上游式尾矿坝的初期坝坝高与总坝高之比值应不小于1/8”的要求。</w:t>
            </w:r>
          </w:p>
        </w:tc>
        <w:tc>
          <w:tcPr>
            <w:tcW w:w="523" w:type="pct"/>
            <w:tcBorders>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80" w:type="pct"/>
            <w:tcBorders>
              <w:left w:val="single" w:color="auto" w:sz="4" w:space="0"/>
            </w:tcBorders>
            <w:vAlign w:val="center"/>
          </w:tcPr>
          <w:p>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highlight w:val="none"/>
              </w:rPr>
              <w:t>7</w:t>
            </w:r>
          </w:p>
        </w:tc>
        <w:tc>
          <w:tcPr>
            <w:tcW w:w="1942" w:type="pct"/>
            <w:vAlign w:val="center"/>
          </w:tcPr>
          <w:p>
            <w:pPr>
              <w:keepNext w:val="0"/>
              <w:keepLines w:val="0"/>
              <w:pageBreakBefore w:val="0"/>
              <w:widowControl w:val="0"/>
              <w:kinsoku/>
              <w:wordWrap/>
              <w:overflowPunct/>
              <w:topLinePunct w:val="0"/>
              <w:autoSpaceDE/>
              <w:autoSpaceDN/>
              <w:bidi w:val="0"/>
              <w:adjustRightInd/>
              <w:snapToGrid/>
              <w:ind w:left="0" w:leftChars="0" w:right="0" w:rightChars="0"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筑坝工程量小，生产管理方便。</w:t>
            </w:r>
          </w:p>
        </w:tc>
        <w:tc>
          <w:tcPr>
            <w:tcW w:w="2254" w:type="pct"/>
            <w:vAlign w:val="center"/>
          </w:tcPr>
          <w:p>
            <w:pPr>
              <w:keepNext w:val="0"/>
              <w:keepLines w:val="0"/>
              <w:pageBreakBefore w:val="0"/>
              <w:widowControl w:val="0"/>
              <w:kinsoku/>
              <w:wordWrap/>
              <w:overflowPunct/>
              <w:topLinePunct w:val="0"/>
              <w:autoSpaceDE/>
              <w:autoSpaceDN/>
              <w:bidi w:val="0"/>
              <w:adjustRightInd/>
              <w:snapToGrid/>
              <w:ind w:left="0" w:leftChars="0" w:right="0" w:rightChars="0"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本项目为山谷型尾矿库，筑坝工程量小，生产管理方便。</w:t>
            </w:r>
          </w:p>
        </w:tc>
        <w:tc>
          <w:tcPr>
            <w:tcW w:w="523" w:type="pct"/>
            <w:tcBorders>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80" w:type="pct"/>
            <w:tcBorders>
              <w:left w:val="single" w:color="auto" w:sz="4" w:space="0"/>
            </w:tcBorders>
            <w:vAlign w:val="center"/>
          </w:tcPr>
          <w:p>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highlight w:val="none"/>
              </w:rPr>
              <w:t>8</w:t>
            </w:r>
          </w:p>
        </w:tc>
        <w:tc>
          <w:tcPr>
            <w:tcW w:w="1942" w:type="pct"/>
            <w:vAlign w:val="center"/>
          </w:tcPr>
          <w:p>
            <w:pPr>
              <w:keepNext w:val="0"/>
              <w:keepLines w:val="0"/>
              <w:pageBreakBefore w:val="0"/>
              <w:widowControl w:val="0"/>
              <w:kinsoku/>
              <w:wordWrap/>
              <w:overflowPunct/>
              <w:topLinePunct w:val="0"/>
              <w:autoSpaceDE/>
              <w:autoSpaceDN/>
              <w:bidi w:val="0"/>
              <w:adjustRightInd/>
              <w:snapToGrid/>
              <w:ind w:left="0" w:leftChars="0" w:right="0" w:rightChars="0"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应避开地质构造复杂、不良地质现象严重区域。</w:t>
            </w:r>
          </w:p>
        </w:tc>
        <w:tc>
          <w:tcPr>
            <w:tcW w:w="2254" w:type="pct"/>
            <w:vAlign w:val="center"/>
          </w:tcPr>
          <w:p>
            <w:pPr>
              <w:keepNext w:val="0"/>
              <w:keepLines w:val="0"/>
              <w:pageBreakBefore w:val="0"/>
              <w:widowControl w:val="0"/>
              <w:kinsoku/>
              <w:wordWrap/>
              <w:overflowPunct/>
              <w:topLinePunct w:val="0"/>
              <w:autoSpaceDE/>
              <w:autoSpaceDN/>
              <w:bidi w:val="0"/>
              <w:adjustRightInd/>
              <w:snapToGrid/>
              <w:ind w:left="0" w:leftChars="0" w:right="0" w:rightChars="0"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根据岩土工程勘察报告，库区无不良地质作用。</w:t>
            </w:r>
          </w:p>
        </w:tc>
        <w:tc>
          <w:tcPr>
            <w:tcW w:w="523" w:type="pct"/>
            <w:tcBorders>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80" w:type="pct"/>
            <w:tcBorders>
              <w:left w:val="single" w:color="auto" w:sz="4" w:space="0"/>
              <w:bottom w:val="single" w:color="auto" w:sz="4" w:space="0"/>
            </w:tcBorders>
            <w:vAlign w:val="center"/>
          </w:tcPr>
          <w:p>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9</w:t>
            </w:r>
          </w:p>
        </w:tc>
        <w:tc>
          <w:tcPr>
            <w:tcW w:w="1942" w:type="pct"/>
            <w:tcBorders>
              <w:bottom w:val="single" w:color="auto" w:sz="4" w:space="0"/>
            </w:tcBorders>
            <w:vAlign w:val="center"/>
          </w:tcPr>
          <w:p>
            <w:pPr>
              <w:keepNext w:val="0"/>
              <w:keepLines w:val="0"/>
              <w:pageBreakBefore w:val="0"/>
              <w:widowControl w:val="0"/>
              <w:kinsoku/>
              <w:wordWrap/>
              <w:overflowPunct/>
              <w:topLinePunct w:val="0"/>
              <w:autoSpaceDE/>
              <w:autoSpaceDN/>
              <w:bidi w:val="0"/>
              <w:adjustRightInd/>
              <w:snapToGrid/>
              <w:ind w:left="0" w:leftChars="0" w:right="0" w:rightChars="0"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尾矿输送距离短，能自流或扬程小。</w:t>
            </w:r>
          </w:p>
        </w:tc>
        <w:tc>
          <w:tcPr>
            <w:tcW w:w="2254" w:type="pct"/>
            <w:tcBorders>
              <w:bottom w:val="single" w:color="auto" w:sz="4" w:space="0"/>
            </w:tcBorders>
            <w:vAlign w:val="center"/>
          </w:tcPr>
          <w:p>
            <w:pPr>
              <w:keepNext w:val="0"/>
              <w:keepLines w:val="0"/>
              <w:pageBreakBefore w:val="0"/>
              <w:widowControl w:val="0"/>
              <w:kinsoku/>
              <w:wordWrap/>
              <w:overflowPunct/>
              <w:topLinePunct w:val="0"/>
              <w:autoSpaceDE/>
              <w:autoSpaceDN/>
              <w:bidi w:val="0"/>
              <w:adjustRightInd/>
              <w:snapToGrid/>
              <w:ind w:left="0" w:leftChars="0" w:right="0" w:rightChars="0"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尾矿库与选矿厂距离短，尾矿通过尾矿泵输送至尾矿库。</w:t>
            </w:r>
          </w:p>
        </w:tc>
        <w:tc>
          <w:tcPr>
            <w:tcW w:w="523" w:type="pct"/>
            <w:tcBorders>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符合</w:t>
            </w:r>
          </w:p>
        </w:tc>
      </w:tr>
    </w:tbl>
    <w:p>
      <w:pPr>
        <w:pStyle w:val="5"/>
        <w:pageBreakBefore w:val="0"/>
        <w:numPr>
          <w:ilvl w:val="2"/>
          <w:numId w:val="0"/>
        </w:numPr>
        <w:wordWrap/>
        <w:bidi w:val="0"/>
        <w:adjustRightInd w:val="0"/>
        <w:snapToGrid w:val="0"/>
        <w:ind w:left="0" w:leftChars="0" w:right="0" w:rightChars="0"/>
        <w:rPr>
          <w:rFonts w:hint="default" w:ascii="Times New Roman" w:hAnsi="Times New Roman" w:eastAsia="宋体" w:cs="Times New Roman"/>
          <w:b/>
          <w:bCs/>
          <w:color w:val="auto"/>
          <w:highlight w:val="none"/>
        </w:rPr>
      </w:pPr>
      <w:bookmarkStart w:id="1586" w:name="_Toc17435"/>
      <w:bookmarkStart w:id="1587" w:name="_Toc19551"/>
      <w:bookmarkStart w:id="1588" w:name="_Toc19979"/>
      <w:r>
        <w:rPr>
          <w:rFonts w:hint="default" w:ascii="Times New Roman" w:hAnsi="Times New Roman" w:eastAsia="宋体" w:cs="Times New Roman"/>
          <w:b/>
          <w:bCs/>
          <w:i w:val="0"/>
          <w:iCs w:val="0"/>
          <w:caps w:val="0"/>
          <w:smallCaps w:val="0"/>
          <w:strike w:val="0"/>
          <w:dstrike w:val="0"/>
          <w:vanish w:val="0"/>
          <w:color w:val="auto"/>
          <w:spacing w:val="0"/>
          <w:kern w:val="2"/>
          <w:position w:val="0"/>
          <w:sz w:val="24"/>
          <w:szCs w:val="24"/>
          <w:highlight w:val="none"/>
          <w:u w:val="none"/>
          <w:vertAlign w:val="baseline"/>
          <w:lang w:val="en-US" w:eastAsia="zh-CN" w:bidi="ar-SA"/>
          <w14:shadow w14:blurRad="0" w14:dist="0" w14:dir="0" w14:sx="0" w14:sy="0" w14:kx="0" w14:ky="0" w14:algn="none">
            <w14:srgbClr w14:val="000000"/>
          </w14:shadow>
        </w:rPr>
        <w:t>12.3.2</w:t>
      </w:r>
      <w:r>
        <w:rPr>
          <w:rFonts w:hint="default" w:ascii="Times New Roman" w:hAnsi="Times New Roman" w:eastAsia="宋体" w:cs="Times New Roman"/>
          <w:b/>
          <w:bCs/>
          <w:color w:val="auto"/>
          <w:highlight w:val="none"/>
        </w:rPr>
        <w:t>与《一般工业固体废物贮存和填埋污染控制标准》（GB18599-2020</w:t>
      </w:r>
      <w:r>
        <w:rPr>
          <w:rFonts w:hint="default" w:ascii="Times New Roman" w:hAnsi="Times New Roman" w:eastAsia="宋体" w:cs="Times New Roman"/>
          <w:b/>
          <w:bCs/>
          <w:color w:val="auto"/>
          <w:highlight w:val="none"/>
          <w:lang w:eastAsia="zh-CN"/>
        </w:rPr>
        <w:t>）</w:t>
      </w:r>
      <w:r>
        <w:rPr>
          <w:rFonts w:hint="default" w:ascii="Times New Roman" w:hAnsi="Times New Roman" w:eastAsia="宋体" w:cs="Times New Roman"/>
          <w:b/>
          <w:bCs/>
          <w:color w:val="auto"/>
          <w:highlight w:val="none"/>
        </w:rPr>
        <w:t>中选址要求的分析</w:t>
      </w:r>
      <w:bookmarkEnd w:id="1586"/>
      <w:bookmarkEnd w:id="1587"/>
      <w:bookmarkEnd w:id="1588"/>
    </w:p>
    <w:p>
      <w:pPr>
        <w:pStyle w:val="53"/>
        <w:pageBreakBefore w:val="0"/>
        <w:wordWrap/>
        <w:bidi w:val="0"/>
        <w:adjustRightInd w:val="0"/>
        <w:snapToGrid w:val="0"/>
        <w:ind w:left="0" w:leftChars="0" w:right="0" w:rightChars="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由尾矿砂浸出试验结果可知</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本项目尾矿砂</w:t>
      </w:r>
      <w:r>
        <w:rPr>
          <w:rFonts w:hint="default" w:ascii="Times New Roman" w:hAnsi="Times New Roman" w:eastAsia="宋体" w:cs="Times New Roman"/>
          <w:color w:val="auto"/>
          <w:highlight w:val="none"/>
          <w:lang w:eastAsia="zh-CN"/>
        </w:rPr>
        <w:t>属</w:t>
      </w:r>
      <w:r>
        <w:rPr>
          <w:rFonts w:hint="default" w:ascii="Times New Roman" w:hAnsi="Times New Roman" w:eastAsia="宋体" w:cs="Times New Roman"/>
          <w:color w:val="auto"/>
          <w:highlight w:val="none"/>
        </w:rPr>
        <w:t>于</w:t>
      </w:r>
      <w:r>
        <w:rPr>
          <w:rFonts w:hint="default" w:ascii="Times New Roman" w:hAnsi="Times New Roman" w:eastAsia="宋体" w:cs="Times New Roman"/>
          <w:color w:val="auto"/>
          <w:sz w:val="24"/>
          <w:szCs w:val="32"/>
          <w:highlight w:val="none"/>
        </w:rPr>
        <w:t>I</w:t>
      </w:r>
      <w:r>
        <w:rPr>
          <w:rFonts w:hint="default" w:ascii="Times New Roman" w:hAnsi="Times New Roman" w:eastAsia="宋体" w:cs="Times New Roman"/>
          <w:color w:val="auto"/>
          <w:highlight w:val="none"/>
        </w:rPr>
        <w:t>类一般工业固体废物</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本</w:t>
      </w:r>
      <w:r>
        <w:rPr>
          <w:rFonts w:hint="default" w:ascii="Times New Roman" w:hAnsi="Times New Roman" w:eastAsia="宋体" w:cs="Times New Roman"/>
          <w:color w:val="auto"/>
          <w:highlight w:val="none"/>
          <w:lang w:val="en-US" w:eastAsia="zh-CN"/>
        </w:rPr>
        <w:t>项目</w:t>
      </w:r>
      <w:r>
        <w:rPr>
          <w:rFonts w:hint="default" w:ascii="Times New Roman" w:hAnsi="Times New Roman" w:eastAsia="宋体" w:cs="Times New Roman"/>
          <w:color w:val="auto"/>
          <w:highlight w:val="none"/>
        </w:rPr>
        <w:t>依据《一般工业固体废物贮存和填埋污染控制标准》（GB18599-2020</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要求</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逐条分析了尾矿库场址选择的合理性</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分析结果见表12-2。</w:t>
      </w:r>
    </w:p>
    <w:p>
      <w:pPr>
        <w:pStyle w:val="53"/>
        <w:pageBreakBefore w:val="0"/>
        <w:wordWrap/>
        <w:bidi w:val="0"/>
        <w:adjustRightInd w:val="0"/>
        <w:snapToGrid w:val="0"/>
        <w:ind w:left="0" w:leftChars="0" w:right="0" w:rightChars="0" w:firstLine="482"/>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rPr>
        <w:t>表12-2一般工业固体废物贮存和填埋污染控制标准对照情况</w:t>
      </w:r>
      <w:r>
        <w:rPr>
          <w:rFonts w:hint="default" w:ascii="Times New Roman" w:hAnsi="Times New Roman" w:eastAsia="宋体" w:cs="Times New Roman"/>
          <w:b/>
          <w:bCs/>
          <w:color w:val="auto"/>
          <w:highlight w:val="none"/>
          <w:lang w:val="en-US" w:eastAsia="zh-CN"/>
        </w:rPr>
        <w:t>一览表</w:t>
      </w:r>
    </w:p>
    <w:tbl>
      <w:tblPr>
        <w:tblStyle w:val="54"/>
        <w:tblW w:w="511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950"/>
        <w:gridCol w:w="3260"/>
        <w:gridCol w:w="3404"/>
        <w:gridCol w:w="89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92" w:hRule="atLeast"/>
          <w:jc w:val="center"/>
        </w:trPr>
        <w:tc>
          <w:tcPr>
            <w:tcW w:w="558" w:type="pct"/>
            <w:tcBorders>
              <w:top w:val="single" w:color="auto" w:sz="4" w:space="0"/>
              <w:left w:val="single" w:color="auto" w:sz="4" w:space="0"/>
            </w:tcBorders>
            <w:vAlign w:val="center"/>
          </w:tcPr>
          <w:p>
            <w:pPr>
              <w:pageBreakBefore w:val="0"/>
              <w:wordWrap/>
              <w:autoSpaceDE w:val="0"/>
              <w:autoSpaceDN w:val="0"/>
              <w:bidi w:val="0"/>
              <w:adjustRightInd w:val="0"/>
              <w:snapToGrid w:val="0"/>
              <w:ind w:left="0" w:leftChars="0" w:right="0" w:rightChars="0"/>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项目</w:t>
            </w:r>
          </w:p>
        </w:tc>
        <w:tc>
          <w:tcPr>
            <w:tcW w:w="1915" w:type="pct"/>
            <w:tcBorders>
              <w:top w:val="single" w:color="auto" w:sz="4" w:space="0"/>
            </w:tcBorders>
            <w:vAlign w:val="center"/>
          </w:tcPr>
          <w:p>
            <w:pPr>
              <w:pageBreakBefore w:val="0"/>
              <w:wordWrap/>
              <w:autoSpaceDE w:val="0"/>
              <w:autoSpaceDN w:val="0"/>
              <w:bidi w:val="0"/>
              <w:adjustRightInd w:val="0"/>
              <w:snapToGrid w:val="0"/>
              <w:ind w:left="0" w:leftChars="0" w:right="0" w:rightChars="0"/>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建设内容（条件及要求）</w:t>
            </w:r>
          </w:p>
        </w:tc>
        <w:tc>
          <w:tcPr>
            <w:tcW w:w="2000" w:type="pct"/>
            <w:tcBorders>
              <w:top w:val="single" w:color="auto" w:sz="4" w:space="0"/>
            </w:tcBorders>
            <w:vAlign w:val="center"/>
          </w:tcPr>
          <w:p>
            <w:pPr>
              <w:pageBreakBefore w:val="0"/>
              <w:wordWrap/>
              <w:autoSpaceDE w:val="0"/>
              <w:autoSpaceDN w:val="0"/>
              <w:bidi w:val="0"/>
              <w:adjustRightInd w:val="0"/>
              <w:snapToGrid w:val="0"/>
              <w:ind w:left="0" w:leftChars="0" w:right="0" w:rightChars="0"/>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核对本项目具体情况</w:t>
            </w:r>
          </w:p>
        </w:tc>
        <w:tc>
          <w:tcPr>
            <w:tcW w:w="527" w:type="pct"/>
            <w:tcBorders>
              <w:top w:val="single" w:color="auto" w:sz="4" w:space="0"/>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分析判定</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78" w:hRule="atLeast"/>
          <w:jc w:val="center"/>
        </w:trPr>
        <w:tc>
          <w:tcPr>
            <w:tcW w:w="558" w:type="pct"/>
            <w:vMerge w:val="restart"/>
            <w:tcBorders>
              <w:lef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4贮存场和填埋场选址要求</w:t>
            </w:r>
          </w:p>
          <w:p>
            <w:pPr>
              <w:pageBreakBefore w:val="0"/>
              <w:wordWrap/>
              <w:bidi w:val="0"/>
              <w:adjustRightInd w:val="0"/>
              <w:snapToGrid w:val="0"/>
              <w:ind w:left="0" w:leftChars="0" w:right="0" w:rightChars="0"/>
              <w:jc w:val="center"/>
              <w:rPr>
                <w:rFonts w:hint="default" w:ascii="Times New Roman" w:hAnsi="Times New Roman" w:eastAsia="宋体" w:cs="Times New Roman"/>
                <w:color w:val="auto"/>
                <w:szCs w:val="21"/>
                <w:highlight w:val="none"/>
              </w:rPr>
            </w:pPr>
          </w:p>
        </w:tc>
        <w:tc>
          <w:tcPr>
            <w:tcW w:w="1915" w:type="pct"/>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firstLine="420" w:firstLineChars="200"/>
              <w:jc w:val="left"/>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4.1一般工业固体废物贮存场、填埋场的选址应符合环境保护法律法规及相关法定规划要求。</w:t>
            </w:r>
          </w:p>
        </w:tc>
        <w:tc>
          <w:tcPr>
            <w:tcW w:w="2000" w:type="pct"/>
            <w:vMerge w:val="restart"/>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firstLine="420" w:firstLineChars="200"/>
              <w:jc w:val="left"/>
              <w:textAlignment w:val="auto"/>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rPr>
              <w:t>本次工程在现有尾矿库基础上加高坝体进行扩容，</w:t>
            </w:r>
            <w:r>
              <w:rPr>
                <w:rFonts w:hint="default" w:ascii="Times New Roman" w:hAnsi="Times New Roman" w:eastAsia="宋体" w:cs="Times New Roman"/>
                <w:color w:val="auto"/>
                <w:szCs w:val="21"/>
                <w:highlight w:val="none"/>
                <w:lang w:val="en-US" w:eastAsia="zh-CN"/>
              </w:rPr>
              <w:t>现有</w:t>
            </w:r>
            <w:r>
              <w:rPr>
                <w:rFonts w:hint="default" w:ascii="Times New Roman" w:hAnsi="Times New Roman" w:eastAsia="宋体" w:cs="Times New Roman"/>
                <w:color w:val="auto"/>
                <w:szCs w:val="21"/>
                <w:highlight w:val="none"/>
              </w:rPr>
              <w:t>尾矿库已取得</w:t>
            </w:r>
            <w:r>
              <w:rPr>
                <w:rFonts w:hint="default" w:ascii="Times New Roman" w:hAnsi="Times New Roman" w:eastAsia="宋体" w:cs="Times New Roman"/>
                <w:color w:val="auto"/>
                <w:szCs w:val="21"/>
                <w:highlight w:val="none"/>
                <w:lang w:val="en-US" w:eastAsia="zh-CN"/>
              </w:rPr>
              <w:t>了</w:t>
            </w:r>
            <w:r>
              <w:rPr>
                <w:rFonts w:hint="default" w:ascii="Times New Roman" w:hAnsi="Times New Roman" w:eastAsia="宋体" w:cs="Times New Roman"/>
                <w:color w:val="auto"/>
                <w:szCs w:val="21"/>
                <w:highlight w:val="none"/>
              </w:rPr>
              <w:t>《乌拉特前旗西沙德盖钼业有限责任公司环境影响报告书》的批复，通过</w:t>
            </w:r>
            <w:r>
              <w:rPr>
                <w:rFonts w:hint="default" w:ascii="Times New Roman" w:hAnsi="Times New Roman" w:eastAsia="宋体" w:cs="Times New Roman"/>
                <w:color w:val="auto"/>
                <w:szCs w:val="21"/>
                <w:highlight w:val="none"/>
                <w:lang w:val="en-US" w:eastAsia="zh-CN"/>
              </w:rPr>
              <w:t>环保</w:t>
            </w:r>
            <w:r>
              <w:rPr>
                <w:rFonts w:hint="default" w:ascii="Times New Roman" w:hAnsi="Times New Roman" w:eastAsia="宋体" w:cs="Times New Roman"/>
                <w:color w:val="auto"/>
                <w:szCs w:val="21"/>
                <w:highlight w:val="none"/>
              </w:rPr>
              <w:t>验收</w:t>
            </w:r>
            <w:r>
              <w:rPr>
                <w:rFonts w:hint="default" w:ascii="Times New Roman" w:hAnsi="Times New Roman" w:eastAsia="宋体" w:cs="Times New Roman"/>
                <w:color w:val="auto"/>
                <w:szCs w:val="21"/>
                <w:highlight w:val="none"/>
                <w:lang w:eastAsia="zh-CN"/>
              </w:rPr>
              <w:t>；</w:t>
            </w:r>
          </w:p>
          <w:p>
            <w:pPr>
              <w:keepNext w:val="0"/>
              <w:keepLines w:val="0"/>
              <w:pageBreakBefore w:val="0"/>
              <w:widowControl w:val="0"/>
              <w:kinsoku/>
              <w:wordWrap/>
              <w:overflowPunct/>
              <w:topLinePunct w:val="0"/>
              <w:autoSpaceDE/>
              <w:autoSpaceDN/>
              <w:bidi w:val="0"/>
              <w:adjustRightInd w:val="0"/>
              <w:snapToGrid w:val="0"/>
              <w:ind w:left="0" w:leftChars="0" w:right="0" w:rightChars="0" w:firstLine="420" w:firstLineChars="200"/>
              <w:jc w:val="left"/>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该尾矿库与周围居民区的距离符合环境影响评价文件及审批意见的规定。</w:t>
            </w:r>
          </w:p>
        </w:tc>
        <w:tc>
          <w:tcPr>
            <w:tcW w:w="527" w:type="pct"/>
            <w:tcBorders>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符合要求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78" w:hRule="atLeast"/>
          <w:jc w:val="center"/>
        </w:trPr>
        <w:tc>
          <w:tcPr>
            <w:tcW w:w="558" w:type="pct"/>
            <w:vMerge w:val="continue"/>
            <w:tcBorders>
              <w:lef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szCs w:val="21"/>
                <w:highlight w:val="none"/>
              </w:rPr>
            </w:pPr>
          </w:p>
        </w:tc>
        <w:tc>
          <w:tcPr>
            <w:tcW w:w="1915" w:type="pct"/>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firstLine="420" w:firstLineChars="200"/>
              <w:jc w:val="left"/>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4.2贮存场、填埋场的位置与周围居民区的距离应依据环境影响评价文件及审批意见确定。</w:t>
            </w:r>
          </w:p>
        </w:tc>
        <w:tc>
          <w:tcPr>
            <w:tcW w:w="2000" w:type="pct"/>
            <w:vMerge w:val="continue"/>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firstLine="420" w:firstLineChars="200"/>
              <w:jc w:val="left"/>
              <w:textAlignment w:val="auto"/>
              <w:rPr>
                <w:rFonts w:hint="default" w:ascii="Times New Roman" w:hAnsi="Times New Roman" w:eastAsia="宋体" w:cs="Times New Roman"/>
                <w:color w:val="auto"/>
                <w:szCs w:val="21"/>
                <w:highlight w:val="none"/>
              </w:rPr>
            </w:pPr>
          </w:p>
        </w:tc>
        <w:tc>
          <w:tcPr>
            <w:tcW w:w="527" w:type="pct"/>
            <w:tcBorders>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符合要求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78" w:hRule="atLeast"/>
          <w:jc w:val="center"/>
        </w:trPr>
        <w:tc>
          <w:tcPr>
            <w:tcW w:w="558" w:type="pct"/>
            <w:vMerge w:val="continue"/>
            <w:tcBorders>
              <w:lef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szCs w:val="21"/>
                <w:highlight w:val="none"/>
              </w:rPr>
            </w:pPr>
          </w:p>
        </w:tc>
        <w:tc>
          <w:tcPr>
            <w:tcW w:w="1915" w:type="pct"/>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firstLine="420" w:firstLineChars="200"/>
              <w:jc w:val="left"/>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4.3贮存场、填埋场不得选在生态保护红线区域、永久基本农田集中区域和其他需要特别保护的区域内。</w:t>
            </w:r>
          </w:p>
        </w:tc>
        <w:tc>
          <w:tcPr>
            <w:tcW w:w="2000" w:type="pct"/>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firstLine="420" w:firstLineChars="200"/>
              <w:jc w:val="left"/>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本项目尾矿库不涉及自然保护区、风景名胜区等需要保护的区域。</w:t>
            </w:r>
          </w:p>
        </w:tc>
        <w:tc>
          <w:tcPr>
            <w:tcW w:w="527" w:type="pct"/>
            <w:tcBorders>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符合要求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78" w:hRule="atLeast"/>
          <w:jc w:val="center"/>
        </w:trPr>
        <w:tc>
          <w:tcPr>
            <w:tcW w:w="558" w:type="pct"/>
            <w:vMerge w:val="continue"/>
            <w:tcBorders>
              <w:lef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szCs w:val="21"/>
                <w:highlight w:val="none"/>
              </w:rPr>
            </w:pPr>
          </w:p>
        </w:tc>
        <w:tc>
          <w:tcPr>
            <w:tcW w:w="1915" w:type="pct"/>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firstLine="420" w:firstLineChars="200"/>
              <w:jc w:val="left"/>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4.4贮存场、填埋场应避开活动断层、溶洞区、天然滑坡或泥石流影响区以及湿地等区域。</w:t>
            </w:r>
          </w:p>
        </w:tc>
        <w:tc>
          <w:tcPr>
            <w:tcW w:w="2000" w:type="pct"/>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firstLine="420" w:firstLineChars="200"/>
              <w:jc w:val="left"/>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本项目尾矿库位置不涉及溶洞区、天然滑坡或泥石流影响区以及湿地等区域。</w:t>
            </w:r>
          </w:p>
        </w:tc>
        <w:tc>
          <w:tcPr>
            <w:tcW w:w="527" w:type="pct"/>
            <w:tcBorders>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符合要求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78" w:hRule="atLeast"/>
          <w:jc w:val="center"/>
        </w:trPr>
        <w:tc>
          <w:tcPr>
            <w:tcW w:w="558" w:type="pct"/>
            <w:vMerge w:val="continue"/>
            <w:tcBorders>
              <w:lef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szCs w:val="21"/>
                <w:highlight w:val="none"/>
              </w:rPr>
            </w:pPr>
          </w:p>
        </w:tc>
        <w:tc>
          <w:tcPr>
            <w:tcW w:w="1915" w:type="pct"/>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firstLine="420" w:firstLineChars="200"/>
              <w:jc w:val="left"/>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4.5贮存场、填埋场不得选在江河、湖泊、运河、渠道、水库最高水位线以下的滩地和岸坡，以及国家和地方长远规划中的水库等人工蓄水设施的淹没区和保护区之内。</w:t>
            </w:r>
          </w:p>
        </w:tc>
        <w:tc>
          <w:tcPr>
            <w:tcW w:w="2000" w:type="pct"/>
            <w:vAlign w:val="center"/>
          </w:tcPr>
          <w:p>
            <w:pPr>
              <w:keepNext w:val="0"/>
              <w:keepLines w:val="0"/>
              <w:pageBreakBefore w:val="0"/>
              <w:widowControl w:val="0"/>
              <w:kinsoku/>
              <w:wordWrap/>
              <w:overflowPunct/>
              <w:topLinePunct w:val="0"/>
              <w:autoSpaceDE/>
              <w:autoSpaceDN/>
              <w:bidi w:val="0"/>
              <w:adjustRightInd w:val="0"/>
              <w:snapToGrid w:val="0"/>
              <w:ind w:left="0" w:leftChars="0" w:right="0" w:rightChars="0" w:firstLine="420" w:firstLineChars="200"/>
              <w:jc w:val="left"/>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本项目尾矿库位置不在江河、湖泊、运河、渠道、水库最高水位线以下的滩地和岸坡，以及国家和地方长远规划中的水库等人工蓄水设施的淹没区和保护区之内。</w:t>
            </w:r>
          </w:p>
        </w:tc>
        <w:tc>
          <w:tcPr>
            <w:tcW w:w="527" w:type="pct"/>
            <w:tcBorders>
              <w:right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符合要求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78" w:hRule="atLeast"/>
          <w:jc w:val="center"/>
        </w:trPr>
        <w:tc>
          <w:tcPr>
            <w:tcW w:w="558" w:type="pct"/>
            <w:tcBorders>
              <w:left w:val="single" w:color="auto" w:sz="4" w:space="0"/>
              <w:bottom w:val="single" w:color="auto" w:sz="4" w:space="0"/>
            </w:tcBorders>
            <w:vAlign w:val="center"/>
          </w:tcPr>
          <w:p>
            <w:pPr>
              <w:pageBreakBefore w:val="0"/>
              <w:wordWrap/>
              <w:bidi w:val="0"/>
              <w:adjustRightInd w:val="0"/>
              <w:snapToGrid w:val="0"/>
              <w:ind w:left="0" w:leftChars="0" w:right="0" w:right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5贮存场和填埋场选址要求</w:t>
            </w:r>
          </w:p>
        </w:tc>
        <w:tc>
          <w:tcPr>
            <w:tcW w:w="1915" w:type="pct"/>
            <w:tcBorders>
              <w:bottom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5.2.1当天然基础层饱和渗透系数不大于1.0×10</w:t>
            </w:r>
            <w:r>
              <w:rPr>
                <w:rFonts w:hint="default" w:ascii="Times New Roman" w:hAnsi="Times New Roman" w:eastAsia="宋体" w:cs="Times New Roman"/>
                <w:color w:val="auto"/>
                <w:sz w:val="21"/>
                <w:szCs w:val="21"/>
                <w:highlight w:val="none"/>
                <w:vertAlign w:val="superscript"/>
              </w:rPr>
              <w:t>-5</w:t>
            </w:r>
            <w:r>
              <w:rPr>
                <w:rFonts w:hint="default" w:ascii="Times New Roman" w:hAnsi="Times New Roman" w:eastAsia="宋体" w:cs="Times New Roman"/>
                <w:color w:val="auto"/>
                <w:sz w:val="21"/>
                <w:szCs w:val="21"/>
                <w:highlight w:val="none"/>
              </w:rPr>
              <w:t>cm/s，且厚度不小于0.75m时，可以采用天然基础层作为防渗衬层。</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5.2.2当天然基础层不能满足5.2.1条防渗要求时，可采用改性压实粘土类衬层或具有同等以上隔水效力的其他材料防渗衬层，其防渗性能应至少相当于渗透系数为1.0×10</w:t>
            </w:r>
            <w:r>
              <w:rPr>
                <w:rFonts w:hint="default" w:ascii="Times New Roman" w:hAnsi="Times New Roman" w:eastAsia="宋体" w:cs="Times New Roman"/>
                <w:color w:val="auto"/>
                <w:sz w:val="21"/>
                <w:szCs w:val="21"/>
                <w:highlight w:val="none"/>
                <w:vertAlign w:val="superscript"/>
              </w:rPr>
              <w:t>-5</w:t>
            </w:r>
            <w:r>
              <w:rPr>
                <w:rFonts w:hint="default" w:ascii="Times New Roman" w:hAnsi="Times New Roman" w:eastAsia="宋体" w:cs="Times New Roman"/>
                <w:color w:val="auto"/>
                <w:sz w:val="21"/>
                <w:szCs w:val="21"/>
                <w:highlight w:val="none"/>
              </w:rPr>
              <w:t>cm/s且厚度为0.75m的天然基础层。</w:t>
            </w:r>
          </w:p>
        </w:tc>
        <w:tc>
          <w:tcPr>
            <w:tcW w:w="2000" w:type="pct"/>
            <w:tcBorders>
              <w:bottom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本次尾矿库加高扩容项目防渗工程包括两部分内容：（1）尾矿库现有库区防渗依托现有防渗措施；（2）紧邻现有尾矿库南侧新增占地上新建尾矿库区防渗措施。</w:t>
            </w:r>
          </w:p>
          <w:p>
            <w:pPr>
              <w:pageBreakBefore w:val="0"/>
              <w:widowControl w:val="0"/>
              <w:kinsoku/>
              <w:wordWrap/>
              <w:overflowPunct/>
              <w:topLinePunct w:val="0"/>
              <w:autoSpaceDE/>
              <w:autoSpaceDN/>
              <w:bidi w:val="0"/>
              <w:snapToGrid w:val="0"/>
              <w:spacing w:line="240" w:lineRule="auto"/>
              <w:ind w:left="0" w:leftChars="0" w:right="0" w:rightChars="0" w:firstLine="422" w:firstLineChars="200"/>
              <w:jc w:val="both"/>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（1）现有尾矿库区防渗如下：</w:t>
            </w:r>
          </w:p>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根据《监理报告》可知：现有</w:t>
            </w:r>
            <w:r>
              <w:rPr>
                <w:rFonts w:hint="default" w:ascii="Times New Roman" w:hAnsi="Times New Roman" w:eastAsia="宋体" w:cs="Times New Roman"/>
                <w:color w:val="auto"/>
                <w:sz w:val="21"/>
                <w:szCs w:val="21"/>
                <w:highlight w:val="none"/>
                <w:lang w:eastAsia="zh-CN"/>
              </w:rPr>
              <w:t>尾矿库库底和边坡同样做防渗层，铺设300mm厚级配沙砾石过渡层，300mm厚粘土层（渗透系数不大于10</w:t>
            </w:r>
            <w:r>
              <w:rPr>
                <w:rFonts w:hint="default" w:ascii="Times New Roman" w:hAnsi="Times New Roman" w:eastAsia="宋体" w:cs="Times New Roman"/>
                <w:color w:val="auto"/>
                <w:sz w:val="21"/>
                <w:szCs w:val="21"/>
                <w:highlight w:val="none"/>
                <w:vertAlign w:val="superscript"/>
                <w:lang w:eastAsia="zh-CN"/>
              </w:rPr>
              <w:t>-7</w:t>
            </w:r>
            <w:r>
              <w:rPr>
                <w:rFonts w:hint="default" w:ascii="Times New Roman" w:hAnsi="Times New Roman" w:eastAsia="宋体" w:cs="Times New Roman"/>
                <w:color w:val="auto"/>
                <w:sz w:val="21"/>
                <w:szCs w:val="21"/>
                <w:highlight w:val="none"/>
                <w:lang w:eastAsia="zh-CN"/>
              </w:rPr>
              <w:t>cm/s），1.5mmHDPE土工膜，300mm厚细砂保护层，300mm砂砾石保护层（粒径4-6cm）；初期坝坝体上游坡</w:t>
            </w:r>
            <w:r>
              <w:rPr>
                <w:rFonts w:hint="default" w:ascii="Times New Roman" w:hAnsi="Times New Roman" w:eastAsia="宋体" w:cs="Times New Roman"/>
                <w:color w:val="auto"/>
                <w:sz w:val="21"/>
                <w:szCs w:val="21"/>
                <w:highlight w:val="none"/>
                <w:lang w:val="en-US" w:eastAsia="zh-CN"/>
              </w:rPr>
              <w:t>铺设400mm厚粗砂垫层，然后铺设</w:t>
            </w:r>
            <w:r>
              <w:rPr>
                <w:rFonts w:hint="default" w:ascii="Times New Roman" w:hAnsi="Times New Roman" w:eastAsia="宋体" w:cs="Times New Roman"/>
                <w:color w:val="auto"/>
                <w:sz w:val="21"/>
                <w:szCs w:val="21"/>
                <w:highlight w:val="none"/>
                <w:lang w:eastAsia="zh-CN"/>
              </w:rPr>
              <w:t>500g/m</w:t>
            </w:r>
            <w:r>
              <w:rPr>
                <w:rFonts w:hint="default" w:ascii="Times New Roman" w:hAnsi="Times New Roman" w:eastAsia="宋体" w:cs="Times New Roman"/>
                <w:color w:val="auto"/>
                <w:sz w:val="21"/>
                <w:szCs w:val="21"/>
                <w:highlight w:val="none"/>
                <w:vertAlign w:val="superscript"/>
                <w:lang w:eastAsia="zh-CN"/>
              </w:rPr>
              <w:t>2</w:t>
            </w:r>
            <w:r>
              <w:rPr>
                <w:rFonts w:hint="default" w:ascii="Times New Roman" w:hAnsi="Times New Roman" w:eastAsia="宋体" w:cs="Times New Roman"/>
                <w:color w:val="auto"/>
                <w:sz w:val="21"/>
                <w:szCs w:val="21"/>
                <w:highlight w:val="none"/>
                <w:lang w:val="en-US" w:eastAsia="zh-CN"/>
              </w:rPr>
              <w:t>加筋土工布，最上面铺500mm厚天然砂砾石保护层。</w:t>
            </w:r>
          </w:p>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2017年8月23日原巴彦淖尔市环境保护局以《内蒙古自治区乌拉特前旗西沙德盖钼业有限责任公司10000t/d钼矿采选扩建尾矿库工程竣工环境保护验收意见》（巴环验〔2017〕28号）</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尾矿库做防渗处理，满足Ⅱ类场要求运行和管理</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同意现有尾矿库通过竣工环境保护验收</w:t>
            </w:r>
            <w:r>
              <w:rPr>
                <w:rFonts w:hint="default" w:ascii="Times New Roman" w:hAnsi="Times New Roman" w:eastAsia="宋体" w:cs="Times New Roman"/>
                <w:color w:val="auto"/>
                <w:sz w:val="21"/>
                <w:szCs w:val="21"/>
                <w:highlight w:val="none"/>
                <w:lang w:val="en-US" w:eastAsia="zh-CN"/>
              </w:rPr>
              <w:t>。</w:t>
            </w:r>
          </w:p>
          <w:p>
            <w:pPr>
              <w:keepNext w:val="0"/>
              <w:keepLines w:val="0"/>
              <w:pageBreakBefore w:val="0"/>
              <w:widowControl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2、紧邻现有尾矿库南侧新增占地部分：尾矿库库底和边坡同样做防渗层，铺设750mm厚粘土层（渗透系数不大于10</w:t>
            </w:r>
            <w:r>
              <w:rPr>
                <w:rFonts w:hint="default" w:ascii="Times New Roman" w:hAnsi="Times New Roman" w:eastAsia="宋体" w:cs="Times New Roman"/>
                <w:color w:val="auto"/>
                <w:sz w:val="21"/>
                <w:szCs w:val="21"/>
                <w:highlight w:val="none"/>
                <w:vertAlign w:val="superscript"/>
                <w:lang w:val="en-US" w:eastAsia="zh-CN"/>
              </w:rPr>
              <w:t>-7</w:t>
            </w:r>
            <w:r>
              <w:rPr>
                <w:rFonts w:hint="default" w:ascii="Times New Roman" w:hAnsi="Times New Roman" w:eastAsia="宋体" w:cs="Times New Roman"/>
                <w:color w:val="auto"/>
                <w:sz w:val="21"/>
                <w:szCs w:val="21"/>
                <w:highlight w:val="none"/>
                <w:lang w:val="en-US" w:eastAsia="zh-CN"/>
              </w:rPr>
              <w:t>cm/s），1.5mmHDPE土工膜，300mm厚细砂保护层，300mm砂砾石保护层（粒径4-6cm）。</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lang w:eastAsia="zh-CN"/>
              </w:rPr>
              <w:t>回水池：坝体内侧及整个水池底部全部采用</w:t>
            </w:r>
            <w:r>
              <w:rPr>
                <w:rFonts w:hint="default" w:ascii="Times New Roman" w:hAnsi="Times New Roman" w:eastAsia="宋体" w:cs="Times New Roman"/>
                <w:color w:val="auto"/>
                <w:sz w:val="21"/>
                <w:szCs w:val="21"/>
                <w:highlight w:val="none"/>
                <w:lang w:val="en-US" w:eastAsia="zh-CN"/>
              </w:rPr>
              <w:t>C30抗渗等级P6混凝土。</w:t>
            </w:r>
          </w:p>
        </w:tc>
        <w:tc>
          <w:tcPr>
            <w:tcW w:w="527" w:type="pct"/>
            <w:tcBorders>
              <w:bottom w:val="single" w:color="auto" w:sz="4" w:space="0"/>
              <w:right w:val="single" w:color="auto" w:sz="4" w:space="0"/>
            </w:tcBorders>
            <w:vAlign w:val="center"/>
          </w:tcPr>
          <w:p>
            <w:pPr>
              <w:pageBreakBefore w:val="0"/>
              <w:wordWrap/>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从安全角度分析，现有尾矿库建设符合要求</w:t>
            </w:r>
          </w:p>
        </w:tc>
      </w:tr>
    </w:tbl>
    <w:p>
      <w:pPr>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根据上表</w:t>
      </w:r>
      <w:r>
        <w:rPr>
          <w:rFonts w:hint="default" w:ascii="Times New Roman" w:hAnsi="Times New Roman" w:eastAsia="宋体" w:cs="Times New Roman"/>
          <w:color w:val="auto"/>
          <w:sz w:val="24"/>
          <w:highlight w:val="none"/>
          <w:lang w:eastAsia="zh-CN"/>
        </w:rPr>
        <w:t>分析，</w:t>
      </w:r>
      <w:r>
        <w:rPr>
          <w:rFonts w:hint="default" w:ascii="Times New Roman" w:hAnsi="Times New Roman" w:eastAsia="宋体" w:cs="Times New Roman"/>
          <w:color w:val="auto"/>
          <w:sz w:val="24"/>
          <w:highlight w:val="none"/>
        </w:rPr>
        <w:t>本</w:t>
      </w:r>
      <w:r>
        <w:rPr>
          <w:rFonts w:hint="default" w:ascii="Times New Roman" w:hAnsi="Times New Roman" w:eastAsia="宋体" w:cs="Times New Roman"/>
          <w:color w:val="auto"/>
          <w:sz w:val="24"/>
          <w:highlight w:val="none"/>
          <w:lang w:val="en-US" w:eastAsia="zh-CN"/>
        </w:rPr>
        <w:t>项目</w:t>
      </w:r>
      <w:r>
        <w:rPr>
          <w:rFonts w:hint="default" w:ascii="Times New Roman" w:hAnsi="Times New Roman" w:eastAsia="宋体" w:cs="Times New Roman"/>
          <w:color w:val="auto"/>
          <w:sz w:val="24"/>
          <w:highlight w:val="none"/>
        </w:rPr>
        <w:t>尾矿库符合《尾矿设施设计规范》（GB50863-2013</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以及《一般工业固体废物贮存和填埋污染控制标准》（GB18599-2020</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选址要求分析</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该尾矿库用地不涉及永久基本农田</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符合乌拉特前旗土地利用总体规划</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且取得了巴彦淖尔市应急管理局文件《关于乌拉特前旗西沙德盖钼业有限责任公司年处理300万吨钼矿选矿节能技改扩产项目尾矿库加高扩容工程项目安全设计的批复》。</w:t>
      </w:r>
    </w:p>
    <w:p>
      <w:pPr>
        <w:pStyle w:val="4"/>
        <w:pageBreakBefore w:val="0"/>
        <w:widowControl w:val="0"/>
        <w:numPr>
          <w:ilvl w:val="1"/>
          <w:numId w:val="0"/>
        </w:numPr>
        <w:kinsoku/>
        <w:wordWrap/>
        <w:overflowPunct/>
        <w:topLinePunct w:val="0"/>
        <w:autoSpaceDE/>
        <w:autoSpaceDN/>
        <w:bidi w:val="0"/>
        <w:adjustRightInd w:val="0"/>
        <w:snapToGrid w:val="0"/>
        <w:ind w:left="0" w:leftChars="0" w:right="0" w:rightChars="0"/>
        <w:textAlignment w:val="auto"/>
        <w:rPr>
          <w:rFonts w:hint="default" w:ascii="Times New Roman" w:hAnsi="Times New Roman" w:eastAsia="宋体" w:cs="Times New Roman"/>
          <w:b/>
          <w:bCs w:val="0"/>
          <w:color w:val="auto"/>
          <w:sz w:val="28"/>
          <w:szCs w:val="28"/>
          <w:highlight w:val="none"/>
        </w:rPr>
      </w:pPr>
      <w:bookmarkStart w:id="1589" w:name="_Toc131296121"/>
      <w:bookmarkStart w:id="1590" w:name="_Toc136052408"/>
      <w:bookmarkStart w:id="1591" w:name="_Toc12496"/>
      <w:bookmarkStart w:id="1592" w:name="_Toc12719"/>
      <w:r>
        <w:rPr>
          <w:rFonts w:hint="default" w:ascii="Times New Roman" w:hAnsi="Times New Roman" w:eastAsia="宋体" w:cs="Times New Roman"/>
          <w:b/>
          <w:bCs w:val="0"/>
          <w:i w:val="0"/>
          <w:color w:val="auto"/>
          <w:kern w:val="2"/>
          <w:sz w:val="28"/>
          <w:szCs w:val="28"/>
          <w:highlight w:val="none"/>
          <w:lang w:val="en-US" w:eastAsia="zh-CN" w:bidi="ar-SA"/>
        </w:rPr>
        <w:t>12.4</w:t>
      </w:r>
      <w:r>
        <w:rPr>
          <w:rFonts w:hint="default" w:ascii="Times New Roman" w:hAnsi="Times New Roman" w:eastAsia="宋体" w:cs="Times New Roman"/>
          <w:b/>
          <w:bCs w:val="0"/>
          <w:color w:val="auto"/>
          <w:sz w:val="28"/>
          <w:szCs w:val="28"/>
          <w:highlight w:val="none"/>
        </w:rPr>
        <w:t>环境现状</w:t>
      </w:r>
      <w:bookmarkEnd w:id="1589"/>
      <w:r>
        <w:rPr>
          <w:rFonts w:hint="default" w:ascii="Times New Roman" w:hAnsi="Times New Roman" w:eastAsia="宋体" w:cs="Times New Roman"/>
          <w:b/>
          <w:bCs w:val="0"/>
          <w:color w:val="auto"/>
          <w:sz w:val="28"/>
          <w:szCs w:val="28"/>
          <w:highlight w:val="none"/>
        </w:rPr>
        <w:t>评价</w:t>
      </w:r>
      <w:bookmarkEnd w:id="1590"/>
      <w:bookmarkEnd w:id="1591"/>
      <w:bookmarkEnd w:id="1592"/>
    </w:p>
    <w:p>
      <w:pPr>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textAlignment w:val="auto"/>
        <w:outlineLvl w:val="0"/>
        <w:rPr>
          <w:rFonts w:hint="default" w:ascii="Times New Roman" w:hAnsi="Times New Roman" w:eastAsia="宋体" w:cs="Times New Roman"/>
          <w:bCs/>
          <w:color w:val="auto"/>
          <w:sz w:val="24"/>
          <w:highlight w:val="none"/>
        </w:rPr>
      </w:pPr>
      <w:bookmarkStart w:id="1593" w:name="_Toc25659"/>
      <w:bookmarkStart w:id="1594" w:name="_Toc194"/>
      <w:r>
        <w:rPr>
          <w:rFonts w:hint="default" w:ascii="Times New Roman" w:hAnsi="Times New Roman" w:eastAsia="宋体" w:cs="Times New Roman"/>
          <w:bCs/>
          <w:color w:val="auto"/>
          <w:sz w:val="24"/>
          <w:highlight w:val="none"/>
        </w:rPr>
        <w:t>（1</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环境空气</w:t>
      </w:r>
      <w:bookmarkEnd w:id="1593"/>
      <w:bookmarkEnd w:id="1594"/>
    </w:p>
    <w:p>
      <w:pPr>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202</w:t>
      </w:r>
      <w:r>
        <w:rPr>
          <w:rFonts w:hint="default" w:ascii="Times New Roman" w:hAnsi="Times New Roman" w:eastAsia="宋体" w:cs="Times New Roman"/>
          <w:color w:val="auto"/>
          <w:sz w:val="24"/>
          <w:highlight w:val="none"/>
          <w:lang w:val="en-US" w:eastAsia="zh-CN"/>
        </w:rPr>
        <w:t>2</w:t>
      </w:r>
      <w:r>
        <w:rPr>
          <w:rFonts w:hint="default" w:ascii="Times New Roman" w:hAnsi="Times New Roman" w:eastAsia="宋体" w:cs="Times New Roman"/>
          <w:color w:val="auto"/>
          <w:sz w:val="24"/>
          <w:highlight w:val="none"/>
        </w:rPr>
        <w:t>年该地区SO</w:t>
      </w:r>
      <w:r>
        <w:rPr>
          <w:rFonts w:hint="default" w:ascii="Times New Roman" w:hAnsi="Times New Roman" w:eastAsia="宋体" w:cs="Times New Roman"/>
          <w:color w:val="auto"/>
          <w:sz w:val="24"/>
          <w:highlight w:val="none"/>
          <w:vertAlign w:val="subscript"/>
        </w:rPr>
        <w:t>2</w:t>
      </w:r>
      <w:r>
        <w:rPr>
          <w:rFonts w:hint="default" w:ascii="Times New Roman" w:hAnsi="Times New Roman" w:eastAsia="宋体" w:cs="Times New Roman"/>
          <w:color w:val="auto"/>
          <w:sz w:val="24"/>
          <w:highlight w:val="none"/>
        </w:rPr>
        <w:t>、NO</w:t>
      </w:r>
      <w:r>
        <w:rPr>
          <w:rFonts w:hint="default" w:ascii="Times New Roman" w:hAnsi="Times New Roman" w:eastAsia="宋体" w:cs="Times New Roman"/>
          <w:color w:val="auto"/>
          <w:sz w:val="24"/>
          <w:highlight w:val="none"/>
          <w:vertAlign w:val="subscript"/>
        </w:rPr>
        <w:t>2</w:t>
      </w:r>
      <w:r>
        <w:rPr>
          <w:rFonts w:hint="default" w:ascii="Times New Roman" w:hAnsi="Times New Roman" w:eastAsia="宋体" w:cs="Times New Roman"/>
          <w:color w:val="auto"/>
          <w:sz w:val="24"/>
          <w:highlight w:val="none"/>
        </w:rPr>
        <w:t>、PM</w:t>
      </w:r>
      <w:r>
        <w:rPr>
          <w:rFonts w:hint="default" w:ascii="Times New Roman" w:hAnsi="Times New Roman" w:eastAsia="宋体" w:cs="Times New Roman"/>
          <w:color w:val="auto"/>
          <w:sz w:val="24"/>
          <w:highlight w:val="none"/>
          <w:vertAlign w:val="subscript"/>
        </w:rPr>
        <w:t>2.5</w:t>
      </w:r>
      <w:r>
        <w:rPr>
          <w:rFonts w:hint="default" w:ascii="Times New Roman" w:hAnsi="Times New Roman" w:eastAsia="宋体" w:cs="Times New Roman"/>
          <w:color w:val="auto"/>
          <w:sz w:val="24"/>
          <w:highlight w:val="none"/>
        </w:rPr>
        <w:t>、PM</w:t>
      </w:r>
      <w:r>
        <w:rPr>
          <w:rFonts w:hint="default" w:ascii="Times New Roman" w:hAnsi="Times New Roman" w:eastAsia="宋体" w:cs="Times New Roman"/>
          <w:color w:val="auto"/>
          <w:sz w:val="24"/>
          <w:highlight w:val="none"/>
          <w:vertAlign w:val="subscript"/>
        </w:rPr>
        <w:t>10</w:t>
      </w:r>
      <w:r>
        <w:rPr>
          <w:rFonts w:hint="default" w:ascii="Times New Roman" w:hAnsi="Times New Roman" w:eastAsia="宋体" w:cs="Times New Roman"/>
          <w:color w:val="auto"/>
          <w:sz w:val="24"/>
          <w:highlight w:val="none"/>
        </w:rPr>
        <w:t>、O</w:t>
      </w:r>
      <w:r>
        <w:rPr>
          <w:rFonts w:hint="default" w:ascii="Times New Roman" w:hAnsi="Times New Roman" w:eastAsia="宋体" w:cs="Times New Roman"/>
          <w:color w:val="auto"/>
          <w:sz w:val="24"/>
          <w:highlight w:val="none"/>
          <w:vertAlign w:val="subscript"/>
        </w:rPr>
        <w:t>3</w:t>
      </w:r>
      <w:r>
        <w:rPr>
          <w:rFonts w:hint="default" w:ascii="Times New Roman" w:hAnsi="Times New Roman" w:eastAsia="宋体" w:cs="Times New Roman"/>
          <w:color w:val="auto"/>
          <w:sz w:val="24"/>
          <w:highlight w:val="none"/>
        </w:rPr>
        <w:t>、CO全部达标</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由此可判断乌拉特前旗为城市环境空气质量达标区。</w:t>
      </w:r>
    </w:p>
    <w:p>
      <w:pPr>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bCs/>
          <w:color w:val="auto"/>
          <w:sz w:val="24"/>
          <w:highlight w:val="none"/>
        </w:rPr>
      </w:pPr>
      <w:r>
        <w:rPr>
          <w:rFonts w:hint="default" w:ascii="Times New Roman" w:hAnsi="Times New Roman" w:eastAsia="宋体" w:cs="Times New Roman"/>
          <w:color w:val="auto"/>
          <w:sz w:val="24"/>
          <w:highlight w:val="none"/>
        </w:rPr>
        <w:t>根据TSP现状监测数据</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其监测值能满足《环境空气质量标准》（GB3095-2012</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二级标准的要求</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无超标现象。</w:t>
      </w:r>
    </w:p>
    <w:p>
      <w:pPr>
        <w:pageBreakBefore w:val="0"/>
        <w:widowControl w:val="0"/>
        <w:kinsoku/>
        <w:wordWrap/>
        <w:overflowPunct/>
        <w:topLinePunct w:val="0"/>
        <w:autoSpaceDE/>
        <w:autoSpaceDN/>
        <w:bidi w:val="0"/>
        <w:spacing w:line="360" w:lineRule="auto"/>
        <w:ind w:left="0" w:leftChars="0" w:right="0" w:rightChars="0" w:firstLine="480" w:firstLineChars="200"/>
        <w:textAlignment w:val="auto"/>
        <w:outlineLvl w:val="0"/>
        <w:rPr>
          <w:rFonts w:hint="default" w:ascii="Times New Roman" w:hAnsi="Times New Roman" w:eastAsia="宋体" w:cs="Times New Roman"/>
          <w:bCs/>
          <w:color w:val="auto"/>
          <w:sz w:val="24"/>
          <w:highlight w:val="none"/>
        </w:rPr>
      </w:pPr>
      <w:bookmarkStart w:id="1595" w:name="_Toc16396"/>
      <w:bookmarkStart w:id="1596" w:name="_Toc32348"/>
      <w:r>
        <w:rPr>
          <w:rFonts w:hint="default" w:ascii="Times New Roman" w:hAnsi="Times New Roman" w:eastAsia="宋体" w:cs="Times New Roman"/>
          <w:bCs/>
          <w:color w:val="auto"/>
          <w:sz w:val="24"/>
          <w:highlight w:val="none"/>
        </w:rPr>
        <w:t>（2</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地下水环境</w:t>
      </w:r>
      <w:bookmarkEnd w:id="1595"/>
      <w:bookmarkEnd w:id="1596"/>
    </w:p>
    <w:p>
      <w:pPr>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bCs/>
          <w:color w:val="auto"/>
          <w:sz w:val="24"/>
          <w:highlight w:val="none"/>
        </w:rPr>
      </w:pPr>
      <w:r>
        <w:rPr>
          <w:rFonts w:hint="default" w:ascii="Times New Roman" w:hAnsi="Times New Roman" w:eastAsia="宋体" w:cs="Times New Roman"/>
          <w:color w:val="auto"/>
          <w:sz w:val="24"/>
          <w:highlight w:val="none"/>
        </w:rPr>
        <w:t>根据地下水水质监测结果</w:t>
      </w:r>
      <w:r>
        <w:rPr>
          <w:rFonts w:hint="default" w:ascii="Times New Roman" w:hAnsi="Times New Roman" w:eastAsia="宋体" w:cs="Times New Roman"/>
          <w:color w:val="auto"/>
          <w:sz w:val="24"/>
          <w:highlight w:val="none"/>
          <w:lang w:eastAsia="zh-CN"/>
        </w:rPr>
        <w:t>可知，</w:t>
      </w:r>
      <w:r>
        <w:rPr>
          <w:rFonts w:hint="default" w:ascii="Times New Roman" w:hAnsi="Times New Roman" w:eastAsia="宋体" w:cs="Times New Roman"/>
          <w:color w:val="auto"/>
          <w:sz w:val="24"/>
          <w:highlight w:val="none"/>
        </w:rPr>
        <w:t>1#水井、2#水井、3#水井、4#水井、5#水井各监测因子均满足《地下水质量标准》（GB</w:t>
      </w:r>
      <w:r>
        <w:rPr>
          <w:rFonts w:hint="default" w:ascii="Times New Roman" w:hAnsi="Times New Roman" w:eastAsia="宋体" w:cs="Times New Roman"/>
          <w:color w:val="auto"/>
          <w:sz w:val="24"/>
          <w:highlight w:val="none"/>
          <w:lang w:val="en-US" w:eastAsia="zh-CN"/>
        </w:rPr>
        <w:t>/T</w:t>
      </w:r>
      <w:r>
        <w:rPr>
          <w:rFonts w:hint="default" w:ascii="Times New Roman" w:hAnsi="Times New Roman" w:eastAsia="宋体" w:cs="Times New Roman"/>
          <w:color w:val="auto"/>
          <w:sz w:val="24"/>
          <w:highlight w:val="none"/>
        </w:rPr>
        <w:t>14848-2017</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中</w:t>
      </w:r>
      <w:r>
        <w:rPr>
          <w:rFonts w:hint="default" w:ascii="Times New Roman" w:hAnsi="Times New Roman" w:eastAsia="宋体" w:cs="Times New Roman"/>
          <w:color w:val="auto"/>
          <w:sz w:val="24"/>
          <w:highlight w:val="none"/>
          <w:lang w:eastAsia="zh-CN"/>
        </w:rPr>
        <w:t>Ⅲ</w:t>
      </w:r>
      <w:r>
        <w:rPr>
          <w:rFonts w:hint="default" w:ascii="Times New Roman" w:hAnsi="Times New Roman" w:eastAsia="宋体" w:cs="Times New Roman"/>
          <w:color w:val="auto"/>
          <w:sz w:val="24"/>
          <w:highlight w:val="none"/>
        </w:rPr>
        <w:t>类标准。</w:t>
      </w:r>
    </w:p>
    <w:p>
      <w:pPr>
        <w:pageBreakBefore w:val="0"/>
        <w:widowControl w:val="0"/>
        <w:kinsoku/>
        <w:wordWrap/>
        <w:overflowPunct/>
        <w:topLinePunct w:val="0"/>
        <w:autoSpaceDE/>
        <w:autoSpaceDN/>
        <w:bidi w:val="0"/>
        <w:spacing w:line="360" w:lineRule="auto"/>
        <w:ind w:left="0" w:leftChars="0" w:right="0" w:rightChars="0" w:firstLine="480" w:firstLineChars="200"/>
        <w:textAlignment w:val="auto"/>
        <w:outlineLvl w:val="0"/>
        <w:rPr>
          <w:rFonts w:hint="default" w:ascii="Times New Roman" w:hAnsi="Times New Roman" w:eastAsia="宋体" w:cs="Times New Roman"/>
          <w:bCs/>
          <w:color w:val="auto"/>
          <w:sz w:val="24"/>
          <w:highlight w:val="none"/>
        </w:rPr>
      </w:pPr>
      <w:bookmarkStart w:id="1597" w:name="_Toc31403"/>
      <w:bookmarkStart w:id="1598" w:name="_Toc23887"/>
      <w:r>
        <w:rPr>
          <w:rFonts w:hint="default" w:ascii="Times New Roman" w:hAnsi="Times New Roman" w:eastAsia="宋体" w:cs="Times New Roman"/>
          <w:bCs/>
          <w:color w:val="auto"/>
          <w:sz w:val="24"/>
          <w:highlight w:val="none"/>
        </w:rPr>
        <w:t>（3</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声环境</w:t>
      </w:r>
      <w:bookmarkEnd w:id="1597"/>
      <w:bookmarkEnd w:id="1598"/>
    </w:p>
    <w:p>
      <w:pPr>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bCs/>
          <w:color w:val="auto"/>
          <w:sz w:val="24"/>
          <w:highlight w:val="none"/>
        </w:rPr>
      </w:pPr>
      <w:r>
        <w:rPr>
          <w:rFonts w:hint="default" w:ascii="Times New Roman" w:hAnsi="Times New Roman" w:eastAsia="宋体" w:cs="Times New Roman"/>
          <w:bCs/>
          <w:color w:val="auto"/>
          <w:sz w:val="24"/>
          <w:highlight w:val="none"/>
        </w:rPr>
        <w:t>项目区</w:t>
      </w:r>
      <w:r>
        <w:rPr>
          <w:rFonts w:hint="default" w:ascii="Times New Roman" w:hAnsi="Times New Roman" w:eastAsia="宋体" w:cs="Times New Roman"/>
          <w:bCs/>
          <w:color w:val="auto"/>
          <w:sz w:val="24"/>
          <w:highlight w:val="none"/>
          <w:lang w:eastAsia="zh-CN"/>
        </w:rPr>
        <w:t>的</w:t>
      </w:r>
      <w:r>
        <w:rPr>
          <w:rFonts w:hint="default" w:ascii="Times New Roman" w:hAnsi="Times New Roman" w:eastAsia="宋体" w:cs="Times New Roman"/>
          <w:bCs/>
          <w:color w:val="auto"/>
          <w:sz w:val="24"/>
          <w:highlight w:val="none"/>
        </w:rPr>
        <w:t>噪声现状值满足《声环境质量标准》（GB3096-2008</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中2类的标准限值要求。</w:t>
      </w:r>
    </w:p>
    <w:p>
      <w:pPr>
        <w:pageBreakBefore w:val="0"/>
        <w:widowControl w:val="0"/>
        <w:kinsoku/>
        <w:wordWrap/>
        <w:overflowPunct/>
        <w:topLinePunct w:val="0"/>
        <w:autoSpaceDE/>
        <w:autoSpaceDN/>
        <w:bidi w:val="0"/>
        <w:spacing w:line="360" w:lineRule="auto"/>
        <w:ind w:left="0" w:leftChars="0" w:right="0" w:rightChars="0" w:firstLine="480" w:firstLineChars="200"/>
        <w:textAlignment w:val="auto"/>
        <w:outlineLvl w:val="0"/>
        <w:rPr>
          <w:rFonts w:hint="default" w:ascii="Times New Roman" w:hAnsi="Times New Roman" w:eastAsia="宋体" w:cs="Times New Roman"/>
          <w:bCs/>
          <w:color w:val="auto"/>
          <w:sz w:val="24"/>
          <w:highlight w:val="none"/>
        </w:rPr>
      </w:pPr>
      <w:bookmarkStart w:id="1599" w:name="_Toc26333"/>
      <w:bookmarkStart w:id="1600" w:name="_Toc11796"/>
      <w:r>
        <w:rPr>
          <w:rFonts w:hint="default" w:ascii="Times New Roman" w:hAnsi="Times New Roman" w:eastAsia="宋体" w:cs="Times New Roman"/>
          <w:bCs/>
          <w:color w:val="auto"/>
          <w:sz w:val="24"/>
          <w:highlight w:val="none"/>
        </w:rPr>
        <w:t>（4</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土壤环境</w:t>
      </w:r>
      <w:bookmarkEnd w:id="1599"/>
      <w:bookmarkEnd w:id="1600"/>
    </w:p>
    <w:p>
      <w:pPr>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bCs/>
          <w:color w:val="auto"/>
          <w:sz w:val="24"/>
          <w:highlight w:val="none"/>
        </w:rPr>
      </w:pPr>
      <w:r>
        <w:rPr>
          <w:rFonts w:hint="default" w:ascii="Times New Roman" w:hAnsi="Times New Roman" w:eastAsia="宋体" w:cs="Times New Roman"/>
          <w:bCs/>
          <w:color w:val="auto"/>
          <w:sz w:val="24"/>
          <w:highlight w:val="none"/>
        </w:rPr>
        <w:t>由监测结果可知</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项目区占地范围内1#、2#、3#各测点的检测因子均可满足《土壤环境质量建设用地土壤污染风险管控标准》（GB36600-2018</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中表1的风险筛选值第二类用地限值要求。</w:t>
      </w:r>
    </w:p>
    <w:p>
      <w:pPr>
        <w:pStyle w:val="5"/>
        <w:pageBreakBefore w:val="0"/>
        <w:widowControl w:val="0"/>
        <w:numPr>
          <w:ilvl w:val="2"/>
          <w:numId w:val="0"/>
        </w:numPr>
        <w:kinsoku/>
        <w:wordWrap/>
        <w:overflowPunct/>
        <w:topLinePunct w:val="0"/>
        <w:autoSpaceDE/>
        <w:autoSpaceDN/>
        <w:bidi w:val="0"/>
        <w:ind w:left="0" w:leftChars="0" w:right="0" w:rightChars="0"/>
        <w:textAlignment w:val="auto"/>
        <w:outlineLvl w:val="1"/>
        <w:rPr>
          <w:rFonts w:hint="default" w:ascii="Times New Roman" w:hAnsi="Times New Roman" w:eastAsia="宋体" w:cs="Times New Roman"/>
          <w:b/>
          <w:bCs/>
          <w:color w:val="auto"/>
          <w:highlight w:val="none"/>
        </w:rPr>
      </w:pPr>
      <w:bookmarkStart w:id="1601" w:name="_Toc17352"/>
      <w:bookmarkStart w:id="1602" w:name="_Toc12697"/>
      <w:bookmarkStart w:id="1603" w:name="_Toc12257"/>
      <w:r>
        <w:rPr>
          <w:rFonts w:hint="default" w:ascii="Times New Roman" w:hAnsi="Times New Roman" w:eastAsia="宋体" w:cs="Times New Roman"/>
          <w:b/>
          <w:bCs/>
          <w:i w:val="0"/>
          <w:iCs w:val="0"/>
          <w:caps w:val="0"/>
          <w:smallCaps w:val="0"/>
          <w:strike w:val="0"/>
          <w:dstrike w:val="0"/>
          <w:vanish w:val="0"/>
          <w:color w:val="auto"/>
          <w:spacing w:val="0"/>
          <w:kern w:val="2"/>
          <w:position w:val="0"/>
          <w:sz w:val="24"/>
          <w:szCs w:val="24"/>
          <w:highlight w:val="none"/>
          <w:u w:val="none"/>
          <w:vertAlign w:val="baseline"/>
          <w:lang w:val="en-US" w:eastAsia="zh-CN" w:bidi="ar-SA"/>
          <w14:shadow w14:blurRad="0" w14:dist="0" w14:dir="0" w14:sx="0" w14:sy="0" w14:kx="0" w14:ky="0" w14:algn="none">
            <w14:srgbClr w14:val="000000"/>
          </w14:shadow>
        </w:rPr>
        <w:t>12.4.1</w:t>
      </w:r>
      <w:r>
        <w:rPr>
          <w:rFonts w:hint="default" w:ascii="Times New Roman" w:hAnsi="Times New Roman" w:eastAsia="宋体" w:cs="Times New Roman"/>
          <w:b/>
          <w:bCs/>
          <w:color w:val="auto"/>
          <w:highlight w:val="none"/>
        </w:rPr>
        <w:t>污染物产生、排放及治理措施的可行性</w:t>
      </w:r>
      <w:bookmarkEnd w:id="1601"/>
      <w:bookmarkEnd w:id="1602"/>
      <w:bookmarkEnd w:id="1603"/>
    </w:p>
    <w:p>
      <w:pPr>
        <w:pageBreakBefore w:val="0"/>
        <w:widowControl w:val="0"/>
        <w:kinsoku/>
        <w:wordWrap/>
        <w:overflowPunct/>
        <w:topLinePunct w:val="0"/>
        <w:autoSpaceDE/>
        <w:autoSpaceDN/>
        <w:bidi w:val="0"/>
        <w:spacing w:line="360" w:lineRule="auto"/>
        <w:ind w:left="0" w:leftChars="0" w:right="0" w:rightChars="0" w:firstLine="480" w:firstLineChars="200"/>
        <w:textAlignment w:val="auto"/>
        <w:outlineLvl w:val="0"/>
        <w:rPr>
          <w:rFonts w:hint="default" w:ascii="Times New Roman" w:hAnsi="Times New Roman" w:eastAsia="宋体" w:cs="Times New Roman"/>
          <w:bCs/>
          <w:color w:val="auto"/>
          <w:sz w:val="24"/>
          <w:highlight w:val="none"/>
        </w:rPr>
      </w:pPr>
      <w:bookmarkStart w:id="1604" w:name="_Toc14350"/>
      <w:bookmarkStart w:id="1605" w:name="_Toc18111"/>
      <w:r>
        <w:rPr>
          <w:rFonts w:hint="default" w:ascii="Times New Roman" w:hAnsi="Times New Roman" w:eastAsia="宋体" w:cs="Times New Roman"/>
          <w:bCs/>
          <w:color w:val="auto"/>
          <w:sz w:val="24"/>
          <w:highlight w:val="none"/>
        </w:rPr>
        <w:t>（1</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废气</w:t>
      </w:r>
      <w:bookmarkEnd w:id="1604"/>
      <w:bookmarkEnd w:id="1605"/>
    </w:p>
    <w:p>
      <w:pPr>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bCs/>
          <w:color w:val="auto"/>
          <w:sz w:val="24"/>
          <w:highlight w:val="none"/>
        </w:rPr>
      </w:pPr>
      <w:r>
        <w:rPr>
          <w:rFonts w:hint="default" w:ascii="Times New Roman" w:hAnsi="Times New Roman" w:eastAsia="宋体" w:cs="Times New Roman"/>
          <w:bCs/>
          <w:color w:val="auto"/>
          <w:sz w:val="24"/>
          <w:highlight w:val="none"/>
        </w:rPr>
        <w:t>本项目废气主要为尾矿库干滩扬尘</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在采取</w:t>
      </w:r>
      <w:r>
        <w:rPr>
          <w:rFonts w:hint="default" w:ascii="Times New Roman" w:hAnsi="Times New Roman" w:eastAsia="宋体" w:cs="Times New Roman"/>
          <w:bCs/>
          <w:color w:val="auto"/>
          <w:sz w:val="24"/>
          <w:highlight w:val="none"/>
          <w:lang w:eastAsia="zh-CN"/>
        </w:rPr>
        <w:t>分散放矿</w:t>
      </w:r>
      <w:r>
        <w:rPr>
          <w:rFonts w:hint="default" w:ascii="Times New Roman" w:hAnsi="Times New Roman" w:eastAsia="宋体" w:cs="Times New Roman"/>
          <w:bCs/>
          <w:color w:val="auto"/>
          <w:sz w:val="24"/>
          <w:highlight w:val="none"/>
        </w:rPr>
        <w:t>配合</w:t>
      </w:r>
      <w:r>
        <w:rPr>
          <w:rFonts w:hint="default" w:ascii="Times New Roman" w:hAnsi="Times New Roman" w:eastAsia="宋体" w:cs="Times New Roman"/>
          <w:color w:val="auto"/>
          <w:sz w:val="24"/>
          <w:highlight w:val="none"/>
        </w:rPr>
        <w:t>洒水</w:t>
      </w:r>
      <w:r>
        <w:rPr>
          <w:rFonts w:hint="default" w:ascii="Times New Roman" w:hAnsi="Times New Roman" w:eastAsia="宋体" w:cs="Times New Roman"/>
          <w:bCs/>
          <w:color w:val="auto"/>
          <w:sz w:val="24"/>
          <w:highlight w:val="none"/>
        </w:rPr>
        <w:t>的情况下</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经预测</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TSP在场界处的预测值满足《大气污染物综合排放标准》（GB16297-1996</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表2新污染源大气污染物排放限值中“无组织排放监控浓度限值”</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废气达标排放。</w:t>
      </w:r>
    </w:p>
    <w:p>
      <w:pPr>
        <w:pageBreakBefore w:val="0"/>
        <w:widowControl w:val="0"/>
        <w:kinsoku/>
        <w:wordWrap/>
        <w:overflowPunct/>
        <w:topLinePunct w:val="0"/>
        <w:autoSpaceDE/>
        <w:autoSpaceDN/>
        <w:bidi w:val="0"/>
        <w:spacing w:line="360" w:lineRule="auto"/>
        <w:ind w:left="0" w:leftChars="0" w:right="0" w:rightChars="0" w:firstLine="480" w:firstLineChars="200"/>
        <w:textAlignment w:val="auto"/>
        <w:outlineLvl w:val="0"/>
        <w:rPr>
          <w:rFonts w:hint="default" w:ascii="Times New Roman" w:hAnsi="Times New Roman" w:eastAsia="宋体" w:cs="Times New Roman"/>
          <w:bCs/>
          <w:color w:val="auto"/>
          <w:sz w:val="24"/>
          <w:szCs w:val="24"/>
          <w:highlight w:val="none"/>
        </w:rPr>
      </w:pPr>
      <w:bookmarkStart w:id="1606" w:name="_Toc11144"/>
      <w:bookmarkStart w:id="1607" w:name="_Toc912"/>
      <w:r>
        <w:rPr>
          <w:rFonts w:hint="default" w:ascii="Times New Roman" w:hAnsi="Times New Roman" w:eastAsia="宋体" w:cs="Times New Roman"/>
          <w:bCs/>
          <w:color w:val="auto"/>
          <w:sz w:val="24"/>
          <w:szCs w:val="24"/>
          <w:highlight w:val="none"/>
        </w:rPr>
        <w:t>（2</w:t>
      </w:r>
      <w:r>
        <w:rPr>
          <w:rFonts w:hint="default" w:ascii="Times New Roman" w:hAnsi="Times New Roman" w:eastAsia="宋体"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rPr>
        <w:t>废水</w:t>
      </w:r>
      <w:bookmarkEnd w:id="1606"/>
      <w:bookmarkEnd w:id="1607"/>
    </w:p>
    <w:p>
      <w:pPr>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bCs/>
          <w:color w:val="auto"/>
          <w:sz w:val="24"/>
          <w:szCs w:val="24"/>
          <w:highlight w:val="none"/>
        </w:rPr>
      </w:pPr>
      <w:r>
        <w:rPr>
          <w:rFonts w:hint="default" w:ascii="Times New Roman" w:hAnsi="Times New Roman" w:eastAsia="宋体" w:cs="Times New Roman"/>
          <w:bCs/>
          <w:color w:val="auto"/>
          <w:sz w:val="24"/>
          <w:szCs w:val="24"/>
          <w:highlight w:val="none"/>
          <w:lang w:eastAsia="zh-CN"/>
        </w:rPr>
        <w:t>项目尾矿</w:t>
      </w:r>
      <w:r>
        <w:rPr>
          <w:rFonts w:hint="default" w:ascii="Times New Roman" w:hAnsi="Times New Roman" w:eastAsia="宋体" w:cs="Times New Roman"/>
          <w:bCs/>
          <w:color w:val="auto"/>
          <w:sz w:val="24"/>
          <w:szCs w:val="24"/>
          <w:highlight w:val="none"/>
          <w:lang w:val="en-US" w:eastAsia="zh-CN"/>
        </w:rPr>
        <w:t>库内回水</w:t>
      </w:r>
      <w:r>
        <w:rPr>
          <w:rFonts w:hint="default" w:ascii="Times New Roman" w:hAnsi="Times New Roman" w:eastAsia="宋体" w:cs="Times New Roman"/>
          <w:color w:val="auto"/>
          <w:sz w:val="24"/>
          <w:szCs w:val="24"/>
          <w:highlight w:val="none"/>
        </w:rPr>
        <w:t>通过溢流井</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回水管</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消力池</w:t>
      </w:r>
      <w:r>
        <w:rPr>
          <w:rFonts w:hint="default" w:ascii="Times New Roman" w:hAnsi="Times New Roman" w:eastAsia="宋体" w:cs="Times New Roman"/>
          <w:color w:val="auto"/>
          <w:sz w:val="24"/>
          <w:szCs w:val="24"/>
          <w:highlight w:val="none"/>
          <w:lang w:val="en-US" w:eastAsia="zh-CN"/>
        </w:rPr>
        <w:t>进入新建</w:t>
      </w:r>
      <w:r>
        <w:rPr>
          <w:rFonts w:hint="default" w:ascii="Times New Roman" w:hAnsi="Times New Roman" w:eastAsia="宋体" w:cs="Times New Roman"/>
          <w:color w:val="auto"/>
          <w:sz w:val="24"/>
          <w:szCs w:val="24"/>
          <w:highlight w:val="none"/>
        </w:rPr>
        <w:t>回水池</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bCs/>
          <w:color w:val="auto"/>
          <w:sz w:val="24"/>
          <w:szCs w:val="24"/>
          <w:highlight w:val="none"/>
          <w:lang w:eastAsia="zh-CN"/>
        </w:rPr>
        <w:t>再通过新建回水泵站泵送至选矿厂现有高位水池，</w:t>
      </w:r>
      <w:r>
        <w:rPr>
          <w:rFonts w:hint="default" w:ascii="Times New Roman" w:hAnsi="Times New Roman" w:eastAsia="宋体" w:cs="Times New Roman"/>
          <w:bCs/>
          <w:color w:val="auto"/>
          <w:sz w:val="24"/>
          <w:szCs w:val="24"/>
          <w:highlight w:val="none"/>
          <w:lang w:val="en-US" w:eastAsia="zh-CN"/>
        </w:rPr>
        <w:t>作为生产用水循环使用，</w:t>
      </w:r>
      <w:r>
        <w:rPr>
          <w:rFonts w:hint="default" w:ascii="Times New Roman" w:hAnsi="Times New Roman" w:eastAsia="宋体" w:cs="Times New Roman"/>
          <w:bCs/>
          <w:color w:val="auto"/>
          <w:sz w:val="24"/>
          <w:szCs w:val="24"/>
          <w:highlight w:val="none"/>
          <w:lang w:eastAsia="zh-CN"/>
        </w:rPr>
        <w:t>无废水排放；无新增工作人员，无新增生活污水产生</w:t>
      </w:r>
      <w:r>
        <w:rPr>
          <w:rFonts w:hint="default" w:ascii="Times New Roman" w:hAnsi="Times New Roman" w:eastAsia="宋体" w:cs="Times New Roman"/>
          <w:color w:val="auto"/>
          <w:sz w:val="24"/>
          <w:szCs w:val="24"/>
          <w:highlight w:val="none"/>
        </w:rPr>
        <w:t>。</w:t>
      </w:r>
    </w:p>
    <w:p>
      <w:pPr>
        <w:pageBreakBefore w:val="0"/>
        <w:widowControl w:val="0"/>
        <w:kinsoku/>
        <w:wordWrap/>
        <w:overflowPunct/>
        <w:topLinePunct w:val="0"/>
        <w:autoSpaceDE/>
        <w:autoSpaceDN/>
        <w:bidi w:val="0"/>
        <w:spacing w:line="360" w:lineRule="auto"/>
        <w:ind w:left="0" w:leftChars="0" w:right="0" w:rightChars="0" w:firstLine="480" w:firstLineChars="200"/>
        <w:textAlignment w:val="auto"/>
        <w:outlineLvl w:val="0"/>
        <w:rPr>
          <w:rFonts w:hint="default" w:ascii="Times New Roman" w:hAnsi="Times New Roman" w:eastAsia="宋体" w:cs="Times New Roman"/>
          <w:bCs/>
          <w:color w:val="auto"/>
          <w:sz w:val="24"/>
          <w:highlight w:val="none"/>
        </w:rPr>
      </w:pPr>
      <w:bookmarkStart w:id="1608" w:name="_Toc24408"/>
      <w:bookmarkStart w:id="1609" w:name="_Toc842"/>
      <w:r>
        <w:rPr>
          <w:rFonts w:hint="default" w:ascii="Times New Roman" w:hAnsi="Times New Roman" w:eastAsia="宋体" w:cs="Times New Roman"/>
          <w:bCs/>
          <w:color w:val="auto"/>
          <w:sz w:val="24"/>
          <w:highlight w:val="none"/>
        </w:rPr>
        <w:t>（3</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噪声</w:t>
      </w:r>
      <w:bookmarkEnd w:id="1608"/>
      <w:bookmarkEnd w:id="1609"/>
    </w:p>
    <w:p>
      <w:pPr>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bCs/>
          <w:color w:val="auto"/>
          <w:sz w:val="24"/>
          <w:highlight w:val="none"/>
        </w:rPr>
      </w:pPr>
      <w:r>
        <w:rPr>
          <w:rFonts w:hint="default" w:ascii="Times New Roman" w:hAnsi="Times New Roman" w:eastAsia="宋体" w:cs="Times New Roman"/>
          <w:bCs/>
          <w:color w:val="auto"/>
          <w:sz w:val="24"/>
          <w:highlight w:val="none"/>
          <w:lang w:eastAsia="zh-CN"/>
        </w:rPr>
        <w:t>运营</w:t>
      </w:r>
      <w:r>
        <w:rPr>
          <w:rFonts w:hint="default" w:ascii="Times New Roman" w:hAnsi="Times New Roman" w:eastAsia="宋体" w:cs="Times New Roman"/>
          <w:bCs/>
          <w:color w:val="auto"/>
          <w:sz w:val="24"/>
          <w:highlight w:val="none"/>
        </w:rPr>
        <w:t>期主要噪声源采取隔音和减振措施</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经距离衰减后</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经预测</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对厂界的噪声贡献值均低于《工业企业厂界环境噪声排放标准》（GB12348</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bCs/>
          <w:color w:val="auto"/>
          <w:sz w:val="24"/>
          <w:highlight w:val="none"/>
        </w:rPr>
        <w:t>2008</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2类区标准昼间60dB</w:t>
      </w:r>
      <w:r>
        <w:rPr>
          <w:rFonts w:hint="default" w:ascii="Times New Roman" w:hAnsi="Times New Roman" w:eastAsia="宋体" w:cs="Times New Roman"/>
          <w:bCs/>
          <w:color w:val="auto"/>
          <w:sz w:val="24"/>
          <w:highlight w:val="none"/>
          <w:lang w:eastAsia="zh-CN"/>
        </w:rPr>
        <w:t>（A），</w:t>
      </w:r>
      <w:r>
        <w:rPr>
          <w:rFonts w:hint="default" w:ascii="Times New Roman" w:hAnsi="Times New Roman" w:eastAsia="宋体" w:cs="Times New Roman"/>
          <w:bCs/>
          <w:color w:val="auto"/>
          <w:sz w:val="24"/>
          <w:highlight w:val="none"/>
        </w:rPr>
        <w:t>夜间50dB</w:t>
      </w:r>
      <w:r>
        <w:rPr>
          <w:rFonts w:hint="default" w:ascii="Times New Roman" w:hAnsi="Times New Roman" w:eastAsia="宋体" w:cs="Times New Roman"/>
          <w:bCs/>
          <w:color w:val="auto"/>
          <w:sz w:val="24"/>
          <w:highlight w:val="none"/>
          <w:lang w:eastAsia="zh-CN"/>
        </w:rPr>
        <w:t>（A）</w:t>
      </w:r>
      <w:r>
        <w:rPr>
          <w:rFonts w:hint="default" w:ascii="Times New Roman" w:hAnsi="Times New Roman" w:eastAsia="宋体" w:cs="Times New Roman"/>
          <w:bCs/>
          <w:color w:val="auto"/>
          <w:sz w:val="24"/>
          <w:highlight w:val="none"/>
        </w:rPr>
        <w:t>的标准限值。</w:t>
      </w:r>
    </w:p>
    <w:p>
      <w:pPr>
        <w:pageBreakBefore w:val="0"/>
        <w:widowControl w:val="0"/>
        <w:kinsoku/>
        <w:wordWrap/>
        <w:overflowPunct/>
        <w:topLinePunct w:val="0"/>
        <w:autoSpaceDE/>
        <w:autoSpaceDN/>
        <w:bidi w:val="0"/>
        <w:spacing w:line="360" w:lineRule="auto"/>
        <w:ind w:left="0" w:leftChars="0" w:right="0" w:rightChars="0" w:firstLine="480" w:firstLineChars="200"/>
        <w:textAlignment w:val="auto"/>
        <w:outlineLvl w:val="0"/>
        <w:rPr>
          <w:rFonts w:hint="default" w:ascii="Times New Roman" w:hAnsi="Times New Roman" w:eastAsia="宋体" w:cs="Times New Roman"/>
          <w:bCs/>
          <w:color w:val="auto"/>
          <w:sz w:val="24"/>
          <w:highlight w:val="none"/>
        </w:rPr>
      </w:pPr>
      <w:bookmarkStart w:id="1610" w:name="_Toc29256"/>
      <w:bookmarkStart w:id="1611" w:name="_Toc8848"/>
      <w:r>
        <w:rPr>
          <w:rFonts w:hint="default" w:ascii="Times New Roman" w:hAnsi="Times New Roman" w:eastAsia="宋体" w:cs="Times New Roman"/>
          <w:bCs/>
          <w:color w:val="auto"/>
          <w:sz w:val="24"/>
          <w:highlight w:val="none"/>
        </w:rPr>
        <w:t>（4</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固体废物</w:t>
      </w:r>
      <w:bookmarkEnd w:id="1610"/>
      <w:bookmarkEnd w:id="1611"/>
    </w:p>
    <w:p>
      <w:pPr>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bCs/>
          <w:color w:val="auto"/>
          <w:sz w:val="24"/>
          <w:highlight w:val="none"/>
          <w:lang w:eastAsia="zh-CN"/>
        </w:rPr>
      </w:pPr>
      <w:r>
        <w:rPr>
          <w:rFonts w:hint="default" w:ascii="Times New Roman" w:hAnsi="Times New Roman" w:eastAsia="宋体" w:cs="Times New Roman"/>
          <w:bCs/>
          <w:color w:val="auto"/>
          <w:sz w:val="24"/>
          <w:highlight w:val="none"/>
        </w:rPr>
        <w:t>本项目不新增劳动人员，无生活垃圾产生</w:t>
      </w:r>
      <w:r>
        <w:rPr>
          <w:rFonts w:hint="default" w:ascii="Times New Roman" w:hAnsi="Times New Roman" w:eastAsia="宋体" w:cs="Times New Roman"/>
          <w:bCs/>
          <w:color w:val="auto"/>
          <w:sz w:val="24"/>
          <w:highlight w:val="none"/>
          <w:lang w:eastAsia="zh-CN"/>
        </w:rPr>
        <w:t>。</w:t>
      </w:r>
    </w:p>
    <w:p>
      <w:pPr>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bCs/>
          <w:color w:val="auto"/>
          <w:sz w:val="24"/>
          <w:highlight w:val="none"/>
          <w:lang w:eastAsia="zh-CN"/>
        </w:rPr>
      </w:pPr>
      <w:r>
        <w:rPr>
          <w:rFonts w:hint="default" w:ascii="Times New Roman" w:hAnsi="Times New Roman" w:eastAsia="宋体" w:cs="Times New Roman"/>
          <w:bCs/>
          <w:color w:val="auto"/>
          <w:sz w:val="24"/>
          <w:highlight w:val="none"/>
        </w:rPr>
        <w:t>本项目为尾矿库加高扩容项目，为固体废物处置项目</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color w:val="auto"/>
          <w:sz w:val="24"/>
          <w:highlight w:val="none"/>
        </w:rPr>
        <w:t>矿厂产生的尾矿</w:t>
      </w:r>
      <w:r>
        <w:rPr>
          <w:rFonts w:hint="default" w:ascii="Times New Roman" w:hAnsi="Times New Roman" w:eastAsia="宋体" w:cs="Times New Roman"/>
          <w:bCs/>
          <w:color w:val="auto"/>
          <w:sz w:val="24"/>
          <w:highlight w:val="none"/>
        </w:rPr>
        <w:t>为</w:t>
      </w:r>
      <w:r>
        <w:rPr>
          <w:rFonts w:hint="default" w:ascii="Times New Roman" w:hAnsi="Times New Roman" w:eastAsia="宋体" w:cs="Times New Roman"/>
          <w:color w:val="auto"/>
          <w:sz w:val="24"/>
          <w:highlight w:val="none"/>
        </w:rPr>
        <w:t>第</w:t>
      </w:r>
      <w:r>
        <w:rPr>
          <w:rFonts w:hint="default" w:ascii="Times New Roman" w:hAnsi="Times New Roman" w:eastAsia="宋体" w:cs="Times New Roman"/>
          <w:color w:val="auto"/>
          <w:sz w:val="24"/>
          <w:szCs w:val="32"/>
          <w:highlight w:val="none"/>
        </w:rPr>
        <w:t>I</w:t>
      </w:r>
      <w:r>
        <w:rPr>
          <w:rFonts w:hint="default" w:ascii="Times New Roman" w:hAnsi="Times New Roman" w:eastAsia="宋体" w:cs="Times New Roman"/>
          <w:color w:val="auto"/>
          <w:sz w:val="24"/>
          <w:highlight w:val="none"/>
        </w:rPr>
        <w:t>类一般工业固体废物</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color w:val="auto"/>
          <w:sz w:val="24"/>
          <w:highlight w:val="none"/>
        </w:rPr>
        <w:t>产生量约为</w:t>
      </w:r>
      <w:r>
        <w:rPr>
          <w:rFonts w:hint="default" w:ascii="Times New Roman" w:hAnsi="Times New Roman" w:eastAsia="宋体" w:cs="Times New Roman"/>
          <w:color w:val="auto"/>
          <w:sz w:val="24"/>
          <w:highlight w:val="none"/>
          <w:lang w:eastAsia="zh-CN"/>
        </w:rPr>
        <w:t>299.46</w:t>
      </w:r>
      <w:r>
        <w:rPr>
          <w:rFonts w:hint="default" w:ascii="Times New Roman" w:hAnsi="Times New Roman" w:eastAsia="宋体" w:cs="Times New Roman"/>
          <w:color w:val="auto"/>
          <w:sz w:val="24"/>
          <w:highlight w:val="none"/>
        </w:rPr>
        <w:t>万t/a</w:t>
      </w:r>
      <w:r>
        <w:rPr>
          <w:rFonts w:hint="default" w:ascii="Times New Roman" w:hAnsi="Times New Roman" w:eastAsia="宋体" w:cs="Times New Roman"/>
          <w:color w:val="auto"/>
          <w:sz w:val="24"/>
          <w:szCs w:val="24"/>
          <w:highlight w:val="none"/>
        </w:rPr>
        <w:t>（干物质），尾矿浓度</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rPr>
        <w:t>40%</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湿排至加高扩容后的尾矿库</w:t>
      </w:r>
      <w:r>
        <w:rPr>
          <w:rFonts w:hint="default" w:ascii="Times New Roman" w:hAnsi="Times New Roman" w:eastAsia="宋体" w:cs="Times New Roman"/>
          <w:color w:val="auto"/>
          <w:sz w:val="24"/>
          <w:highlight w:val="none"/>
          <w:lang w:eastAsia="zh-CN"/>
        </w:rPr>
        <w:t>。</w:t>
      </w:r>
    </w:p>
    <w:p>
      <w:pPr>
        <w:pageBreakBefore w:val="0"/>
        <w:widowControl w:val="0"/>
        <w:kinsoku/>
        <w:wordWrap/>
        <w:overflowPunct/>
        <w:topLinePunct w:val="0"/>
        <w:autoSpaceDE/>
        <w:autoSpaceDN/>
        <w:bidi w:val="0"/>
        <w:spacing w:line="360" w:lineRule="auto"/>
        <w:ind w:left="0" w:leftChars="0" w:right="0" w:rightChars="0" w:firstLine="480" w:firstLineChars="200"/>
        <w:textAlignment w:val="auto"/>
        <w:outlineLvl w:val="0"/>
        <w:rPr>
          <w:rFonts w:hint="default" w:ascii="Times New Roman" w:hAnsi="Times New Roman" w:eastAsia="宋体" w:cs="Times New Roman"/>
          <w:bCs/>
          <w:color w:val="auto"/>
          <w:sz w:val="24"/>
          <w:highlight w:val="none"/>
        </w:rPr>
      </w:pPr>
      <w:bookmarkStart w:id="1612" w:name="_Toc11952"/>
      <w:bookmarkStart w:id="1613" w:name="_Toc26815"/>
      <w:r>
        <w:rPr>
          <w:rFonts w:hint="default" w:ascii="Times New Roman" w:hAnsi="Times New Roman" w:eastAsia="宋体" w:cs="Times New Roman"/>
          <w:bCs/>
          <w:color w:val="auto"/>
          <w:sz w:val="24"/>
          <w:highlight w:val="none"/>
        </w:rPr>
        <w:t>（5</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环境风险防范措施</w:t>
      </w:r>
      <w:bookmarkEnd w:id="1612"/>
      <w:bookmarkEnd w:id="1613"/>
    </w:p>
    <w:p>
      <w:pPr>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bCs/>
          <w:color w:val="auto"/>
          <w:sz w:val="24"/>
          <w:highlight w:val="none"/>
        </w:rPr>
      </w:pPr>
      <w:r>
        <w:rPr>
          <w:rFonts w:hint="default" w:ascii="Times New Roman" w:hAnsi="Times New Roman" w:eastAsia="宋体" w:cs="Times New Roman"/>
          <w:bCs/>
          <w:color w:val="auto"/>
          <w:sz w:val="24"/>
          <w:highlight w:val="none"/>
        </w:rPr>
        <w:t>本项目增高扩容后的尾矿库严格按要求进行设计、施工</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经安全、环保等部门验收后再投入使用。日常严格按照《尾矿库安全监督管理规定》及</w:t>
      </w:r>
      <w:r>
        <w:rPr>
          <w:rFonts w:hint="default" w:ascii="Times New Roman" w:hAnsi="Times New Roman" w:eastAsia="宋体" w:cs="Times New Roman"/>
          <w:color w:val="auto"/>
          <w:sz w:val="24"/>
          <w:highlight w:val="none"/>
        </w:rPr>
        <w:t>《一般工业固体废物贮存和填埋污染控制标准》（GB18599-2020</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bCs/>
          <w:color w:val="auto"/>
          <w:sz w:val="24"/>
          <w:highlight w:val="none"/>
        </w:rPr>
        <w:t>的要求进行管理</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规范尾矿砂的处理工序。采取以上措施后</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尾矿库发生事故的可能性会大大降低。</w:t>
      </w:r>
    </w:p>
    <w:p>
      <w:pPr>
        <w:pageBreakBefore w:val="0"/>
        <w:widowControl w:val="0"/>
        <w:kinsoku/>
        <w:wordWrap/>
        <w:overflowPunct/>
        <w:topLinePunct w:val="0"/>
        <w:autoSpaceDE/>
        <w:autoSpaceDN/>
        <w:bidi w:val="0"/>
        <w:spacing w:line="360" w:lineRule="auto"/>
        <w:ind w:left="0" w:leftChars="0" w:right="0" w:rightChars="0" w:firstLine="480" w:firstLineChars="200"/>
        <w:textAlignment w:val="auto"/>
        <w:outlineLvl w:val="0"/>
        <w:rPr>
          <w:rFonts w:hint="default" w:ascii="Times New Roman" w:hAnsi="Times New Roman" w:eastAsia="宋体" w:cs="Times New Roman"/>
          <w:bCs/>
          <w:color w:val="auto"/>
          <w:sz w:val="24"/>
          <w:highlight w:val="none"/>
        </w:rPr>
      </w:pPr>
      <w:bookmarkStart w:id="1614" w:name="_Toc20794"/>
      <w:bookmarkStart w:id="1615" w:name="_Toc20607"/>
      <w:r>
        <w:rPr>
          <w:rFonts w:hint="default" w:ascii="Times New Roman" w:hAnsi="Times New Roman" w:eastAsia="宋体" w:cs="Times New Roman"/>
          <w:bCs/>
          <w:color w:val="auto"/>
          <w:sz w:val="24"/>
          <w:highlight w:val="none"/>
        </w:rPr>
        <w:t>（6</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生态</w:t>
      </w:r>
      <w:bookmarkEnd w:id="1614"/>
      <w:bookmarkEnd w:id="1615"/>
    </w:p>
    <w:p>
      <w:pPr>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bCs/>
          <w:color w:val="auto"/>
          <w:sz w:val="24"/>
          <w:highlight w:val="none"/>
        </w:rPr>
      </w:pPr>
      <w:r>
        <w:rPr>
          <w:rFonts w:hint="default" w:ascii="Times New Roman" w:hAnsi="Times New Roman" w:eastAsia="宋体" w:cs="Times New Roman"/>
          <w:bCs/>
          <w:color w:val="auto"/>
          <w:sz w:val="24"/>
          <w:highlight w:val="none"/>
        </w:rPr>
        <w:t>本项目实施后对生态环境的影响是长期的</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但在实施绿化和土地复垦措施后</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可将工程对环境的影响降至最低</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对当地生态环境的整体结构和服务功能影响较小。</w:t>
      </w:r>
    </w:p>
    <w:p>
      <w:pPr>
        <w:pStyle w:val="5"/>
        <w:pageBreakBefore w:val="0"/>
        <w:widowControl w:val="0"/>
        <w:numPr>
          <w:ilvl w:val="2"/>
          <w:numId w:val="0"/>
        </w:numPr>
        <w:kinsoku/>
        <w:wordWrap/>
        <w:overflowPunct/>
        <w:topLinePunct w:val="0"/>
        <w:autoSpaceDE/>
        <w:autoSpaceDN/>
        <w:bidi w:val="0"/>
        <w:ind w:left="0" w:leftChars="0" w:right="0" w:rightChars="0"/>
        <w:textAlignment w:val="auto"/>
        <w:outlineLvl w:val="1"/>
        <w:rPr>
          <w:rFonts w:hint="default" w:ascii="Times New Roman" w:hAnsi="Times New Roman" w:eastAsia="宋体" w:cs="Times New Roman"/>
          <w:b/>
          <w:bCs/>
          <w:color w:val="auto"/>
          <w:highlight w:val="none"/>
        </w:rPr>
      </w:pPr>
      <w:bookmarkStart w:id="1616" w:name="_Toc15259"/>
      <w:bookmarkStart w:id="1617" w:name="_Toc6345"/>
      <w:bookmarkStart w:id="1618" w:name="_Toc12693"/>
      <w:r>
        <w:rPr>
          <w:rFonts w:hint="default" w:ascii="Times New Roman" w:hAnsi="Times New Roman" w:eastAsia="宋体" w:cs="Times New Roman"/>
          <w:b/>
          <w:bCs/>
          <w:i w:val="0"/>
          <w:iCs w:val="0"/>
          <w:caps w:val="0"/>
          <w:smallCaps w:val="0"/>
          <w:strike w:val="0"/>
          <w:dstrike w:val="0"/>
          <w:vanish w:val="0"/>
          <w:color w:val="auto"/>
          <w:spacing w:val="0"/>
          <w:kern w:val="2"/>
          <w:position w:val="0"/>
          <w:sz w:val="24"/>
          <w:szCs w:val="24"/>
          <w:highlight w:val="none"/>
          <w:u w:val="none"/>
          <w:vertAlign w:val="baseline"/>
          <w:lang w:val="en-US" w:eastAsia="zh-CN" w:bidi="ar-SA"/>
          <w14:shadow w14:blurRad="0" w14:dist="0" w14:dir="0" w14:sx="0" w14:sy="0" w14:kx="0" w14:ky="0" w14:algn="none">
            <w14:srgbClr w14:val="000000"/>
          </w14:shadow>
        </w:rPr>
        <w:t>12.4.2</w:t>
      </w:r>
      <w:r>
        <w:rPr>
          <w:rFonts w:hint="default" w:ascii="Times New Roman" w:hAnsi="Times New Roman" w:eastAsia="宋体" w:cs="Times New Roman"/>
          <w:b/>
          <w:bCs/>
          <w:color w:val="auto"/>
          <w:highlight w:val="none"/>
        </w:rPr>
        <w:t>环境保护措施</w:t>
      </w:r>
      <w:bookmarkEnd w:id="1616"/>
      <w:bookmarkEnd w:id="1617"/>
      <w:bookmarkEnd w:id="1618"/>
    </w:p>
    <w:p>
      <w:pPr>
        <w:pageBreakBefore w:val="0"/>
        <w:widowControl w:val="0"/>
        <w:kinsoku/>
        <w:wordWrap/>
        <w:overflowPunct/>
        <w:topLinePunct w:val="0"/>
        <w:autoSpaceDE/>
        <w:autoSpaceDN/>
        <w:bidi w:val="0"/>
        <w:spacing w:line="360" w:lineRule="auto"/>
        <w:ind w:left="0" w:leftChars="0" w:right="0" w:rightChars="0" w:firstLine="480" w:firstLineChars="200"/>
        <w:textAlignment w:val="auto"/>
        <w:outlineLvl w:val="0"/>
        <w:rPr>
          <w:rFonts w:hint="default" w:ascii="Times New Roman" w:hAnsi="Times New Roman" w:eastAsia="宋体" w:cs="Times New Roman"/>
          <w:bCs/>
          <w:color w:val="auto"/>
          <w:sz w:val="24"/>
          <w:highlight w:val="none"/>
        </w:rPr>
      </w:pPr>
      <w:bookmarkStart w:id="1619" w:name="_Toc2763"/>
      <w:bookmarkStart w:id="1620" w:name="_Toc23862"/>
      <w:r>
        <w:rPr>
          <w:rFonts w:hint="default" w:ascii="Times New Roman" w:hAnsi="Times New Roman" w:eastAsia="宋体" w:cs="Times New Roman"/>
          <w:bCs/>
          <w:color w:val="auto"/>
          <w:sz w:val="24"/>
          <w:highlight w:val="none"/>
        </w:rPr>
        <w:t>（1</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环境空气</w:t>
      </w:r>
      <w:bookmarkEnd w:id="1619"/>
      <w:bookmarkEnd w:id="1620"/>
    </w:p>
    <w:p>
      <w:pPr>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bCs/>
          <w:color w:val="auto"/>
          <w:sz w:val="24"/>
          <w:highlight w:val="none"/>
        </w:rPr>
      </w:pPr>
      <w:r>
        <w:rPr>
          <w:rFonts w:hint="default" w:ascii="Times New Roman" w:hAnsi="Times New Roman" w:eastAsia="宋体" w:cs="Times New Roman"/>
          <w:bCs/>
          <w:color w:val="auto"/>
          <w:sz w:val="24"/>
          <w:highlight w:val="none"/>
        </w:rPr>
        <w:t>本项目正常工况生产时</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根据尾矿库的设计资料尾矿库干滩长度为300m</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宽度为40m</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面积约为12000m</w:t>
      </w:r>
      <w:r>
        <w:rPr>
          <w:rFonts w:hint="default" w:ascii="Times New Roman" w:hAnsi="Times New Roman" w:eastAsia="宋体" w:cs="Times New Roman"/>
          <w:bCs/>
          <w:color w:val="auto"/>
          <w:sz w:val="24"/>
          <w:highlight w:val="none"/>
          <w:vertAlign w:val="superscript"/>
        </w:rPr>
        <w:t>2</w:t>
      </w:r>
      <w:r>
        <w:rPr>
          <w:rFonts w:hint="default" w:ascii="Times New Roman" w:hAnsi="Times New Roman" w:eastAsia="宋体" w:cs="Times New Roman"/>
          <w:bCs/>
          <w:color w:val="auto"/>
          <w:sz w:val="24"/>
          <w:highlight w:val="none"/>
        </w:rPr>
        <w:t>。尾矿库采用</w:t>
      </w:r>
      <w:r>
        <w:rPr>
          <w:rFonts w:hint="default" w:ascii="Times New Roman" w:hAnsi="Times New Roman" w:eastAsia="宋体" w:cs="Times New Roman"/>
          <w:bCs/>
          <w:color w:val="auto"/>
          <w:sz w:val="24"/>
          <w:highlight w:val="none"/>
          <w:lang w:eastAsia="zh-CN"/>
        </w:rPr>
        <w:t>分散放矿</w:t>
      </w:r>
      <w:r>
        <w:rPr>
          <w:rFonts w:hint="default" w:ascii="Times New Roman" w:hAnsi="Times New Roman" w:eastAsia="宋体" w:cs="Times New Roman"/>
          <w:bCs/>
          <w:color w:val="auto"/>
          <w:sz w:val="24"/>
          <w:highlight w:val="none"/>
        </w:rPr>
        <w:t>减少干滩段面积</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并且配合</w:t>
      </w:r>
      <w:r>
        <w:rPr>
          <w:rFonts w:hint="default" w:ascii="Times New Roman" w:hAnsi="Times New Roman" w:eastAsia="宋体" w:cs="Times New Roman"/>
          <w:color w:val="auto"/>
          <w:sz w:val="24"/>
          <w:highlight w:val="none"/>
        </w:rPr>
        <w:t>洒水</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洒水抑尘效率为</w:t>
      </w:r>
      <w:r>
        <w:rPr>
          <w:rFonts w:hint="default" w:ascii="Times New Roman" w:hAnsi="Times New Roman" w:eastAsia="宋体" w:cs="Times New Roman"/>
          <w:bCs/>
          <w:color w:val="auto"/>
          <w:sz w:val="24"/>
          <w:highlight w:val="none"/>
          <w:lang w:val="en-US" w:eastAsia="zh-CN"/>
        </w:rPr>
        <w:t>90</w:t>
      </w:r>
      <w:r>
        <w:rPr>
          <w:rFonts w:hint="default" w:ascii="Times New Roman" w:hAnsi="Times New Roman" w:eastAsia="宋体" w:cs="Times New Roman"/>
          <w:bCs/>
          <w:color w:val="auto"/>
          <w:sz w:val="24"/>
          <w:highlight w:val="none"/>
        </w:rPr>
        <w:t>%</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抑尘效果较好。</w:t>
      </w:r>
    </w:p>
    <w:p>
      <w:pPr>
        <w:pageBreakBefore w:val="0"/>
        <w:widowControl w:val="0"/>
        <w:kinsoku/>
        <w:wordWrap/>
        <w:overflowPunct/>
        <w:topLinePunct w:val="0"/>
        <w:autoSpaceDE/>
        <w:autoSpaceDN/>
        <w:bidi w:val="0"/>
        <w:spacing w:line="360" w:lineRule="auto"/>
        <w:ind w:left="0" w:leftChars="0" w:right="0" w:rightChars="0" w:firstLine="480" w:firstLineChars="200"/>
        <w:textAlignment w:val="auto"/>
        <w:outlineLvl w:val="0"/>
        <w:rPr>
          <w:rFonts w:hint="default" w:ascii="Times New Roman" w:hAnsi="Times New Roman" w:eastAsia="宋体" w:cs="Times New Roman"/>
          <w:bCs/>
          <w:color w:val="auto"/>
          <w:sz w:val="24"/>
          <w:highlight w:val="none"/>
        </w:rPr>
      </w:pPr>
      <w:bookmarkStart w:id="1621" w:name="_Toc17570"/>
      <w:bookmarkStart w:id="1622" w:name="_Toc1213"/>
      <w:r>
        <w:rPr>
          <w:rFonts w:hint="default" w:ascii="Times New Roman" w:hAnsi="Times New Roman" w:eastAsia="宋体" w:cs="Times New Roman"/>
          <w:bCs/>
          <w:color w:val="auto"/>
          <w:sz w:val="24"/>
          <w:highlight w:val="none"/>
        </w:rPr>
        <w:t>（2</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水环境</w:t>
      </w:r>
      <w:bookmarkEnd w:id="1621"/>
      <w:bookmarkEnd w:id="1622"/>
    </w:p>
    <w:p>
      <w:pPr>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bCs/>
          <w:color w:val="auto"/>
          <w:sz w:val="24"/>
          <w:highlight w:val="none"/>
        </w:rPr>
      </w:pPr>
      <w:r>
        <w:rPr>
          <w:rFonts w:hint="default" w:ascii="Times New Roman" w:hAnsi="Times New Roman" w:eastAsia="宋体" w:cs="Times New Roman"/>
          <w:color w:val="auto"/>
          <w:sz w:val="24"/>
          <w:highlight w:val="none"/>
        </w:rPr>
        <w:t>项目尾矿库内回水通过溢流井、回水管、消力池进入新建回水池，再通过新建回水泵站泵送至选矿厂现有高位水池，作为生产用水循环使用，无废水排放；无新增工作人员，无新增生活污水产生。</w:t>
      </w:r>
    </w:p>
    <w:p>
      <w:pPr>
        <w:pageBreakBefore w:val="0"/>
        <w:widowControl w:val="0"/>
        <w:kinsoku/>
        <w:wordWrap/>
        <w:overflowPunct/>
        <w:topLinePunct w:val="0"/>
        <w:autoSpaceDE/>
        <w:autoSpaceDN/>
        <w:bidi w:val="0"/>
        <w:spacing w:line="360" w:lineRule="auto"/>
        <w:ind w:left="0" w:leftChars="0" w:right="0" w:rightChars="0" w:firstLine="480" w:firstLineChars="200"/>
        <w:textAlignment w:val="auto"/>
        <w:outlineLvl w:val="0"/>
        <w:rPr>
          <w:rFonts w:hint="default" w:ascii="Times New Roman" w:hAnsi="Times New Roman" w:eastAsia="宋体" w:cs="Times New Roman"/>
          <w:bCs/>
          <w:color w:val="auto"/>
          <w:sz w:val="24"/>
          <w:highlight w:val="none"/>
        </w:rPr>
      </w:pPr>
      <w:bookmarkStart w:id="1623" w:name="_Toc2480"/>
      <w:bookmarkStart w:id="1624" w:name="_Toc20114"/>
      <w:r>
        <w:rPr>
          <w:rFonts w:hint="default" w:ascii="Times New Roman" w:hAnsi="Times New Roman" w:eastAsia="宋体" w:cs="Times New Roman"/>
          <w:bCs/>
          <w:color w:val="auto"/>
          <w:sz w:val="24"/>
          <w:highlight w:val="none"/>
        </w:rPr>
        <w:t>（3</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声环境</w:t>
      </w:r>
      <w:bookmarkEnd w:id="1623"/>
      <w:bookmarkEnd w:id="1624"/>
    </w:p>
    <w:p>
      <w:pPr>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bCs/>
          <w:color w:val="auto"/>
          <w:sz w:val="24"/>
          <w:highlight w:val="none"/>
        </w:rPr>
      </w:pPr>
      <w:r>
        <w:rPr>
          <w:rFonts w:hint="default" w:ascii="Times New Roman" w:hAnsi="Times New Roman" w:eastAsia="宋体" w:cs="Times New Roman"/>
          <w:color w:val="auto"/>
          <w:sz w:val="24"/>
          <w:highlight w:val="none"/>
        </w:rPr>
        <w:t>本项目从源头、传播、易感人群等环节进行了噪声的防治</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采取这些措施后</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设备噪声得到有效</w:t>
      </w:r>
      <w:r>
        <w:rPr>
          <w:rFonts w:hint="default" w:ascii="Times New Roman" w:hAnsi="Times New Roman" w:eastAsia="宋体" w:cs="Times New Roman"/>
          <w:color w:val="auto"/>
          <w:sz w:val="24"/>
          <w:highlight w:val="none"/>
          <w:lang w:eastAsia="zh-CN"/>
        </w:rPr>
        <w:t>地</w:t>
      </w:r>
      <w:r>
        <w:rPr>
          <w:rFonts w:hint="default" w:ascii="Times New Roman" w:hAnsi="Times New Roman" w:eastAsia="宋体" w:cs="Times New Roman"/>
          <w:color w:val="auto"/>
          <w:sz w:val="24"/>
          <w:highlight w:val="none"/>
        </w:rPr>
        <w:t>控制</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设备噪声对周围环境噪声没有明显的影响</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经预测后</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噪声的贡献值低于《工业企业厂界环境噪声排放标准》（GB12348-2008</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2类标准。</w:t>
      </w:r>
    </w:p>
    <w:p>
      <w:pPr>
        <w:pageBreakBefore w:val="0"/>
        <w:widowControl w:val="0"/>
        <w:kinsoku/>
        <w:wordWrap/>
        <w:overflowPunct/>
        <w:topLinePunct w:val="0"/>
        <w:autoSpaceDE/>
        <w:autoSpaceDN/>
        <w:bidi w:val="0"/>
        <w:spacing w:line="360" w:lineRule="auto"/>
        <w:ind w:left="0" w:leftChars="0" w:right="0" w:rightChars="0" w:firstLine="480" w:firstLineChars="200"/>
        <w:textAlignment w:val="auto"/>
        <w:outlineLvl w:val="0"/>
        <w:rPr>
          <w:rFonts w:hint="default" w:ascii="Times New Roman" w:hAnsi="Times New Roman" w:eastAsia="宋体" w:cs="Times New Roman"/>
          <w:bCs/>
          <w:color w:val="auto"/>
          <w:sz w:val="24"/>
          <w:highlight w:val="none"/>
        </w:rPr>
      </w:pPr>
      <w:bookmarkStart w:id="1625" w:name="_Toc14963"/>
      <w:bookmarkStart w:id="1626" w:name="_Toc7036"/>
      <w:r>
        <w:rPr>
          <w:rFonts w:hint="default" w:ascii="Times New Roman" w:hAnsi="Times New Roman" w:eastAsia="宋体" w:cs="Times New Roman"/>
          <w:bCs/>
          <w:color w:val="auto"/>
          <w:sz w:val="24"/>
          <w:highlight w:val="none"/>
        </w:rPr>
        <w:t>（4</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固体废物</w:t>
      </w:r>
      <w:bookmarkEnd w:id="1625"/>
      <w:bookmarkEnd w:id="1626"/>
    </w:p>
    <w:p>
      <w:pPr>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bCs/>
          <w:color w:val="auto"/>
          <w:sz w:val="24"/>
          <w:highlight w:val="none"/>
        </w:rPr>
      </w:pPr>
      <w:r>
        <w:rPr>
          <w:rFonts w:hint="default" w:ascii="Times New Roman" w:hAnsi="Times New Roman" w:eastAsia="宋体" w:cs="Times New Roman"/>
          <w:bCs/>
          <w:color w:val="auto"/>
          <w:sz w:val="24"/>
          <w:highlight w:val="none"/>
        </w:rPr>
        <w:t>现有工程选矿厂尾矿产生量约</w:t>
      </w:r>
      <w:r>
        <w:rPr>
          <w:rFonts w:hint="default" w:ascii="Times New Roman" w:hAnsi="Times New Roman" w:eastAsia="宋体" w:cs="Times New Roman"/>
          <w:color w:val="auto"/>
          <w:sz w:val="24"/>
          <w:highlight w:val="none"/>
          <w:lang w:eastAsia="zh-CN"/>
        </w:rPr>
        <w:t>299.46</w:t>
      </w:r>
      <w:r>
        <w:rPr>
          <w:rFonts w:hint="default" w:ascii="Times New Roman" w:hAnsi="Times New Roman" w:eastAsia="宋体" w:cs="Times New Roman"/>
          <w:color w:val="auto"/>
          <w:sz w:val="24"/>
          <w:szCs w:val="24"/>
          <w:highlight w:val="none"/>
          <w:lang w:val="en-GB"/>
        </w:rPr>
        <w:t>万</w:t>
      </w:r>
      <w:r>
        <w:rPr>
          <w:rFonts w:hint="default" w:ascii="Times New Roman" w:hAnsi="Times New Roman" w:eastAsia="宋体" w:cs="Times New Roman"/>
          <w:color w:val="auto"/>
          <w:sz w:val="24"/>
          <w:szCs w:val="24"/>
          <w:highlight w:val="none"/>
        </w:rPr>
        <w:t>t</w:t>
      </w:r>
      <w:r>
        <w:rPr>
          <w:rFonts w:hint="default" w:ascii="Times New Roman" w:hAnsi="Times New Roman" w:eastAsia="宋体" w:cs="Times New Roman"/>
          <w:color w:val="auto"/>
          <w:sz w:val="24"/>
          <w:szCs w:val="24"/>
          <w:highlight w:val="none"/>
          <w:lang w:val="en-GB"/>
        </w:rPr>
        <w:t>/a</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产生的尾矿砂排至尾矿库。</w:t>
      </w:r>
      <w:r>
        <w:rPr>
          <w:rFonts w:hint="default" w:ascii="Times New Roman" w:hAnsi="Times New Roman" w:eastAsia="宋体" w:cs="Times New Roman"/>
          <w:bCs/>
          <w:color w:val="auto"/>
          <w:sz w:val="24"/>
          <w:highlight w:val="none"/>
          <w:lang w:eastAsia="zh-CN"/>
        </w:rPr>
        <w:t>尾矿库加高扩容</w:t>
      </w:r>
      <w:r>
        <w:rPr>
          <w:rFonts w:hint="default" w:ascii="Times New Roman" w:hAnsi="Times New Roman" w:eastAsia="宋体" w:cs="Times New Roman"/>
          <w:bCs/>
          <w:color w:val="auto"/>
          <w:sz w:val="24"/>
          <w:highlight w:val="none"/>
        </w:rPr>
        <w:t>后可满足本项目尾矿的堆存需求。</w:t>
      </w:r>
    </w:p>
    <w:p>
      <w:pPr>
        <w:pageBreakBefore w:val="0"/>
        <w:widowControl w:val="0"/>
        <w:kinsoku/>
        <w:wordWrap/>
        <w:overflowPunct/>
        <w:topLinePunct w:val="0"/>
        <w:autoSpaceDE/>
        <w:autoSpaceDN/>
        <w:bidi w:val="0"/>
        <w:spacing w:line="360" w:lineRule="auto"/>
        <w:ind w:left="0" w:leftChars="0" w:right="0" w:rightChars="0" w:firstLine="480" w:firstLineChars="200"/>
        <w:textAlignment w:val="auto"/>
        <w:outlineLvl w:val="0"/>
        <w:rPr>
          <w:rFonts w:hint="default" w:ascii="Times New Roman" w:hAnsi="Times New Roman" w:eastAsia="宋体" w:cs="Times New Roman"/>
          <w:bCs/>
          <w:color w:val="auto"/>
          <w:sz w:val="24"/>
          <w:highlight w:val="none"/>
        </w:rPr>
      </w:pPr>
      <w:bookmarkStart w:id="1627" w:name="_Toc10361"/>
      <w:bookmarkStart w:id="1628" w:name="_Toc4805"/>
      <w:r>
        <w:rPr>
          <w:rFonts w:hint="default" w:ascii="Times New Roman" w:hAnsi="Times New Roman" w:eastAsia="宋体" w:cs="Times New Roman"/>
          <w:bCs/>
          <w:color w:val="auto"/>
          <w:sz w:val="24"/>
          <w:highlight w:val="none"/>
        </w:rPr>
        <w:t>（5</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生态</w:t>
      </w:r>
      <w:bookmarkEnd w:id="1627"/>
      <w:bookmarkEnd w:id="1628"/>
    </w:p>
    <w:p>
      <w:pPr>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bCs/>
          <w:color w:val="auto"/>
          <w:sz w:val="24"/>
          <w:highlight w:val="none"/>
        </w:rPr>
      </w:pPr>
      <w:r>
        <w:rPr>
          <w:rFonts w:hint="default" w:ascii="Times New Roman" w:hAnsi="Times New Roman" w:eastAsia="宋体" w:cs="Times New Roman"/>
          <w:bCs/>
          <w:color w:val="auto"/>
          <w:sz w:val="24"/>
          <w:highlight w:val="none"/>
        </w:rPr>
        <w:t>运</w:t>
      </w:r>
      <w:r>
        <w:rPr>
          <w:rFonts w:hint="default" w:ascii="Times New Roman" w:hAnsi="Times New Roman" w:eastAsia="宋体" w:cs="Times New Roman"/>
          <w:bCs/>
          <w:color w:val="auto"/>
          <w:sz w:val="24"/>
          <w:highlight w:val="none"/>
          <w:lang w:eastAsia="zh-CN"/>
        </w:rPr>
        <w:t>营</w:t>
      </w:r>
      <w:r>
        <w:rPr>
          <w:rFonts w:hint="default" w:ascii="Times New Roman" w:hAnsi="Times New Roman" w:eastAsia="宋体" w:cs="Times New Roman"/>
          <w:bCs/>
          <w:color w:val="auto"/>
          <w:sz w:val="24"/>
          <w:highlight w:val="none"/>
        </w:rPr>
        <w:t>期和服务期满后开展土地复垦、植被绿化等工作。对生产过程中造成的可以恢复的破坏面及时复垦、恢复植被</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实行生产到生态恢复一体化的矿产资源开发模式</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边生产边恢复</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做到工程到位一步</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生态工程建设跟进一步</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从而减少水蚀和风蚀造成的水土流失。</w:t>
      </w:r>
    </w:p>
    <w:p>
      <w:pPr>
        <w:pStyle w:val="5"/>
        <w:pageBreakBefore w:val="0"/>
        <w:widowControl w:val="0"/>
        <w:numPr>
          <w:ilvl w:val="2"/>
          <w:numId w:val="0"/>
        </w:numPr>
        <w:kinsoku/>
        <w:wordWrap/>
        <w:overflowPunct/>
        <w:topLinePunct w:val="0"/>
        <w:autoSpaceDE/>
        <w:autoSpaceDN/>
        <w:bidi w:val="0"/>
        <w:ind w:left="0" w:leftChars="0" w:right="0" w:rightChars="0"/>
        <w:textAlignment w:val="auto"/>
        <w:outlineLvl w:val="1"/>
        <w:rPr>
          <w:rFonts w:hint="default" w:ascii="Times New Roman" w:hAnsi="Times New Roman" w:eastAsia="宋体" w:cs="Times New Roman"/>
          <w:b/>
          <w:bCs/>
          <w:color w:val="auto"/>
          <w:highlight w:val="none"/>
        </w:rPr>
      </w:pPr>
      <w:bookmarkStart w:id="1629" w:name="_Toc3496"/>
      <w:bookmarkStart w:id="1630" w:name="_Toc19073"/>
      <w:bookmarkStart w:id="1631" w:name="_Toc5443"/>
      <w:r>
        <w:rPr>
          <w:rFonts w:hint="default" w:ascii="Times New Roman" w:hAnsi="Times New Roman" w:eastAsia="宋体" w:cs="Times New Roman"/>
          <w:b/>
          <w:bCs/>
          <w:i w:val="0"/>
          <w:iCs w:val="0"/>
          <w:caps w:val="0"/>
          <w:smallCaps w:val="0"/>
          <w:strike w:val="0"/>
          <w:dstrike w:val="0"/>
          <w:vanish w:val="0"/>
          <w:color w:val="auto"/>
          <w:spacing w:val="0"/>
          <w:kern w:val="2"/>
          <w:position w:val="0"/>
          <w:sz w:val="24"/>
          <w:szCs w:val="24"/>
          <w:highlight w:val="none"/>
          <w:u w:val="none"/>
          <w:vertAlign w:val="baseline"/>
          <w:lang w:val="en-US" w:eastAsia="zh-CN" w:bidi="ar-SA"/>
          <w14:shadow w14:blurRad="0" w14:dist="0" w14:dir="0" w14:sx="0" w14:sy="0" w14:kx="0" w14:ky="0" w14:algn="none">
            <w14:srgbClr w14:val="000000"/>
          </w14:shadow>
        </w:rPr>
        <w:t>12.4.3</w:t>
      </w:r>
      <w:r>
        <w:rPr>
          <w:rFonts w:hint="default" w:ascii="Times New Roman" w:hAnsi="Times New Roman" w:eastAsia="宋体" w:cs="Times New Roman"/>
          <w:b/>
          <w:bCs/>
          <w:color w:val="auto"/>
          <w:highlight w:val="none"/>
        </w:rPr>
        <w:t>环境风险</w:t>
      </w:r>
      <w:bookmarkEnd w:id="1629"/>
      <w:bookmarkEnd w:id="1630"/>
      <w:bookmarkEnd w:id="1631"/>
    </w:p>
    <w:p>
      <w:pPr>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bCs/>
          <w:color w:val="auto"/>
          <w:sz w:val="24"/>
          <w:highlight w:val="none"/>
        </w:rPr>
        <w:t>本项目尾矿库虽存在事故风险的可能性</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但建设单位只要按照设计要求严格施工</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并认真执行评价所提出的各项综合风险防范措施</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可把事故发生的概率降至最低</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采取有效的风险应急预案</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对项目工程风险事故的环境影响控制在可接受范围。</w:t>
      </w:r>
    </w:p>
    <w:p>
      <w:pPr>
        <w:pStyle w:val="5"/>
        <w:pageBreakBefore w:val="0"/>
        <w:widowControl w:val="0"/>
        <w:numPr>
          <w:ilvl w:val="2"/>
          <w:numId w:val="0"/>
        </w:numPr>
        <w:kinsoku/>
        <w:wordWrap/>
        <w:overflowPunct/>
        <w:topLinePunct w:val="0"/>
        <w:autoSpaceDE/>
        <w:autoSpaceDN/>
        <w:bidi w:val="0"/>
        <w:ind w:left="0" w:leftChars="0" w:right="0" w:rightChars="0"/>
        <w:textAlignment w:val="auto"/>
        <w:outlineLvl w:val="1"/>
        <w:rPr>
          <w:rFonts w:hint="default" w:ascii="Times New Roman" w:hAnsi="Times New Roman" w:eastAsia="宋体" w:cs="Times New Roman"/>
          <w:b/>
          <w:bCs/>
          <w:color w:val="auto"/>
          <w:highlight w:val="none"/>
        </w:rPr>
      </w:pPr>
      <w:bookmarkStart w:id="1632" w:name="_Toc8815"/>
      <w:bookmarkStart w:id="1633" w:name="_Toc1637"/>
      <w:bookmarkStart w:id="1634" w:name="_Toc23774"/>
      <w:r>
        <w:rPr>
          <w:rFonts w:hint="default" w:ascii="Times New Roman" w:hAnsi="Times New Roman" w:eastAsia="宋体" w:cs="Times New Roman"/>
          <w:b/>
          <w:bCs/>
          <w:i w:val="0"/>
          <w:iCs w:val="0"/>
          <w:caps w:val="0"/>
          <w:smallCaps w:val="0"/>
          <w:strike w:val="0"/>
          <w:dstrike w:val="0"/>
          <w:vanish w:val="0"/>
          <w:color w:val="auto"/>
          <w:spacing w:val="0"/>
          <w:kern w:val="2"/>
          <w:position w:val="0"/>
          <w:sz w:val="24"/>
          <w:szCs w:val="24"/>
          <w:highlight w:val="none"/>
          <w:u w:val="none"/>
          <w:vertAlign w:val="baseline"/>
          <w:lang w:val="en-US" w:eastAsia="zh-CN" w:bidi="ar-SA"/>
          <w14:shadow w14:blurRad="0" w14:dist="0" w14:dir="0" w14:sx="0" w14:sy="0" w14:kx="0" w14:ky="0" w14:algn="none">
            <w14:srgbClr w14:val="000000"/>
          </w14:shadow>
        </w:rPr>
        <w:t>12.4.4</w:t>
      </w:r>
      <w:r>
        <w:rPr>
          <w:rFonts w:hint="default" w:ascii="Times New Roman" w:hAnsi="Times New Roman" w:eastAsia="宋体" w:cs="Times New Roman"/>
          <w:b/>
          <w:bCs/>
          <w:color w:val="auto"/>
          <w:highlight w:val="none"/>
        </w:rPr>
        <w:t>公众参与</w:t>
      </w:r>
      <w:bookmarkEnd w:id="1632"/>
      <w:bookmarkEnd w:id="1633"/>
      <w:bookmarkEnd w:id="1634"/>
    </w:p>
    <w:p>
      <w:pPr>
        <w:pageBreakBefore w:val="0"/>
        <w:widowControl w:val="0"/>
        <w:kinsoku/>
        <w:wordWrap/>
        <w:overflowPunct/>
        <w:topLinePunct w:val="0"/>
        <w:autoSpaceDE/>
        <w:autoSpaceDN/>
        <w:bidi w:val="0"/>
        <w:snapToGrid w:val="0"/>
        <w:spacing w:line="360" w:lineRule="auto"/>
        <w:ind w:left="0" w:leftChars="0" w:right="0" w:rightChars="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2023年3月</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bCs/>
          <w:color w:val="auto"/>
          <w:sz w:val="24"/>
          <w:highlight w:val="none"/>
          <w:lang w:bidi="en-US"/>
        </w:rPr>
        <w:t>乌拉特前旗西沙德盖钼业有限责任公司</w:t>
      </w:r>
      <w:r>
        <w:rPr>
          <w:rFonts w:hint="default" w:ascii="Times New Roman" w:hAnsi="Times New Roman" w:eastAsia="宋体" w:cs="Times New Roman"/>
          <w:color w:val="auto"/>
          <w:sz w:val="24"/>
          <w:highlight w:val="none"/>
        </w:rPr>
        <w:t>委托内蒙古同人工程技术咨询有限公司编制本项目环评报告。2023年5月25日</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该项目环评报告基本编制完成。</w:t>
      </w:r>
      <w:r>
        <w:rPr>
          <w:rFonts w:hint="default" w:ascii="Times New Roman" w:hAnsi="Times New Roman" w:eastAsia="宋体" w:cs="Times New Roman"/>
          <w:bCs/>
          <w:color w:val="auto"/>
          <w:sz w:val="24"/>
          <w:highlight w:val="none"/>
          <w:lang w:bidi="en-US"/>
        </w:rPr>
        <w:t>乌拉特前旗西沙德盖钼业有限责任公司</w:t>
      </w:r>
      <w:r>
        <w:rPr>
          <w:rFonts w:hint="default" w:ascii="Times New Roman" w:hAnsi="Times New Roman" w:eastAsia="宋体" w:cs="Times New Roman"/>
          <w:color w:val="auto"/>
          <w:sz w:val="24"/>
          <w:highlight w:val="none"/>
        </w:rPr>
        <w:t>按照《环境影响评价公众参与办法》（部令第4号</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相关要求对本项目环境影响评价进行了信息公开。</w:t>
      </w:r>
    </w:p>
    <w:p>
      <w:pPr>
        <w:pageBreakBefore w:val="0"/>
        <w:widowControl w:val="0"/>
        <w:kinsoku/>
        <w:wordWrap/>
        <w:overflowPunct/>
        <w:topLinePunct w:val="0"/>
        <w:autoSpaceDE/>
        <w:autoSpaceDN/>
        <w:bidi w:val="0"/>
        <w:snapToGrid w:val="0"/>
        <w:spacing w:line="360" w:lineRule="auto"/>
        <w:ind w:left="0" w:leftChars="0" w:right="0" w:rightChars="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公示的内容主要包括公众查阅环境影响报告书征求意见稿的方式和途径、征求公众意见的公众范围、公众意见表的网络链接、公众提出意见的主要方式和途径、公众提出意见的起止时间。</w:t>
      </w:r>
    </w:p>
    <w:p>
      <w:pPr>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通过在新闻网站公示征求意见稿、报纸刊登信息两种方式征求评价范围内居民意见；具体为</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3月26日在公司网站公示了征求意见稿</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于公示期间在报纸上刊登了2次公示材料</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公示的主要内容和网站上面公示的内容相同。公示期间</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建设单位和评价单位均未收到群众反馈。</w:t>
      </w:r>
    </w:p>
    <w:p>
      <w:pPr>
        <w:pStyle w:val="4"/>
        <w:pageBreakBefore w:val="0"/>
        <w:widowControl w:val="0"/>
        <w:numPr>
          <w:ilvl w:val="1"/>
          <w:numId w:val="0"/>
        </w:numPr>
        <w:kinsoku/>
        <w:wordWrap/>
        <w:overflowPunct/>
        <w:topLinePunct w:val="0"/>
        <w:autoSpaceDE/>
        <w:autoSpaceDN/>
        <w:bidi w:val="0"/>
        <w:ind w:left="0" w:leftChars="0" w:right="0" w:rightChars="0" w:firstLine="0" w:firstLineChars="0"/>
        <w:textAlignment w:val="auto"/>
        <w:outlineLvl w:val="2"/>
        <w:rPr>
          <w:rFonts w:hint="default" w:ascii="Times New Roman" w:hAnsi="Times New Roman" w:eastAsia="宋体" w:cs="Times New Roman"/>
          <w:b/>
          <w:bCs/>
          <w:color w:val="auto"/>
          <w:highlight w:val="none"/>
        </w:rPr>
      </w:pPr>
      <w:bookmarkStart w:id="1635" w:name="_Toc26862"/>
      <w:bookmarkStart w:id="1636" w:name="_Toc16683"/>
      <w:r>
        <w:rPr>
          <w:rFonts w:hint="default" w:ascii="Times New Roman" w:hAnsi="Times New Roman" w:eastAsia="宋体" w:cs="Times New Roman"/>
          <w:b/>
          <w:bCs/>
          <w:i w:val="0"/>
          <w:color w:val="auto"/>
          <w:kern w:val="2"/>
          <w:sz w:val="28"/>
          <w:szCs w:val="28"/>
          <w:highlight w:val="none"/>
          <w:lang w:val="en-US" w:eastAsia="zh-CN" w:bidi="ar-SA"/>
        </w:rPr>
        <w:t>12.5</w:t>
      </w:r>
      <w:r>
        <w:rPr>
          <w:rFonts w:hint="default" w:ascii="Times New Roman" w:hAnsi="Times New Roman" w:eastAsia="宋体" w:cs="Times New Roman"/>
          <w:b/>
          <w:bCs/>
          <w:color w:val="auto"/>
          <w:highlight w:val="none"/>
        </w:rPr>
        <w:t>评价总结论</w:t>
      </w:r>
      <w:bookmarkEnd w:id="1635"/>
      <w:bookmarkEnd w:id="1636"/>
    </w:p>
    <w:p>
      <w:pPr>
        <w:pageBreakBefore w:val="0"/>
        <w:widowControl w:val="0"/>
        <w:kinsoku/>
        <w:wordWrap/>
        <w:overflowPunct/>
        <w:topLinePunct w:val="0"/>
        <w:autoSpaceDE/>
        <w:autoSpaceDN/>
        <w:bidi w:val="0"/>
        <w:spacing w:line="360" w:lineRule="auto"/>
        <w:ind w:left="0" w:leftChars="0" w:right="0" w:rightChars="0" w:firstLine="480" w:firstLineChars="200"/>
        <w:textAlignment w:val="auto"/>
        <w:rPr>
          <w:rFonts w:hint="default" w:ascii="Times New Roman" w:hAnsi="Times New Roman" w:eastAsia="宋体" w:cs="Times New Roman"/>
          <w:bCs/>
          <w:color w:val="auto"/>
          <w:sz w:val="24"/>
          <w:highlight w:val="none"/>
        </w:rPr>
      </w:pPr>
      <w:r>
        <w:rPr>
          <w:rFonts w:hint="default" w:ascii="Times New Roman" w:hAnsi="Times New Roman" w:eastAsia="宋体" w:cs="Times New Roman"/>
          <w:bCs/>
          <w:color w:val="auto"/>
          <w:sz w:val="24"/>
          <w:highlight w:val="none"/>
        </w:rPr>
        <w:t>综上所述</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本项目的建设符合国家及地方产业政策的要求</w:t>
      </w:r>
      <w:r>
        <w:rPr>
          <w:rFonts w:hint="default" w:ascii="Times New Roman" w:hAnsi="Times New Roman" w:eastAsia="宋体" w:cs="Times New Roman"/>
          <w:bCs/>
          <w:color w:val="auto"/>
          <w:sz w:val="24"/>
          <w:highlight w:val="none"/>
          <w:lang w:eastAsia="zh-CN"/>
        </w:rPr>
        <w:t>，运营</w:t>
      </w:r>
      <w:r>
        <w:rPr>
          <w:rFonts w:hint="default" w:ascii="Times New Roman" w:hAnsi="Times New Roman" w:eastAsia="宋体" w:cs="Times New Roman"/>
          <w:bCs/>
          <w:color w:val="auto"/>
          <w:sz w:val="24"/>
          <w:highlight w:val="none"/>
        </w:rPr>
        <w:t>期废气排放满足《大气污染物综合排放标准》（GB16297-1996</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表2新污染源大气污染物排放限值中“无组织排放监控浓度限值”；</w:t>
      </w:r>
      <w:r>
        <w:rPr>
          <w:rFonts w:hint="default" w:ascii="Times New Roman" w:hAnsi="Times New Roman" w:eastAsia="宋体" w:cs="Times New Roman"/>
          <w:bCs/>
          <w:color w:val="auto"/>
          <w:sz w:val="24"/>
          <w:highlight w:val="none"/>
          <w:lang w:eastAsia="zh-CN"/>
        </w:rPr>
        <w:t>尾矿水</w:t>
      </w:r>
      <w:r>
        <w:rPr>
          <w:rFonts w:hint="default" w:ascii="Times New Roman" w:hAnsi="Times New Roman" w:eastAsia="宋体" w:cs="Times New Roman"/>
          <w:bCs/>
          <w:color w:val="auto"/>
          <w:sz w:val="24"/>
          <w:highlight w:val="none"/>
        </w:rPr>
        <w:t>循环使用不外排；</w:t>
      </w:r>
      <w:r>
        <w:rPr>
          <w:rFonts w:hint="default" w:ascii="Times New Roman" w:hAnsi="Times New Roman" w:eastAsia="宋体" w:cs="Times New Roman"/>
          <w:bCs/>
          <w:color w:val="auto"/>
          <w:sz w:val="24"/>
          <w:highlight w:val="none"/>
          <w:lang w:eastAsia="zh-CN"/>
        </w:rPr>
        <w:t>运营</w:t>
      </w:r>
      <w:r>
        <w:rPr>
          <w:rFonts w:hint="default" w:ascii="Times New Roman" w:hAnsi="Times New Roman" w:eastAsia="宋体" w:cs="Times New Roman"/>
          <w:bCs/>
          <w:color w:val="auto"/>
          <w:sz w:val="24"/>
          <w:highlight w:val="none"/>
        </w:rPr>
        <w:t>期机械设备噪声通过隔声减振措施后满足《工业企业厂界环境噪声排放标准》（GB12348-2008</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中的2类标准。结合环境经济损益分析结论</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在确保报告书中提出的污染防治措施以及生态恢复措施全面实施的前提下</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从环保角度分析项目可行。</w:t>
      </w:r>
    </w:p>
    <w:p>
      <w:pPr>
        <w:pStyle w:val="4"/>
        <w:pageBreakBefore w:val="0"/>
        <w:widowControl w:val="0"/>
        <w:numPr>
          <w:ilvl w:val="1"/>
          <w:numId w:val="0"/>
        </w:numPr>
        <w:kinsoku/>
        <w:wordWrap/>
        <w:overflowPunct/>
        <w:topLinePunct w:val="0"/>
        <w:autoSpaceDE/>
        <w:autoSpaceDN/>
        <w:bidi w:val="0"/>
        <w:ind w:left="0" w:leftChars="0" w:right="0" w:rightChars="0" w:firstLine="0" w:firstLineChars="0"/>
        <w:textAlignment w:val="auto"/>
        <w:outlineLvl w:val="2"/>
        <w:rPr>
          <w:rFonts w:hint="default" w:ascii="Times New Roman" w:hAnsi="Times New Roman" w:eastAsia="宋体" w:cs="Times New Roman"/>
          <w:b/>
          <w:bCs/>
          <w:color w:val="auto"/>
          <w:highlight w:val="none"/>
        </w:rPr>
      </w:pPr>
      <w:bookmarkStart w:id="1637" w:name="_Toc15958"/>
      <w:bookmarkStart w:id="1638" w:name="_Toc22040"/>
      <w:r>
        <w:rPr>
          <w:rFonts w:hint="default" w:ascii="Times New Roman" w:hAnsi="Times New Roman" w:eastAsia="宋体" w:cs="Times New Roman"/>
          <w:b/>
          <w:bCs/>
          <w:i w:val="0"/>
          <w:color w:val="auto"/>
          <w:kern w:val="2"/>
          <w:sz w:val="28"/>
          <w:szCs w:val="28"/>
          <w:highlight w:val="none"/>
          <w:lang w:val="en-US" w:eastAsia="zh-CN" w:bidi="ar-SA"/>
        </w:rPr>
        <w:t>12.6</w:t>
      </w:r>
      <w:r>
        <w:rPr>
          <w:rFonts w:hint="default" w:ascii="Times New Roman" w:hAnsi="Times New Roman" w:eastAsia="宋体" w:cs="Times New Roman"/>
          <w:b/>
          <w:bCs/>
          <w:color w:val="auto"/>
          <w:highlight w:val="none"/>
        </w:rPr>
        <w:t>建议</w:t>
      </w:r>
      <w:bookmarkEnd w:id="1637"/>
      <w:bookmarkEnd w:id="1638"/>
    </w:p>
    <w:p>
      <w:pPr>
        <w:pageBreakBefore w:val="0"/>
        <w:widowControl w:val="0"/>
        <w:kinsoku/>
        <w:wordWrap/>
        <w:overflowPunct/>
        <w:topLinePunct w:val="0"/>
        <w:autoSpaceDE/>
        <w:autoSpaceDN/>
        <w:bidi w:val="0"/>
        <w:adjustRightInd w:val="0"/>
        <w:snapToGrid w:val="0"/>
        <w:spacing w:line="360" w:lineRule="auto"/>
        <w:ind w:left="0" w:leftChars="0" w:right="0" w:rightChars="0" w:firstLine="504" w:firstLineChars="200"/>
        <w:textAlignment w:val="auto"/>
        <w:rPr>
          <w:rFonts w:hint="default" w:ascii="Times New Roman" w:hAnsi="Times New Roman" w:eastAsia="宋体" w:cs="Times New Roman"/>
          <w:color w:val="auto"/>
          <w:spacing w:val="6"/>
          <w:sz w:val="24"/>
          <w:highlight w:val="none"/>
        </w:rPr>
      </w:pPr>
      <w:r>
        <w:rPr>
          <w:rFonts w:hint="default" w:ascii="Times New Roman" w:hAnsi="Times New Roman" w:eastAsia="宋体" w:cs="Times New Roman"/>
          <w:color w:val="auto"/>
          <w:spacing w:val="6"/>
          <w:sz w:val="24"/>
          <w:highlight w:val="none"/>
        </w:rPr>
        <w:t>（1</w:t>
      </w:r>
      <w:r>
        <w:rPr>
          <w:rFonts w:hint="default" w:ascii="Times New Roman" w:hAnsi="Times New Roman" w:eastAsia="宋体" w:cs="Times New Roman"/>
          <w:color w:val="auto"/>
          <w:spacing w:val="6"/>
          <w:sz w:val="24"/>
          <w:highlight w:val="none"/>
          <w:lang w:eastAsia="zh-CN"/>
        </w:rPr>
        <w:t>）</w:t>
      </w:r>
      <w:r>
        <w:rPr>
          <w:rFonts w:hint="default" w:ascii="Times New Roman" w:hAnsi="Times New Roman" w:eastAsia="宋体" w:cs="Times New Roman"/>
          <w:color w:val="auto"/>
          <w:spacing w:val="6"/>
          <w:sz w:val="24"/>
          <w:highlight w:val="none"/>
        </w:rPr>
        <w:t>加强企业内部管理</w:t>
      </w:r>
      <w:r>
        <w:rPr>
          <w:rFonts w:hint="default" w:ascii="Times New Roman" w:hAnsi="Times New Roman" w:eastAsia="宋体" w:cs="Times New Roman"/>
          <w:color w:val="auto"/>
          <w:spacing w:val="6"/>
          <w:sz w:val="24"/>
          <w:highlight w:val="none"/>
          <w:lang w:eastAsia="zh-CN"/>
        </w:rPr>
        <w:t>，</w:t>
      </w:r>
      <w:r>
        <w:rPr>
          <w:rFonts w:hint="default" w:ascii="Times New Roman" w:hAnsi="Times New Roman" w:eastAsia="宋体" w:cs="Times New Roman"/>
          <w:color w:val="auto"/>
          <w:spacing w:val="6"/>
          <w:sz w:val="24"/>
          <w:highlight w:val="none"/>
        </w:rPr>
        <w:t>实施本报告书中提出的环境管理和监测计划</w:t>
      </w:r>
      <w:r>
        <w:rPr>
          <w:rFonts w:hint="default" w:ascii="Times New Roman" w:hAnsi="Times New Roman" w:eastAsia="宋体" w:cs="Times New Roman"/>
          <w:color w:val="auto"/>
          <w:spacing w:val="6"/>
          <w:sz w:val="24"/>
          <w:highlight w:val="none"/>
          <w:lang w:eastAsia="zh-CN"/>
        </w:rPr>
        <w:t>，</w:t>
      </w:r>
      <w:r>
        <w:rPr>
          <w:rFonts w:hint="default" w:ascii="Times New Roman" w:hAnsi="Times New Roman" w:eastAsia="宋体" w:cs="Times New Roman"/>
          <w:color w:val="auto"/>
          <w:spacing w:val="6"/>
          <w:sz w:val="24"/>
          <w:highlight w:val="none"/>
        </w:rPr>
        <w:t>保证各处理设施的处理效果</w:t>
      </w:r>
      <w:r>
        <w:rPr>
          <w:rFonts w:hint="default" w:ascii="Times New Roman" w:hAnsi="Times New Roman" w:eastAsia="宋体" w:cs="Times New Roman"/>
          <w:color w:val="auto"/>
          <w:spacing w:val="6"/>
          <w:sz w:val="24"/>
          <w:highlight w:val="none"/>
          <w:lang w:eastAsia="zh-CN"/>
        </w:rPr>
        <w:t>，</w:t>
      </w:r>
      <w:r>
        <w:rPr>
          <w:rFonts w:hint="default" w:ascii="Times New Roman" w:hAnsi="Times New Roman" w:eastAsia="宋体" w:cs="Times New Roman"/>
          <w:color w:val="auto"/>
          <w:spacing w:val="6"/>
          <w:sz w:val="24"/>
          <w:highlight w:val="none"/>
        </w:rPr>
        <w:t>确保污染物达标排放。</w:t>
      </w:r>
    </w:p>
    <w:p>
      <w:pPr>
        <w:pageBreakBefore w:val="0"/>
        <w:widowControl w:val="0"/>
        <w:kinsoku/>
        <w:wordWrap/>
        <w:overflowPunct/>
        <w:topLinePunct w:val="0"/>
        <w:autoSpaceDE/>
        <w:autoSpaceDN/>
        <w:bidi w:val="0"/>
        <w:adjustRightInd w:val="0"/>
        <w:snapToGrid w:val="0"/>
        <w:spacing w:line="360" w:lineRule="auto"/>
        <w:ind w:left="0" w:leftChars="0" w:right="0" w:rightChars="0" w:firstLine="504" w:firstLineChars="200"/>
        <w:textAlignment w:val="auto"/>
        <w:rPr>
          <w:rFonts w:hint="default" w:ascii="Times New Roman" w:hAnsi="Times New Roman" w:eastAsia="宋体" w:cs="Times New Roman"/>
          <w:color w:val="auto"/>
          <w:spacing w:val="6"/>
          <w:sz w:val="24"/>
          <w:highlight w:val="none"/>
        </w:rPr>
      </w:pPr>
      <w:r>
        <w:rPr>
          <w:rFonts w:hint="default" w:ascii="Times New Roman" w:hAnsi="Times New Roman" w:eastAsia="宋体" w:cs="Times New Roman"/>
          <w:color w:val="auto"/>
          <w:spacing w:val="6"/>
          <w:sz w:val="24"/>
          <w:highlight w:val="none"/>
        </w:rPr>
        <w:t>（2</w:t>
      </w:r>
      <w:r>
        <w:rPr>
          <w:rFonts w:hint="default" w:ascii="Times New Roman" w:hAnsi="Times New Roman" w:eastAsia="宋体" w:cs="Times New Roman"/>
          <w:color w:val="auto"/>
          <w:spacing w:val="6"/>
          <w:sz w:val="24"/>
          <w:highlight w:val="none"/>
          <w:lang w:eastAsia="zh-CN"/>
        </w:rPr>
        <w:t>）</w:t>
      </w:r>
      <w:r>
        <w:rPr>
          <w:rFonts w:hint="default" w:ascii="Times New Roman" w:hAnsi="Times New Roman" w:eastAsia="宋体" w:cs="Times New Roman"/>
          <w:color w:val="auto"/>
          <w:spacing w:val="6"/>
          <w:sz w:val="24"/>
          <w:highlight w:val="none"/>
        </w:rPr>
        <w:t>做好风险防范的各项措施</w:t>
      </w:r>
      <w:r>
        <w:rPr>
          <w:rFonts w:hint="default" w:ascii="Times New Roman" w:hAnsi="Times New Roman" w:eastAsia="宋体" w:cs="Times New Roman"/>
          <w:color w:val="auto"/>
          <w:spacing w:val="6"/>
          <w:sz w:val="24"/>
          <w:highlight w:val="none"/>
          <w:lang w:eastAsia="zh-CN"/>
        </w:rPr>
        <w:t>，</w:t>
      </w:r>
      <w:r>
        <w:rPr>
          <w:rFonts w:hint="default" w:ascii="Times New Roman" w:hAnsi="Times New Roman" w:eastAsia="宋体" w:cs="Times New Roman"/>
          <w:color w:val="auto"/>
          <w:spacing w:val="6"/>
          <w:sz w:val="24"/>
          <w:highlight w:val="none"/>
        </w:rPr>
        <w:t>并按照风险应急预案定期进行演练</w:t>
      </w:r>
      <w:r>
        <w:rPr>
          <w:rFonts w:hint="default" w:ascii="Times New Roman" w:hAnsi="Times New Roman" w:eastAsia="宋体" w:cs="Times New Roman"/>
          <w:color w:val="auto"/>
          <w:spacing w:val="6"/>
          <w:sz w:val="24"/>
          <w:highlight w:val="none"/>
          <w:lang w:eastAsia="zh-CN"/>
        </w:rPr>
        <w:t>，</w:t>
      </w:r>
      <w:r>
        <w:rPr>
          <w:rFonts w:hint="default" w:ascii="Times New Roman" w:hAnsi="Times New Roman" w:eastAsia="宋体" w:cs="Times New Roman"/>
          <w:color w:val="auto"/>
          <w:spacing w:val="6"/>
          <w:sz w:val="24"/>
          <w:highlight w:val="none"/>
        </w:rPr>
        <w:t>做到安全生产。</w:t>
      </w:r>
    </w:p>
    <w:p>
      <w:pPr>
        <w:pageBreakBefore w:val="0"/>
        <w:widowControl w:val="0"/>
        <w:kinsoku/>
        <w:wordWrap/>
        <w:overflowPunct/>
        <w:topLinePunct w:val="0"/>
        <w:autoSpaceDE/>
        <w:autoSpaceDN/>
        <w:bidi w:val="0"/>
        <w:adjustRightInd w:val="0"/>
        <w:snapToGrid w:val="0"/>
        <w:spacing w:line="360" w:lineRule="auto"/>
        <w:ind w:left="0" w:leftChars="0" w:right="0" w:rightChars="0" w:firstLine="504" w:firstLineChars="200"/>
        <w:textAlignment w:val="auto"/>
        <w:rPr>
          <w:rFonts w:hint="default" w:ascii="Times New Roman" w:hAnsi="Times New Roman" w:eastAsia="宋体" w:cs="Times New Roman"/>
          <w:color w:val="auto"/>
          <w:spacing w:val="6"/>
          <w:sz w:val="24"/>
          <w:highlight w:val="none"/>
          <w:lang w:eastAsia="zh-CN"/>
        </w:rPr>
      </w:pPr>
      <w:r>
        <w:rPr>
          <w:rFonts w:hint="default" w:ascii="Times New Roman" w:hAnsi="Times New Roman" w:eastAsia="宋体" w:cs="Times New Roman"/>
          <w:color w:val="auto"/>
          <w:spacing w:val="6"/>
          <w:sz w:val="24"/>
          <w:highlight w:val="none"/>
        </w:rPr>
        <w:t>（3</w:t>
      </w:r>
      <w:r>
        <w:rPr>
          <w:rFonts w:hint="default" w:ascii="Times New Roman" w:hAnsi="Times New Roman" w:eastAsia="宋体" w:cs="Times New Roman"/>
          <w:color w:val="auto"/>
          <w:spacing w:val="6"/>
          <w:sz w:val="24"/>
          <w:highlight w:val="none"/>
          <w:lang w:eastAsia="zh-CN"/>
        </w:rPr>
        <w:t>）</w:t>
      </w:r>
      <w:r>
        <w:rPr>
          <w:rFonts w:hint="default" w:ascii="Times New Roman" w:hAnsi="Times New Roman" w:eastAsia="宋体" w:cs="Times New Roman"/>
          <w:color w:val="auto"/>
          <w:spacing w:val="6"/>
          <w:sz w:val="24"/>
          <w:highlight w:val="none"/>
        </w:rPr>
        <w:t>对通往尾矿库的道路进行硬化铺装</w:t>
      </w:r>
      <w:r>
        <w:rPr>
          <w:rFonts w:hint="default" w:ascii="Times New Roman" w:hAnsi="Times New Roman" w:eastAsia="宋体" w:cs="Times New Roman"/>
          <w:color w:val="auto"/>
          <w:spacing w:val="6"/>
          <w:sz w:val="24"/>
          <w:highlight w:val="none"/>
          <w:lang w:eastAsia="zh-CN"/>
        </w:rPr>
        <w:t>，</w:t>
      </w:r>
      <w:r>
        <w:rPr>
          <w:rFonts w:hint="default" w:ascii="Times New Roman" w:hAnsi="Times New Roman" w:eastAsia="宋体" w:cs="Times New Roman"/>
          <w:color w:val="auto"/>
          <w:spacing w:val="6"/>
          <w:sz w:val="24"/>
          <w:highlight w:val="none"/>
        </w:rPr>
        <w:t>道路两旁配合种植树木植被</w:t>
      </w:r>
      <w:r>
        <w:rPr>
          <w:rFonts w:hint="default" w:ascii="Times New Roman" w:hAnsi="Times New Roman" w:eastAsia="宋体" w:cs="Times New Roman"/>
          <w:color w:val="auto"/>
          <w:spacing w:val="6"/>
          <w:sz w:val="24"/>
          <w:highlight w:val="none"/>
          <w:lang w:eastAsia="zh-CN"/>
        </w:rPr>
        <w:t>。</w:t>
      </w:r>
    </w:p>
    <w:p>
      <w:pPr>
        <w:pageBreakBefore w:val="0"/>
        <w:widowControl w:val="0"/>
        <w:kinsoku/>
        <w:wordWrap/>
        <w:overflowPunct/>
        <w:topLinePunct w:val="0"/>
        <w:autoSpaceDE/>
        <w:autoSpaceDN/>
        <w:bidi w:val="0"/>
        <w:adjustRightInd w:val="0"/>
        <w:snapToGrid w:val="0"/>
        <w:spacing w:line="360" w:lineRule="auto"/>
        <w:ind w:left="0" w:leftChars="0" w:right="0" w:rightChars="0" w:firstLine="504" w:firstLineChars="200"/>
        <w:textAlignment w:val="auto"/>
        <w:rPr>
          <w:rFonts w:hint="default" w:ascii="Times New Roman" w:hAnsi="Times New Roman" w:eastAsia="宋体" w:cs="Times New Roman"/>
          <w:color w:val="auto"/>
          <w:spacing w:val="6"/>
          <w:sz w:val="24"/>
          <w:highlight w:val="none"/>
        </w:rPr>
      </w:pPr>
    </w:p>
    <w:bookmarkEnd w:id="1576"/>
    <w:bookmarkEnd w:id="1577"/>
    <w:bookmarkEnd w:id="1578"/>
    <w:p>
      <w:pPr>
        <w:pageBreakBefore w:val="0"/>
        <w:widowControl w:val="0"/>
        <w:kinsoku/>
        <w:wordWrap/>
        <w:overflowPunct/>
        <w:topLinePunct w:val="0"/>
        <w:autoSpaceDE/>
        <w:autoSpaceDN/>
        <w:bidi w:val="0"/>
        <w:adjustRightInd w:val="0"/>
        <w:snapToGrid w:val="0"/>
        <w:spacing w:line="360" w:lineRule="auto"/>
        <w:ind w:right="0" w:rightChars="0"/>
        <w:textAlignment w:val="auto"/>
        <w:rPr>
          <w:rFonts w:hint="default" w:ascii="Times New Roman" w:hAnsi="Times New Roman" w:eastAsia="宋体" w:cs="Times New Roman"/>
          <w:color w:val="auto"/>
          <w:spacing w:val="6"/>
          <w:sz w:val="24"/>
          <w:highlight w:val="none"/>
        </w:rPr>
      </w:pPr>
    </w:p>
    <w:sectPr>
      <w:pgSz w:w="11906" w:h="16838"/>
      <w:pgMar w:top="1440" w:right="1800" w:bottom="1440" w:left="1800" w:header="851" w:footer="1020" w:gutter="0"/>
      <w:pgNumType w:fmt="decimal"/>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仿宋_GB2312">
    <w:panose1 w:val="02010609030101010101"/>
    <w:charset w:val="86"/>
    <w:family w:val="modern"/>
    <w:pitch w:val="default"/>
    <w:sig w:usb0="00000001" w:usb1="080E0000" w:usb2="00000000" w:usb3="00000000" w:csb0="00040000" w:csb1="00000000"/>
  </w:font>
  <w:font w:name="华文楷体">
    <w:altName w:val="楷体_GB2312"/>
    <w:panose1 w:val="02010600040101010101"/>
    <w:charset w:val="86"/>
    <w:family w:val="auto"/>
    <w:pitch w:val="default"/>
    <w:sig w:usb0="00000000" w:usb1="00000000" w:usb2="00000000" w:usb3="00000000" w:csb0="0004009F" w:csb1="DFD70000"/>
  </w:font>
  <w:font w:name="幼圆">
    <w:altName w:val="宋体"/>
    <w:panose1 w:val="02010509060101010101"/>
    <w:charset w:val="86"/>
    <w:family w:val="modern"/>
    <w:pitch w:val="default"/>
    <w:sig w:usb0="00000000" w:usb1="00000000" w:usb2="00000000" w:usb3="00000000" w:csb0="00040000" w:csb1="00000000"/>
  </w:font>
  <w:font w:name="Tw Cen MT Condensed">
    <w:altName w:val="Segoe Print"/>
    <w:panose1 w:val="020B0606020104020203"/>
    <w:charset w:val="00"/>
    <w:family w:val="swiss"/>
    <w:pitch w:val="default"/>
    <w:sig w:usb0="00000000" w:usb1="00000000" w:usb2="00000000" w:usb3="00000000" w:csb0="20000003" w:csb1="00000000"/>
  </w:font>
  <w:font w:name="Verdana">
    <w:panose1 w:val="020B0604030504040204"/>
    <w:charset w:val="00"/>
    <w:family w:val="swiss"/>
    <w:pitch w:val="default"/>
    <w:sig w:usb0="A00006FF" w:usb1="4000205B" w:usb2="00000010" w:usb3="00000000" w:csb0="2000019F" w:csb1="00000000"/>
  </w:font>
  <w:font w:name="Batang">
    <w:altName w:val="Malgun Gothic"/>
    <w:panose1 w:val="02030600000101010101"/>
    <w:charset w:val="81"/>
    <w:family w:val="roman"/>
    <w:pitch w:val="default"/>
    <w:sig w:usb0="00000000" w:usb1="00000000" w:usb2="00000030" w:usb3="00000000" w:csb0="4008009F" w:csb1="DFD70000"/>
  </w:font>
  <w:font w:name="微软雅黑">
    <w:panose1 w:val="020B0503020204020204"/>
    <w:charset w:val="86"/>
    <w:family w:val="swiss"/>
    <w:pitch w:val="default"/>
    <w:sig w:usb0="80000287" w:usb1="2ACF3C50" w:usb2="00000016" w:usb3="00000000" w:csb0="0004001F" w:csb1="00000000"/>
  </w:font>
  <w:font w:name="新宋体">
    <w:panose1 w:val="02010609030101010101"/>
    <w:charset w:val="86"/>
    <w:family w:val="modern"/>
    <w:pitch w:val="default"/>
    <w:sig w:usb0="00000203" w:usb1="288F0000" w:usb2="00000006" w:usb3="00000000" w:csb0="00040001" w:csb1="00000000"/>
  </w:font>
  <w:font w:name="Tahoma">
    <w:panose1 w:val="020B0604030504040204"/>
    <w:charset w:val="00"/>
    <w:family w:val="swiss"/>
    <w:pitch w:val="default"/>
    <w:sig w:usb0="E1002EFF" w:usb1="C000605B" w:usb2="00000029" w:usb3="00000000" w:csb0="200101FF" w:csb1="20280000"/>
  </w:font>
  <w:font w:name="Dotum">
    <w:altName w:val="Malgun Gothic"/>
    <w:panose1 w:val="020B0600000101010101"/>
    <w:charset w:val="81"/>
    <w:family w:val="swiss"/>
    <w:pitch w:val="default"/>
    <w:sig w:usb0="00000000" w:usb1="00000000" w:usb2="00000030" w:usb3="00000000" w:csb0="4008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7"/>
      <w:ind w:right="360"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7"/>
      <w:tabs>
        <w:tab w:val="left" w:pos="2629"/>
        <w:tab w:val="clear" w:pos="4153"/>
      </w:tabs>
      <w:ind w:right="360"/>
    </w:pPr>
    <w:r>
      <w:rPr>
        <w:sz w:val="18"/>
      </w:rPr>
      <mc:AlternateContent>
        <mc:Choice Requires="wps">
          <w:drawing>
            <wp:anchor distT="0" distB="0" distL="114300" distR="114300" simplePos="0" relativeHeight="251668480" behindDoc="0" locked="0" layoutInCell="1" allowOverlap="1">
              <wp:simplePos x="0" y="0"/>
              <wp:positionH relativeFrom="margin">
                <wp:align>center</wp:align>
              </wp:positionH>
              <wp:positionV relativeFrom="paragraph">
                <wp:posOffset>0</wp:posOffset>
              </wp:positionV>
              <wp:extent cx="1828800" cy="1828800"/>
              <wp:effectExtent l="0" t="0" r="0" b="0"/>
              <wp:wrapNone/>
              <wp:docPr id="124" name="文本框 12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37"/>
                          </w:pPr>
                          <w:r>
                            <w:fldChar w:fldCharType="begin"/>
                          </w:r>
                          <w:r>
                            <w:instrText xml:space="preserve"> PAGE  \* MERGEFORMAT </w:instrText>
                          </w:r>
                          <w:r>
                            <w:fldChar w:fldCharType="separate"/>
                          </w:r>
                          <w:r>
                            <w:t>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848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JWav40AgAAZQ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DSVmr+NAIAAGUEAAAOAAAAAAAAAAEAIAAAAB8BAABkcnMvZTJvRG9jLnhtbFBL&#10;BQYAAAAABgAGAFkBAADFBQAAAAA=&#10;">
              <v:fill on="f" focussize="0,0"/>
              <v:stroke on="f" weight="0.5pt"/>
              <v:imagedata o:title=""/>
              <o:lock v:ext="edit" aspectratio="f"/>
              <v:textbox inset="0mm,0mm,0mm,0mm" style="mso-fit-shape-to-text:t;">
                <w:txbxContent>
                  <w:p>
                    <w:pPr>
                      <w:pStyle w:val="37"/>
                    </w:pPr>
                    <w:r>
                      <w:fldChar w:fldCharType="begin"/>
                    </w:r>
                    <w:r>
                      <w:instrText xml:space="preserve"> PAGE  \* MERGEFORMAT </w:instrText>
                    </w:r>
                    <w:r>
                      <w:fldChar w:fldCharType="separate"/>
                    </w:r>
                    <w:r>
                      <w:t>3</w:t>
                    </w:r>
                    <w:r>
                      <w:fldChar w:fldCharType="end"/>
                    </w:r>
                  </w:p>
                </w:txbxContent>
              </v:textbox>
            </v:shape>
          </w:pict>
        </mc:Fallback>
      </mc:AlternateContent>
    </w:r>
    <w:r>
      <w:rPr>
        <w:rFonts w:hint="eastAsia"/>
        <w:lang w:eastAsia="zh-CN"/>
      </w:rPr>
      <w:tab/>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7"/>
      <w:tabs>
        <w:tab w:val="right" w:pos="8394"/>
      </w:tabs>
      <w:ind w:left="420" w:leftChars="200" w:right="31" w:rightChars="15" w:firstLine="360"/>
      <w:jc w:val="left"/>
    </w:pPr>
    <w:r>
      <w:rPr>
        <w:sz w:val="18"/>
      </w:rPr>
      <mc:AlternateContent>
        <mc:Choice Requires="wps">
          <w:drawing>
            <wp:anchor distT="0" distB="0" distL="114300" distR="114300" simplePos="0" relativeHeight="251669504" behindDoc="0" locked="0" layoutInCell="1" allowOverlap="1">
              <wp:simplePos x="0" y="0"/>
              <wp:positionH relativeFrom="margin">
                <wp:align>center</wp:align>
              </wp:positionH>
              <wp:positionV relativeFrom="paragraph">
                <wp:posOffset>0</wp:posOffset>
              </wp:positionV>
              <wp:extent cx="1828800" cy="1828800"/>
              <wp:effectExtent l="0" t="0" r="0" b="0"/>
              <wp:wrapNone/>
              <wp:docPr id="125" name="文本框 1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37"/>
                          </w:pPr>
                          <w:r>
                            <w:fldChar w:fldCharType="begin"/>
                          </w:r>
                          <w:r>
                            <w:instrText xml:space="preserve"> PAGE  \* MERGEFORMAT </w:instrText>
                          </w:r>
                          <w:r>
                            <w:fldChar w:fldCharType="separate"/>
                          </w:r>
                          <w:r>
                            <w:t>4</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950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nq9GIzAgAAZQQAAA4AAABkcnMvZTJvRG9jLnhtbK1US44TMRDdI3EH&#10;y3vSSdC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Lnq9GIzAgAAZQQAAA4AAAAAAAAAAQAgAAAAHwEAAGRycy9lMm9Eb2MueG1sUEsF&#10;BgAAAAAGAAYAWQEAAMQFAAAAAA==&#10;">
              <v:fill on="f" focussize="0,0"/>
              <v:stroke on="f" weight="0.5pt"/>
              <v:imagedata o:title=""/>
              <o:lock v:ext="edit" aspectratio="f"/>
              <v:textbox inset="0mm,0mm,0mm,0mm" style="mso-fit-shape-to-text:t;">
                <w:txbxContent>
                  <w:p>
                    <w:pPr>
                      <w:pStyle w:val="37"/>
                    </w:pPr>
                    <w:r>
                      <w:fldChar w:fldCharType="begin"/>
                    </w:r>
                    <w:r>
                      <w:instrText xml:space="preserve"> PAGE  \* MERGEFORMAT </w:instrText>
                    </w:r>
                    <w:r>
                      <w:fldChar w:fldCharType="separate"/>
                    </w:r>
                    <w:r>
                      <w:t>4</w:t>
                    </w:r>
                    <w:r>
                      <w:fldChar w:fldCharType="end"/>
                    </w:r>
                  </w:p>
                </w:txbxContent>
              </v:textbox>
            </v:shape>
          </w:pict>
        </mc:Fallback>
      </mc:AlternateContent>
    </w:r>
    <w:r>
      <w:rPr>
        <w:rFonts w:hint="eastAsia"/>
        <w:lang w:eastAsia="zh-CN"/>
      </w:rPr>
      <w:tab/>
    </w:r>
    <w:r>
      <w:rPr>
        <w:rFonts w:hint="eastAsia"/>
        <w:lang w:eastAsia="zh-CN"/>
      </w:rPr>
      <w:tab/>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7"/>
      <w:ind w:right="360"/>
      <w:rPr>
        <w:rFonts w:hint="eastAsia" w:eastAsia="宋体"/>
        <w:lang w:val="en-US" w:eastAsia="zh-CN"/>
      </w:rPr>
    </w:pPr>
    <w:r>
      <w:rPr>
        <w:sz w:val="18"/>
      </w:rPr>
      <mc:AlternateContent>
        <mc:Choice Requires="wps">
          <w:drawing>
            <wp:anchor distT="0" distB="0" distL="114300" distR="114300" simplePos="0" relativeHeight="251670528" behindDoc="0" locked="0" layoutInCell="1" allowOverlap="1">
              <wp:simplePos x="0" y="0"/>
              <wp:positionH relativeFrom="margin">
                <wp:align>center</wp:align>
              </wp:positionH>
              <wp:positionV relativeFrom="paragraph">
                <wp:posOffset>0</wp:posOffset>
              </wp:positionV>
              <wp:extent cx="1828800" cy="1828800"/>
              <wp:effectExtent l="0" t="0" r="0" b="0"/>
              <wp:wrapNone/>
              <wp:docPr id="126" name="文本框 1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37"/>
                          </w:pPr>
                          <w:r>
                            <w:fldChar w:fldCharType="begin"/>
                          </w:r>
                          <w:r>
                            <w:instrText xml:space="preserve"> PAGE  \* MERGEFORMAT </w:instrText>
                          </w:r>
                          <w:r>
                            <w:fldChar w:fldCharType="separate"/>
                          </w:r>
                          <w:r>
                            <w:t>19</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052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EUoJhwzAgAAZQQAAA4AAAAAAAAAAQAgAAAAHwEAAGRycy9lMm9Eb2MueG1sUEsF&#10;BgAAAAAGAAYAWQEAAMQFAAAAAA==&#10;">
              <v:fill on="f" focussize="0,0"/>
              <v:stroke on="f" weight="0.5pt"/>
              <v:imagedata o:title=""/>
              <o:lock v:ext="edit" aspectratio="f"/>
              <v:textbox inset="0mm,0mm,0mm,0mm" style="mso-fit-shape-to-text:t;">
                <w:txbxContent>
                  <w:p>
                    <w:pPr>
                      <w:pStyle w:val="37"/>
                    </w:pPr>
                    <w:r>
                      <w:fldChar w:fldCharType="begin"/>
                    </w:r>
                    <w:r>
                      <w:instrText xml:space="preserve"> PAGE  \* MERGEFORMAT </w:instrText>
                    </w:r>
                    <w:r>
                      <w:fldChar w:fldCharType="separate"/>
                    </w:r>
                    <w:r>
                      <w:t>19</w:t>
                    </w:r>
                    <w:r>
                      <w:fldChar w:fldCharType="end"/>
                    </w:r>
                  </w:p>
                </w:txbxContent>
              </v:textbox>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7"/>
      <w:ind w:right="360"/>
      <w:rPr>
        <w:rFonts w:hint="eastAsia" w:eastAsia="宋体"/>
        <w:lang w:val="en-US" w:eastAsia="zh-CN"/>
      </w:rPr>
    </w:pPr>
    <w:r>
      <w:rPr>
        <w:sz w:val="18"/>
      </w:rPr>
      <mc:AlternateContent>
        <mc:Choice Requires="wps">
          <w:drawing>
            <wp:anchor distT="0" distB="0" distL="114300" distR="114300" simplePos="0" relativeHeight="251673600" behindDoc="0" locked="0" layoutInCell="1" allowOverlap="1">
              <wp:simplePos x="0" y="0"/>
              <wp:positionH relativeFrom="margin">
                <wp:align>center</wp:align>
              </wp:positionH>
              <wp:positionV relativeFrom="paragraph">
                <wp:posOffset>0</wp:posOffset>
              </wp:positionV>
              <wp:extent cx="1828800" cy="1828800"/>
              <wp:effectExtent l="0" t="0" r="0" b="0"/>
              <wp:wrapNone/>
              <wp:docPr id="129" name="文本框 12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37"/>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360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jnzkI0AgAAZQQAAA4AAABkcnMvZTJvRG9jLnhtbK1UzY7TMBC+I/EO&#10;lu80aRGrUj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AI585CNAIAAGUEAAAOAAAAAAAAAAEAIAAAAB8BAABkcnMvZTJvRG9jLnhtbFBL&#10;BQYAAAAABgAGAFkBAADFBQAAAAA=&#10;">
              <v:fill on="f" focussize="0,0"/>
              <v:stroke on="f" weight="0.5pt"/>
              <v:imagedata o:title=""/>
              <o:lock v:ext="edit" aspectratio="f"/>
              <v:textbox inset="0mm,0mm,0mm,0mm" style="mso-fit-shape-to-text:t;">
                <w:txbxContent>
                  <w:p>
                    <w:pPr>
                      <w:pStyle w:val="37"/>
                    </w:pPr>
                    <w:r>
                      <w:fldChar w:fldCharType="begin"/>
                    </w:r>
                    <w:r>
                      <w:instrText xml:space="preserve"> PAGE  \* MERGEFORMAT </w:instrText>
                    </w:r>
                    <w:r>
                      <w:fldChar w:fldCharType="separate"/>
                    </w:r>
                    <w:r>
                      <w:t>1</w:t>
                    </w:r>
                    <w:r>
                      <w:fldChar w:fldCharType="end"/>
                    </w:r>
                  </w:p>
                </w:txbxContent>
              </v:textbox>
            </v:shape>
          </w:pict>
        </mc:Fallback>
      </mc:AlternateContent>
    </w:r>
    <w:r>
      <w:rPr>
        <w:rFonts w:hint="eastAsia" w:eastAsia="宋体"/>
        <w:lang w:val="en-US" w:eastAsia="zh-CN"/>
      </w:rPr>
      <w:tab/>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7"/>
      <w:ind w:left="420" w:leftChars="200" w:right="31" w:rightChars="15" w:firstLine="360"/>
      <w:jc w:val="right"/>
    </w:pPr>
    <w:r>
      <w:rPr>
        <w:sz w:val="18"/>
      </w:rPr>
      <mc:AlternateContent>
        <mc:Choice Requires="wps">
          <w:drawing>
            <wp:anchor distT="0" distB="0" distL="114300" distR="114300" simplePos="0" relativeHeight="251674624" behindDoc="0" locked="0" layoutInCell="1" allowOverlap="1">
              <wp:simplePos x="0" y="0"/>
              <wp:positionH relativeFrom="margin">
                <wp:align>center</wp:align>
              </wp:positionH>
              <wp:positionV relativeFrom="paragraph">
                <wp:posOffset>0</wp:posOffset>
              </wp:positionV>
              <wp:extent cx="1828800" cy="1828800"/>
              <wp:effectExtent l="0" t="0" r="0" b="0"/>
              <wp:wrapNone/>
              <wp:docPr id="133" name="文本框 13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37"/>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462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1JrUUzAgAAZ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C1JrUUzAgAAZQQAAA4AAAAAAAAAAQAgAAAAHwEAAGRycy9lMm9Eb2MueG1sUEsF&#10;BgAAAAAGAAYAWQEAAMQFAAAAAA==&#10;">
              <v:fill on="f" focussize="0,0"/>
              <v:stroke on="f" weight="0.5pt"/>
              <v:imagedata o:title=""/>
              <o:lock v:ext="edit" aspectratio="f"/>
              <v:textbox inset="0mm,0mm,0mm,0mm" style="mso-fit-shape-to-text:t;">
                <w:txbxContent>
                  <w:p>
                    <w:pPr>
                      <w:pStyle w:val="37"/>
                    </w:pPr>
                    <w:r>
                      <w:fldChar w:fldCharType="begin"/>
                    </w:r>
                    <w:r>
                      <w:instrText xml:space="preserve"> PAGE  \* MERGEFORMAT </w:instrText>
                    </w:r>
                    <w:r>
                      <w:fldChar w:fldCharType="separate"/>
                    </w:r>
                    <w:r>
                      <w:t>2</w:t>
                    </w:r>
                    <w:r>
                      <w:fldChar w:fldCharType="end"/>
                    </w:r>
                  </w:p>
                </w:txbxContent>
              </v:textbox>
            </v:shape>
          </w:pict>
        </mc:Fallback>
      </mc:AlternateContent>
    </w:r>
  </w:p>
  <w:p>
    <w:pPr>
      <w:pStyle w:val="37"/>
      <w:ind w:left="420" w:leftChars="200" w:right="31" w:rightChars="15" w:firstLine="360"/>
      <w:jc w:val="righ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7"/>
      <w:ind w:left="420" w:leftChars="200" w:right="31" w:rightChars="15" w:firstLine="360"/>
      <w:jc w:val="right"/>
    </w:pPr>
  </w:p>
  <w:p>
    <w:pPr>
      <w:pStyle w:val="37"/>
      <w:ind w:right="32"/>
      <w:jc w:val="righ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7"/>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10"/>
              <wp:cNvGraphicFramePr/>
              <a:graphic xmlns:a="http://schemas.openxmlformats.org/drawingml/2006/main">
                <a:graphicData uri="http://schemas.microsoft.com/office/word/2010/wordprocessingShape">
                  <wps:wsp>
                    <wps:cNvSpPr txBox="1">
                      <a:spLocks noChangeArrowheads="1"/>
                    </wps:cNvSpPr>
                    <wps:spPr bwMode="auto">
                      <a:xfrm>
                        <a:off x="0" y="0"/>
                        <a:ext cx="1828800" cy="1828800"/>
                      </a:xfrm>
                      <a:prstGeom prst="rect">
                        <a:avLst/>
                      </a:prstGeom>
                      <a:noFill/>
                      <a:ln>
                        <a:noFill/>
                      </a:ln>
                    </wps:spPr>
                    <wps:txbx>
                      <w:txbxContent>
                        <w:p>
                          <w:pPr>
                            <w:pStyle w:val="37"/>
                          </w:pPr>
                          <w:r>
                            <w:rPr>
                              <w:rFonts w:hint="eastAsia"/>
                            </w:rPr>
                            <w:fldChar w:fldCharType="begin"/>
                          </w:r>
                          <w:r>
                            <w:rPr>
                              <w:rFonts w:hint="eastAsia"/>
                            </w:rPr>
                            <w:instrText xml:space="preserve"> PAGE  \* MERGEFORMAT </w:instrText>
                          </w:r>
                          <w:r>
                            <w:rPr>
                              <w:rFonts w:hint="eastAsia"/>
                            </w:rPr>
                            <w:fldChar w:fldCharType="separate"/>
                          </w:r>
                          <w:r>
                            <w:t>123</w:t>
                          </w:r>
                          <w:r>
                            <w:rPr>
                              <w:rFonts w:hint="eastAsia"/>
                            </w:rPr>
                            <w:fldChar w:fldCharType="end"/>
                          </w:r>
                        </w:p>
                      </w:txbxContent>
                    </wps:txbx>
                    <wps:bodyPr rot="0" vert="horz" wrap="none" lIns="0" tIns="0" rIns="0" bIns="0" anchor="t" anchorCtr="0" upright="1">
                      <a:spAutoFit/>
                    </wps:bodyPr>
                  </wps:wsp>
                </a:graphicData>
              </a:graphic>
            </wp:anchor>
          </w:drawing>
        </mc:Choice>
        <mc:Fallback>
          <w:pict>
            <v:shape id="文本框 10"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M6pebnPAAAABQEAAA8AAAAAAAAAAQAgAAAAIgAAAGRycy9kb3ducmV2&#10;LnhtbFBLAQIUABQAAAAIAIdO4kCFmw9EBQIAAAUEAAAOAAAAAAAAAAEAIAAAAB4BAABkcnMvZTJv&#10;RG9jLnhtbFBLBQYAAAAABgAGAFkBAACVBQAAAAA=&#10;">
              <v:fill on="f" focussize="0,0"/>
              <v:stroke on="f"/>
              <v:imagedata o:title=""/>
              <o:lock v:ext="edit" aspectratio="f"/>
              <v:textbox inset="0mm,0mm,0mm,0mm" style="mso-fit-shape-to-text:t;">
                <w:txbxContent>
                  <w:p>
                    <w:pPr>
                      <w:pStyle w:val="37"/>
                    </w:pPr>
                    <w:r>
                      <w:rPr>
                        <w:rFonts w:hint="eastAsia"/>
                      </w:rPr>
                      <w:fldChar w:fldCharType="begin"/>
                    </w:r>
                    <w:r>
                      <w:rPr>
                        <w:rFonts w:hint="eastAsia"/>
                      </w:rPr>
                      <w:instrText xml:space="preserve"> PAGE  \* MERGEFORMAT </w:instrText>
                    </w:r>
                    <w:r>
                      <w:rPr>
                        <w:rFonts w:hint="eastAsia"/>
                      </w:rPr>
                      <w:fldChar w:fldCharType="separate"/>
                    </w:r>
                    <w:r>
                      <w:t>123</w:t>
                    </w:r>
                    <w:r>
                      <w:rPr>
                        <w:rFonts w:hint="eastAsia"/>
                      </w:rP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7"/>
      <w:ind w:right="360" w:firstLine="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7"/>
      <w:ind w:left="420" w:leftChars="200" w:right="31" w:rightChars="15" w:firstLine="360"/>
      <w:jc w:val="right"/>
    </w:pPr>
  </w:p>
  <w:p>
    <w:pPr>
      <w:pStyle w:val="37"/>
      <w:ind w:right="32"/>
      <w:jc w:val="right"/>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7"/>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7"/>
      <w:ind w:right="360" w:firstLine="360"/>
    </w:pPr>
    <w:r>
      <w:rPr>
        <w:sz w:val="18"/>
      </w:rPr>
      <mc:AlternateContent>
        <mc:Choice Requires="wps">
          <w:drawing>
            <wp:anchor distT="0" distB="0" distL="114300" distR="114300" simplePos="0" relativeHeight="251682816" behindDoc="0" locked="0" layoutInCell="1" allowOverlap="1">
              <wp:simplePos x="0" y="0"/>
              <wp:positionH relativeFrom="margin">
                <wp:align>center</wp:align>
              </wp:positionH>
              <wp:positionV relativeFrom="paragraph">
                <wp:posOffset>0</wp:posOffset>
              </wp:positionV>
              <wp:extent cx="1828800" cy="1828800"/>
              <wp:effectExtent l="0" t="0" r="0" b="0"/>
              <wp:wrapNone/>
              <wp:docPr id="136" name="文本框 13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37"/>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281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CkO2sYzAgAAZQQAAA4AAAAAAAAAAQAgAAAAHwEAAGRycy9lMm9Eb2MueG1sUEsF&#10;BgAAAAAGAAYAWQEAAMQFAAAAAA==&#10;">
              <v:fill on="f" focussize="0,0"/>
              <v:stroke on="f" weight="0.5pt"/>
              <v:imagedata o:title=""/>
              <o:lock v:ext="edit" aspectratio="f"/>
              <v:textbox inset="0mm,0mm,0mm,0mm" style="mso-fit-shape-to-text:t;">
                <w:txbxContent>
                  <w:p>
                    <w:pPr>
                      <w:pStyle w:val="37"/>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7"/>
      <w:ind w:left="420" w:leftChars="200" w:right="31" w:rightChars="15" w:firstLine="360"/>
      <w:jc w:val="right"/>
    </w:pPr>
    <w:r>
      <w:rPr>
        <w:sz w:val="18"/>
      </w:rPr>
      <mc:AlternateContent>
        <mc:Choice Requires="wps">
          <w:drawing>
            <wp:anchor distT="0" distB="0" distL="114300" distR="114300" simplePos="0" relativeHeight="251692032" behindDoc="0" locked="0" layoutInCell="1" allowOverlap="1">
              <wp:simplePos x="0" y="0"/>
              <wp:positionH relativeFrom="margin">
                <wp:align>center</wp:align>
              </wp:positionH>
              <wp:positionV relativeFrom="paragraph">
                <wp:posOffset>0</wp:posOffset>
              </wp:positionV>
              <wp:extent cx="1828800" cy="1828800"/>
              <wp:effectExtent l="0" t="0" r="0" b="0"/>
              <wp:wrapNone/>
              <wp:docPr id="137" name="文本框 13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37"/>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920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KyRFo0AgAAZQQAAA4AAABkcnMvZTJvRG9jLnhtbK1UzY7TMBC+I/EO&#10;lu80aVcsVd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BCskRaNAIAAGUEAAAOAAAAAAAAAAEAIAAAAB8BAABkcnMvZTJvRG9jLnhtbFBL&#10;BQYAAAAABgAGAFkBAADFBQAAAAA=&#10;">
              <v:fill on="f" focussize="0,0"/>
              <v:stroke on="f" weight="0.5pt"/>
              <v:imagedata o:title=""/>
              <o:lock v:ext="edit" aspectratio="f"/>
              <v:textbox inset="0mm,0mm,0mm,0mm" style="mso-fit-shape-to-text:t;">
                <w:txbxContent>
                  <w:p>
                    <w:pPr>
                      <w:pStyle w:val="37"/>
                    </w:pPr>
                    <w:r>
                      <w:fldChar w:fldCharType="begin"/>
                    </w:r>
                    <w:r>
                      <w:instrText xml:space="preserve"> PAGE  \* MERGEFORMAT </w:instrText>
                    </w:r>
                    <w:r>
                      <w:fldChar w:fldCharType="separate"/>
                    </w:r>
                    <w:r>
                      <w:t>1</w:t>
                    </w:r>
                    <w:r>
                      <w:fldChar w:fldCharType="end"/>
                    </w:r>
                  </w:p>
                </w:txbxContent>
              </v:textbox>
            </v:shape>
          </w:pict>
        </mc:Fallback>
      </mc:AlternateContent>
    </w:r>
  </w:p>
  <w:p>
    <w:pPr>
      <w:pStyle w:val="37"/>
      <w:ind w:right="32"/>
      <w:jc w:val="right"/>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7"/>
    </w:pPr>
    <w:r>
      <w:rPr>
        <w:sz w:val="18"/>
      </w:rPr>
      <mc:AlternateContent>
        <mc:Choice Requires="wps">
          <w:drawing>
            <wp:anchor distT="0" distB="0" distL="114300" distR="114300" simplePos="0" relativeHeight="251702272" behindDoc="0" locked="0" layoutInCell="1" allowOverlap="1">
              <wp:simplePos x="0" y="0"/>
              <wp:positionH relativeFrom="margin">
                <wp:align>center</wp:align>
              </wp:positionH>
              <wp:positionV relativeFrom="paragraph">
                <wp:posOffset>0</wp:posOffset>
              </wp:positionV>
              <wp:extent cx="1828800" cy="1828800"/>
              <wp:effectExtent l="0" t="0" r="0" b="0"/>
              <wp:wrapNone/>
              <wp:docPr id="138" name="文本框 13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37"/>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0227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99rAQzAgAAZQ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A99rAQzAgAAZQQAAA4AAAAAAAAAAQAgAAAAHwEAAGRycy9lMm9Eb2MueG1sUEsF&#10;BgAAAAAGAAYAWQEAAMQFAAAAAA==&#10;">
              <v:fill on="f" focussize="0,0"/>
              <v:stroke on="f" weight="0.5pt"/>
              <v:imagedata o:title=""/>
              <o:lock v:ext="edit" aspectratio="f"/>
              <v:textbox inset="0mm,0mm,0mm,0mm" style="mso-fit-shape-to-text:t;">
                <w:txbxContent>
                  <w:p>
                    <w:pPr>
                      <w:pStyle w:val="37"/>
                    </w:pPr>
                    <w:r>
                      <w:fldChar w:fldCharType="begin"/>
                    </w:r>
                    <w:r>
                      <w:instrText xml:space="preserve"> PAGE  \* MERGEFORMAT </w:instrText>
                    </w:r>
                    <w:r>
                      <w:fldChar w:fldCharType="separate"/>
                    </w:r>
                    <w:r>
                      <w:t>2</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8"/>
      <w:pBdr>
        <w:bottom w:val="thinThickSmallGap" w:color="auto" w:sz="18" w:space="1"/>
      </w:pBdr>
      <w:rPr>
        <w:b/>
      </w:rPr>
    </w:pPr>
    <w:r>
      <w:rPr>
        <w:rFonts w:hint="eastAsia"/>
        <w:b/>
      </w:rPr>
      <w:t>乌拉特前旗西沙德盖钼业有限责任公司年处理300万吨钼矿选矿节能技改扩产项目</w:t>
    </w:r>
  </w:p>
  <w:p>
    <w:pPr>
      <w:pStyle w:val="38"/>
      <w:pBdr>
        <w:bottom w:val="thinThickSmallGap" w:color="auto" w:sz="18" w:space="1"/>
      </w:pBdr>
      <w:rPr>
        <w:b/>
      </w:rPr>
    </w:pPr>
    <w:r>
      <w:rPr>
        <w:rFonts w:hint="eastAsia"/>
        <w:b/>
      </w:rPr>
      <w:t>尾矿库加高扩容工程项目环境影响报告书</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8"/>
      <w:pBdr>
        <w:bottom w:val="thinThickSmallGap" w:color="auto" w:sz="18" w:space="1"/>
      </w:pBdr>
      <w:rPr>
        <w:rFonts w:hint="eastAsia"/>
        <w:b/>
      </w:rPr>
    </w:pPr>
    <w:r>
      <w:rPr>
        <w:rFonts w:hint="eastAsia"/>
        <w:b/>
      </w:rPr>
      <w:t>乌拉特前旗西沙德盖钼业有限责任公司年处理300万吨钼矿选矿节能技改扩产项目</w:t>
    </w:r>
  </w:p>
  <w:p>
    <w:pPr>
      <w:pStyle w:val="38"/>
      <w:pBdr>
        <w:bottom w:val="thinThickSmallGap" w:color="auto" w:sz="18" w:space="1"/>
      </w:pBdr>
    </w:pPr>
    <w:r>
      <w:rPr>
        <w:rFonts w:hint="eastAsia"/>
        <w:b/>
      </w:rPr>
      <w:t>尾矿库加高扩容工程项目环境影响报告书</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1F835C0"/>
    <w:multiLevelType w:val="multilevel"/>
    <w:tmpl w:val="01F835C0"/>
    <w:lvl w:ilvl="0" w:tentative="0">
      <w:start w:val="2"/>
      <w:numFmt w:val="decimal"/>
      <w:lvlText w:val="%1"/>
      <w:lvlJc w:val="left"/>
      <w:pPr>
        <w:tabs>
          <w:tab w:val="left" w:pos="840"/>
        </w:tabs>
        <w:ind w:left="840" w:hanging="840"/>
      </w:pPr>
      <w:rPr>
        <w:rFonts w:hint="default"/>
      </w:rPr>
    </w:lvl>
    <w:lvl w:ilvl="1" w:tentative="0">
      <w:start w:val="8"/>
      <w:numFmt w:val="decimal"/>
      <w:pStyle w:val="246"/>
      <w:lvlText w:val="%1.%2"/>
      <w:lvlJc w:val="left"/>
      <w:pPr>
        <w:tabs>
          <w:tab w:val="left" w:pos="840"/>
        </w:tabs>
        <w:ind w:left="840" w:hanging="840"/>
      </w:pPr>
      <w:rPr>
        <w:rFonts w:hint="default"/>
      </w:rPr>
    </w:lvl>
    <w:lvl w:ilvl="2" w:tentative="0">
      <w:start w:val="2"/>
      <w:numFmt w:val="decimal"/>
      <w:pStyle w:val="227"/>
      <w:lvlText w:val="%1.%2.%3"/>
      <w:lvlJc w:val="left"/>
      <w:pPr>
        <w:tabs>
          <w:tab w:val="left" w:pos="840"/>
        </w:tabs>
        <w:ind w:left="840" w:hanging="840"/>
      </w:pPr>
      <w:rPr>
        <w:rFonts w:hint="default"/>
      </w:rPr>
    </w:lvl>
    <w:lvl w:ilvl="3" w:tentative="0">
      <w:start w:val="1"/>
      <w:numFmt w:val="decimal"/>
      <w:lvlText w:val="%1.%2.%3.%4"/>
      <w:lvlJc w:val="left"/>
      <w:pPr>
        <w:tabs>
          <w:tab w:val="left" w:pos="1080"/>
        </w:tabs>
        <w:ind w:left="1080" w:hanging="1080"/>
      </w:pPr>
      <w:rPr>
        <w:rFonts w:hint="default"/>
      </w:rPr>
    </w:lvl>
    <w:lvl w:ilvl="4" w:tentative="0">
      <w:start w:val="1"/>
      <w:numFmt w:val="decimal"/>
      <w:lvlText w:val="%1.%2.%3.%4.%5"/>
      <w:lvlJc w:val="left"/>
      <w:pPr>
        <w:tabs>
          <w:tab w:val="left" w:pos="1440"/>
        </w:tabs>
        <w:ind w:left="1440" w:hanging="1440"/>
      </w:pPr>
      <w:rPr>
        <w:rFonts w:hint="default"/>
      </w:rPr>
    </w:lvl>
    <w:lvl w:ilvl="5" w:tentative="0">
      <w:start w:val="1"/>
      <w:numFmt w:val="decimal"/>
      <w:lvlText w:val="%1.%2.%3.%4.%5.%6"/>
      <w:lvlJc w:val="left"/>
      <w:pPr>
        <w:tabs>
          <w:tab w:val="left" w:pos="1440"/>
        </w:tabs>
        <w:ind w:left="1440" w:hanging="1440"/>
      </w:pPr>
      <w:rPr>
        <w:rFonts w:hint="default"/>
      </w:rPr>
    </w:lvl>
    <w:lvl w:ilvl="6" w:tentative="0">
      <w:start w:val="1"/>
      <w:numFmt w:val="decimal"/>
      <w:lvlText w:val="%1.%2.%3.%4.%5.%6.%7"/>
      <w:lvlJc w:val="left"/>
      <w:pPr>
        <w:tabs>
          <w:tab w:val="left" w:pos="1800"/>
        </w:tabs>
        <w:ind w:left="1800" w:hanging="1800"/>
      </w:pPr>
      <w:rPr>
        <w:rFonts w:hint="default"/>
      </w:rPr>
    </w:lvl>
    <w:lvl w:ilvl="7" w:tentative="0">
      <w:start w:val="1"/>
      <w:numFmt w:val="decimal"/>
      <w:lvlText w:val="%1.%2.%3.%4.%5.%6.%7.%8"/>
      <w:lvlJc w:val="left"/>
      <w:pPr>
        <w:tabs>
          <w:tab w:val="left" w:pos="2160"/>
        </w:tabs>
        <w:ind w:left="2160" w:hanging="2160"/>
      </w:pPr>
      <w:rPr>
        <w:rFonts w:hint="default"/>
      </w:rPr>
    </w:lvl>
    <w:lvl w:ilvl="8" w:tentative="0">
      <w:start w:val="1"/>
      <w:numFmt w:val="decimal"/>
      <w:lvlText w:val="%1.%2.%3.%4.%5.%6.%7.%8.%9"/>
      <w:lvlJc w:val="left"/>
      <w:pPr>
        <w:tabs>
          <w:tab w:val="left" w:pos="2160"/>
        </w:tabs>
        <w:ind w:left="2160" w:hanging="2160"/>
      </w:pPr>
      <w:rPr>
        <w:rFonts w:hint="default"/>
      </w:rPr>
    </w:lvl>
  </w:abstractNum>
  <w:abstractNum w:abstractNumId="1">
    <w:nsid w:val="057B6B10"/>
    <w:multiLevelType w:val="multilevel"/>
    <w:tmpl w:val="057B6B10"/>
    <w:lvl w:ilvl="0" w:tentative="0">
      <w:start w:val="1"/>
      <w:numFmt w:val="decimal"/>
      <w:pStyle w:val="3"/>
      <w:suff w:val="space"/>
      <w:lvlText w:val="%1"/>
      <w:lvlJc w:val="left"/>
      <w:pPr>
        <w:ind w:left="255" w:hanging="255"/>
      </w:pPr>
      <w:rPr>
        <w:rFonts w:hint="default" w:ascii="Times New Roman" w:hAnsi="Times New Roman" w:eastAsia="黑体"/>
        <w:b w:val="0"/>
        <w:i w:val="0"/>
        <w:sz w:val="30"/>
        <w:szCs w:val="30"/>
      </w:rPr>
    </w:lvl>
    <w:lvl w:ilvl="1" w:tentative="0">
      <w:start w:val="1"/>
      <w:numFmt w:val="decimal"/>
      <w:pStyle w:val="4"/>
      <w:suff w:val="space"/>
      <w:lvlText w:val="%1.%2"/>
      <w:lvlJc w:val="left"/>
      <w:pPr>
        <w:ind w:left="0" w:firstLine="0"/>
      </w:pPr>
      <w:rPr>
        <w:rFonts w:hint="default" w:ascii="Times New Roman" w:hAnsi="Times New Roman" w:eastAsia="宋体"/>
        <w:b w:val="0"/>
        <w:i w:val="0"/>
        <w:sz w:val="28"/>
        <w:szCs w:val="28"/>
      </w:rPr>
    </w:lvl>
    <w:lvl w:ilvl="2" w:tentative="0">
      <w:start w:val="1"/>
      <w:numFmt w:val="decimal"/>
      <w:pStyle w:val="5"/>
      <w:suff w:val="space"/>
      <w:lvlText w:val="%1.%2.%3"/>
      <w:lvlJc w:val="left"/>
      <w:rPr>
        <w:rFonts w:hint="default" w:ascii="Times New Roman" w:hAnsi="Times New Roman" w:eastAsia="宋体" w:cs="Times New Roman"/>
        <w:b w:val="0"/>
        <w:bCs w:val="0"/>
        <w:i w:val="0"/>
        <w:iCs w:val="0"/>
        <w:caps w:val="0"/>
        <w:smallCaps w:val="0"/>
        <w:strike w:val="0"/>
        <w:dstrike w:val="0"/>
        <w:vanish w:val="0"/>
        <w:color w:val="000000"/>
        <w:spacing w:val="0"/>
        <w:position w:val="0"/>
        <w:sz w:val="24"/>
        <w:szCs w:val="24"/>
        <w:u w:val="none"/>
        <w:vertAlign w:val="baseline"/>
        <w14:shadow w14:blurRad="0" w14:dist="0" w14:dir="0" w14:sx="0" w14:sy="0" w14:kx="0" w14:ky="0" w14:algn="none">
          <w14:srgbClr w14:val="000000"/>
        </w14:shadow>
      </w:rPr>
    </w:lvl>
    <w:lvl w:ilvl="3" w:tentative="0">
      <w:start w:val="1"/>
      <w:numFmt w:val="decimal"/>
      <w:pStyle w:val="6"/>
      <w:suff w:val="space"/>
      <w:lvlText w:val="%1.%2.%3.%4"/>
      <w:lvlJc w:val="left"/>
      <w:rPr>
        <w:rFonts w:hint="default" w:ascii="Times New Roman" w:hAnsi="Times New Roman" w:eastAsia="宋体" w:cs="Times New Roman"/>
        <w:b w:val="0"/>
        <w:bCs w:val="0"/>
        <w:i w:val="0"/>
        <w:iCs w:val="0"/>
        <w:caps w:val="0"/>
        <w:smallCaps w:val="0"/>
        <w:strike w:val="0"/>
        <w:dstrike w:val="0"/>
        <w:vanish w:val="0"/>
        <w:color w:val="000000"/>
        <w:spacing w:val="0"/>
        <w:position w:val="0"/>
        <w:sz w:val="24"/>
        <w:szCs w:val="24"/>
        <w:u w:val="none"/>
        <w:vertAlign w:val="baseline"/>
        <w14:shadow w14:blurRad="0" w14:dist="0" w14:dir="0" w14:sx="0" w14:sy="0" w14:kx="0" w14:ky="0" w14:algn="none">
          <w14:srgbClr w14:val="000000"/>
        </w14:shadow>
      </w:rPr>
    </w:lvl>
    <w:lvl w:ilvl="4" w:tentative="0">
      <w:start w:val="1"/>
      <w:numFmt w:val="decimal"/>
      <w:lvlRestart w:val="1"/>
      <w:isLgl/>
      <w:lvlText w:val="表%1-%5"/>
      <w:lvlJc w:val="center"/>
      <w:rPr>
        <w:rFonts w:hint="default" w:ascii="Times New Roman" w:hAnsi="Times New Roman"/>
        <w:b/>
        <w:bCs w:val="0"/>
        <w:i w:val="0"/>
        <w:iCs w:val="0"/>
        <w:caps w:val="0"/>
        <w:smallCaps w:val="0"/>
        <w:strike w:val="0"/>
        <w:dstrike w:val="0"/>
        <w:vanish w:val="0"/>
        <w:color w:val="000000"/>
        <w:spacing w:val="0"/>
        <w:position w:val="0"/>
        <w:u w:val="none"/>
        <w:vertAlign w:val="baseline"/>
        <w14:shadow w14:blurRad="0" w14:dist="0" w14:dir="0" w14:sx="0" w14:sy="0" w14:kx="0" w14:ky="0" w14:algn="none">
          <w14:srgbClr w14:val="000000"/>
        </w14:shadow>
      </w:rPr>
    </w:lvl>
    <w:lvl w:ilvl="5" w:tentative="0">
      <w:start w:val="1"/>
      <w:numFmt w:val="decimal"/>
      <w:lvlRestart w:val="1"/>
      <w:pStyle w:val="386"/>
      <w:isLgl/>
      <w:suff w:val="space"/>
      <w:lvlText w:val="图%1-%6"/>
      <w:lvlJc w:val="center"/>
      <w:rPr>
        <w:rFonts w:hint="default" w:ascii="Times New Roman" w:hAnsi="Times New Roman" w:eastAsia="宋体" w:cs="Times New Roman"/>
        <w:b/>
        <w:bCs w:val="0"/>
        <w:i w:val="0"/>
        <w:iCs w:val="0"/>
        <w:caps w:val="0"/>
        <w:smallCaps w:val="0"/>
        <w:strike w:val="0"/>
        <w:dstrike w:val="0"/>
        <w:vanish w:val="0"/>
        <w:color w:val="000000"/>
        <w:spacing w:val="0"/>
        <w:position w:val="0"/>
        <w:sz w:val="24"/>
        <w:szCs w:val="24"/>
        <w:u w:val="none"/>
        <w:vertAlign w:val="baseline"/>
        <w14:shadow w14:blurRad="0" w14:dist="0" w14:dir="0" w14:sx="0" w14:sy="0" w14:kx="0" w14:ky="0" w14:algn="none">
          <w14:srgbClr w14:val="000000"/>
        </w14:shadow>
      </w:rPr>
    </w:lvl>
    <w:lvl w:ilvl="6" w:tentative="0">
      <w:start w:val="1"/>
      <w:numFmt w:val="decimal"/>
      <w:lvlRestart w:val="4"/>
      <w:suff w:val="nothing"/>
      <w:lvlText w:val="（%7）"/>
      <w:lvlJc w:val="left"/>
      <w:pPr>
        <w:ind w:left="0" w:firstLine="400"/>
      </w:pPr>
      <w:rPr>
        <w:rFonts w:hint="default" w:ascii="Times New Roman" w:hAnsi="Times New Roman" w:eastAsia="宋体"/>
        <w:b w:val="0"/>
        <w:i w:val="0"/>
        <w:sz w:val="24"/>
        <w:szCs w:val="24"/>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2">
    <w:nsid w:val="54D2556E"/>
    <w:multiLevelType w:val="multilevel"/>
    <w:tmpl w:val="54D2556E"/>
    <w:lvl w:ilvl="0" w:tentative="0">
      <w:start w:val="1"/>
      <w:numFmt w:val="chineseCountingThousand"/>
      <w:pStyle w:val="451"/>
      <w:suff w:val="nothing"/>
      <w:lvlText w:val="%1、"/>
      <w:lvlJc w:val="left"/>
      <w:pPr>
        <w:ind w:left="0" w:firstLine="0"/>
      </w:pPr>
      <w:rPr>
        <w:rFonts w:hint="eastAsia"/>
      </w:rPr>
    </w:lvl>
    <w:lvl w:ilvl="1" w:tentative="0">
      <w:start w:val="1"/>
      <w:numFmt w:val="decimal"/>
      <w:suff w:val="nothing"/>
      <w:lvlText w:val="%2、"/>
      <w:lvlJc w:val="left"/>
      <w:pPr>
        <w:ind w:left="0" w:firstLine="420"/>
      </w:pPr>
      <w:rPr>
        <w:rFonts w:hint="eastAsia"/>
      </w:rPr>
    </w:lvl>
    <w:lvl w:ilvl="2" w:tentative="0">
      <w:start w:val="1"/>
      <w:numFmt w:val="decimal"/>
      <w:lvlText w:val="%1.%2.%3."/>
      <w:lvlJc w:val="left"/>
      <w:pPr>
        <w:tabs>
          <w:tab w:val="left" w:pos="909"/>
        </w:tabs>
        <w:ind w:left="909" w:hanging="709"/>
      </w:pPr>
      <w:rPr>
        <w:rFonts w:hint="eastAsia"/>
      </w:rPr>
    </w:lvl>
    <w:lvl w:ilvl="3" w:tentative="0">
      <w:start w:val="1"/>
      <w:numFmt w:val="decimal"/>
      <w:lvlText w:val="%1.%2.%3.%4."/>
      <w:lvlJc w:val="left"/>
      <w:pPr>
        <w:tabs>
          <w:tab w:val="left" w:pos="1051"/>
        </w:tabs>
        <w:ind w:left="1051" w:hanging="851"/>
      </w:pPr>
      <w:rPr>
        <w:rFonts w:hint="eastAsia"/>
      </w:rPr>
    </w:lvl>
    <w:lvl w:ilvl="4" w:tentative="0">
      <w:start w:val="1"/>
      <w:numFmt w:val="decimal"/>
      <w:lvlText w:val="%1.%2.%3.%4.%5."/>
      <w:lvlJc w:val="left"/>
      <w:pPr>
        <w:tabs>
          <w:tab w:val="left" w:pos="1192"/>
        </w:tabs>
        <w:ind w:left="1192" w:hanging="992"/>
      </w:pPr>
      <w:rPr>
        <w:rFonts w:hint="eastAsia"/>
      </w:rPr>
    </w:lvl>
    <w:lvl w:ilvl="5" w:tentative="0">
      <w:start w:val="1"/>
      <w:numFmt w:val="decimal"/>
      <w:lvlText w:val="%1.%2.%3.%4.%5.%6."/>
      <w:lvlJc w:val="left"/>
      <w:pPr>
        <w:tabs>
          <w:tab w:val="left" w:pos="1334"/>
        </w:tabs>
        <w:ind w:left="1334" w:hanging="1134"/>
      </w:pPr>
      <w:rPr>
        <w:rFonts w:hint="eastAsia"/>
      </w:rPr>
    </w:lvl>
    <w:lvl w:ilvl="6" w:tentative="0">
      <w:start w:val="1"/>
      <w:numFmt w:val="decimal"/>
      <w:lvlText w:val="%1.%2.%3.%4.%5.%6.%7."/>
      <w:lvlJc w:val="left"/>
      <w:pPr>
        <w:tabs>
          <w:tab w:val="left" w:pos="1476"/>
        </w:tabs>
        <w:ind w:left="1476" w:hanging="1276"/>
      </w:pPr>
      <w:rPr>
        <w:rFonts w:hint="eastAsia"/>
      </w:rPr>
    </w:lvl>
    <w:lvl w:ilvl="7" w:tentative="0">
      <w:start w:val="1"/>
      <w:numFmt w:val="decimal"/>
      <w:lvlText w:val="%1.%2.%3.%4.%5.%6.%7.%8."/>
      <w:lvlJc w:val="left"/>
      <w:pPr>
        <w:tabs>
          <w:tab w:val="left" w:pos="1618"/>
        </w:tabs>
        <w:ind w:left="1618" w:hanging="1418"/>
      </w:pPr>
      <w:rPr>
        <w:rFonts w:hint="eastAsia"/>
      </w:rPr>
    </w:lvl>
    <w:lvl w:ilvl="8" w:tentative="0">
      <w:start w:val="1"/>
      <w:numFmt w:val="decimal"/>
      <w:lvlText w:val="%1.%2.%3.%4.%5.%6.%7.%8.%9."/>
      <w:lvlJc w:val="left"/>
      <w:pPr>
        <w:tabs>
          <w:tab w:val="left" w:pos="1759"/>
        </w:tabs>
        <w:ind w:left="1759" w:hanging="1559"/>
      </w:pPr>
      <w:rPr>
        <w:rFonts w:hint="eastAsia"/>
      </w:rPr>
    </w:lvl>
  </w:abstractNum>
  <w:abstractNum w:abstractNumId="3">
    <w:nsid w:val="58B56F4A"/>
    <w:multiLevelType w:val="multilevel"/>
    <w:tmpl w:val="58B56F4A"/>
    <w:lvl w:ilvl="0" w:tentative="0">
      <w:start w:val="1"/>
      <w:numFmt w:val="decimal"/>
      <w:pStyle w:val="438"/>
      <w:lvlText w:val="（%1）"/>
      <w:lvlJc w:val="left"/>
      <w:pPr>
        <w:tabs>
          <w:tab w:val="left" w:pos="420"/>
        </w:tabs>
        <w:ind w:left="0" w:firstLine="420"/>
      </w:pPr>
      <w:rPr>
        <w:rFonts w:hint="eastAsia" w:ascii="宋体" w:hAnsi="宋体" w:eastAsia="宋体"/>
        <w:b w:val="0"/>
        <w:i w:val="0"/>
        <w:sz w:val="24"/>
        <w:szCs w:val="24"/>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4">
    <w:nsid w:val="5DF130A3"/>
    <w:multiLevelType w:val="singleLevel"/>
    <w:tmpl w:val="5DF130A3"/>
    <w:lvl w:ilvl="0" w:tentative="0">
      <w:start w:val="1"/>
      <w:numFmt w:val="bullet"/>
      <w:pStyle w:val="429"/>
      <w:lvlText w:val=""/>
      <w:lvlJc w:val="left"/>
      <w:pPr>
        <w:tabs>
          <w:tab w:val="left" w:pos="360"/>
        </w:tabs>
        <w:ind w:left="360" w:hanging="360"/>
      </w:pPr>
      <w:rPr>
        <w:rFonts w:hint="default" w:ascii="Wingdings" w:hAnsi="Wingdings"/>
        <w:sz w:val="16"/>
      </w:rPr>
    </w:lvl>
  </w:abstractNum>
  <w:abstractNum w:abstractNumId="5">
    <w:nsid w:val="5E8E3393"/>
    <w:multiLevelType w:val="multilevel"/>
    <w:tmpl w:val="5E8E3393"/>
    <w:lvl w:ilvl="0" w:tentative="0">
      <w:start w:val="1"/>
      <w:numFmt w:val="decimal"/>
      <w:pStyle w:val="17"/>
      <w:lvlText w:val="%1."/>
      <w:lvlJc w:val="left"/>
      <w:pPr>
        <w:ind w:left="4678" w:hanging="425"/>
      </w:pPr>
    </w:lvl>
    <w:lvl w:ilvl="1" w:tentative="0">
      <w:start w:val="1"/>
      <w:numFmt w:val="decimal"/>
      <w:lvlText w:val="%1.%2."/>
      <w:lvlJc w:val="left"/>
      <w:pPr>
        <w:ind w:left="5103" w:hanging="567"/>
      </w:pPr>
      <w:rPr>
        <w:rFonts w:hint="default" w:ascii="Times New Roman" w:hAnsi="Times New Roman" w:cs="Times New Roman"/>
      </w:rPr>
    </w:lvl>
    <w:lvl w:ilvl="2" w:tentative="0">
      <w:start w:val="1"/>
      <w:numFmt w:val="decimal"/>
      <w:lvlText w:val="%1.%2.%3."/>
      <w:lvlJc w:val="left"/>
      <w:pPr>
        <w:ind w:left="4962" w:hanging="709"/>
      </w:pPr>
    </w:lvl>
    <w:lvl w:ilvl="3" w:tentative="0">
      <w:start w:val="1"/>
      <w:numFmt w:val="decimal"/>
      <w:lvlText w:val="%1.%2.%3.%4."/>
      <w:lvlJc w:val="left"/>
      <w:pPr>
        <w:ind w:left="5671" w:hanging="851"/>
      </w:pPr>
    </w:lvl>
    <w:lvl w:ilvl="4" w:tentative="0">
      <w:start w:val="1"/>
      <w:numFmt w:val="decimal"/>
      <w:lvlText w:val="%1.%2.%3.%4.%5."/>
      <w:lvlJc w:val="left"/>
      <w:pPr>
        <w:ind w:left="5245" w:hanging="992"/>
      </w:pPr>
    </w:lvl>
    <w:lvl w:ilvl="5" w:tentative="0">
      <w:start w:val="1"/>
      <w:numFmt w:val="decimal"/>
      <w:lvlText w:val="%1.%2.%3.%4.%5.%6."/>
      <w:lvlJc w:val="left"/>
      <w:pPr>
        <w:ind w:left="5387" w:hanging="1134"/>
      </w:pPr>
    </w:lvl>
    <w:lvl w:ilvl="6" w:tentative="0">
      <w:start w:val="1"/>
      <w:numFmt w:val="decimal"/>
      <w:lvlText w:val="%1.%2.%3.%4.%5.%6.%7."/>
      <w:lvlJc w:val="left"/>
      <w:pPr>
        <w:ind w:left="5529" w:hanging="1276"/>
      </w:pPr>
    </w:lvl>
    <w:lvl w:ilvl="7" w:tentative="0">
      <w:start w:val="1"/>
      <w:numFmt w:val="decimal"/>
      <w:lvlText w:val="%1.%2.%3.%4.%5.%6.%7.%8."/>
      <w:lvlJc w:val="left"/>
      <w:pPr>
        <w:ind w:left="5671" w:hanging="1418"/>
      </w:pPr>
    </w:lvl>
    <w:lvl w:ilvl="8" w:tentative="0">
      <w:start w:val="1"/>
      <w:numFmt w:val="decimal"/>
      <w:lvlText w:val="%1.%2.%3.%4.%5.%6.%7.%8.%9."/>
      <w:lvlJc w:val="left"/>
      <w:pPr>
        <w:ind w:left="5812" w:hanging="1559"/>
      </w:pPr>
    </w:lvl>
  </w:abstractNum>
  <w:abstractNum w:abstractNumId="6">
    <w:nsid w:val="78F763D6"/>
    <w:multiLevelType w:val="multilevel"/>
    <w:tmpl w:val="78F763D6"/>
    <w:lvl w:ilvl="0" w:tentative="0">
      <w:start w:val="1"/>
      <w:numFmt w:val="decimal"/>
      <w:lvlText w:val="%1."/>
      <w:lvlJc w:val="left"/>
      <w:pPr>
        <w:tabs>
          <w:tab w:val="left" w:pos="425"/>
        </w:tabs>
        <w:ind w:left="425" w:hanging="425"/>
      </w:pPr>
      <w:rPr>
        <w:rFonts w:hint="eastAsia"/>
      </w:rPr>
    </w:lvl>
    <w:lvl w:ilvl="1" w:tentative="0">
      <w:start w:val="1"/>
      <w:numFmt w:val="decimal"/>
      <w:lvlText w:val="%1.%2."/>
      <w:lvlJc w:val="left"/>
      <w:pPr>
        <w:tabs>
          <w:tab w:val="left" w:pos="567"/>
        </w:tabs>
        <w:ind w:left="567" w:hanging="567"/>
      </w:pPr>
      <w:rPr>
        <w:rFonts w:hint="eastAsia"/>
      </w:rPr>
    </w:lvl>
    <w:lvl w:ilvl="2" w:tentative="0">
      <w:start w:val="1"/>
      <w:numFmt w:val="decimal"/>
      <w:lvlText w:val="%1.%2.%3."/>
      <w:lvlJc w:val="left"/>
      <w:pPr>
        <w:tabs>
          <w:tab w:val="left" w:pos="709"/>
        </w:tabs>
        <w:ind w:left="709" w:hanging="709"/>
      </w:pPr>
      <w:rPr>
        <w:rFonts w:hint="default" w:ascii="Times New Roman" w:hAnsi="Times New Roman" w:eastAsia="宋体"/>
        <w:sz w:val="24"/>
        <w:szCs w:val="24"/>
      </w:rPr>
    </w:lvl>
    <w:lvl w:ilvl="3" w:tentative="0">
      <w:start w:val="1"/>
      <w:numFmt w:val="decimal"/>
      <w:lvlText w:val="%3.%1.%2.%4"/>
      <w:lvlJc w:val="left"/>
      <w:pPr>
        <w:tabs>
          <w:tab w:val="left" w:pos="851"/>
        </w:tabs>
        <w:ind w:left="851" w:hanging="851"/>
      </w:pPr>
      <w:rPr>
        <w:rFonts w:hint="eastAsia"/>
      </w:rPr>
    </w:lvl>
    <w:lvl w:ilvl="4" w:tentative="0">
      <w:start w:val="1"/>
      <w:numFmt w:val="decimal"/>
      <w:pStyle w:val="247"/>
      <w:lvlText w:val="%5%1.%2.%3.%4"/>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num w:numId="1">
    <w:abstractNumId w:val="1"/>
  </w:num>
  <w:num w:numId="2">
    <w:abstractNumId w:val="5"/>
  </w:num>
  <w:num w:numId="3">
    <w:abstractNumId w:val="0"/>
  </w:num>
  <w:num w:numId="4">
    <w:abstractNumId w:val="6"/>
  </w:num>
  <w:num w:numId="5">
    <w:abstractNumId w:val="4"/>
  </w:num>
  <w:num w:numId="6">
    <w:abstractNumId w:val="3"/>
  </w:num>
  <w:num w:numId="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bordersDoNotSurroundHeader w:val="0"/>
  <w:bordersDoNotSurroundFooter w:val="0"/>
  <w:linkStyles/>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attachedTemplate r:id="rId1"/>
  <w:documentProtection w:enforcement="0"/>
  <w:defaultTabStop w:val="420"/>
  <w:evenAndOddHeaders w:val="1"/>
  <w:drawingGridHorizontalSpacing w:val="105"/>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zA3ZTg5MTU0MDZiYTZmNDA3Y2E1NzA1YzFmNDBhODAifQ=="/>
  </w:docVars>
  <w:rsids>
    <w:rsidRoot w:val="00B26D57"/>
    <w:rsid w:val="000000FC"/>
    <w:rsid w:val="00000258"/>
    <w:rsid w:val="0000030A"/>
    <w:rsid w:val="00000377"/>
    <w:rsid w:val="00000388"/>
    <w:rsid w:val="0000044D"/>
    <w:rsid w:val="00000536"/>
    <w:rsid w:val="0000056A"/>
    <w:rsid w:val="0000067B"/>
    <w:rsid w:val="000006FF"/>
    <w:rsid w:val="00000785"/>
    <w:rsid w:val="000007F6"/>
    <w:rsid w:val="00000B10"/>
    <w:rsid w:val="00000B86"/>
    <w:rsid w:val="00000BA8"/>
    <w:rsid w:val="00000CE1"/>
    <w:rsid w:val="00000D45"/>
    <w:rsid w:val="00000DCB"/>
    <w:rsid w:val="00000DF5"/>
    <w:rsid w:val="00000ED6"/>
    <w:rsid w:val="00000F23"/>
    <w:rsid w:val="00000F3F"/>
    <w:rsid w:val="0000102E"/>
    <w:rsid w:val="0000112D"/>
    <w:rsid w:val="00001556"/>
    <w:rsid w:val="00001591"/>
    <w:rsid w:val="00001622"/>
    <w:rsid w:val="00001A96"/>
    <w:rsid w:val="00001B10"/>
    <w:rsid w:val="00001B37"/>
    <w:rsid w:val="00001B40"/>
    <w:rsid w:val="00001B91"/>
    <w:rsid w:val="00001BC0"/>
    <w:rsid w:val="00001CB5"/>
    <w:rsid w:val="00001D9B"/>
    <w:rsid w:val="00001E8E"/>
    <w:rsid w:val="000021F7"/>
    <w:rsid w:val="00002263"/>
    <w:rsid w:val="00002790"/>
    <w:rsid w:val="00002827"/>
    <w:rsid w:val="000029E5"/>
    <w:rsid w:val="00002A1A"/>
    <w:rsid w:val="00002AE0"/>
    <w:rsid w:val="00002C21"/>
    <w:rsid w:val="00002CA0"/>
    <w:rsid w:val="00002D30"/>
    <w:rsid w:val="00002F85"/>
    <w:rsid w:val="00002FCB"/>
    <w:rsid w:val="000031C1"/>
    <w:rsid w:val="00003471"/>
    <w:rsid w:val="00003517"/>
    <w:rsid w:val="0000357F"/>
    <w:rsid w:val="000036CB"/>
    <w:rsid w:val="00003982"/>
    <w:rsid w:val="00003AAA"/>
    <w:rsid w:val="00003D02"/>
    <w:rsid w:val="00003D8D"/>
    <w:rsid w:val="00003F6B"/>
    <w:rsid w:val="00004460"/>
    <w:rsid w:val="0000459B"/>
    <w:rsid w:val="000046BF"/>
    <w:rsid w:val="000046FB"/>
    <w:rsid w:val="00004732"/>
    <w:rsid w:val="00004783"/>
    <w:rsid w:val="00004834"/>
    <w:rsid w:val="000048D4"/>
    <w:rsid w:val="000049DC"/>
    <w:rsid w:val="00004ECB"/>
    <w:rsid w:val="00004FAC"/>
    <w:rsid w:val="00005344"/>
    <w:rsid w:val="000054C0"/>
    <w:rsid w:val="00005543"/>
    <w:rsid w:val="0000554D"/>
    <w:rsid w:val="00005751"/>
    <w:rsid w:val="0000582E"/>
    <w:rsid w:val="000058D8"/>
    <w:rsid w:val="00005AAE"/>
    <w:rsid w:val="00005B66"/>
    <w:rsid w:val="00005C23"/>
    <w:rsid w:val="00005CCF"/>
    <w:rsid w:val="00005D34"/>
    <w:rsid w:val="00005DEA"/>
    <w:rsid w:val="00005E47"/>
    <w:rsid w:val="00005EAA"/>
    <w:rsid w:val="00005FB0"/>
    <w:rsid w:val="00005FC9"/>
    <w:rsid w:val="000063B3"/>
    <w:rsid w:val="000063BD"/>
    <w:rsid w:val="0000651F"/>
    <w:rsid w:val="0000688C"/>
    <w:rsid w:val="000068B6"/>
    <w:rsid w:val="00006994"/>
    <w:rsid w:val="00006C0C"/>
    <w:rsid w:val="00006C2A"/>
    <w:rsid w:val="00006D46"/>
    <w:rsid w:val="00006EC7"/>
    <w:rsid w:val="00006F9B"/>
    <w:rsid w:val="0000716A"/>
    <w:rsid w:val="00007171"/>
    <w:rsid w:val="00007207"/>
    <w:rsid w:val="0000733A"/>
    <w:rsid w:val="0000751A"/>
    <w:rsid w:val="000076A0"/>
    <w:rsid w:val="000077B9"/>
    <w:rsid w:val="00007922"/>
    <w:rsid w:val="0000796C"/>
    <w:rsid w:val="00007A56"/>
    <w:rsid w:val="00007B0D"/>
    <w:rsid w:val="00007B56"/>
    <w:rsid w:val="00007C0A"/>
    <w:rsid w:val="00007D04"/>
    <w:rsid w:val="00007EE8"/>
    <w:rsid w:val="000101CE"/>
    <w:rsid w:val="0001061F"/>
    <w:rsid w:val="000107AF"/>
    <w:rsid w:val="00010ADF"/>
    <w:rsid w:val="00010C4E"/>
    <w:rsid w:val="00010CD3"/>
    <w:rsid w:val="00010DCF"/>
    <w:rsid w:val="00010E89"/>
    <w:rsid w:val="00011111"/>
    <w:rsid w:val="00011141"/>
    <w:rsid w:val="0001122A"/>
    <w:rsid w:val="000112E0"/>
    <w:rsid w:val="000112EB"/>
    <w:rsid w:val="00011331"/>
    <w:rsid w:val="0001134B"/>
    <w:rsid w:val="000114A8"/>
    <w:rsid w:val="00011541"/>
    <w:rsid w:val="00011581"/>
    <w:rsid w:val="000116BE"/>
    <w:rsid w:val="000116DF"/>
    <w:rsid w:val="000117AC"/>
    <w:rsid w:val="00011977"/>
    <w:rsid w:val="00011A4E"/>
    <w:rsid w:val="00011A71"/>
    <w:rsid w:val="00011A74"/>
    <w:rsid w:val="00011B39"/>
    <w:rsid w:val="00011B4B"/>
    <w:rsid w:val="00011C10"/>
    <w:rsid w:val="00011D22"/>
    <w:rsid w:val="00011EDA"/>
    <w:rsid w:val="00011FD7"/>
    <w:rsid w:val="000120EF"/>
    <w:rsid w:val="000121D1"/>
    <w:rsid w:val="0001238A"/>
    <w:rsid w:val="000124CB"/>
    <w:rsid w:val="00012576"/>
    <w:rsid w:val="0001258B"/>
    <w:rsid w:val="0001261D"/>
    <w:rsid w:val="0001275F"/>
    <w:rsid w:val="000129B1"/>
    <w:rsid w:val="00012B16"/>
    <w:rsid w:val="00012B2E"/>
    <w:rsid w:val="00012C13"/>
    <w:rsid w:val="00012D0B"/>
    <w:rsid w:val="00012D18"/>
    <w:rsid w:val="00012D2A"/>
    <w:rsid w:val="00012F5F"/>
    <w:rsid w:val="00013075"/>
    <w:rsid w:val="0001311F"/>
    <w:rsid w:val="000132E4"/>
    <w:rsid w:val="00013361"/>
    <w:rsid w:val="00013392"/>
    <w:rsid w:val="00013484"/>
    <w:rsid w:val="00013489"/>
    <w:rsid w:val="000136A7"/>
    <w:rsid w:val="00013A08"/>
    <w:rsid w:val="00013F23"/>
    <w:rsid w:val="000140C4"/>
    <w:rsid w:val="000141D3"/>
    <w:rsid w:val="00014221"/>
    <w:rsid w:val="000142B1"/>
    <w:rsid w:val="00014355"/>
    <w:rsid w:val="00014376"/>
    <w:rsid w:val="000143AD"/>
    <w:rsid w:val="0001452B"/>
    <w:rsid w:val="00014667"/>
    <w:rsid w:val="0001469B"/>
    <w:rsid w:val="000148DF"/>
    <w:rsid w:val="000149B5"/>
    <w:rsid w:val="00014A3E"/>
    <w:rsid w:val="00014C4D"/>
    <w:rsid w:val="00014C74"/>
    <w:rsid w:val="00014D0E"/>
    <w:rsid w:val="00014DE5"/>
    <w:rsid w:val="0001522B"/>
    <w:rsid w:val="000154F4"/>
    <w:rsid w:val="00015658"/>
    <w:rsid w:val="000159A7"/>
    <w:rsid w:val="00015B1F"/>
    <w:rsid w:val="00015B22"/>
    <w:rsid w:val="00015D43"/>
    <w:rsid w:val="00015EAB"/>
    <w:rsid w:val="00015EE0"/>
    <w:rsid w:val="00016025"/>
    <w:rsid w:val="000163D8"/>
    <w:rsid w:val="000163E0"/>
    <w:rsid w:val="00016428"/>
    <w:rsid w:val="00016614"/>
    <w:rsid w:val="0001661F"/>
    <w:rsid w:val="00016627"/>
    <w:rsid w:val="0001662A"/>
    <w:rsid w:val="00016821"/>
    <w:rsid w:val="000168DB"/>
    <w:rsid w:val="0001691F"/>
    <w:rsid w:val="0001698E"/>
    <w:rsid w:val="00016B90"/>
    <w:rsid w:val="00016CFC"/>
    <w:rsid w:val="00016D3F"/>
    <w:rsid w:val="00016E41"/>
    <w:rsid w:val="00016E9A"/>
    <w:rsid w:val="00017142"/>
    <w:rsid w:val="000172F7"/>
    <w:rsid w:val="0001735B"/>
    <w:rsid w:val="00017476"/>
    <w:rsid w:val="000174CB"/>
    <w:rsid w:val="00017728"/>
    <w:rsid w:val="000177EF"/>
    <w:rsid w:val="0001785A"/>
    <w:rsid w:val="000178CC"/>
    <w:rsid w:val="00017B59"/>
    <w:rsid w:val="00017C3E"/>
    <w:rsid w:val="00017C98"/>
    <w:rsid w:val="00017DEA"/>
    <w:rsid w:val="00017EB2"/>
    <w:rsid w:val="00017F53"/>
    <w:rsid w:val="00017FF2"/>
    <w:rsid w:val="000201F4"/>
    <w:rsid w:val="000202E5"/>
    <w:rsid w:val="000203BF"/>
    <w:rsid w:val="000203E3"/>
    <w:rsid w:val="0002041A"/>
    <w:rsid w:val="00020452"/>
    <w:rsid w:val="00020617"/>
    <w:rsid w:val="000207A8"/>
    <w:rsid w:val="000208E7"/>
    <w:rsid w:val="000209C3"/>
    <w:rsid w:val="000209CA"/>
    <w:rsid w:val="00020A11"/>
    <w:rsid w:val="00020AA3"/>
    <w:rsid w:val="00020ACA"/>
    <w:rsid w:val="00020C88"/>
    <w:rsid w:val="00020D2C"/>
    <w:rsid w:val="00020F18"/>
    <w:rsid w:val="00020FB6"/>
    <w:rsid w:val="00020FD0"/>
    <w:rsid w:val="000210D3"/>
    <w:rsid w:val="000210D8"/>
    <w:rsid w:val="000212EF"/>
    <w:rsid w:val="00021390"/>
    <w:rsid w:val="00021634"/>
    <w:rsid w:val="0002167E"/>
    <w:rsid w:val="00021689"/>
    <w:rsid w:val="000216B7"/>
    <w:rsid w:val="0002192D"/>
    <w:rsid w:val="0002194E"/>
    <w:rsid w:val="00021A52"/>
    <w:rsid w:val="00021AFF"/>
    <w:rsid w:val="00021C4B"/>
    <w:rsid w:val="00021D0A"/>
    <w:rsid w:val="00021E55"/>
    <w:rsid w:val="00021EE4"/>
    <w:rsid w:val="00021F21"/>
    <w:rsid w:val="00021F8C"/>
    <w:rsid w:val="000220CB"/>
    <w:rsid w:val="0002222D"/>
    <w:rsid w:val="0002256E"/>
    <w:rsid w:val="000226DF"/>
    <w:rsid w:val="00022709"/>
    <w:rsid w:val="00022747"/>
    <w:rsid w:val="00022868"/>
    <w:rsid w:val="00022C67"/>
    <w:rsid w:val="00022C6B"/>
    <w:rsid w:val="00022E30"/>
    <w:rsid w:val="00022ED3"/>
    <w:rsid w:val="00022EE9"/>
    <w:rsid w:val="00022F59"/>
    <w:rsid w:val="00022F93"/>
    <w:rsid w:val="00022FD9"/>
    <w:rsid w:val="00023032"/>
    <w:rsid w:val="000230E9"/>
    <w:rsid w:val="00023146"/>
    <w:rsid w:val="00023239"/>
    <w:rsid w:val="000233B9"/>
    <w:rsid w:val="000234BC"/>
    <w:rsid w:val="00023826"/>
    <w:rsid w:val="00023A83"/>
    <w:rsid w:val="00023B29"/>
    <w:rsid w:val="00023B56"/>
    <w:rsid w:val="00023DA4"/>
    <w:rsid w:val="00023E82"/>
    <w:rsid w:val="00023F37"/>
    <w:rsid w:val="00023F8B"/>
    <w:rsid w:val="00023FF5"/>
    <w:rsid w:val="0002413C"/>
    <w:rsid w:val="000241D3"/>
    <w:rsid w:val="000246D1"/>
    <w:rsid w:val="000246E7"/>
    <w:rsid w:val="000246F2"/>
    <w:rsid w:val="000247E4"/>
    <w:rsid w:val="00024842"/>
    <w:rsid w:val="00024B6D"/>
    <w:rsid w:val="00024BA5"/>
    <w:rsid w:val="00024BC6"/>
    <w:rsid w:val="00024C77"/>
    <w:rsid w:val="00024F54"/>
    <w:rsid w:val="00024F56"/>
    <w:rsid w:val="00024F85"/>
    <w:rsid w:val="00024F87"/>
    <w:rsid w:val="000251D1"/>
    <w:rsid w:val="000252DC"/>
    <w:rsid w:val="000252E8"/>
    <w:rsid w:val="000253A3"/>
    <w:rsid w:val="00025475"/>
    <w:rsid w:val="000254E3"/>
    <w:rsid w:val="0002563B"/>
    <w:rsid w:val="000259AB"/>
    <w:rsid w:val="00025A59"/>
    <w:rsid w:val="00025B05"/>
    <w:rsid w:val="00025C0F"/>
    <w:rsid w:val="00025C2A"/>
    <w:rsid w:val="00025DD4"/>
    <w:rsid w:val="00025DD9"/>
    <w:rsid w:val="00025FB9"/>
    <w:rsid w:val="000260FA"/>
    <w:rsid w:val="0002610F"/>
    <w:rsid w:val="0002611B"/>
    <w:rsid w:val="00026145"/>
    <w:rsid w:val="00026290"/>
    <w:rsid w:val="000262E8"/>
    <w:rsid w:val="000262F3"/>
    <w:rsid w:val="00026551"/>
    <w:rsid w:val="00026921"/>
    <w:rsid w:val="000269AB"/>
    <w:rsid w:val="00026C85"/>
    <w:rsid w:val="00026E65"/>
    <w:rsid w:val="00026E6B"/>
    <w:rsid w:val="00026ECE"/>
    <w:rsid w:val="00026FB7"/>
    <w:rsid w:val="00027032"/>
    <w:rsid w:val="00027193"/>
    <w:rsid w:val="00027377"/>
    <w:rsid w:val="00027435"/>
    <w:rsid w:val="00027561"/>
    <w:rsid w:val="000276BC"/>
    <w:rsid w:val="000277FB"/>
    <w:rsid w:val="0002792A"/>
    <w:rsid w:val="00027956"/>
    <w:rsid w:val="00027A81"/>
    <w:rsid w:val="00027A94"/>
    <w:rsid w:val="00027AB0"/>
    <w:rsid w:val="00027BBB"/>
    <w:rsid w:val="00027CF4"/>
    <w:rsid w:val="00027D20"/>
    <w:rsid w:val="00027DD0"/>
    <w:rsid w:val="00027EFC"/>
    <w:rsid w:val="00027F41"/>
    <w:rsid w:val="00027F80"/>
    <w:rsid w:val="000300E4"/>
    <w:rsid w:val="000300E6"/>
    <w:rsid w:val="0003016C"/>
    <w:rsid w:val="00030261"/>
    <w:rsid w:val="000303FB"/>
    <w:rsid w:val="00030552"/>
    <w:rsid w:val="000305BF"/>
    <w:rsid w:val="0003060B"/>
    <w:rsid w:val="00030662"/>
    <w:rsid w:val="0003067B"/>
    <w:rsid w:val="000309A5"/>
    <w:rsid w:val="00030D05"/>
    <w:rsid w:val="00030FD5"/>
    <w:rsid w:val="00031004"/>
    <w:rsid w:val="00031013"/>
    <w:rsid w:val="000310C1"/>
    <w:rsid w:val="00031219"/>
    <w:rsid w:val="000312DD"/>
    <w:rsid w:val="00031391"/>
    <w:rsid w:val="00031540"/>
    <w:rsid w:val="00031549"/>
    <w:rsid w:val="00031679"/>
    <w:rsid w:val="00031765"/>
    <w:rsid w:val="00031813"/>
    <w:rsid w:val="000319CA"/>
    <w:rsid w:val="000319D4"/>
    <w:rsid w:val="00031AB3"/>
    <w:rsid w:val="00031B79"/>
    <w:rsid w:val="00031C60"/>
    <w:rsid w:val="00031E2B"/>
    <w:rsid w:val="00032199"/>
    <w:rsid w:val="00032297"/>
    <w:rsid w:val="0003242D"/>
    <w:rsid w:val="00032659"/>
    <w:rsid w:val="000327CD"/>
    <w:rsid w:val="000327F5"/>
    <w:rsid w:val="00032903"/>
    <w:rsid w:val="00032926"/>
    <w:rsid w:val="0003298D"/>
    <w:rsid w:val="000329B7"/>
    <w:rsid w:val="00032C2E"/>
    <w:rsid w:val="00032DBB"/>
    <w:rsid w:val="000331E7"/>
    <w:rsid w:val="00033497"/>
    <w:rsid w:val="0003360E"/>
    <w:rsid w:val="00033656"/>
    <w:rsid w:val="0003378F"/>
    <w:rsid w:val="00033813"/>
    <w:rsid w:val="000338A9"/>
    <w:rsid w:val="00033918"/>
    <w:rsid w:val="0003391B"/>
    <w:rsid w:val="0003394F"/>
    <w:rsid w:val="000339BF"/>
    <w:rsid w:val="00033A64"/>
    <w:rsid w:val="00033B4F"/>
    <w:rsid w:val="00033BE0"/>
    <w:rsid w:val="00033D41"/>
    <w:rsid w:val="0003410E"/>
    <w:rsid w:val="00034173"/>
    <w:rsid w:val="00034288"/>
    <w:rsid w:val="000343C1"/>
    <w:rsid w:val="000343CB"/>
    <w:rsid w:val="00034611"/>
    <w:rsid w:val="00034722"/>
    <w:rsid w:val="00034869"/>
    <w:rsid w:val="0003488D"/>
    <w:rsid w:val="000348F1"/>
    <w:rsid w:val="0003495E"/>
    <w:rsid w:val="00034B8A"/>
    <w:rsid w:val="00034BCB"/>
    <w:rsid w:val="00034C3B"/>
    <w:rsid w:val="00034C8A"/>
    <w:rsid w:val="00034C95"/>
    <w:rsid w:val="00034D78"/>
    <w:rsid w:val="00034E70"/>
    <w:rsid w:val="00034FC3"/>
    <w:rsid w:val="000350E0"/>
    <w:rsid w:val="000352BB"/>
    <w:rsid w:val="000352FA"/>
    <w:rsid w:val="0003545E"/>
    <w:rsid w:val="00035496"/>
    <w:rsid w:val="00035575"/>
    <w:rsid w:val="000355C4"/>
    <w:rsid w:val="000356E3"/>
    <w:rsid w:val="00035B41"/>
    <w:rsid w:val="00035CBF"/>
    <w:rsid w:val="00035EB5"/>
    <w:rsid w:val="00035EFA"/>
    <w:rsid w:val="000360FC"/>
    <w:rsid w:val="000362D9"/>
    <w:rsid w:val="00036364"/>
    <w:rsid w:val="000363A0"/>
    <w:rsid w:val="00036445"/>
    <w:rsid w:val="000364BC"/>
    <w:rsid w:val="0003655B"/>
    <w:rsid w:val="0003656D"/>
    <w:rsid w:val="0003657A"/>
    <w:rsid w:val="000365E4"/>
    <w:rsid w:val="000365EA"/>
    <w:rsid w:val="000369C9"/>
    <w:rsid w:val="00036A4A"/>
    <w:rsid w:val="00036AC9"/>
    <w:rsid w:val="00036B03"/>
    <w:rsid w:val="00036F05"/>
    <w:rsid w:val="00037153"/>
    <w:rsid w:val="000372A5"/>
    <w:rsid w:val="000372C4"/>
    <w:rsid w:val="0003737A"/>
    <w:rsid w:val="0003738C"/>
    <w:rsid w:val="00037454"/>
    <w:rsid w:val="00037606"/>
    <w:rsid w:val="000377E2"/>
    <w:rsid w:val="00037945"/>
    <w:rsid w:val="0003798B"/>
    <w:rsid w:val="000379E4"/>
    <w:rsid w:val="00037A16"/>
    <w:rsid w:val="00037A19"/>
    <w:rsid w:val="00037BD0"/>
    <w:rsid w:val="00037DF1"/>
    <w:rsid w:val="00037F34"/>
    <w:rsid w:val="000400D8"/>
    <w:rsid w:val="00040105"/>
    <w:rsid w:val="0004021E"/>
    <w:rsid w:val="00040276"/>
    <w:rsid w:val="000403FF"/>
    <w:rsid w:val="00040586"/>
    <w:rsid w:val="00040739"/>
    <w:rsid w:val="00040784"/>
    <w:rsid w:val="000407F0"/>
    <w:rsid w:val="000407F8"/>
    <w:rsid w:val="0004082C"/>
    <w:rsid w:val="00040996"/>
    <w:rsid w:val="00040D07"/>
    <w:rsid w:val="00040E9A"/>
    <w:rsid w:val="00041362"/>
    <w:rsid w:val="000413DC"/>
    <w:rsid w:val="00041441"/>
    <w:rsid w:val="000415AE"/>
    <w:rsid w:val="000415F1"/>
    <w:rsid w:val="000417B7"/>
    <w:rsid w:val="00041910"/>
    <w:rsid w:val="00041AAA"/>
    <w:rsid w:val="00041B5F"/>
    <w:rsid w:val="00041BDE"/>
    <w:rsid w:val="00041C09"/>
    <w:rsid w:val="00041D11"/>
    <w:rsid w:val="00041E60"/>
    <w:rsid w:val="00041E9A"/>
    <w:rsid w:val="00041F1E"/>
    <w:rsid w:val="0004217C"/>
    <w:rsid w:val="000422E5"/>
    <w:rsid w:val="000424B8"/>
    <w:rsid w:val="000425EB"/>
    <w:rsid w:val="00042671"/>
    <w:rsid w:val="00042740"/>
    <w:rsid w:val="000427D7"/>
    <w:rsid w:val="0004293F"/>
    <w:rsid w:val="00042A2F"/>
    <w:rsid w:val="00042CB3"/>
    <w:rsid w:val="00042D3B"/>
    <w:rsid w:val="00042FE8"/>
    <w:rsid w:val="00043047"/>
    <w:rsid w:val="00043174"/>
    <w:rsid w:val="000432C4"/>
    <w:rsid w:val="000432DC"/>
    <w:rsid w:val="00043681"/>
    <w:rsid w:val="000438E8"/>
    <w:rsid w:val="00043984"/>
    <w:rsid w:val="000439EE"/>
    <w:rsid w:val="00043AC6"/>
    <w:rsid w:val="00043B6C"/>
    <w:rsid w:val="00043DFA"/>
    <w:rsid w:val="00043E61"/>
    <w:rsid w:val="00043ED5"/>
    <w:rsid w:val="0004402C"/>
    <w:rsid w:val="000440AC"/>
    <w:rsid w:val="000440BA"/>
    <w:rsid w:val="000441CF"/>
    <w:rsid w:val="00044288"/>
    <w:rsid w:val="000443D4"/>
    <w:rsid w:val="00044429"/>
    <w:rsid w:val="00044516"/>
    <w:rsid w:val="00044792"/>
    <w:rsid w:val="000447CD"/>
    <w:rsid w:val="000449D0"/>
    <w:rsid w:val="00044A70"/>
    <w:rsid w:val="00044B3C"/>
    <w:rsid w:val="00045138"/>
    <w:rsid w:val="000452AA"/>
    <w:rsid w:val="000452D4"/>
    <w:rsid w:val="00045539"/>
    <w:rsid w:val="00045753"/>
    <w:rsid w:val="000458B1"/>
    <w:rsid w:val="00045923"/>
    <w:rsid w:val="00045A18"/>
    <w:rsid w:val="00045AB4"/>
    <w:rsid w:val="00045D6F"/>
    <w:rsid w:val="00045EEB"/>
    <w:rsid w:val="00045F3F"/>
    <w:rsid w:val="00046204"/>
    <w:rsid w:val="00046282"/>
    <w:rsid w:val="000462C7"/>
    <w:rsid w:val="00046340"/>
    <w:rsid w:val="000463CE"/>
    <w:rsid w:val="00046540"/>
    <w:rsid w:val="000465CA"/>
    <w:rsid w:val="000466D8"/>
    <w:rsid w:val="00046827"/>
    <w:rsid w:val="0004688F"/>
    <w:rsid w:val="00046997"/>
    <w:rsid w:val="00046B24"/>
    <w:rsid w:val="00046BF7"/>
    <w:rsid w:val="00046C34"/>
    <w:rsid w:val="00046E25"/>
    <w:rsid w:val="00046E5B"/>
    <w:rsid w:val="000470CF"/>
    <w:rsid w:val="000470F3"/>
    <w:rsid w:val="00047322"/>
    <w:rsid w:val="0004743A"/>
    <w:rsid w:val="000474ED"/>
    <w:rsid w:val="00047630"/>
    <w:rsid w:val="00047797"/>
    <w:rsid w:val="00047948"/>
    <w:rsid w:val="00047A62"/>
    <w:rsid w:val="00047B62"/>
    <w:rsid w:val="00047B80"/>
    <w:rsid w:val="00047BAB"/>
    <w:rsid w:val="00047D3B"/>
    <w:rsid w:val="00047E57"/>
    <w:rsid w:val="00047EB0"/>
    <w:rsid w:val="00047FC1"/>
    <w:rsid w:val="00050280"/>
    <w:rsid w:val="00050360"/>
    <w:rsid w:val="00050369"/>
    <w:rsid w:val="0005064F"/>
    <w:rsid w:val="00050738"/>
    <w:rsid w:val="0005077B"/>
    <w:rsid w:val="0005087F"/>
    <w:rsid w:val="0005089D"/>
    <w:rsid w:val="000508D3"/>
    <w:rsid w:val="00050942"/>
    <w:rsid w:val="00050B5A"/>
    <w:rsid w:val="00050DFD"/>
    <w:rsid w:val="00050E0E"/>
    <w:rsid w:val="00050E91"/>
    <w:rsid w:val="00050ED3"/>
    <w:rsid w:val="00050F71"/>
    <w:rsid w:val="00051020"/>
    <w:rsid w:val="000510E1"/>
    <w:rsid w:val="00051299"/>
    <w:rsid w:val="0005139D"/>
    <w:rsid w:val="000516E3"/>
    <w:rsid w:val="0005170A"/>
    <w:rsid w:val="00051809"/>
    <w:rsid w:val="0005186C"/>
    <w:rsid w:val="00051A00"/>
    <w:rsid w:val="00051AB3"/>
    <w:rsid w:val="00051D2D"/>
    <w:rsid w:val="00051E6B"/>
    <w:rsid w:val="00051FD7"/>
    <w:rsid w:val="00051FE3"/>
    <w:rsid w:val="0005216F"/>
    <w:rsid w:val="000522D1"/>
    <w:rsid w:val="00052421"/>
    <w:rsid w:val="000527F3"/>
    <w:rsid w:val="000528ED"/>
    <w:rsid w:val="00052927"/>
    <w:rsid w:val="0005295D"/>
    <w:rsid w:val="0005296F"/>
    <w:rsid w:val="00052A4F"/>
    <w:rsid w:val="00052A50"/>
    <w:rsid w:val="00052AA8"/>
    <w:rsid w:val="00052B76"/>
    <w:rsid w:val="00052BA6"/>
    <w:rsid w:val="00052DDB"/>
    <w:rsid w:val="00052E45"/>
    <w:rsid w:val="00052E68"/>
    <w:rsid w:val="00052FB4"/>
    <w:rsid w:val="0005309B"/>
    <w:rsid w:val="000531F1"/>
    <w:rsid w:val="0005323E"/>
    <w:rsid w:val="000532D3"/>
    <w:rsid w:val="0005330A"/>
    <w:rsid w:val="00053372"/>
    <w:rsid w:val="000533CC"/>
    <w:rsid w:val="000534A0"/>
    <w:rsid w:val="000535F3"/>
    <w:rsid w:val="0005394B"/>
    <w:rsid w:val="00053961"/>
    <w:rsid w:val="00053A26"/>
    <w:rsid w:val="00053BBF"/>
    <w:rsid w:val="00053D4A"/>
    <w:rsid w:val="00053DFE"/>
    <w:rsid w:val="00054052"/>
    <w:rsid w:val="000540A9"/>
    <w:rsid w:val="00054102"/>
    <w:rsid w:val="0005419B"/>
    <w:rsid w:val="000541BC"/>
    <w:rsid w:val="0005425E"/>
    <w:rsid w:val="0005447C"/>
    <w:rsid w:val="000544A4"/>
    <w:rsid w:val="0005451C"/>
    <w:rsid w:val="00054633"/>
    <w:rsid w:val="00054637"/>
    <w:rsid w:val="0005482F"/>
    <w:rsid w:val="00054988"/>
    <w:rsid w:val="00054A93"/>
    <w:rsid w:val="00054B84"/>
    <w:rsid w:val="00054EA9"/>
    <w:rsid w:val="00054F09"/>
    <w:rsid w:val="00054FCA"/>
    <w:rsid w:val="00055032"/>
    <w:rsid w:val="00055143"/>
    <w:rsid w:val="000552AA"/>
    <w:rsid w:val="0005536F"/>
    <w:rsid w:val="00055437"/>
    <w:rsid w:val="000554D4"/>
    <w:rsid w:val="000555BA"/>
    <w:rsid w:val="000558B5"/>
    <w:rsid w:val="000558D4"/>
    <w:rsid w:val="0005595D"/>
    <w:rsid w:val="00055A27"/>
    <w:rsid w:val="00055D41"/>
    <w:rsid w:val="00055E55"/>
    <w:rsid w:val="00056202"/>
    <w:rsid w:val="0005621B"/>
    <w:rsid w:val="0005623D"/>
    <w:rsid w:val="00056321"/>
    <w:rsid w:val="0005644D"/>
    <w:rsid w:val="0005649E"/>
    <w:rsid w:val="00056567"/>
    <w:rsid w:val="00056886"/>
    <w:rsid w:val="00056B73"/>
    <w:rsid w:val="00056B97"/>
    <w:rsid w:val="00056BB2"/>
    <w:rsid w:val="00056D30"/>
    <w:rsid w:val="00056F38"/>
    <w:rsid w:val="00056F49"/>
    <w:rsid w:val="0005715A"/>
    <w:rsid w:val="0005715B"/>
    <w:rsid w:val="00057281"/>
    <w:rsid w:val="0005728B"/>
    <w:rsid w:val="00057467"/>
    <w:rsid w:val="00057474"/>
    <w:rsid w:val="00057517"/>
    <w:rsid w:val="00057583"/>
    <w:rsid w:val="00057623"/>
    <w:rsid w:val="0005774E"/>
    <w:rsid w:val="000577E3"/>
    <w:rsid w:val="00057B04"/>
    <w:rsid w:val="00057B2F"/>
    <w:rsid w:val="00057B52"/>
    <w:rsid w:val="00057B96"/>
    <w:rsid w:val="00057D70"/>
    <w:rsid w:val="00057DAC"/>
    <w:rsid w:val="00057DE1"/>
    <w:rsid w:val="0006020D"/>
    <w:rsid w:val="00060228"/>
    <w:rsid w:val="000604AB"/>
    <w:rsid w:val="000604E2"/>
    <w:rsid w:val="000605E0"/>
    <w:rsid w:val="00060710"/>
    <w:rsid w:val="000609AD"/>
    <w:rsid w:val="000609C3"/>
    <w:rsid w:val="00060A0C"/>
    <w:rsid w:val="00060B56"/>
    <w:rsid w:val="00060CF4"/>
    <w:rsid w:val="00060F0E"/>
    <w:rsid w:val="00060FF9"/>
    <w:rsid w:val="000610DA"/>
    <w:rsid w:val="00061241"/>
    <w:rsid w:val="00061282"/>
    <w:rsid w:val="00061292"/>
    <w:rsid w:val="000612C3"/>
    <w:rsid w:val="00061372"/>
    <w:rsid w:val="000615AB"/>
    <w:rsid w:val="000616F0"/>
    <w:rsid w:val="00061787"/>
    <w:rsid w:val="000618A9"/>
    <w:rsid w:val="000618B0"/>
    <w:rsid w:val="000619A9"/>
    <w:rsid w:val="000619B9"/>
    <w:rsid w:val="00061AEE"/>
    <w:rsid w:val="00061B66"/>
    <w:rsid w:val="00061B83"/>
    <w:rsid w:val="00061B8E"/>
    <w:rsid w:val="00061C88"/>
    <w:rsid w:val="00061D7F"/>
    <w:rsid w:val="00061E16"/>
    <w:rsid w:val="00061E8C"/>
    <w:rsid w:val="0006213A"/>
    <w:rsid w:val="000621A6"/>
    <w:rsid w:val="00062208"/>
    <w:rsid w:val="000622DA"/>
    <w:rsid w:val="00062574"/>
    <w:rsid w:val="0006259E"/>
    <w:rsid w:val="000625DC"/>
    <w:rsid w:val="000628F4"/>
    <w:rsid w:val="00062936"/>
    <w:rsid w:val="00062B32"/>
    <w:rsid w:val="00062CAA"/>
    <w:rsid w:val="00062D39"/>
    <w:rsid w:val="00062EBE"/>
    <w:rsid w:val="00062F65"/>
    <w:rsid w:val="0006307F"/>
    <w:rsid w:val="000630EF"/>
    <w:rsid w:val="000631C8"/>
    <w:rsid w:val="00063334"/>
    <w:rsid w:val="00063347"/>
    <w:rsid w:val="000633FB"/>
    <w:rsid w:val="0006340A"/>
    <w:rsid w:val="00063428"/>
    <w:rsid w:val="0006351C"/>
    <w:rsid w:val="000637E5"/>
    <w:rsid w:val="00063815"/>
    <w:rsid w:val="000638B9"/>
    <w:rsid w:val="00063980"/>
    <w:rsid w:val="00063988"/>
    <w:rsid w:val="000639BA"/>
    <w:rsid w:val="00063A46"/>
    <w:rsid w:val="00063BE9"/>
    <w:rsid w:val="00063C0D"/>
    <w:rsid w:val="00063C32"/>
    <w:rsid w:val="00063C69"/>
    <w:rsid w:val="00063D45"/>
    <w:rsid w:val="00063D50"/>
    <w:rsid w:val="00063D70"/>
    <w:rsid w:val="00063E10"/>
    <w:rsid w:val="00063E30"/>
    <w:rsid w:val="00063EE6"/>
    <w:rsid w:val="00063F81"/>
    <w:rsid w:val="00064001"/>
    <w:rsid w:val="00064029"/>
    <w:rsid w:val="0006407E"/>
    <w:rsid w:val="000640AD"/>
    <w:rsid w:val="000640AE"/>
    <w:rsid w:val="00064279"/>
    <w:rsid w:val="00064298"/>
    <w:rsid w:val="00064335"/>
    <w:rsid w:val="0006439D"/>
    <w:rsid w:val="000643D3"/>
    <w:rsid w:val="00064619"/>
    <w:rsid w:val="00064656"/>
    <w:rsid w:val="00064673"/>
    <w:rsid w:val="000646A6"/>
    <w:rsid w:val="00064788"/>
    <w:rsid w:val="00064815"/>
    <w:rsid w:val="000648E3"/>
    <w:rsid w:val="00064A17"/>
    <w:rsid w:val="00064C73"/>
    <w:rsid w:val="00064CF4"/>
    <w:rsid w:val="00064D32"/>
    <w:rsid w:val="00064D40"/>
    <w:rsid w:val="00064D5C"/>
    <w:rsid w:val="00064EE7"/>
    <w:rsid w:val="00064F65"/>
    <w:rsid w:val="0006521D"/>
    <w:rsid w:val="00065227"/>
    <w:rsid w:val="00065409"/>
    <w:rsid w:val="00065493"/>
    <w:rsid w:val="0006550B"/>
    <w:rsid w:val="00065530"/>
    <w:rsid w:val="000655FD"/>
    <w:rsid w:val="00065687"/>
    <w:rsid w:val="00065832"/>
    <w:rsid w:val="00065835"/>
    <w:rsid w:val="000658C2"/>
    <w:rsid w:val="000659D2"/>
    <w:rsid w:val="00065A71"/>
    <w:rsid w:val="00065C56"/>
    <w:rsid w:val="00065CAC"/>
    <w:rsid w:val="00065CEF"/>
    <w:rsid w:val="00065D01"/>
    <w:rsid w:val="00065D2C"/>
    <w:rsid w:val="00065DAF"/>
    <w:rsid w:val="00065E1B"/>
    <w:rsid w:val="00065E5B"/>
    <w:rsid w:val="00065FA2"/>
    <w:rsid w:val="00066005"/>
    <w:rsid w:val="000660F2"/>
    <w:rsid w:val="0006618C"/>
    <w:rsid w:val="000663E4"/>
    <w:rsid w:val="0006640C"/>
    <w:rsid w:val="000664AF"/>
    <w:rsid w:val="000665B1"/>
    <w:rsid w:val="00066914"/>
    <w:rsid w:val="00066996"/>
    <w:rsid w:val="00066A0D"/>
    <w:rsid w:val="00066C6B"/>
    <w:rsid w:val="00066E78"/>
    <w:rsid w:val="00066FF2"/>
    <w:rsid w:val="000670E8"/>
    <w:rsid w:val="00067167"/>
    <w:rsid w:val="000674FC"/>
    <w:rsid w:val="00067A0D"/>
    <w:rsid w:val="00067A39"/>
    <w:rsid w:val="00067B7B"/>
    <w:rsid w:val="00067BBC"/>
    <w:rsid w:val="00067C35"/>
    <w:rsid w:val="00067CDC"/>
    <w:rsid w:val="00067DEF"/>
    <w:rsid w:val="00067F42"/>
    <w:rsid w:val="00067F80"/>
    <w:rsid w:val="00067FCF"/>
    <w:rsid w:val="000700A8"/>
    <w:rsid w:val="000700DF"/>
    <w:rsid w:val="00070169"/>
    <w:rsid w:val="000701AB"/>
    <w:rsid w:val="000701C1"/>
    <w:rsid w:val="0007027B"/>
    <w:rsid w:val="0007039F"/>
    <w:rsid w:val="00070437"/>
    <w:rsid w:val="000704D4"/>
    <w:rsid w:val="00070597"/>
    <w:rsid w:val="00070672"/>
    <w:rsid w:val="00070922"/>
    <w:rsid w:val="00070B37"/>
    <w:rsid w:val="00070BBC"/>
    <w:rsid w:val="00070C4A"/>
    <w:rsid w:val="00070C5F"/>
    <w:rsid w:val="00070DC9"/>
    <w:rsid w:val="00070EC5"/>
    <w:rsid w:val="00070EEA"/>
    <w:rsid w:val="0007108C"/>
    <w:rsid w:val="000710B7"/>
    <w:rsid w:val="00071117"/>
    <w:rsid w:val="00071245"/>
    <w:rsid w:val="000712A6"/>
    <w:rsid w:val="000713EF"/>
    <w:rsid w:val="00071672"/>
    <w:rsid w:val="00071673"/>
    <w:rsid w:val="00071993"/>
    <w:rsid w:val="00071B9B"/>
    <w:rsid w:val="00071BD6"/>
    <w:rsid w:val="00071E35"/>
    <w:rsid w:val="00071EC2"/>
    <w:rsid w:val="00071F5B"/>
    <w:rsid w:val="00072216"/>
    <w:rsid w:val="0007228E"/>
    <w:rsid w:val="00072481"/>
    <w:rsid w:val="000726D5"/>
    <w:rsid w:val="0007275A"/>
    <w:rsid w:val="000727D3"/>
    <w:rsid w:val="00072919"/>
    <w:rsid w:val="0007298A"/>
    <w:rsid w:val="00072A2F"/>
    <w:rsid w:val="00072A93"/>
    <w:rsid w:val="00072A99"/>
    <w:rsid w:val="00072C1A"/>
    <w:rsid w:val="00072CC5"/>
    <w:rsid w:val="00072E12"/>
    <w:rsid w:val="00072E86"/>
    <w:rsid w:val="00073170"/>
    <w:rsid w:val="000732C6"/>
    <w:rsid w:val="00073335"/>
    <w:rsid w:val="00073602"/>
    <w:rsid w:val="00073791"/>
    <w:rsid w:val="00073BDD"/>
    <w:rsid w:val="00073C6B"/>
    <w:rsid w:val="00073DD9"/>
    <w:rsid w:val="00073E54"/>
    <w:rsid w:val="00073EE8"/>
    <w:rsid w:val="00073F9C"/>
    <w:rsid w:val="00074085"/>
    <w:rsid w:val="0007410C"/>
    <w:rsid w:val="00074223"/>
    <w:rsid w:val="0007422E"/>
    <w:rsid w:val="000742BA"/>
    <w:rsid w:val="0007457B"/>
    <w:rsid w:val="000745B2"/>
    <w:rsid w:val="00074823"/>
    <w:rsid w:val="00074A1C"/>
    <w:rsid w:val="00074B48"/>
    <w:rsid w:val="00074E97"/>
    <w:rsid w:val="00074EEB"/>
    <w:rsid w:val="00074F2D"/>
    <w:rsid w:val="00074F7B"/>
    <w:rsid w:val="00074FC4"/>
    <w:rsid w:val="000752AD"/>
    <w:rsid w:val="000754A3"/>
    <w:rsid w:val="00075539"/>
    <w:rsid w:val="00075A6D"/>
    <w:rsid w:val="00075AF1"/>
    <w:rsid w:val="00075B22"/>
    <w:rsid w:val="00075BF1"/>
    <w:rsid w:val="00075C95"/>
    <w:rsid w:val="00075DC0"/>
    <w:rsid w:val="00075E6F"/>
    <w:rsid w:val="00075EC4"/>
    <w:rsid w:val="00075EC7"/>
    <w:rsid w:val="00075EED"/>
    <w:rsid w:val="00076042"/>
    <w:rsid w:val="000760F5"/>
    <w:rsid w:val="00076420"/>
    <w:rsid w:val="00076510"/>
    <w:rsid w:val="00076654"/>
    <w:rsid w:val="00076732"/>
    <w:rsid w:val="00076A22"/>
    <w:rsid w:val="00076B5B"/>
    <w:rsid w:val="00076CCE"/>
    <w:rsid w:val="00076DEE"/>
    <w:rsid w:val="00076EFE"/>
    <w:rsid w:val="000770B0"/>
    <w:rsid w:val="000774BE"/>
    <w:rsid w:val="00077526"/>
    <w:rsid w:val="00077802"/>
    <w:rsid w:val="00077956"/>
    <w:rsid w:val="00077A74"/>
    <w:rsid w:val="00077A76"/>
    <w:rsid w:val="00077B1B"/>
    <w:rsid w:val="00077B7B"/>
    <w:rsid w:val="00077C0C"/>
    <w:rsid w:val="00077C91"/>
    <w:rsid w:val="00077CD5"/>
    <w:rsid w:val="00077D11"/>
    <w:rsid w:val="00077DFB"/>
    <w:rsid w:val="00077E0C"/>
    <w:rsid w:val="00077EDA"/>
    <w:rsid w:val="00077F38"/>
    <w:rsid w:val="00077F8E"/>
    <w:rsid w:val="00077FAA"/>
    <w:rsid w:val="000801E0"/>
    <w:rsid w:val="000802A0"/>
    <w:rsid w:val="00080351"/>
    <w:rsid w:val="00080358"/>
    <w:rsid w:val="0008042F"/>
    <w:rsid w:val="000804F4"/>
    <w:rsid w:val="00080724"/>
    <w:rsid w:val="00080A10"/>
    <w:rsid w:val="00080E3A"/>
    <w:rsid w:val="00080F14"/>
    <w:rsid w:val="0008101B"/>
    <w:rsid w:val="00081124"/>
    <w:rsid w:val="0008112B"/>
    <w:rsid w:val="00081286"/>
    <w:rsid w:val="0008128D"/>
    <w:rsid w:val="00081319"/>
    <w:rsid w:val="0008143F"/>
    <w:rsid w:val="00081646"/>
    <w:rsid w:val="000816E7"/>
    <w:rsid w:val="00081759"/>
    <w:rsid w:val="000818FA"/>
    <w:rsid w:val="00081BA2"/>
    <w:rsid w:val="00081C27"/>
    <w:rsid w:val="00081E9D"/>
    <w:rsid w:val="00081EBA"/>
    <w:rsid w:val="00081ECF"/>
    <w:rsid w:val="00081FA3"/>
    <w:rsid w:val="00082085"/>
    <w:rsid w:val="0008220A"/>
    <w:rsid w:val="000822C4"/>
    <w:rsid w:val="00082451"/>
    <w:rsid w:val="0008259A"/>
    <w:rsid w:val="000828C9"/>
    <w:rsid w:val="00082B5B"/>
    <w:rsid w:val="00082BC9"/>
    <w:rsid w:val="00082C8B"/>
    <w:rsid w:val="00082C8D"/>
    <w:rsid w:val="00082CA8"/>
    <w:rsid w:val="00082F7B"/>
    <w:rsid w:val="000830C1"/>
    <w:rsid w:val="0008316E"/>
    <w:rsid w:val="000832E4"/>
    <w:rsid w:val="00083377"/>
    <w:rsid w:val="000834B7"/>
    <w:rsid w:val="00083706"/>
    <w:rsid w:val="00083765"/>
    <w:rsid w:val="000839FC"/>
    <w:rsid w:val="00083AFB"/>
    <w:rsid w:val="00083D69"/>
    <w:rsid w:val="00083F96"/>
    <w:rsid w:val="0008414E"/>
    <w:rsid w:val="0008415A"/>
    <w:rsid w:val="00084181"/>
    <w:rsid w:val="00084323"/>
    <w:rsid w:val="0008433D"/>
    <w:rsid w:val="00084384"/>
    <w:rsid w:val="000844A2"/>
    <w:rsid w:val="000844D2"/>
    <w:rsid w:val="000844D8"/>
    <w:rsid w:val="0008460F"/>
    <w:rsid w:val="0008467E"/>
    <w:rsid w:val="00084689"/>
    <w:rsid w:val="0008475A"/>
    <w:rsid w:val="000848E3"/>
    <w:rsid w:val="000849A7"/>
    <w:rsid w:val="000849BB"/>
    <w:rsid w:val="00084A84"/>
    <w:rsid w:val="00084C3F"/>
    <w:rsid w:val="00084D35"/>
    <w:rsid w:val="00084F8F"/>
    <w:rsid w:val="00084FE4"/>
    <w:rsid w:val="00085069"/>
    <w:rsid w:val="00085699"/>
    <w:rsid w:val="000857F9"/>
    <w:rsid w:val="0008597F"/>
    <w:rsid w:val="00085A64"/>
    <w:rsid w:val="00085FA3"/>
    <w:rsid w:val="00086086"/>
    <w:rsid w:val="000861AE"/>
    <w:rsid w:val="0008626B"/>
    <w:rsid w:val="00086295"/>
    <w:rsid w:val="000862A9"/>
    <w:rsid w:val="000862EF"/>
    <w:rsid w:val="00086355"/>
    <w:rsid w:val="00086398"/>
    <w:rsid w:val="000865EE"/>
    <w:rsid w:val="0008674C"/>
    <w:rsid w:val="000867EB"/>
    <w:rsid w:val="0008683F"/>
    <w:rsid w:val="00086939"/>
    <w:rsid w:val="00086A1B"/>
    <w:rsid w:val="00086BD8"/>
    <w:rsid w:val="00086BF7"/>
    <w:rsid w:val="00086CE1"/>
    <w:rsid w:val="00086CF6"/>
    <w:rsid w:val="00086E9B"/>
    <w:rsid w:val="00087034"/>
    <w:rsid w:val="00087058"/>
    <w:rsid w:val="0008739E"/>
    <w:rsid w:val="000873DA"/>
    <w:rsid w:val="0008755D"/>
    <w:rsid w:val="000876E2"/>
    <w:rsid w:val="000878B4"/>
    <w:rsid w:val="0008792C"/>
    <w:rsid w:val="00087944"/>
    <w:rsid w:val="00087A56"/>
    <w:rsid w:val="00087B4A"/>
    <w:rsid w:val="00087C0D"/>
    <w:rsid w:val="00087E17"/>
    <w:rsid w:val="0009000E"/>
    <w:rsid w:val="000901BF"/>
    <w:rsid w:val="00090246"/>
    <w:rsid w:val="000902FC"/>
    <w:rsid w:val="000904EC"/>
    <w:rsid w:val="00090917"/>
    <w:rsid w:val="00090AE1"/>
    <w:rsid w:val="00090AFD"/>
    <w:rsid w:val="00090CD6"/>
    <w:rsid w:val="00090D2B"/>
    <w:rsid w:val="00090D56"/>
    <w:rsid w:val="00090D57"/>
    <w:rsid w:val="00090D95"/>
    <w:rsid w:val="00090DFA"/>
    <w:rsid w:val="00090F0B"/>
    <w:rsid w:val="0009100D"/>
    <w:rsid w:val="00091016"/>
    <w:rsid w:val="000912A7"/>
    <w:rsid w:val="0009137A"/>
    <w:rsid w:val="00091383"/>
    <w:rsid w:val="000915C1"/>
    <w:rsid w:val="000917AE"/>
    <w:rsid w:val="0009181E"/>
    <w:rsid w:val="00091955"/>
    <w:rsid w:val="00091A00"/>
    <w:rsid w:val="00091A13"/>
    <w:rsid w:val="00091A22"/>
    <w:rsid w:val="00091B8F"/>
    <w:rsid w:val="00091DB4"/>
    <w:rsid w:val="00091EC3"/>
    <w:rsid w:val="00091F8A"/>
    <w:rsid w:val="00091F9A"/>
    <w:rsid w:val="00092143"/>
    <w:rsid w:val="0009219B"/>
    <w:rsid w:val="000923E1"/>
    <w:rsid w:val="0009246D"/>
    <w:rsid w:val="000924DE"/>
    <w:rsid w:val="0009280B"/>
    <w:rsid w:val="00092B3F"/>
    <w:rsid w:val="00092C87"/>
    <w:rsid w:val="00092CA1"/>
    <w:rsid w:val="00092DBE"/>
    <w:rsid w:val="00092E15"/>
    <w:rsid w:val="00092E37"/>
    <w:rsid w:val="00092EA4"/>
    <w:rsid w:val="00092F0D"/>
    <w:rsid w:val="00092FC3"/>
    <w:rsid w:val="0009321C"/>
    <w:rsid w:val="00093283"/>
    <w:rsid w:val="000932CA"/>
    <w:rsid w:val="00093404"/>
    <w:rsid w:val="00093461"/>
    <w:rsid w:val="000934B9"/>
    <w:rsid w:val="0009368C"/>
    <w:rsid w:val="0009383E"/>
    <w:rsid w:val="00093C05"/>
    <w:rsid w:val="00093FB0"/>
    <w:rsid w:val="00093FF0"/>
    <w:rsid w:val="00094135"/>
    <w:rsid w:val="00094359"/>
    <w:rsid w:val="00094478"/>
    <w:rsid w:val="00094702"/>
    <w:rsid w:val="000947D6"/>
    <w:rsid w:val="000949BB"/>
    <w:rsid w:val="00094A23"/>
    <w:rsid w:val="00094A99"/>
    <w:rsid w:val="00094B5A"/>
    <w:rsid w:val="00094CAB"/>
    <w:rsid w:val="00094F0A"/>
    <w:rsid w:val="00094FE9"/>
    <w:rsid w:val="00095148"/>
    <w:rsid w:val="00095341"/>
    <w:rsid w:val="00095476"/>
    <w:rsid w:val="00095484"/>
    <w:rsid w:val="000954BD"/>
    <w:rsid w:val="000955ED"/>
    <w:rsid w:val="0009561D"/>
    <w:rsid w:val="00095668"/>
    <w:rsid w:val="00095706"/>
    <w:rsid w:val="000959B3"/>
    <w:rsid w:val="000959B9"/>
    <w:rsid w:val="00095C86"/>
    <w:rsid w:val="00095DB9"/>
    <w:rsid w:val="0009614E"/>
    <w:rsid w:val="000963F1"/>
    <w:rsid w:val="00096781"/>
    <w:rsid w:val="000967AD"/>
    <w:rsid w:val="00096813"/>
    <w:rsid w:val="0009684F"/>
    <w:rsid w:val="000969AF"/>
    <w:rsid w:val="00096B53"/>
    <w:rsid w:val="00096BAE"/>
    <w:rsid w:val="00096C10"/>
    <w:rsid w:val="00096C57"/>
    <w:rsid w:val="00096CDA"/>
    <w:rsid w:val="00096CF9"/>
    <w:rsid w:val="00096D5D"/>
    <w:rsid w:val="00096D8F"/>
    <w:rsid w:val="00097550"/>
    <w:rsid w:val="00097794"/>
    <w:rsid w:val="00097910"/>
    <w:rsid w:val="0009798D"/>
    <w:rsid w:val="00097AA8"/>
    <w:rsid w:val="00097AD5"/>
    <w:rsid w:val="00097AED"/>
    <w:rsid w:val="00097B97"/>
    <w:rsid w:val="00097C31"/>
    <w:rsid w:val="00097DB6"/>
    <w:rsid w:val="00097E28"/>
    <w:rsid w:val="00097E31"/>
    <w:rsid w:val="00097F39"/>
    <w:rsid w:val="000A0090"/>
    <w:rsid w:val="000A00D5"/>
    <w:rsid w:val="000A01A4"/>
    <w:rsid w:val="000A035C"/>
    <w:rsid w:val="000A0369"/>
    <w:rsid w:val="000A0417"/>
    <w:rsid w:val="000A0487"/>
    <w:rsid w:val="000A04D7"/>
    <w:rsid w:val="000A059D"/>
    <w:rsid w:val="000A05FF"/>
    <w:rsid w:val="000A073A"/>
    <w:rsid w:val="000A08EC"/>
    <w:rsid w:val="000A0960"/>
    <w:rsid w:val="000A0A31"/>
    <w:rsid w:val="000A0A96"/>
    <w:rsid w:val="000A0AFC"/>
    <w:rsid w:val="000A0BB5"/>
    <w:rsid w:val="000A0BF3"/>
    <w:rsid w:val="000A0CA1"/>
    <w:rsid w:val="000A0CD8"/>
    <w:rsid w:val="000A0D83"/>
    <w:rsid w:val="000A0D97"/>
    <w:rsid w:val="000A0EED"/>
    <w:rsid w:val="000A0FA5"/>
    <w:rsid w:val="000A0FBF"/>
    <w:rsid w:val="000A0FF6"/>
    <w:rsid w:val="000A1002"/>
    <w:rsid w:val="000A10EB"/>
    <w:rsid w:val="000A1170"/>
    <w:rsid w:val="000A122D"/>
    <w:rsid w:val="000A1322"/>
    <w:rsid w:val="000A136B"/>
    <w:rsid w:val="000A15AA"/>
    <w:rsid w:val="000A15DB"/>
    <w:rsid w:val="000A15FD"/>
    <w:rsid w:val="000A178E"/>
    <w:rsid w:val="000A188D"/>
    <w:rsid w:val="000A189D"/>
    <w:rsid w:val="000A196F"/>
    <w:rsid w:val="000A1B08"/>
    <w:rsid w:val="000A1B39"/>
    <w:rsid w:val="000A1C91"/>
    <w:rsid w:val="000A1F7A"/>
    <w:rsid w:val="000A2005"/>
    <w:rsid w:val="000A20B7"/>
    <w:rsid w:val="000A20D8"/>
    <w:rsid w:val="000A2104"/>
    <w:rsid w:val="000A2313"/>
    <w:rsid w:val="000A2376"/>
    <w:rsid w:val="000A2417"/>
    <w:rsid w:val="000A24D2"/>
    <w:rsid w:val="000A25B4"/>
    <w:rsid w:val="000A278B"/>
    <w:rsid w:val="000A27ED"/>
    <w:rsid w:val="000A285D"/>
    <w:rsid w:val="000A2BD9"/>
    <w:rsid w:val="000A2C29"/>
    <w:rsid w:val="000A2C71"/>
    <w:rsid w:val="000A317D"/>
    <w:rsid w:val="000A3182"/>
    <w:rsid w:val="000A31A8"/>
    <w:rsid w:val="000A3256"/>
    <w:rsid w:val="000A32A3"/>
    <w:rsid w:val="000A3335"/>
    <w:rsid w:val="000A3384"/>
    <w:rsid w:val="000A35B9"/>
    <w:rsid w:val="000A37ED"/>
    <w:rsid w:val="000A3CE9"/>
    <w:rsid w:val="000A3EC3"/>
    <w:rsid w:val="000A4224"/>
    <w:rsid w:val="000A422D"/>
    <w:rsid w:val="000A4270"/>
    <w:rsid w:val="000A42A2"/>
    <w:rsid w:val="000A4432"/>
    <w:rsid w:val="000A4436"/>
    <w:rsid w:val="000A448F"/>
    <w:rsid w:val="000A46B7"/>
    <w:rsid w:val="000A46DC"/>
    <w:rsid w:val="000A4805"/>
    <w:rsid w:val="000A4A98"/>
    <w:rsid w:val="000A4EC3"/>
    <w:rsid w:val="000A50F9"/>
    <w:rsid w:val="000A51D2"/>
    <w:rsid w:val="000A51F2"/>
    <w:rsid w:val="000A52AB"/>
    <w:rsid w:val="000A54FD"/>
    <w:rsid w:val="000A5572"/>
    <w:rsid w:val="000A560C"/>
    <w:rsid w:val="000A5714"/>
    <w:rsid w:val="000A5824"/>
    <w:rsid w:val="000A588E"/>
    <w:rsid w:val="000A59ED"/>
    <w:rsid w:val="000A5A4D"/>
    <w:rsid w:val="000A5A9F"/>
    <w:rsid w:val="000A5AEC"/>
    <w:rsid w:val="000A5E53"/>
    <w:rsid w:val="000A5ED8"/>
    <w:rsid w:val="000A5FE3"/>
    <w:rsid w:val="000A6047"/>
    <w:rsid w:val="000A604F"/>
    <w:rsid w:val="000A616A"/>
    <w:rsid w:val="000A64CD"/>
    <w:rsid w:val="000A651D"/>
    <w:rsid w:val="000A65B6"/>
    <w:rsid w:val="000A6671"/>
    <w:rsid w:val="000A6743"/>
    <w:rsid w:val="000A6745"/>
    <w:rsid w:val="000A67FA"/>
    <w:rsid w:val="000A69F9"/>
    <w:rsid w:val="000A6A9D"/>
    <w:rsid w:val="000A6BDD"/>
    <w:rsid w:val="000A6C70"/>
    <w:rsid w:val="000A6DC0"/>
    <w:rsid w:val="000A6F7A"/>
    <w:rsid w:val="000A70EA"/>
    <w:rsid w:val="000A7113"/>
    <w:rsid w:val="000A71B2"/>
    <w:rsid w:val="000A7262"/>
    <w:rsid w:val="000A729E"/>
    <w:rsid w:val="000A73A3"/>
    <w:rsid w:val="000A7606"/>
    <w:rsid w:val="000A7685"/>
    <w:rsid w:val="000A7742"/>
    <w:rsid w:val="000A7790"/>
    <w:rsid w:val="000A7811"/>
    <w:rsid w:val="000A7A60"/>
    <w:rsid w:val="000A7B66"/>
    <w:rsid w:val="000A7F4B"/>
    <w:rsid w:val="000B0111"/>
    <w:rsid w:val="000B016C"/>
    <w:rsid w:val="000B01B9"/>
    <w:rsid w:val="000B01D7"/>
    <w:rsid w:val="000B02E1"/>
    <w:rsid w:val="000B0379"/>
    <w:rsid w:val="000B03BA"/>
    <w:rsid w:val="000B03CA"/>
    <w:rsid w:val="000B07B2"/>
    <w:rsid w:val="000B0B88"/>
    <w:rsid w:val="000B0BA1"/>
    <w:rsid w:val="000B0C02"/>
    <w:rsid w:val="000B0C51"/>
    <w:rsid w:val="000B0D1B"/>
    <w:rsid w:val="000B0D76"/>
    <w:rsid w:val="000B0E83"/>
    <w:rsid w:val="000B0F70"/>
    <w:rsid w:val="000B0F83"/>
    <w:rsid w:val="000B11D0"/>
    <w:rsid w:val="000B11D8"/>
    <w:rsid w:val="000B1246"/>
    <w:rsid w:val="000B1699"/>
    <w:rsid w:val="000B18AC"/>
    <w:rsid w:val="000B190C"/>
    <w:rsid w:val="000B1954"/>
    <w:rsid w:val="000B1A52"/>
    <w:rsid w:val="000B1BA7"/>
    <w:rsid w:val="000B1BE5"/>
    <w:rsid w:val="000B1C58"/>
    <w:rsid w:val="000B1CFA"/>
    <w:rsid w:val="000B1D8A"/>
    <w:rsid w:val="000B1D99"/>
    <w:rsid w:val="000B1DFF"/>
    <w:rsid w:val="000B1F68"/>
    <w:rsid w:val="000B1F6A"/>
    <w:rsid w:val="000B2041"/>
    <w:rsid w:val="000B20AB"/>
    <w:rsid w:val="000B2140"/>
    <w:rsid w:val="000B2349"/>
    <w:rsid w:val="000B23A9"/>
    <w:rsid w:val="000B2448"/>
    <w:rsid w:val="000B2656"/>
    <w:rsid w:val="000B26D4"/>
    <w:rsid w:val="000B2718"/>
    <w:rsid w:val="000B287F"/>
    <w:rsid w:val="000B2991"/>
    <w:rsid w:val="000B2A33"/>
    <w:rsid w:val="000B2A5F"/>
    <w:rsid w:val="000B2AB3"/>
    <w:rsid w:val="000B2AFD"/>
    <w:rsid w:val="000B2B5F"/>
    <w:rsid w:val="000B2C32"/>
    <w:rsid w:val="000B2C6C"/>
    <w:rsid w:val="000B2D08"/>
    <w:rsid w:val="000B2D1B"/>
    <w:rsid w:val="000B2F73"/>
    <w:rsid w:val="000B316E"/>
    <w:rsid w:val="000B31FB"/>
    <w:rsid w:val="000B3331"/>
    <w:rsid w:val="000B3678"/>
    <w:rsid w:val="000B388F"/>
    <w:rsid w:val="000B39FA"/>
    <w:rsid w:val="000B3DA1"/>
    <w:rsid w:val="000B3E0F"/>
    <w:rsid w:val="000B3EF1"/>
    <w:rsid w:val="000B4027"/>
    <w:rsid w:val="000B40FE"/>
    <w:rsid w:val="000B4543"/>
    <w:rsid w:val="000B4567"/>
    <w:rsid w:val="000B45C4"/>
    <w:rsid w:val="000B4615"/>
    <w:rsid w:val="000B46B5"/>
    <w:rsid w:val="000B46E4"/>
    <w:rsid w:val="000B4769"/>
    <w:rsid w:val="000B47AC"/>
    <w:rsid w:val="000B49B7"/>
    <w:rsid w:val="000B4C31"/>
    <w:rsid w:val="000B4CD1"/>
    <w:rsid w:val="000B4DEB"/>
    <w:rsid w:val="000B4E55"/>
    <w:rsid w:val="000B4FFE"/>
    <w:rsid w:val="000B501B"/>
    <w:rsid w:val="000B5119"/>
    <w:rsid w:val="000B5186"/>
    <w:rsid w:val="000B5194"/>
    <w:rsid w:val="000B51FF"/>
    <w:rsid w:val="000B5226"/>
    <w:rsid w:val="000B5684"/>
    <w:rsid w:val="000B5685"/>
    <w:rsid w:val="000B56A6"/>
    <w:rsid w:val="000B57B9"/>
    <w:rsid w:val="000B5957"/>
    <w:rsid w:val="000B59CC"/>
    <w:rsid w:val="000B59F1"/>
    <w:rsid w:val="000B5A43"/>
    <w:rsid w:val="000B5AA3"/>
    <w:rsid w:val="000B5AEA"/>
    <w:rsid w:val="000B5BEA"/>
    <w:rsid w:val="000B5BF5"/>
    <w:rsid w:val="000B5CCE"/>
    <w:rsid w:val="000B5DA8"/>
    <w:rsid w:val="000B5E99"/>
    <w:rsid w:val="000B5FB8"/>
    <w:rsid w:val="000B6023"/>
    <w:rsid w:val="000B6025"/>
    <w:rsid w:val="000B63F0"/>
    <w:rsid w:val="000B6464"/>
    <w:rsid w:val="000B64F6"/>
    <w:rsid w:val="000B6507"/>
    <w:rsid w:val="000B6531"/>
    <w:rsid w:val="000B6544"/>
    <w:rsid w:val="000B659F"/>
    <w:rsid w:val="000B65D1"/>
    <w:rsid w:val="000B6603"/>
    <w:rsid w:val="000B67EA"/>
    <w:rsid w:val="000B67EE"/>
    <w:rsid w:val="000B6D5E"/>
    <w:rsid w:val="000B6F97"/>
    <w:rsid w:val="000B7048"/>
    <w:rsid w:val="000B70B7"/>
    <w:rsid w:val="000B7190"/>
    <w:rsid w:val="000B71A2"/>
    <w:rsid w:val="000B71D4"/>
    <w:rsid w:val="000B72A6"/>
    <w:rsid w:val="000B74E7"/>
    <w:rsid w:val="000B7547"/>
    <w:rsid w:val="000B7A3E"/>
    <w:rsid w:val="000B7B48"/>
    <w:rsid w:val="000B7CC3"/>
    <w:rsid w:val="000B7CD0"/>
    <w:rsid w:val="000B7D6D"/>
    <w:rsid w:val="000B7E05"/>
    <w:rsid w:val="000C00DB"/>
    <w:rsid w:val="000C01E8"/>
    <w:rsid w:val="000C0417"/>
    <w:rsid w:val="000C05DD"/>
    <w:rsid w:val="000C06C9"/>
    <w:rsid w:val="000C07F7"/>
    <w:rsid w:val="000C0941"/>
    <w:rsid w:val="000C0A85"/>
    <w:rsid w:val="000C0AE8"/>
    <w:rsid w:val="000C0B33"/>
    <w:rsid w:val="000C0D94"/>
    <w:rsid w:val="000C0DC2"/>
    <w:rsid w:val="000C0ED5"/>
    <w:rsid w:val="000C0FA8"/>
    <w:rsid w:val="000C1068"/>
    <w:rsid w:val="000C1089"/>
    <w:rsid w:val="000C1154"/>
    <w:rsid w:val="000C11D3"/>
    <w:rsid w:val="000C127D"/>
    <w:rsid w:val="000C1412"/>
    <w:rsid w:val="000C148B"/>
    <w:rsid w:val="000C15FD"/>
    <w:rsid w:val="000C1658"/>
    <w:rsid w:val="000C17E3"/>
    <w:rsid w:val="000C180D"/>
    <w:rsid w:val="000C1814"/>
    <w:rsid w:val="000C1831"/>
    <w:rsid w:val="000C183A"/>
    <w:rsid w:val="000C19BC"/>
    <w:rsid w:val="000C1CBB"/>
    <w:rsid w:val="000C2585"/>
    <w:rsid w:val="000C25AB"/>
    <w:rsid w:val="000C28BC"/>
    <w:rsid w:val="000C2B65"/>
    <w:rsid w:val="000C2C1E"/>
    <w:rsid w:val="000C2DB5"/>
    <w:rsid w:val="000C2E1F"/>
    <w:rsid w:val="000C3082"/>
    <w:rsid w:val="000C31B4"/>
    <w:rsid w:val="000C31BE"/>
    <w:rsid w:val="000C33FD"/>
    <w:rsid w:val="000C347B"/>
    <w:rsid w:val="000C350D"/>
    <w:rsid w:val="000C36B3"/>
    <w:rsid w:val="000C3723"/>
    <w:rsid w:val="000C3762"/>
    <w:rsid w:val="000C37F1"/>
    <w:rsid w:val="000C3A25"/>
    <w:rsid w:val="000C3F86"/>
    <w:rsid w:val="000C416A"/>
    <w:rsid w:val="000C4330"/>
    <w:rsid w:val="000C4339"/>
    <w:rsid w:val="000C4364"/>
    <w:rsid w:val="000C45B4"/>
    <w:rsid w:val="000C465C"/>
    <w:rsid w:val="000C467A"/>
    <w:rsid w:val="000C4A4C"/>
    <w:rsid w:val="000C4D10"/>
    <w:rsid w:val="000C4DC2"/>
    <w:rsid w:val="000C4EAF"/>
    <w:rsid w:val="000C4F56"/>
    <w:rsid w:val="000C4FC3"/>
    <w:rsid w:val="000C511A"/>
    <w:rsid w:val="000C515A"/>
    <w:rsid w:val="000C521D"/>
    <w:rsid w:val="000C52A0"/>
    <w:rsid w:val="000C52AE"/>
    <w:rsid w:val="000C559A"/>
    <w:rsid w:val="000C569C"/>
    <w:rsid w:val="000C56B1"/>
    <w:rsid w:val="000C5715"/>
    <w:rsid w:val="000C584E"/>
    <w:rsid w:val="000C5936"/>
    <w:rsid w:val="000C593A"/>
    <w:rsid w:val="000C5A2E"/>
    <w:rsid w:val="000C5AF2"/>
    <w:rsid w:val="000C5B46"/>
    <w:rsid w:val="000C5E15"/>
    <w:rsid w:val="000C5FA3"/>
    <w:rsid w:val="000C5FFF"/>
    <w:rsid w:val="000C6000"/>
    <w:rsid w:val="000C6007"/>
    <w:rsid w:val="000C6132"/>
    <w:rsid w:val="000C621C"/>
    <w:rsid w:val="000C62C0"/>
    <w:rsid w:val="000C6380"/>
    <w:rsid w:val="000C63C7"/>
    <w:rsid w:val="000C64FD"/>
    <w:rsid w:val="000C66AA"/>
    <w:rsid w:val="000C6861"/>
    <w:rsid w:val="000C68C2"/>
    <w:rsid w:val="000C696E"/>
    <w:rsid w:val="000C696F"/>
    <w:rsid w:val="000C6983"/>
    <w:rsid w:val="000C6A6C"/>
    <w:rsid w:val="000C6C7F"/>
    <w:rsid w:val="000C6C82"/>
    <w:rsid w:val="000C6D35"/>
    <w:rsid w:val="000C6E8E"/>
    <w:rsid w:val="000C6F7D"/>
    <w:rsid w:val="000C70D8"/>
    <w:rsid w:val="000C737C"/>
    <w:rsid w:val="000C74C0"/>
    <w:rsid w:val="000C75F1"/>
    <w:rsid w:val="000C7630"/>
    <w:rsid w:val="000C7645"/>
    <w:rsid w:val="000C77AF"/>
    <w:rsid w:val="000C7AC8"/>
    <w:rsid w:val="000C7CAC"/>
    <w:rsid w:val="000C7DBE"/>
    <w:rsid w:val="000C7E34"/>
    <w:rsid w:val="000C7F47"/>
    <w:rsid w:val="000D006E"/>
    <w:rsid w:val="000D00AE"/>
    <w:rsid w:val="000D010C"/>
    <w:rsid w:val="000D019C"/>
    <w:rsid w:val="000D0541"/>
    <w:rsid w:val="000D057C"/>
    <w:rsid w:val="000D06BA"/>
    <w:rsid w:val="000D0960"/>
    <w:rsid w:val="000D0A08"/>
    <w:rsid w:val="000D0B0B"/>
    <w:rsid w:val="000D0B4E"/>
    <w:rsid w:val="000D0BAD"/>
    <w:rsid w:val="000D0C71"/>
    <w:rsid w:val="000D0DA5"/>
    <w:rsid w:val="000D0DC6"/>
    <w:rsid w:val="000D0DDD"/>
    <w:rsid w:val="000D0DEA"/>
    <w:rsid w:val="000D0E97"/>
    <w:rsid w:val="000D0F18"/>
    <w:rsid w:val="000D0F39"/>
    <w:rsid w:val="000D0F6D"/>
    <w:rsid w:val="000D102E"/>
    <w:rsid w:val="000D1037"/>
    <w:rsid w:val="000D10C9"/>
    <w:rsid w:val="000D121C"/>
    <w:rsid w:val="000D14BC"/>
    <w:rsid w:val="000D168F"/>
    <w:rsid w:val="000D16CB"/>
    <w:rsid w:val="000D16D5"/>
    <w:rsid w:val="000D1847"/>
    <w:rsid w:val="000D186E"/>
    <w:rsid w:val="000D188E"/>
    <w:rsid w:val="000D19E8"/>
    <w:rsid w:val="000D1A18"/>
    <w:rsid w:val="000D1B4A"/>
    <w:rsid w:val="000D1C48"/>
    <w:rsid w:val="000D1C75"/>
    <w:rsid w:val="000D1DA7"/>
    <w:rsid w:val="000D1DBE"/>
    <w:rsid w:val="000D1F32"/>
    <w:rsid w:val="000D1F74"/>
    <w:rsid w:val="000D21A1"/>
    <w:rsid w:val="000D2238"/>
    <w:rsid w:val="000D22E1"/>
    <w:rsid w:val="000D2304"/>
    <w:rsid w:val="000D23CE"/>
    <w:rsid w:val="000D2567"/>
    <w:rsid w:val="000D268D"/>
    <w:rsid w:val="000D2764"/>
    <w:rsid w:val="000D27F5"/>
    <w:rsid w:val="000D2844"/>
    <w:rsid w:val="000D29F5"/>
    <w:rsid w:val="000D2A30"/>
    <w:rsid w:val="000D2BBF"/>
    <w:rsid w:val="000D2F9F"/>
    <w:rsid w:val="000D2FF9"/>
    <w:rsid w:val="000D314E"/>
    <w:rsid w:val="000D31B3"/>
    <w:rsid w:val="000D3339"/>
    <w:rsid w:val="000D3348"/>
    <w:rsid w:val="000D336D"/>
    <w:rsid w:val="000D35D9"/>
    <w:rsid w:val="000D378F"/>
    <w:rsid w:val="000D37B5"/>
    <w:rsid w:val="000D3AE0"/>
    <w:rsid w:val="000D3C37"/>
    <w:rsid w:val="000D3C40"/>
    <w:rsid w:val="000D3D81"/>
    <w:rsid w:val="000D3D97"/>
    <w:rsid w:val="000D3F0F"/>
    <w:rsid w:val="000D40BA"/>
    <w:rsid w:val="000D415E"/>
    <w:rsid w:val="000D41C4"/>
    <w:rsid w:val="000D4240"/>
    <w:rsid w:val="000D43A2"/>
    <w:rsid w:val="000D43D7"/>
    <w:rsid w:val="000D4409"/>
    <w:rsid w:val="000D44DB"/>
    <w:rsid w:val="000D4A69"/>
    <w:rsid w:val="000D4B73"/>
    <w:rsid w:val="000D4B75"/>
    <w:rsid w:val="000D4BA8"/>
    <w:rsid w:val="000D4BF1"/>
    <w:rsid w:val="000D4E5E"/>
    <w:rsid w:val="000D4F4F"/>
    <w:rsid w:val="000D5070"/>
    <w:rsid w:val="000D50D4"/>
    <w:rsid w:val="000D514E"/>
    <w:rsid w:val="000D52E6"/>
    <w:rsid w:val="000D52F9"/>
    <w:rsid w:val="000D5380"/>
    <w:rsid w:val="000D54D2"/>
    <w:rsid w:val="000D56F3"/>
    <w:rsid w:val="000D573A"/>
    <w:rsid w:val="000D5779"/>
    <w:rsid w:val="000D58FA"/>
    <w:rsid w:val="000D5A0E"/>
    <w:rsid w:val="000D5BCB"/>
    <w:rsid w:val="000D5CA1"/>
    <w:rsid w:val="000D5CDE"/>
    <w:rsid w:val="000D5D62"/>
    <w:rsid w:val="000D5EBB"/>
    <w:rsid w:val="000D62E3"/>
    <w:rsid w:val="000D6328"/>
    <w:rsid w:val="000D63B5"/>
    <w:rsid w:val="000D6447"/>
    <w:rsid w:val="000D667D"/>
    <w:rsid w:val="000D6AC1"/>
    <w:rsid w:val="000D6CFE"/>
    <w:rsid w:val="000D6D16"/>
    <w:rsid w:val="000D6D6F"/>
    <w:rsid w:val="000D6D78"/>
    <w:rsid w:val="000D6EB5"/>
    <w:rsid w:val="000D6EDA"/>
    <w:rsid w:val="000D6F3D"/>
    <w:rsid w:val="000D6FA2"/>
    <w:rsid w:val="000D6FDD"/>
    <w:rsid w:val="000D7009"/>
    <w:rsid w:val="000D7382"/>
    <w:rsid w:val="000D7414"/>
    <w:rsid w:val="000D74B9"/>
    <w:rsid w:val="000D7598"/>
    <w:rsid w:val="000D7771"/>
    <w:rsid w:val="000D78C2"/>
    <w:rsid w:val="000D78D7"/>
    <w:rsid w:val="000D7995"/>
    <w:rsid w:val="000D79FC"/>
    <w:rsid w:val="000D7ADC"/>
    <w:rsid w:val="000D7C2A"/>
    <w:rsid w:val="000D7CB8"/>
    <w:rsid w:val="000D7D96"/>
    <w:rsid w:val="000D7DB8"/>
    <w:rsid w:val="000D7E7B"/>
    <w:rsid w:val="000D7E92"/>
    <w:rsid w:val="000D7F85"/>
    <w:rsid w:val="000E013D"/>
    <w:rsid w:val="000E0303"/>
    <w:rsid w:val="000E0335"/>
    <w:rsid w:val="000E039A"/>
    <w:rsid w:val="000E0422"/>
    <w:rsid w:val="000E04AE"/>
    <w:rsid w:val="000E0759"/>
    <w:rsid w:val="000E0825"/>
    <w:rsid w:val="000E0833"/>
    <w:rsid w:val="000E0852"/>
    <w:rsid w:val="000E0871"/>
    <w:rsid w:val="000E0C52"/>
    <w:rsid w:val="000E0CCA"/>
    <w:rsid w:val="000E0CE2"/>
    <w:rsid w:val="000E0CF6"/>
    <w:rsid w:val="000E0D20"/>
    <w:rsid w:val="000E0DF2"/>
    <w:rsid w:val="000E0F35"/>
    <w:rsid w:val="000E1084"/>
    <w:rsid w:val="000E1274"/>
    <w:rsid w:val="000E141C"/>
    <w:rsid w:val="000E1443"/>
    <w:rsid w:val="000E1537"/>
    <w:rsid w:val="000E1583"/>
    <w:rsid w:val="000E16C3"/>
    <w:rsid w:val="000E176C"/>
    <w:rsid w:val="000E177F"/>
    <w:rsid w:val="000E17DC"/>
    <w:rsid w:val="000E1829"/>
    <w:rsid w:val="000E1835"/>
    <w:rsid w:val="000E1869"/>
    <w:rsid w:val="000E1C15"/>
    <w:rsid w:val="000E1CFE"/>
    <w:rsid w:val="000E1D99"/>
    <w:rsid w:val="000E1EB1"/>
    <w:rsid w:val="000E1F45"/>
    <w:rsid w:val="000E1F4C"/>
    <w:rsid w:val="000E209B"/>
    <w:rsid w:val="000E20BD"/>
    <w:rsid w:val="000E2218"/>
    <w:rsid w:val="000E221A"/>
    <w:rsid w:val="000E22B6"/>
    <w:rsid w:val="000E234E"/>
    <w:rsid w:val="000E2357"/>
    <w:rsid w:val="000E2467"/>
    <w:rsid w:val="000E24D1"/>
    <w:rsid w:val="000E25DD"/>
    <w:rsid w:val="000E2742"/>
    <w:rsid w:val="000E2820"/>
    <w:rsid w:val="000E2A61"/>
    <w:rsid w:val="000E2C01"/>
    <w:rsid w:val="000E2E01"/>
    <w:rsid w:val="000E30F7"/>
    <w:rsid w:val="000E33BD"/>
    <w:rsid w:val="000E351F"/>
    <w:rsid w:val="000E353E"/>
    <w:rsid w:val="000E3564"/>
    <w:rsid w:val="000E356D"/>
    <w:rsid w:val="000E35C3"/>
    <w:rsid w:val="000E35D0"/>
    <w:rsid w:val="000E3634"/>
    <w:rsid w:val="000E368A"/>
    <w:rsid w:val="000E39EF"/>
    <w:rsid w:val="000E3BAF"/>
    <w:rsid w:val="000E3C60"/>
    <w:rsid w:val="000E3C73"/>
    <w:rsid w:val="000E3C7D"/>
    <w:rsid w:val="000E3F04"/>
    <w:rsid w:val="000E406C"/>
    <w:rsid w:val="000E40E9"/>
    <w:rsid w:val="000E415E"/>
    <w:rsid w:val="000E4292"/>
    <w:rsid w:val="000E42A6"/>
    <w:rsid w:val="000E4442"/>
    <w:rsid w:val="000E45EC"/>
    <w:rsid w:val="000E481F"/>
    <w:rsid w:val="000E4876"/>
    <w:rsid w:val="000E4AA9"/>
    <w:rsid w:val="000E4BBE"/>
    <w:rsid w:val="000E4C48"/>
    <w:rsid w:val="000E4C5C"/>
    <w:rsid w:val="000E4CD7"/>
    <w:rsid w:val="000E4ED1"/>
    <w:rsid w:val="000E4EE1"/>
    <w:rsid w:val="000E4F9C"/>
    <w:rsid w:val="000E50A0"/>
    <w:rsid w:val="000E521F"/>
    <w:rsid w:val="000E5245"/>
    <w:rsid w:val="000E55C5"/>
    <w:rsid w:val="000E569C"/>
    <w:rsid w:val="000E579D"/>
    <w:rsid w:val="000E57D6"/>
    <w:rsid w:val="000E59C6"/>
    <w:rsid w:val="000E5A02"/>
    <w:rsid w:val="000E5B34"/>
    <w:rsid w:val="000E5C44"/>
    <w:rsid w:val="000E5D26"/>
    <w:rsid w:val="000E5DD2"/>
    <w:rsid w:val="000E5E8B"/>
    <w:rsid w:val="000E5ED0"/>
    <w:rsid w:val="000E5F42"/>
    <w:rsid w:val="000E5FC9"/>
    <w:rsid w:val="000E6023"/>
    <w:rsid w:val="000E60A8"/>
    <w:rsid w:val="000E60B2"/>
    <w:rsid w:val="000E623A"/>
    <w:rsid w:val="000E630B"/>
    <w:rsid w:val="000E63CD"/>
    <w:rsid w:val="000E65EC"/>
    <w:rsid w:val="000E662E"/>
    <w:rsid w:val="000E6674"/>
    <w:rsid w:val="000E6734"/>
    <w:rsid w:val="000E689F"/>
    <w:rsid w:val="000E6931"/>
    <w:rsid w:val="000E6AEB"/>
    <w:rsid w:val="000E6B51"/>
    <w:rsid w:val="000E6BDF"/>
    <w:rsid w:val="000E6BF2"/>
    <w:rsid w:val="000E6CC0"/>
    <w:rsid w:val="000E6D5B"/>
    <w:rsid w:val="000E6DB6"/>
    <w:rsid w:val="000E6E11"/>
    <w:rsid w:val="000E6E90"/>
    <w:rsid w:val="000E6E9B"/>
    <w:rsid w:val="000E6EE4"/>
    <w:rsid w:val="000E6EE8"/>
    <w:rsid w:val="000E6F48"/>
    <w:rsid w:val="000E6F99"/>
    <w:rsid w:val="000E70AD"/>
    <w:rsid w:val="000E70C8"/>
    <w:rsid w:val="000E72EB"/>
    <w:rsid w:val="000E72FC"/>
    <w:rsid w:val="000E730B"/>
    <w:rsid w:val="000E73A4"/>
    <w:rsid w:val="000E740C"/>
    <w:rsid w:val="000E762F"/>
    <w:rsid w:val="000E7708"/>
    <w:rsid w:val="000E774C"/>
    <w:rsid w:val="000E7765"/>
    <w:rsid w:val="000E78AF"/>
    <w:rsid w:val="000E78BC"/>
    <w:rsid w:val="000E7923"/>
    <w:rsid w:val="000E7A05"/>
    <w:rsid w:val="000E7B08"/>
    <w:rsid w:val="000E7BB4"/>
    <w:rsid w:val="000E7CAD"/>
    <w:rsid w:val="000E7D2F"/>
    <w:rsid w:val="000F0022"/>
    <w:rsid w:val="000F003E"/>
    <w:rsid w:val="000F0278"/>
    <w:rsid w:val="000F0496"/>
    <w:rsid w:val="000F04C0"/>
    <w:rsid w:val="000F06F4"/>
    <w:rsid w:val="000F07DF"/>
    <w:rsid w:val="000F0918"/>
    <w:rsid w:val="000F0984"/>
    <w:rsid w:val="000F0BFC"/>
    <w:rsid w:val="000F0E79"/>
    <w:rsid w:val="000F0FCF"/>
    <w:rsid w:val="000F11BB"/>
    <w:rsid w:val="000F125C"/>
    <w:rsid w:val="000F12DE"/>
    <w:rsid w:val="000F1397"/>
    <w:rsid w:val="000F1460"/>
    <w:rsid w:val="000F1964"/>
    <w:rsid w:val="000F1A21"/>
    <w:rsid w:val="000F1A46"/>
    <w:rsid w:val="000F1AFD"/>
    <w:rsid w:val="000F1B7C"/>
    <w:rsid w:val="000F1D49"/>
    <w:rsid w:val="000F1F2C"/>
    <w:rsid w:val="000F1F6B"/>
    <w:rsid w:val="000F2017"/>
    <w:rsid w:val="000F20E9"/>
    <w:rsid w:val="000F220A"/>
    <w:rsid w:val="000F241E"/>
    <w:rsid w:val="000F26F5"/>
    <w:rsid w:val="000F27DB"/>
    <w:rsid w:val="000F2A9E"/>
    <w:rsid w:val="000F2AEA"/>
    <w:rsid w:val="000F2C60"/>
    <w:rsid w:val="000F2D6C"/>
    <w:rsid w:val="000F2DDB"/>
    <w:rsid w:val="000F2E75"/>
    <w:rsid w:val="000F2E9D"/>
    <w:rsid w:val="000F2EB6"/>
    <w:rsid w:val="000F2EC2"/>
    <w:rsid w:val="000F2F4B"/>
    <w:rsid w:val="000F2FD3"/>
    <w:rsid w:val="000F319C"/>
    <w:rsid w:val="000F325B"/>
    <w:rsid w:val="000F3433"/>
    <w:rsid w:val="000F35CF"/>
    <w:rsid w:val="000F371B"/>
    <w:rsid w:val="000F3877"/>
    <w:rsid w:val="000F38D5"/>
    <w:rsid w:val="000F3911"/>
    <w:rsid w:val="000F3A2C"/>
    <w:rsid w:val="000F3A99"/>
    <w:rsid w:val="000F3ADC"/>
    <w:rsid w:val="000F3C45"/>
    <w:rsid w:val="000F42AF"/>
    <w:rsid w:val="000F42C5"/>
    <w:rsid w:val="000F4339"/>
    <w:rsid w:val="000F4448"/>
    <w:rsid w:val="000F449C"/>
    <w:rsid w:val="000F4594"/>
    <w:rsid w:val="000F4706"/>
    <w:rsid w:val="000F47A9"/>
    <w:rsid w:val="000F49B1"/>
    <w:rsid w:val="000F49D1"/>
    <w:rsid w:val="000F49DD"/>
    <w:rsid w:val="000F4B4A"/>
    <w:rsid w:val="000F4BDE"/>
    <w:rsid w:val="000F4D0E"/>
    <w:rsid w:val="000F4D91"/>
    <w:rsid w:val="000F4FEE"/>
    <w:rsid w:val="000F4FEF"/>
    <w:rsid w:val="000F518A"/>
    <w:rsid w:val="000F53F2"/>
    <w:rsid w:val="000F5409"/>
    <w:rsid w:val="000F56B4"/>
    <w:rsid w:val="000F57B3"/>
    <w:rsid w:val="000F57CA"/>
    <w:rsid w:val="000F5867"/>
    <w:rsid w:val="000F59DF"/>
    <w:rsid w:val="000F5B79"/>
    <w:rsid w:val="000F5DC9"/>
    <w:rsid w:val="000F5E6F"/>
    <w:rsid w:val="000F602C"/>
    <w:rsid w:val="000F61F9"/>
    <w:rsid w:val="000F6267"/>
    <w:rsid w:val="000F6320"/>
    <w:rsid w:val="000F639D"/>
    <w:rsid w:val="000F641A"/>
    <w:rsid w:val="000F6503"/>
    <w:rsid w:val="000F6876"/>
    <w:rsid w:val="000F6910"/>
    <w:rsid w:val="000F6A80"/>
    <w:rsid w:val="000F6ADD"/>
    <w:rsid w:val="000F6DF0"/>
    <w:rsid w:val="000F7198"/>
    <w:rsid w:val="000F71EC"/>
    <w:rsid w:val="000F7426"/>
    <w:rsid w:val="000F75FE"/>
    <w:rsid w:val="000F7795"/>
    <w:rsid w:val="000F7959"/>
    <w:rsid w:val="000F7A79"/>
    <w:rsid w:val="000F7B71"/>
    <w:rsid w:val="000F7D0B"/>
    <w:rsid w:val="000F7E26"/>
    <w:rsid w:val="000F7E5A"/>
    <w:rsid w:val="000F7EBA"/>
    <w:rsid w:val="000F7F59"/>
    <w:rsid w:val="00100157"/>
    <w:rsid w:val="001002B0"/>
    <w:rsid w:val="00100328"/>
    <w:rsid w:val="00100419"/>
    <w:rsid w:val="0010049C"/>
    <w:rsid w:val="001005EA"/>
    <w:rsid w:val="001007DA"/>
    <w:rsid w:val="001008CD"/>
    <w:rsid w:val="00100BC5"/>
    <w:rsid w:val="00100D19"/>
    <w:rsid w:val="00100FBD"/>
    <w:rsid w:val="0010110A"/>
    <w:rsid w:val="00101155"/>
    <w:rsid w:val="001011D0"/>
    <w:rsid w:val="00101238"/>
    <w:rsid w:val="001012D6"/>
    <w:rsid w:val="00101342"/>
    <w:rsid w:val="00101555"/>
    <w:rsid w:val="00101916"/>
    <w:rsid w:val="00101982"/>
    <w:rsid w:val="00101B60"/>
    <w:rsid w:val="00101BC6"/>
    <w:rsid w:val="00101C10"/>
    <w:rsid w:val="00101CE5"/>
    <w:rsid w:val="00101D08"/>
    <w:rsid w:val="00101DE4"/>
    <w:rsid w:val="00101E0E"/>
    <w:rsid w:val="00101E69"/>
    <w:rsid w:val="00101F9F"/>
    <w:rsid w:val="001022FD"/>
    <w:rsid w:val="00102355"/>
    <w:rsid w:val="00102422"/>
    <w:rsid w:val="0010248C"/>
    <w:rsid w:val="00102580"/>
    <w:rsid w:val="00102792"/>
    <w:rsid w:val="00102899"/>
    <w:rsid w:val="00102946"/>
    <w:rsid w:val="001029DA"/>
    <w:rsid w:val="00102A6A"/>
    <w:rsid w:val="00102A79"/>
    <w:rsid w:val="00102AE4"/>
    <w:rsid w:val="00102BE7"/>
    <w:rsid w:val="00102C05"/>
    <w:rsid w:val="00102C69"/>
    <w:rsid w:val="00102D1E"/>
    <w:rsid w:val="00102E6B"/>
    <w:rsid w:val="00102E81"/>
    <w:rsid w:val="00102EF8"/>
    <w:rsid w:val="00102FC0"/>
    <w:rsid w:val="00103055"/>
    <w:rsid w:val="00103118"/>
    <w:rsid w:val="0010313B"/>
    <w:rsid w:val="00103374"/>
    <w:rsid w:val="001034C7"/>
    <w:rsid w:val="00103540"/>
    <w:rsid w:val="00103638"/>
    <w:rsid w:val="00103690"/>
    <w:rsid w:val="0010378E"/>
    <w:rsid w:val="001037D2"/>
    <w:rsid w:val="0010380F"/>
    <w:rsid w:val="0010383B"/>
    <w:rsid w:val="00103891"/>
    <w:rsid w:val="0010398A"/>
    <w:rsid w:val="00103ADF"/>
    <w:rsid w:val="00103AE4"/>
    <w:rsid w:val="00103D41"/>
    <w:rsid w:val="00103E1D"/>
    <w:rsid w:val="00103EE2"/>
    <w:rsid w:val="00104031"/>
    <w:rsid w:val="001040AF"/>
    <w:rsid w:val="00104129"/>
    <w:rsid w:val="001041F1"/>
    <w:rsid w:val="0010420E"/>
    <w:rsid w:val="00104216"/>
    <w:rsid w:val="001042B2"/>
    <w:rsid w:val="0010439B"/>
    <w:rsid w:val="001047A4"/>
    <w:rsid w:val="00104901"/>
    <w:rsid w:val="0010493C"/>
    <w:rsid w:val="00104A48"/>
    <w:rsid w:val="00104B51"/>
    <w:rsid w:val="00104FF8"/>
    <w:rsid w:val="001051DF"/>
    <w:rsid w:val="001052B2"/>
    <w:rsid w:val="001052F8"/>
    <w:rsid w:val="0010546E"/>
    <w:rsid w:val="001055A5"/>
    <w:rsid w:val="001055E3"/>
    <w:rsid w:val="00105648"/>
    <w:rsid w:val="001056C6"/>
    <w:rsid w:val="00105725"/>
    <w:rsid w:val="001058C4"/>
    <w:rsid w:val="001058CD"/>
    <w:rsid w:val="00105AF4"/>
    <w:rsid w:val="00105B8C"/>
    <w:rsid w:val="00105B92"/>
    <w:rsid w:val="00105CC0"/>
    <w:rsid w:val="00105D27"/>
    <w:rsid w:val="00105D37"/>
    <w:rsid w:val="00105F7B"/>
    <w:rsid w:val="001062E4"/>
    <w:rsid w:val="00106430"/>
    <w:rsid w:val="00106529"/>
    <w:rsid w:val="00106804"/>
    <w:rsid w:val="0010686A"/>
    <w:rsid w:val="0010697E"/>
    <w:rsid w:val="00106A89"/>
    <w:rsid w:val="00106A8C"/>
    <w:rsid w:val="00106BD6"/>
    <w:rsid w:val="00106BF9"/>
    <w:rsid w:val="00106C36"/>
    <w:rsid w:val="00106C8F"/>
    <w:rsid w:val="00106DE8"/>
    <w:rsid w:val="00106F19"/>
    <w:rsid w:val="00106F4B"/>
    <w:rsid w:val="00106F70"/>
    <w:rsid w:val="0010701C"/>
    <w:rsid w:val="0010706C"/>
    <w:rsid w:val="00107148"/>
    <w:rsid w:val="001071B7"/>
    <w:rsid w:val="001071D0"/>
    <w:rsid w:val="001072B8"/>
    <w:rsid w:val="001073C6"/>
    <w:rsid w:val="00107672"/>
    <w:rsid w:val="0010768A"/>
    <w:rsid w:val="00107767"/>
    <w:rsid w:val="001077C4"/>
    <w:rsid w:val="00107829"/>
    <w:rsid w:val="00107894"/>
    <w:rsid w:val="001079B9"/>
    <w:rsid w:val="00107A4C"/>
    <w:rsid w:val="00107AC3"/>
    <w:rsid w:val="00107B06"/>
    <w:rsid w:val="00107C70"/>
    <w:rsid w:val="00107D58"/>
    <w:rsid w:val="00107D63"/>
    <w:rsid w:val="00107FD7"/>
    <w:rsid w:val="00110082"/>
    <w:rsid w:val="001101AA"/>
    <w:rsid w:val="0011020D"/>
    <w:rsid w:val="001102BB"/>
    <w:rsid w:val="001102F9"/>
    <w:rsid w:val="001103C1"/>
    <w:rsid w:val="00110472"/>
    <w:rsid w:val="001104A4"/>
    <w:rsid w:val="001105D8"/>
    <w:rsid w:val="0011099B"/>
    <w:rsid w:val="00110B28"/>
    <w:rsid w:val="00110C11"/>
    <w:rsid w:val="00110C63"/>
    <w:rsid w:val="00110D2D"/>
    <w:rsid w:val="00110F47"/>
    <w:rsid w:val="0011107C"/>
    <w:rsid w:val="0011109A"/>
    <w:rsid w:val="00111143"/>
    <w:rsid w:val="001113C2"/>
    <w:rsid w:val="00111903"/>
    <w:rsid w:val="001119CF"/>
    <w:rsid w:val="00111C56"/>
    <w:rsid w:val="00111CCE"/>
    <w:rsid w:val="00111D96"/>
    <w:rsid w:val="00111DBE"/>
    <w:rsid w:val="00111E4F"/>
    <w:rsid w:val="001120E7"/>
    <w:rsid w:val="00112206"/>
    <w:rsid w:val="0011231A"/>
    <w:rsid w:val="001123C7"/>
    <w:rsid w:val="0011248A"/>
    <w:rsid w:val="001124E2"/>
    <w:rsid w:val="00112573"/>
    <w:rsid w:val="00112604"/>
    <w:rsid w:val="00112606"/>
    <w:rsid w:val="001128F3"/>
    <w:rsid w:val="00112920"/>
    <w:rsid w:val="00112B58"/>
    <w:rsid w:val="00112B6B"/>
    <w:rsid w:val="00112B7D"/>
    <w:rsid w:val="00112B8E"/>
    <w:rsid w:val="00112D61"/>
    <w:rsid w:val="00112EBD"/>
    <w:rsid w:val="00113002"/>
    <w:rsid w:val="001134E8"/>
    <w:rsid w:val="00113675"/>
    <w:rsid w:val="001136D7"/>
    <w:rsid w:val="001137DF"/>
    <w:rsid w:val="00113827"/>
    <w:rsid w:val="00113830"/>
    <w:rsid w:val="0011383F"/>
    <w:rsid w:val="00113A44"/>
    <w:rsid w:val="00113ABD"/>
    <w:rsid w:val="00113B97"/>
    <w:rsid w:val="00113C3B"/>
    <w:rsid w:val="00113D63"/>
    <w:rsid w:val="00113DA3"/>
    <w:rsid w:val="00113E51"/>
    <w:rsid w:val="00113E6F"/>
    <w:rsid w:val="0011406F"/>
    <w:rsid w:val="00114165"/>
    <w:rsid w:val="001141A1"/>
    <w:rsid w:val="00114254"/>
    <w:rsid w:val="001142DC"/>
    <w:rsid w:val="00114888"/>
    <w:rsid w:val="00114B51"/>
    <w:rsid w:val="00114B7F"/>
    <w:rsid w:val="00114BCA"/>
    <w:rsid w:val="00114C68"/>
    <w:rsid w:val="00114D02"/>
    <w:rsid w:val="00114D07"/>
    <w:rsid w:val="00114D0A"/>
    <w:rsid w:val="00114D9E"/>
    <w:rsid w:val="00114FA6"/>
    <w:rsid w:val="001151E3"/>
    <w:rsid w:val="001151F7"/>
    <w:rsid w:val="00115340"/>
    <w:rsid w:val="00115956"/>
    <w:rsid w:val="00115AB1"/>
    <w:rsid w:val="00115AB3"/>
    <w:rsid w:val="00115BBF"/>
    <w:rsid w:val="00115D64"/>
    <w:rsid w:val="00115DAE"/>
    <w:rsid w:val="001160F7"/>
    <w:rsid w:val="00116113"/>
    <w:rsid w:val="001166B2"/>
    <w:rsid w:val="00116925"/>
    <w:rsid w:val="00116930"/>
    <w:rsid w:val="00116B6A"/>
    <w:rsid w:val="00116B95"/>
    <w:rsid w:val="00116D53"/>
    <w:rsid w:val="00117169"/>
    <w:rsid w:val="001171B4"/>
    <w:rsid w:val="001172CB"/>
    <w:rsid w:val="001175B4"/>
    <w:rsid w:val="001175D3"/>
    <w:rsid w:val="00117695"/>
    <w:rsid w:val="00117735"/>
    <w:rsid w:val="00117A9F"/>
    <w:rsid w:val="00117EA6"/>
    <w:rsid w:val="00120092"/>
    <w:rsid w:val="00120155"/>
    <w:rsid w:val="001201AE"/>
    <w:rsid w:val="001201D7"/>
    <w:rsid w:val="00120243"/>
    <w:rsid w:val="001203C6"/>
    <w:rsid w:val="001203F0"/>
    <w:rsid w:val="0012053D"/>
    <w:rsid w:val="00120614"/>
    <w:rsid w:val="0012066B"/>
    <w:rsid w:val="0012077A"/>
    <w:rsid w:val="0012079B"/>
    <w:rsid w:val="00120833"/>
    <w:rsid w:val="00120870"/>
    <w:rsid w:val="00120A5D"/>
    <w:rsid w:val="00121039"/>
    <w:rsid w:val="0012115E"/>
    <w:rsid w:val="001211EC"/>
    <w:rsid w:val="00121328"/>
    <w:rsid w:val="0012141D"/>
    <w:rsid w:val="00121514"/>
    <w:rsid w:val="00121521"/>
    <w:rsid w:val="001215B5"/>
    <w:rsid w:val="001216F5"/>
    <w:rsid w:val="00121861"/>
    <w:rsid w:val="00121A41"/>
    <w:rsid w:val="00121B09"/>
    <w:rsid w:val="00121DFF"/>
    <w:rsid w:val="00121F36"/>
    <w:rsid w:val="00121FC2"/>
    <w:rsid w:val="00122184"/>
    <w:rsid w:val="001222A3"/>
    <w:rsid w:val="00122472"/>
    <w:rsid w:val="0012262B"/>
    <w:rsid w:val="0012265B"/>
    <w:rsid w:val="001226AA"/>
    <w:rsid w:val="001228FA"/>
    <w:rsid w:val="00122A84"/>
    <w:rsid w:val="00122B1D"/>
    <w:rsid w:val="00122C17"/>
    <w:rsid w:val="00122C87"/>
    <w:rsid w:val="00122DF9"/>
    <w:rsid w:val="00122EE6"/>
    <w:rsid w:val="00122FA5"/>
    <w:rsid w:val="00122FB0"/>
    <w:rsid w:val="00123274"/>
    <w:rsid w:val="00123277"/>
    <w:rsid w:val="001234C3"/>
    <w:rsid w:val="0012359D"/>
    <w:rsid w:val="001235CB"/>
    <w:rsid w:val="001235ED"/>
    <w:rsid w:val="001235EE"/>
    <w:rsid w:val="001237E3"/>
    <w:rsid w:val="0012385B"/>
    <w:rsid w:val="00123882"/>
    <w:rsid w:val="001239D1"/>
    <w:rsid w:val="00123C8B"/>
    <w:rsid w:val="00123D41"/>
    <w:rsid w:val="00123E5C"/>
    <w:rsid w:val="00123FAB"/>
    <w:rsid w:val="00123FEB"/>
    <w:rsid w:val="00124020"/>
    <w:rsid w:val="0012459A"/>
    <w:rsid w:val="001245C0"/>
    <w:rsid w:val="00124788"/>
    <w:rsid w:val="0012486D"/>
    <w:rsid w:val="001248E0"/>
    <w:rsid w:val="00124969"/>
    <w:rsid w:val="00124B4B"/>
    <w:rsid w:val="00124DF6"/>
    <w:rsid w:val="00124E30"/>
    <w:rsid w:val="00124E84"/>
    <w:rsid w:val="00124FF4"/>
    <w:rsid w:val="0012513B"/>
    <w:rsid w:val="0012522B"/>
    <w:rsid w:val="00125287"/>
    <w:rsid w:val="0012541A"/>
    <w:rsid w:val="0012554A"/>
    <w:rsid w:val="00125709"/>
    <w:rsid w:val="001257C0"/>
    <w:rsid w:val="001258F5"/>
    <w:rsid w:val="00125984"/>
    <w:rsid w:val="00125BDB"/>
    <w:rsid w:val="00125C25"/>
    <w:rsid w:val="00125D7E"/>
    <w:rsid w:val="00125D97"/>
    <w:rsid w:val="00125DA8"/>
    <w:rsid w:val="00125E4C"/>
    <w:rsid w:val="0012607B"/>
    <w:rsid w:val="001261C5"/>
    <w:rsid w:val="0012624C"/>
    <w:rsid w:val="0012629D"/>
    <w:rsid w:val="001262B9"/>
    <w:rsid w:val="001263C5"/>
    <w:rsid w:val="001263D4"/>
    <w:rsid w:val="00126420"/>
    <w:rsid w:val="00126502"/>
    <w:rsid w:val="001265D6"/>
    <w:rsid w:val="00126659"/>
    <w:rsid w:val="00126782"/>
    <w:rsid w:val="001267A0"/>
    <w:rsid w:val="00126948"/>
    <w:rsid w:val="0012696E"/>
    <w:rsid w:val="00126A48"/>
    <w:rsid w:val="00126C48"/>
    <w:rsid w:val="00126E9B"/>
    <w:rsid w:val="00126EFA"/>
    <w:rsid w:val="00127156"/>
    <w:rsid w:val="00127160"/>
    <w:rsid w:val="001272CC"/>
    <w:rsid w:val="00127372"/>
    <w:rsid w:val="0012743A"/>
    <w:rsid w:val="001274AE"/>
    <w:rsid w:val="0012754D"/>
    <w:rsid w:val="0012756C"/>
    <w:rsid w:val="00127581"/>
    <w:rsid w:val="00127588"/>
    <w:rsid w:val="001277F7"/>
    <w:rsid w:val="00127900"/>
    <w:rsid w:val="00127A0A"/>
    <w:rsid w:val="00127A7A"/>
    <w:rsid w:val="00127A8A"/>
    <w:rsid w:val="00127ADC"/>
    <w:rsid w:val="00127B63"/>
    <w:rsid w:val="00127BCE"/>
    <w:rsid w:val="00127D2F"/>
    <w:rsid w:val="00127E47"/>
    <w:rsid w:val="00127EA5"/>
    <w:rsid w:val="00127EC1"/>
    <w:rsid w:val="00127FA4"/>
    <w:rsid w:val="001301D4"/>
    <w:rsid w:val="001301DC"/>
    <w:rsid w:val="00130311"/>
    <w:rsid w:val="00130385"/>
    <w:rsid w:val="00130549"/>
    <w:rsid w:val="0013055F"/>
    <w:rsid w:val="001306C7"/>
    <w:rsid w:val="00130755"/>
    <w:rsid w:val="00130975"/>
    <w:rsid w:val="0013098B"/>
    <w:rsid w:val="00130A9E"/>
    <w:rsid w:val="00130B75"/>
    <w:rsid w:val="00130CED"/>
    <w:rsid w:val="00130EB5"/>
    <w:rsid w:val="0013139D"/>
    <w:rsid w:val="001314E0"/>
    <w:rsid w:val="00131548"/>
    <w:rsid w:val="001315A5"/>
    <w:rsid w:val="001316AD"/>
    <w:rsid w:val="00131713"/>
    <w:rsid w:val="00131718"/>
    <w:rsid w:val="00131933"/>
    <w:rsid w:val="001319C0"/>
    <w:rsid w:val="001319D5"/>
    <w:rsid w:val="001319DC"/>
    <w:rsid w:val="001319FC"/>
    <w:rsid w:val="00131C3E"/>
    <w:rsid w:val="00131C9C"/>
    <w:rsid w:val="00131F82"/>
    <w:rsid w:val="00131FEA"/>
    <w:rsid w:val="00132061"/>
    <w:rsid w:val="001320B9"/>
    <w:rsid w:val="00132170"/>
    <w:rsid w:val="001323C2"/>
    <w:rsid w:val="0013269E"/>
    <w:rsid w:val="00132757"/>
    <w:rsid w:val="00132BE8"/>
    <w:rsid w:val="00132D09"/>
    <w:rsid w:val="00132D60"/>
    <w:rsid w:val="00132E01"/>
    <w:rsid w:val="00133123"/>
    <w:rsid w:val="00133153"/>
    <w:rsid w:val="00133478"/>
    <w:rsid w:val="001334B8"/>
    <w:rsid w:val="001336FD"/>
    <w:rsid w:val="00133ADA"/>
    <w:rsid w:val="00133AE7"/>
    <w:rsid w:val="00133BCA"/>
    <w:rsid w:val="00133C49"/>
    <w:rsid w:val="00133C5C"/>
    <w:rsid w:val="00133D5B"/>
    <w:rsid w:val="00133EEB"/>
    <w:rsid w:val="0013400F"/>
    <w:rsid w:val="0013407E"/>
    <w:rsid w:val="001340A6"/>
    <w:rsid w:val="001342C4"/>
    <w:rsid w:val="0013453D"/>
    <w:rsid w:val="0013464C"/>
    <w:rsid w:val="00134B89"/>
    <w:rsid w:val="00134CD4"/>
    <w:rsid w:val="00134D01"/>
    <w:rsid w:val="00134E2D"/>
    <w:rsid w:val="00134ED7"/>
    <w:rsid w:val="00135088"/>
    <w:rsid w:val="00135261"/>
    <w:rsid w:val="001354C7"/>
    <w:rsid w:val="001359AA"/>
    <w:rsid w:val="00135A63"/>
    <w:rsid w:val="00135AC2"/>
    <w:rsid w:val="00135B2C"/>
    <w:rsid w:val="00135B44"/>
    <w:rsid w:val="00135BFD"/>
    <w:rsid w:val="00135D81"/>
    <w:rsid w:val="00135F49"/>
    <w:rsid w:val="001360BE"/>
    <w:rsid w:val="0013616C"/>
    <w:rsid w:val="001363CA"/>
    <w:rsid w:val="001363E5"/>
    <w:rsid w:val="001364AC"/>
    <w:rsid w:val="001365AB"/>
    <w:rsid w:val="00136648"/>
    <w:rsid w:val="0013670D"/>
    <w:rsid w:val="00136731"/>
    <w:rsid w:val="00136775"/>
    <w:rsid w:val="001369D5"/>
    <w:rsid w:val="00136A9B"/>
    <w:rsid w:val="00136CC5"/>
    <w:rsid w:val="00136D63"/>
    <w:rsid w:val="00136F66"/>
    <w:rsid w:val="00137008"/>
    <w:rsid w:val="00137261"/>
    <w:rsid w:val="00137272"/>
    <w:rsid w:val="00137335"/>
    <w:rsid w:val="00137488"/>
    <w:rsid w:val="001376A8"/>
    <w:rsid w:val="00137711"/>
    <w:rsid w:val="00137839"/>
    <w:rsid w:val="001379F3"/>
    <w:rsid w:val="00137C44"/>
    <w:rsid w:val="001401E1"/>
    <w:rsid w:val="00140204"/>
    <w:rsid w:val="0014024D"/>
    <w:rsid w:val="0014028F"/>
    <w:rsid w:val="001402DF"/>
    <w:rsid w:val="00140376"/>
    <w:rsid w:val="001403BA"/>
    <w:rsid w:val="001407EF"/>
    <w:rsid w:val="00140819"/>
    <w:rsid w:val="00140878"/>
    <w:rsid w:val="001408B5"/>
    <w:rsid w:val="0014090C"/>
    <w:rsid w:val="001409F6"/>
    <w:rsid w:val="00140B0E"/>
    <w:rsid w:val="00140D67"/>
    <w:rsid w:val="00140E72"/>
    <w:rsid w:val="00140F4B"/>
    <w:rsid w:val="00141333"/>
    <w:rsid w:val="001413BC"/>
    <w:rsid w:val="001413F6"/>
    <w:rsid w:val="0014157E"/>
    <w:rsid w:val="00141672"/>
    <w:rsid w:val="001416B0"/>
    <w:rsid w:val="001416CA"/>
    <w:rsid w:val="00141752"/>
    <w:rsid w:val="001418B3"/>
    <w:rsid w:val="001419C0"/>
    <w:rsid w:val="00141A15"/>
    <w:rsid w:val="00141A40"/>
    <w:rsid w:val="00141BD1"/>
    <w:rsid w:val="00141BEE"/>
    <w:rsid w:val="00141C3C"/>
    <w:rsid w:val="00141D1B"/>
    <w:rsid w:val="00141D28"/>
    <w:rsid w:val="00141DBC"/>
    <w:rsid w:val="00141E75"/>
    <w:rsid w:val="00141EC2"/>
    <w:rsid w:val="00141F18"/>
    <w:rsid w:val="00141F92"/>
    <w:rsid w:val="00141FC2"/>
    <w:rsid w:val="0014216F"/>
    <w:rsid w:val="0014230B"/>
    <w:rsid w:val="001425F7"/>
    <w:rsid w:val="001426E3"/>
    <w:rsid w:val="001428A5"/>
    <w:rsid w:val="001429D0"/>
    <w:rsid w:val="00142A4A"/>
    <w:rsid w:val="00142D0A"/>
    <w:rsid w:val="00142E99"/>
    <w:rsid w:val="00142EF3"/>
    <w:rsid w:val="00142FF2"/>
    <w:rsid w:val="00143209"/>
    <w:rsid w:val="00143268"/>
    <w:rsid w:val="00143420"/>
    <w:rsid w:val="0014346E"/>
    <w:rsid w:val="00143483"/>
    <w:rsid w:val="0014350A"/>
    <w:rsid w:val="00143655"/>
    <w:rsid w:val="001439B7"/>
    <w:rsid w:val="00143A50"/>
    <w:rsid w:val="00143A91"/>
    <w:rsid w:val="00143C58"/>
    <w:rsid w:val="00143CCB"/>
    <w:rsid w:val="00143D77"/>
    <w:rsid w:val="00143D8B"/>
    <w:rsid w:val="00143DBE"/>
    <w:rsid w:val="00143ED6"/>
    <w:rsid w:val="00144067"/>
    <w:rsid w:val="001445C4"/>
    <w:rsid w:val="0014488D"/>
    <w:rsid w:val="00144ACC"/>
    <w:rsid w:val="00144B3E"/>
    <w:rsid w:val="00144C1E"/>
    <w:rsid w:val="00144C75"/>
    <w:rsid w:val="001450A3"/>
    <w:rsid w:val="00145154"/>
    <w:rsid w:val="0014516E"/>
    <w:rsid w:val="00145377"/>
    <w:rsid w:val="001453AD"/>
    <w:rsid w:val="001455D7"/>
    <w:rsid w:val="001456B3"/>
    <w:rsid w:val="001458A3"/>
    <w:rsid w:val="001458DB"/>
    <w:rsid w:val="00145909"/>
    <w:rsid w:val="0014595A"/>
    <w:rsid w:val="00145C5A"/>
    <w:rsid w:val="00145E13"/>
    <w:rsid w:val="00145E41"/>
    <w:rsid w:val="00145EDF"/>
    <w:rsid w:val="00145F9E"/>
    <w:rsid w:val="00145FFC"/>
    <w:rsid w:val="0014616D"/>
    <w:rsid w:val="0014619C"/>
    <w:rsid w:val="00146221"/>
    <w:rsid w:val="0014635C"/>
    <w:rsid w:val="001464D8"/>
    <w:rsid w:val="00146667"/>
    <w:rsid w:val="001467EE"/>
    <w:rsid w:val="0014694F"/>
    <w:rsid w:val="001469E5"/>
    <w:rsid w:val="00146BD4"/>
    <w:rsid w:val="00146D34"/>
    <w:rsid w:val="00146DF2"/>
    <w:rsid w:val="00146FD5"/>
    <w:rsid w:val="0014707D"/>
    <w:rsid w:val="0014715E"/>
    <w:rsid w:val="00147360"/>
    <w:rsid w:val="00147373"/>
    <w:rsid w:val="00147597"/>
    <w:rsid w:val="00147620"/>
    <w:rsid w:val="00147636"/>
    <w:rsid w:val="001479BE"/>
    <w:rsid w:val="00147A72"/>
    <w:rsid w:val="00147AF0"/>
    <w:rsid w:val="00147B94"/>
    <w:rsid w:val="00147C2B"/>
    <w:rsid w:val="00147D30"/>
    <w:rsid w:val="00147D35"/>
    <w:rsid w:val="00147EBE"/>
    <w:rsid w:val="00147F50"/>
    <w:rsid w:val="0015022A"/>
    <w:rsid w:val="00150270"/>
    <w:rsid w:val="00150481"/>
    <w:rsid w:val="00150539"/>
    <w:rsid w:val="00150AC1"/>
    <w:rsid w:val="00150B57"/>
    <w:rsid w:val="00150B5B"/>
    <w:rsid w:val="00150C6E"/>
    <w:rsid w:val="00150D4D"/>
    <w:rsid w:val="00150D72"/>
    <w:rsid w:val="00150DA9"/>
    <w:rsid w:val="00150F98"/>
    <w:rsid w:val="00150FF0"/>
    <w:rsid w:val="00151017"/>
    <w:rsid w:val="00151270"/>
    <w:rsid w:val="00151403"/>
    <w:rsid w:val="0015141A"/>
    <w:rsid w:val="00151639"/>
    <w:rsid w:val="001516C3"/>
    <w:rsid w:val="0015186A"/>
    <w:rsid w:val="001518DC"/>
    <w:rsid w:val="00151B8F"/>
    <w:rsid w:val="00151BA0"/>
    <w:rsid w:val="00151C18"/>
    <w:rsid w:val="00151C7C"/>
    <w:rsid w:val="00151D24"/>
    <w:rsid w:val="00151E83"/>
    <w:rsid w:val="00151E8E"/>
    <w:rsid w:val="00151FC2"/>
    <w:rsid w:val="001520E3"/>
    <w:rsid w:val="00152228"/>
    <w:rsid w:val="0015225D"/>
    <w:rsid w:val="00152281"/>
    <w:rsid w:val="00152484"/>
    <w:rsid w:val="001526A5"/>
    <w:rsid w:val="0015274C"/>
    <w:rsid w:val="001528BB"/>
    <w:rsid w:val="00152B24"/>
    <w:rsid w:val="00152D02"/>
    <w:rsid w:val="00152DB8"/>
    <w:rsid w:val="00152DEA"/>
    <w:rsid w:val="00152E6D"/>
    <w:rsid w:val="00152E9E"/>
    <w:rsid w:val="00152FB9"/>
    <w:rsid w:val="0015305B"/>
    <w:rsid w:val="00153144"/>
    <w:rsid w:val="001533D6"/>
    <w:rsid w:val="00153483"/>
    <w:rsid w:val="0015355A"/>
    <w:rsid w:val="00153582"/>
    <w:rsid w:val="00153686"/>
    <w:rsid w:val="001536B6"/>
    <w:rsid w:val="001536C8"/>
    <w:rsid w:val="001537CA"/>
    <w:rsid w:val="00153C65"/>
    <w:rsid w:val="00153FAE"/>
    <w:rsid w:val="00154239"/>
    <w:rsid w:val="00154259"/>
    <w:rsid w:val="00154591"/>
    <w:rsid w:val="001545C2"/>
    <w:rsid w:val="00154698"/>
    <w:rsid w:val="00154794"/>
    <w:rsid w:val="001547AC"/>
    <w:rsid w:val="001547B5"/>
    <w:rsid w:val="0015485A"/>
    <w:rsid w:val="001548FA"/>
    <w:rsid w:val="00154A19"/>
    <w:rsid w:val="00154A88"/>
    <w:rsid w:val="00154AA9"/>
    <w:rsid w:val="00154CAE"/>
    <w:rsid w:val="00154D7F"/>
    <w:rsid w:val="00154DC2"/>
    <w:rsid w:val="00154E24"/>
    <w:rsid w:val="00154E6F"/>
    <w:rsid w:val="00154F93"/>
    <w:rsid w:val="001551F0"/>
    <w:rsid w:val="0015534E"/>
    <w:rsid w:val="0015572B"/>
    <w:rsid w:val="0015596A"/>
    <w:rsid w:val="00155D31"/>
    <w:rsid w:val="00155D5A"/>
    <w:rsid w:val="00155DA1"/>
    <w:rsid w:val="00155E18"/>
    <w:rsid w:val="00155E19"/>
    <w:rsid w:val="0015609B"/>
    <w:rsid w:val="001560F1"/>
    <w:rsid w:val="00156345"/>
    <w:rsid w:val="0015640D"/>
    <w:rsid w:val="001566E9"/>
    <w:rsid w:val="001569AA"/>
    <w:rsid w:val="00156B3B"/>
    <w:rsid w:val="00156B43"/>
    <w:rsid w:val="00156B52"/>
    <w:rsid w:val="00156BF5"/>
    <w:rsid w:val="00156D94"/>
    <w:rsid w:val="00156EB1"/>
    <w:rsid w:val="00156F1F"/>
    <w:rsid w:val="001570FE"/>
    <w:rsid w:val="00157347"/>
    <w:rsid w:val="00157498"/>
    <w:rsid w:val="00157565"/>
    <w:rsid w:val="001576A0"/>
    <w:rsid w:val="001576BC"/>
    <w:rsid w:val="001577C4"/>
    <w:rsid w:val="00157962"/>
    <w:rsid w:val="00157ADD"/>
    <w:rsid w:val="00157CB0"/>
    <w:rsid w:val="00157D6A"/>
    <w:rsid w:val="00157D73"/>
    <w:rsid w:val="00157E10"/>
    <w:rsid w:val="00157F25"/>
    <w:rsid w:val="001600AD"/>
    <w:rsid w:val="00160136"/>
    <w:rsid w:val="0016039B"/>
    <w:rsid w:val="001604E8"/>
    <w:rsid w:val="00160773"/>
    <w:rsid w:val="0016086E"/>
    <w:rsid w:val="00160A14"/>
    <w:rsid w:val="00160C0F"/>
    <w:rsid w:val="00160CF2"/>
    <w:rsid w:val="00160D22"/>
    <w:rsid w:val="00160EDC"/>
    <w:rsid w:val="0016102F"/>
    <w:rsid w:val="00161127"/>
    <w:rsid w:val="001611D2"/>
    <w:rsid w:val="00161288"/>
    <w:rsid w:val="0016187B"/>
    <w:rsid w:val="00161895"/>
    <w:rsid w:val="001618A9"/>
    <w:rsid w:val="00161A4A"/>
    <w:rsid w:val="00161B51"/>
    <w:rsid w:val="00161BD6"/>
    <w:rsid w:val="00161C6E"/>
    <w:rsid w:val="00161CCD"/>
    <w:rsid w:val="00161D99"/>
    <w:rsid w:val="00161DA2"/>
    <w:rsid w:val="00161DBF"/>
    <w:rsid w:val="00161EAC"/>
    <w:rsid w:val="00161F76"/>
    <w:rsid w:val="00161F79"/>
    <w:rsid w:val="00162185"/>
    <w:rsid w:val="00162255"/>
    <w:rsid w:val="0016230B"/>
    <w:rsid w:val="001624B4"/>
    <w:rsid w:val="0016260B"/>
    <w:rsid w:val="001627A2"/>
    <w:rsid w:val="00162A62"/>
    <w:rsid w:val="00162AE9"/>
    <w:rsid w:val="00162CFA"/>
    <w:rsid w:val="00162DAC"/>
    <w:rsid w:val="00162F4E"/>
    <w:rsid w:val="00162F73"/>
    <w:rsid w:val="00162F79"/>
    <w:rsid w:val="00163025"/>
    <w:rsid w:val="00163064"/>
    <w:rsid w:val="001630FD"/>
    <w:rsid w:val="001631C2"/>
    <w:rsid w:val="001631D4"/>
    <w:rsid w:val="00163246"/>
    <w:rsid w:val="00163267"/>
    <w:rsid w:val="0016359A"/>
    <w:rsid w:val="001636D0"/>
    <w:rsid w:val="0016379E"/>
    <w:rsid w:val="001637D2"/>
    <w:rsid w:val="001639C6"/>
    <w:rsid w:val="001639F8"/>
    <w:rsid w:val="00163B54"/>
    <w:rsid w:val="00163B5E"/>
    <w:rsid w:val="00163CD8"/>
    <w:rsid w:val="00163EDF"/>
    <w:rsid w:val="00164170"/>
    <w:rsid w:val="001643B6"/>
    <w:rsid w:val="00164467"/>
    <w:rsid w:val="00164578"/>
    <w:rsid w:val="001645C7"/>
    <w:rsid w:val="00164626"/>
    <w:rsid w:val="00164973"/>
    <w:rsid w:val="001649F0"/>
    <w:rsid w:val="00164A9B"/>
    <w:rsid w:val="00164B0C"/>
    <w:rsid w:val="00164B53"/>
    <w:rsid w:val="00164D30"/>
    <w:rsid w:val="00164E79"/>
    <w:rsid w:val="00164F04"/>
    <w:rsid w:val="00165047"/>
    <w:rsid w:val="00165129"/>
    <w:rsid w:val="00165194"/>
    <w:rsid w:val="0016521F"/>
    <w:rsid w:val="0016527C"/>
    <w:rsid w:val="001652EF"/>
    <w:rsid w:val="0016537B"/>
    <w:rsid w:val="0016539B"/>
    <w:rsid w:val="001653FB"/>
    <w:rsid w:val="00165439"/>
    <w:rsid w:val="00165457"/>
    <w:rsid w:val="001656B5"/>
    <w:rsid w:val="001657E2"/>
    <w:rsid w:val="00165BD2"/>
    <w:rsid w:val="00165C61"/>
    <w:rsid w:val="00165CB2"/>
    <w:rsid w:val="00165D6E"/>
    <w:rsid w:val="00165D72"/>
    <w:rsid w:val="00165E64"/>
    <w:rsid w:val="00165F8C"/>
    <w:rsid w:val="00165FA2"/>
    <w:rsid w:val="001660B7"/>
    <w:rsid w:val="001660FD"/>
    <w:rsid w:val="00166257"/>
    <w:rsid w:val="001662BA"/>
    <w:rsid w:val="0016648B"/>
    <w:rsid w:val="00166552"/>
    <w:rsid w:val="0016664D"/>
    <w:rsid w:val="00166895"/>
    <w:rsid w:val="0016694C"/>
    <w:rsid w:val="00166A61"/>
    <w:rsid w:val="00166AA4"/>
    <w:rsid w:val="00166AD2"/>
    <w:rsid w:val="00166E2B"/>
    <w:rsid w:val="00166E63"/>
    <w:rsid w:val="00166F22"/>
    <w:rsid w:val="00167084"/>
    <w:rsid w:val="001672CC"/>
    <w:rsid w:val="001673D9"/>
    <w:rsid w:val="0016742D"/>
    <w:rsid w:val="001675B3"/>
    <w:rsid w:val="00167701"/>
    <w:rsid w:val="00167705"/>
    <w:rsid w:val="00167708"/>
    <w:rsid w:val="00167746"/>
    <w:rsid w:val="00167884"/>
    <w:rsid w:val="00167A41"/>
    <w:rsid w:val="00167AAC"/>
    <w:rsid w:val="00167B80"/>
    <w:rsid w:val="00167C76"/>
    <w:rsid w:val="00167D2D"/>
    <w:rsid w:val="00167D69"/>
    <w:rsid w:val="00167D95"/>
    <w:rsid w:val="00167F58"/>
    <w:rsid w:val="00167FB7"/>
    <w:rsid w:val="001701A2"/>
    <w:rsid w:val="0017042E"/>
    <w:rsid w:val="0017043B"/>
    <w:rsid w:val="0017044C"/>
    <w:rsid w:val="00170508"/>
    <w:rsid w:val="00170533"/>
    <w:rsid w:val="00170634"/>
    <w:rsid w:val="0017084A"/>
    <w:rsid w:val="00170881"/>
    <w:rsid w:val="001708E6"/>
    <w:rsid w:val="00170B9B"/>
    <w:rsid w:val="00170C35"/>
    <w:rsid w:val="00170C46"/>
    <w:rsid w:val="00170E09"/>
    <w:rsid w:val="00170E67"/>
    <w:rsid w:val="001711E3"/>
    <w:rsid w:val="0017141F"/>
    <w:rsid w:val="00171454"/>
    <w:rsid w:val="001715E1"/>
    <w:rsid w:val="00171698"/>
    <w:rsid w:val="0017184B"/>
    <w:rsid w:val="00171948"/>
    <w:rsid w:val="001719F1"/>
    <w:rsid w:val="00171D0F"/>
    <w:rsid w:val="00171FC1"/>
    <w:rsid w:val="00171FCB"/>
    <w:rsid w:val="00172000"/>
    <w:rsid w:val="001720CB"/>
    <w:rsid w:val="001721A2"/>
    <w:rsid w:val="001722C6"/>
    <w:rsid w:val="001724B0"/>
    <w:rsid w:val="00172618"/>
    <w:rsid w:val="00172A05"/>
    <w:rsid w:val="00172A85"/>
    <w:rsid w:val="00172B0A"/>
    <w:rsid w:val="00172BFE"/>
    <w:rsid w:val="00172C8F"/>
    <w:rsid w:val="00172D40"/>
    <w:rsid w:val="00172F3E"/>
    <w:rsid w:val="001731DC"/>
    <w:rsid w:val="001731FC"/>
    <w:rsid w:val="0017344C"/>
    <w:rsid w:val="0017346A"/>
    <w:rsid w:val="00173834"/>
    <w:rsid w:val="00173975"/>
    <w:rsid w:val="00173AC4"/>
    <w:rsid w:val="00173BF5"/>
    <w:rsid w:val="00173FA7"/>
    <w:rsid w:val="00174055"/>
    <w:rsid w:val="001741D0"/>
    <w:rsid w:val="00174284"/>
    <w:rsid w:val="001743CD"/>
    <w:rsid w:val="001743D1"/>
    <w:rsid w:val="001745AC"/>
    <w:rsid w:val="001745FE"/>
    <w:rsid w:val="00174640"/>
    <w:rsid w:val="001746B0"/>
    <w:rsid w:val="00174713"/>
    <w:rsid w:val="00174ABF"/>
    <w:rsid w:val="00174DA7"/>
    <w:rsid w:val="00174E81"/>
    <w:rsid w:val="00174EDE"/>
    <w:rsid w:val="00175105"/>
    <w:rsid w:val="00175149"/>
    <w:rsid w:val="001752E9"/>
    <w:rsid w:val="001756DA"/>
    <w:rsid w:val="00175AC2"/>
    <w:rsid w:val="00175BAE"/>
    <w:rsid w:val="001761DB"/>
    <w:rsid w:val="001762B2"/>
    <w:rsid w:val="001762D2"/>
    <w:rsid w:val="001762D9"/>
    <w:rsid w:val="001764D5"/>
    <w:rsid w:val="001764E7"/>
    <w:rsid w:val="0017664D"/>
    <w:rsid w:val="00176720"/>
    <w:rsid w:val="0017688A"/>
    <w:rsid w:val="00176A8A"/>
    <w:rsid w:val="00176B6F"/>
    <w:rsid w:val="00176BF9"/>
    <w:rsid w:val="00176CDF"/>
    <w:rsid w:val="00176CF1"/>
    <w:rsid w:val="00176D7F"/>
    <w:rsid w:val="00176DB3"/>
    <w:rsid w:val="00176EC6"/>
    <w:rsid w:val="00176F8D"/>
    <w:rsid w:val="00177010"/>
    <w:rsid w:val="00177084"/>
    <w:rsid w:val="00177125"/>
    <w:rsid w:val="001772BD"/>
    <w:rsid w:val="00177368"/>
    <w:rsid w:val="00177390"/>
    <w:rsid w:val="0017741E"/>
    <w:rsid w:val="001775BB"/>
    <w:rsid w:val="001776FB"/>
    <w:rsid w:val="0017771A"/>
    <w:rsid w:val="00177952"/>
    <w:rsid w:val="001779C9"/>
    <w:rsid w:val="00177A56"/>
    <w:rsid w:val="00177CF5"/>
    <w:rsid w:val="00177D9C"/>
    <w:rsid w:val="00177E0E"/>
    <w:rsid w:val="00177E16"/>
    <w:rsid w:val="00177EBF"/>
    <w:rsid w:val="00177F52"/>
    <w:rsid w:val="00177F78"/>
    <w:rsid w:val="00177FDB"/>
    <w:rsid w:val="00180005"/>
    <w:rsid w:val="001801CB"/>
    <w:rsid w:val="001802AA"/>
    <w:rsid w:val="0018033B"/>
    <w:rsid w:val="001803E6"/>
    <w:rsid w:val="00180510"/>
    <w:rsid w:val="00180582"/>
    <w:rsid w:val="0018063A"/>
    <w:rsid w:val="001807F0"/>
    <w:rsid w:val="00180995"/>
    <w:rsid w:val="00180A75"/>
    <w:rsid w:val="00180A7C"/>
    <w:rsid w:val="00180AE7"/>
    <w:rsid w:val="00180D8C"/>
    <w:rsid w:val="00180EA6"/>
    <w:rsid w:val="00180ED3"/>
    <w:rsid w:val="0018101D"/>
    <w:rsid w:val="00181042"/>
    <w:rsid w:val="00181091"/>
    <w:rsid w:val="001810C1"/>
    <w:rsid w:val="00181209"/>
    <w:rsid w:val="00181275"/>
    <w:rsid w:val="001815AA"/>
    <w:rsid w:val="00181645"/>
    <w:rsid w:val="00181734"/>
    <w:rsid w:val="00181739"/>
    <w:rsid w:val="00181775"/>
    <w:rsid w:val="0018185E"/>
    <w:rsid w:val="00181B08"/>
    <w:rsid w:val="00181BE8"/>
    <w:rsid w:val="00181D35"/>
    <w:rsid w:val="00181EFC"/>
    <w:rsid w:val="00181FB9"/>
    <w:rsid w:val="00182189"/>
    <w:rsid w:val="00182212"/>
    <w:rsid w:val="001823FC"/>
    <w:rsid w:val="0018242C"/>
    <w:rsid w:val="001824AB"/>
    <w:rsid w:val="0018252E"/>
    <w:rsid w:val="0018270C"/>
    <w:rsid w:val="001828E7"/>
    <w:rsid w:val="00182916"/>
    <w:rsid w:val="00182939"/>
    <w:rsid w:val="0018298B"/>
    <w:rsid w:val="001829EA"/>
    <w:rsid w:val="00182A50"/>
    <w:rsid w:val="00182AD8"/>
    <w:rsid w:val="00182B93"/>
    <w:rsid w:val="00182EAB"/>
    <w:rsid w:val="00183245"/>
    <w:rsid w:val="001832A0"/>
    <w:rsid w:val="001834AB"/>
    <w:rsid w:val="0018370F"/>
    <w:rsid w:val="00183963"/>
    <w:rsid w:val="00183A60"/>
    <w:rsid w:val="00183B4C"/>
    <w:rsid w:val="00183B8E"/>
    <w:rsid w:val="00183C26"/>
    <w:rsid w:val="00183DA3"/>
    <w:rsid w:val="00184101"/>
    <w:rsid w:val="001841FA"/>
    <w:rsid w:val="00184213"/>
    <w:rsid w:val="00184371"/>
    <w:rsid w:val="0018438D"/>
    <w:rsid w:val="001846DB"/>
    <w:rsid w:val="001846DF"/>
    <w:rsid w:val="001847FE"/>
    <w:rsid w:val="00184935"/>
    <w:rsid w:val="00184957"/>
    <w:rsid w:val="001849A2"/>
    <w:rsid w:val="001849F6"/>
    <w:rsid w:val="00184A95"/>
    <w:rsid w:val="00184C53"/>
    <w:rsid w:val="00184D57"/>
    <w:rsid w:val="00184E7F"/>
    <w:rsid w:val="00185010"/>
    <w:rsid w:val="0018517C"/>
    <w:rsid w:val="00185204"/>
    <w:rsid w:val="00185261"/>
    <w:rsid w:val="00185300"/>
    <w:rsid w:val="00185357"/>
    <w:rsid w:val="0018535E"/>
    <w:rsid w:val="001853B0"/>
    <w:rsid w:val="001854FD"/>
    <w:rsid w:val="001856E8"/>
    <w:rsid w:val="00185723"/>
    <w:rsid w:val="001858C0"/>
    <w:rsid w:val="00185992"/>
    <w:rsid w:val="00185A95"/>
    <w:rsid w:val="00185B3A"/>
    <w:rsid w:val="00185BD4"/>
    <w:rsid w:val="00185C0E"/>
    <w:rsid w:val="00185DB8"/>
    <w:rsid w:val="00185FBC"/>
    <w:rsid w:val="0018604C"/>
    <w:rsid w:val="001865E1"/>
    <w:rsid w:val="00186619"/>
    <w:rsid w:val="0018676D"/>
    <w:rsid w:val="00186785"/>
    <w:rsid w:val="0018683E"/>
    <w:rsid w:val="0018692A"/>
    <w:rsid w:val="00186952"/>
    <w:rsid w:val="0018698F"/>
    <w:rsid w:val="00186AC5"/>
    <w:rsid w:val="00186B36"/>
    <w:rsid w:val="00186B84"/>
    <w:rsid w:val="00186BD4"/>
    <w:rsid w:val="00186E0D"/>
    <w:rsid w:val="00187112"/>
    <w:rsid w:val="00187169"/>
    <w:rsid w:val="00187234"/>
    <w:rsid w:val="00187360"/>
    <w:rsid w:val="001873F7"/>
    <w:rsid w:val="00187444"/>
    <w:rsid w:val="0018791F"/>
    <w:rsid w:val="00187BBF"/>
    <w:rsid w:val="00187BFE"/>
    <w:rsid w:val="00187C05"/>
    <w:rsid w:val="00187D0D"/>
    <w:rsid w:val="00187D4D"/>
    <w:rsid w:val="00190262"/>
    <w:rsid w:val="00190320"/>
    <w:rsid w:val="00190445"/>
    <w:rsid w:val="001905B7"/>
    <w:rsid w:val="0019061E"/>
    <w:rsid w:val="001907A9"/>
    <w:rsid w:val="001909C4"/>
    <w:rsid w:val="00190C19"/>
    <w:rsid w:val="00190E3A"/>
    <w:rsid w:val="00190F18"/>
    <w:rsid w:val="00190F37"/>
    <w:rsid w:val="0019120E"/>
    <w:rsid w:val="00191210"/>
    <w:rsid w:val="001912C2"/>
    <w:rsid w:val="00191440"/>
    <w:rsid w:val="001914C8"/>
    <w:rsid w:val="001914DB"/>
    <w:rsid w:val="0019172F"/>
    <w:rsid w:val="00191A93"/>
    <w:rsid w:val="00191C83"/>
    <w:rsid w:val="00191D99"/>
    <w:rsid w:val="00192072"/>
    <w:rsid w:val="0019224D"/>
    <w:rsid w:val="0019227C"/>
    <w:rsid w:val="0019230D"/>
    <w:rsid w:val="001923B9"/>
    <w:rsid w:val="001923EE"/>
    <w:rsid w:val="00192541"/>
    <w:rsid w:val="001925EF"/>
    <w:rsid w:val="00192798"/>
    <w:rsid w:val="00192845"/>
    <w:rsid w:val="0019299C"/>
    <w:rsid w:val="00192A0F"/>
    <w:rsid w:val="00192AFE"/>
    <w:rsid w:val="00192B24"/>
    <w:rsid w:val="00192B4A"/>
    <w:rsid w:val="00192BB1"/>
    <w:rsid w:val="00192D05"/>
    <w:rsid w:val="00192F5B"/>
    <w:rsid w:val="00192F69"/>
    <w:rsid w:val="00192F85"/>
    <w:rsid w:val="00193009"/>
    <w:rsid w:val="0019323D"/>
    <w:rsid w:val="001935D5"/>
    <w:rsid w:val="001937B6"/>
    <w:rsid w:val="001937E6"/>
    <w:rsid w:val="001937F2"/>
    <w:rsid w:val="00193D28"/>
    <w:rsid w:val="00193DB6"/>
    <w:rsid w:val="00194454"/>
    <w:rsid w:val="001945F1"/>
    <w:rsid w:val="0019478C"/>
    <w:rsid w:val="001947BE"/>
    <w:rsid w:val="001947DC"/>
    <w:rsid w:val="0019489B"/>
    <w:rsid w:val="00194A1C"/>
    <w:rsid w:val="00194A2D"/>
    <w:rsid w:val="00194CEB"/>
    <w:rsid w:val="001950C6"/>
    <w:rsid w:val="001950F7"/>
    <w:rsid w:val="001952F7"/>
    <w:rsid w:val="001953E6"/>
    <w:rsid w:val="001953FB"/>
    <w:rsid w:val="0019549D"/>
    <w:rsid w:val="001958A0"/>
    <w:rsid w:val="00195AAB"/>
    <w:rsid w:val="00195BC3"/>
    <w:rsid w:val="00195D60"/>
    <w:rsid w:val="00195D9F"/>
    <w:rsid w:val="00195DB2"/>
    <w:rsid w:val="00195F8E"/>
    <w:rsid w:val="00195FAE"/>
    <w:rsid w:val="0019622E"/>
    <w:rsid w:val="00196314"/>
    <w:rsid w:val="0019652F"/>
    <w:rsid w:val="0019653C"/>
    <w:rsid w:val="001965B1"/>
    <w:rsid w:val="001965FE"/>
    <w:rsid w:val="0019664D"/>
    <w:rsid w:val="00196664"/>
    <w:rsid w:val="001966A2"/>
    <w:rsid w:val="00196705"/>
    <w:rsid w:val="001967EE"/>
    <w:rsid w:val="0019697A"/>
    <w:rsid w:val="00196A09"/>
    <w:rsid w:val="00196A9F"/>
    <w:rsid w:val="00196C13"/>
    <w:rsid w:val="00196C57"/>
    <w:rsid w:val="00196CAB"/>
    <w:rsid w:val="00196F36"/>
    <w:rsid w:val="00197087"/>
    <w:rsid w:val="001971A8"/>
    <w:rsid w:val="001971C6"/>
    <w:rsid w:val="001971E7"/>
    <w:rsid w:val="00197228"/>
    <w:rsid w:val="0019747A"/>
    <w:rsid w:val="0019777A"/>
    <w:rsid w:val="00197984"/>
    <w:rsid w:val="00197A1D"/>
    <w:rsid w:val="00197A5E"/>
    <w:rsid w:val="00197AC8"/>
    <w:rsid w:val="00197D89"/>
    <w:rsid w:val="001A01C5"/>
    <w:rsid w:val="001A03D1"/>
    <w:rsid w:val="001A05E6"/>
    <w:rsid w:val="001A0656"/>
    <w:rsid w:val="001A06FB"/>
    <w:rsid w:val="001A0774"/>
    <w:rsid w:val="001A07FF"/>
    <w:rsid w:val="001A0826"/>
    <w:rsid w:val="001A0B52"/>
    <w:rsid w:val="001A0B8D"/>
    <w:rsid w:val="001A0BB8"/>
    <w:rsid w:val="001A0BBA"/>
    <w:rsid w:val="001A0C50"/>
    <w:rsid w:val="001A0CA6"/>
    <w:rsid w:val="001A0D23"/>
    <w:rsid w:val="001A0F92"/>
    <w:rsid w:val="001A101B"/>
    <w:rsid w:val="001A103F"/>
    <w:rsid w:val="001A10F3"/>
    <w:rsid w:val="001A127E"/>
    <w:rsid w:val="001A1295"/>
    <w:rsid w:val="001A131E"/>
    <w:rsid w:val="001A14ED"/>
    <w:rsid w:val="001A1789"/>
    <w:rsid w:val="001A17F6"/>
    <w:rsid w:val="001A17FD"/>
    <w:rsid w:val="001A1821"/>
    <w:rsid w:val="001A1841"/>
    <w:rsid w:val="001A1871"/>
    <w:rsid w:val="001A18CB"/>
    <w:rsid w:val="001A1A04"/>
    <w:rsid w:val="001A1B10"/>
    <w:rsid w:val="001A1D4A"/>
    <w:rsid w:val="001A1D62"/>
    <w:rsid w:val="001A203B"/>
    <w:rsid w:val="001A21D3"/>
    <w:rsid w:val="001A22BB"/>
    <w:rsid w:val="001A24DE"/>
    <w:rsid w:val="001A2781"/>
    <w:rsid w:val="001A2805"/>
    <w:rsid w:val="001A28AD"/>
    <w:rsid w:val="001A2B59"/>
    <w:rsid w:val="001A2B77"/>
    <w:rsid w:val="001A2DD3"/>
    <w:rsid w:val="001A2E54"/>
    <w:rsid w:val="001A2EA6"/>
    <w:rsid w:val="001A2FC7"/>
    <w:rsid w:val="001A3230"/>
    <w:rsid w:val="001A328A"/>
    <w:rsid w:val="001A3348"/>
    <w:rsid w:val="001A339D"/>
    <w:rsid w:val="001A3463"/>
    <w:rsid w:val="001A363D"/>
    <w:rsid w:val="001A36E1"/>
    <w:rsid w:val="001A3B47"/>
    <w:rsid w:val="001A3BC0"/>
    <w:rsid w:val="001A3DCE"/>
    <w:rsid w:val="001A3E25"/>
    <w:rsid w:val="001A3F7E"/>
    <w:rsid w:val="001A40D2"/>
    <w:rsid w:val="001A41D5"/>
    <w:rsid w:val="001A4254"/>
    <w:rsid w:val="001A42C9"/>
    <w:rsid w:val="001A4313"/>
    <w:rsid w:val="001A441B"/>
    <w:rsid w:val="001A44E4"/>
    <w:rsid w:val="001A4582"/>
    <w:rsid w:val="001A487B"/>
    <w:rsid w:val="001A4C3C"/>
    <w:rsid w:val="001A4CD4"/>
    <w:rsid w:val="001A4D40"/>
    <w:rsid w:val="001A50B0"/>
    <w:rsid w:val="001A55F9"/>
    <w:rsid w:val="001A560C"/>
    <w:rsid w:val="001A5A39"/>
    <w:rsid w:val="001A5B19"/>
    <w:rsid w:val="001A5CD1"/>
    <w:rsid w:val="001A5D9B"/>
    <w:rsid w:val="001A5E12"/>
    <w:rsid w:val="001A5E91"/>
    <w:rsid w:val="001A5E9B"/>
    <w:rsid w:val="001A602F"/>
    <w:rsid w:val="001A603D"/>
    <w:rsid w:val="001A6156"/>
    <w:rsid w:val="001A62B8"/>
    <w:rsid w:val="001A64C3"/>
    <w:rsid w:val="001A6542"/>
    <w:rsid w:val="001A6757"/>
    <w:rsid w:val="001A686C"/>
    <w:rsid w:val="001A6AF7"/>
    <w:rsid w:val="001A6B0B"/>
    <w:rsid w:val="001A6BBB"/>
    <w:rsid w:val="001A6CB5"/>
    <w:rsid w:val="001A6CF5"/>
    <w:rsid w:val="001A6CFC"/>
    <w:rsid w:val="001A6D45"/>
    <w:rsid w:val="001A6DF6"/>
    <w:rsid w:val="001A6E15"/>
    <w:rsid w:val="001A6EE5"/>
    <w:rsid w:val="001A6F19"/>
    <w:rsid w:val="001A7073"/>
    <w:rsid w:val="001A719F"/>
    <w:rsid w:val="001A71FC"/>
    <w:rsid w:val="001A7231"/>
    <w:rsid w:val="001A7278"/>
    <w:rsid w:val="001A752B"/>
    <w:rsid w:val="001A7619"/>
    <w:rsid w:val="001A776C"/>
    <w:rsid w:val="001A7776"/>
    <w:rsid w:val="001A7821"/>
    <w:rsid w:val="001A788F"/>
    <w:rsid w:val="001A793A"/>
    <w:rsid w:val="001A7A19"/>
    <w:rsid w:val="001A7A2C"/>
    <w:rsid w:val="001A7A32"/>
    <w:rsid w:val="001A7B24"/>
    <w:rsid w:val="001A7E25"/>
    <w:rsid w:val="001B022E"/>
    <w:rsid w:val="001B0235"/>
    <w:rsid w:val="001B0252"/>
    <w:rsid w:val="001B0350"/>
    <w:rsid w:val="001B04FB"/>
    <w:rsid w:val="001B0662"/>
    <w:rsid w:val="001B06F4"/>
    <w:rsid w:val="001B07F3"/>
    <w:rsid w:val="001B090D"/>
    <w:rsid w:val="001B0954"/>
    <w:rsid w:val="001B09A1"/>
    <w:rsid w:val="001B0A05"/>
    <w:rsid w:val="001B0B46"/>
    <w:rsid w:val="001B0BF3"/>
    <w:rsid w:val="001B0C99"/>
    <w:rsid w:val="001B11E1"/>
    <w:rsid w:val="001B1365"/>
    <w:rsid w:val="001B1498"/>
    <w:rsid w:val="001B1605"/>
    <w:rsid w:val="001B165D"/>
    <w:rsid w:val="001B1678"/>
    <w:rsid w:val="001B174F"/>
    <w:rsid w:val="001B1794"/>
    <w:rsid w:val="001B1944"/>
    <w:rsid w:val="001B1B7F"/>
    <w:rsid w:val="001B1DB0"/>
    <w:rsid w:val="001B1E08"/>
    <w:rsid w:val="001B1EAA"/>
    <w:rsid w:val="001B1EB4"/>
    <w:rsid w:val="001B20EF"/>
    <w:rsid w:val="001B2101"/>
    <w:rsid w:val="001B2104"/>
    <w:rsid w:val="001B2198"/>
    <w:rsid w:val="001B2207"/>
    <w:rsid w:val="001B23E5"/>
    <w:rsid w:val="001B2592"/>
    <w:rsid w:val="001B291D"/>
    <w:rsid w:val="001B2962"/>
    <w:rsid w:val="001B298D"/>
    <w:rsid w:val="001B2A1C"/>
    <w:rsid w:val="001B2BD2"/>
    <w:rsid w:val="001B2BE7"/>
    <w:rsid w:val="001B2DF0"/>
    <w:rsid w:val="001B2F15"/>
    <w:rsid w:val="001B2F16"/>
    <w:rsid w:val="001B2F57"/>
    <w:rsid w:val="001B2FF3"/>
    <w:rsid w:val="001B3031"/>
    <w:rsid w:val="001B311A"/>
    <w:rsid w:val="001B336E"/>
    <w:rsid w:val="001B342F"/>
    <w:rsid w:val="001B3472"/>
    <w:rsid w:val="001B34FF"/>
    <w:rsid w:val="001B356A"/>
    <w:rsid w:val="001B3574"/>
    <w:rsid w:val="001B35EA"/>
    <w:rsid w:val="001B3621"/>
    <w:rsid w:val="001B3925"/>
    <w:rsid w:val="001B3BEC"/>
    <w:rsid w:val="001B4262"/>
    <w:rsid w:val="001B426A"/>
    <w:rsid w:val="001B4272"/>
    <w:rsid w:val="001B4451"/>
    <w:rsid w:val="001B44A5"/>
    <w:rsid w:val="001B4590"/>
    <w:rsid w:val="001B45A2"/>
    <w:rsid w:val="001B46CF"/>
    <w:rsid w:val="001B48AA"/>
    <w:rsid w:val="001B48FE"/>
    <w:rsid w:val="001B4959"/>
    <w:rsid w:val="001B49DA"/>
    <w:rsid w:val="001B4DC7"/>
    <w:rsid w:val="001B4E67"/>
    <w:rsid w:val="001B4F1E"/>
    <w:rsid w:val="001B500A"/>
    <w:rsid w:val="001B5069"/>
    <w:rsid w:val="001B508E"/>
    <w:rsid w:val="001B5178"/>
    <w:rsid w:val="001B51C0"/>
    <w:rsid w:val="001B54CE"/>
    <w:rsid w:val="001B54F5"/>
    <w:rsid w:val="001B55EA"/>
    <w:rsid w:val="001B55FA"/>
    <w:rsid w:val="001B5733"/>
    <w:rsid w:val="001B59D0"/>
    <w:rsid w:val="001B5A46"/>
    <w:rsid w:val="001B5ED2"/>
    <w:rsid w:val="001B606B"/>
    <w:rsid w:val="001B60B9"/>
    <w:rsid w:val="001B630E"/>
    <w:rsid w:val="001B6416"/>
    <w:rsid w:val="001B666E"/>
    <w:rsid w:val="001B66E6"/>
    <w:rsid w:val="001B67EB"/>
    <w:rsid w:val="001B691D"/>
    <w:rsid w:val="001B692B"/>
    <w:rsid w:val="001B6937"/>
    <w:rsid w:val="001B6C40"/>
    <w:rsid w:val="001B6C88"/>
    <w:rsid w:val="001B6DC3"/>
    <w:rsid w:val="001B6E7B"/>
    <w:rsid w:val="001B7050"/>
    <w:rsid w:val="001B71FF"/>
    <w:rsid w:val="001B7366"/>
    <w:rsid w:val="001B7511"/>
    <w:rsid w:val="001B757B"/>
    <w:rsid w:val="001B75A4"/>
    <w:rsid w:val="001B761F"/>
    <w:rsid w:val="001B76E7"/>
    <w:rsid w:val="001B77DB"/>
    <w:rsid w:val="001B78E2"/>
    <w:rsid w:val="001B7B1B"/>
    <w:rsid w:val="001B7BB9"/>
    <w:rsid w:val="001B7C7A"/>
    <w:rsid w:val="001B7EBE"/>
    <w:rsid w:val="001B7EE8"/>
    <w:rsid w:val="001B7F8B"/>
    <w:rsid w:val="001C0035"/>
    <w:rsid w:val="001C008F"/>
    <w:rsid w:val="001C013C"/>
    <w:rsid w:val="001C0142"/>
    <w:rsid w:val="001C018F"/>
    <w:rsid w:val="001C01AF"/>
    <w:rsid w:val="001C02C9"/>
    <w:rsid w:val="001C049E"/>
    <w:rsid w:val="001C0649"/>
    <w:rsid w:val="001C07F4"/>
    <w:rsid w:val="001C0893"/>
    <w:rsid w:val="001C0B8C"/>
    <w:rsid w:val="001C0C1B"/>
    <w:rsid w:val="001C0DD9"/>
    <w:rsid w:val="001C0E3E"/>
    <w:rsid w:val="001C0F63"/>
    <w:rsid w:val="001C1033"/>
    <w:rsid w:val="001C10A1"/>
    <w:rsid w:val="001C10A9"/>
    <w:rsid w:val="001C11D9"/>
    <w:rsid w:val="001C1356"/>
    <w:rsid w:val="001C13D8"/>
    <w:rsid w:val="001C13DD"/>
    <w:rsid w:val="001C142A"/>
    <w:rsid w:val="001C159F"/>
    <w:rsid w:val="001C160E"/>
    <w:rsid w:val="001C195A"/>
    <w:rsid w:val="001C1981"/>
    <w:rsid w:val="001C19D9"/>
    <w:rsid w:val="001C1B22"/>
    <w:rsid w:val="001C1C12"/>
    <w:rsid w:val="001C1C40"/>
    <w:rsid w:val="001C204C"/>
    <w:rsid w:val="001C20CF"/>
    <w:rsid w:val="001C214F"/>
    <w:rsid w:val="001C22E4"/>
    <w:rsid w:val="001C239D"/>
    <w:rsid w:val="001C2968"/>
    <w:rsid w:val="001C2A62"/>
    <w:rsid w:val="001C2B08"/>
    <w:rsid w:val="001C2C88"/>
    <w:rsid w:val="001C2EEF"/>
    <w:rsid w:val="001C2F63"/>
    <w:rsid w:val="001C2F78"/>
    <w:rsid w:val="001C3044"/>
    <w:rsid w:val="001C312D"/>
    <w:rsid w:val="001C3579"/>
    <w:rsid w:val="001C35EA"/>
    <w:rsid w:val="001C39F6"/>
    <w:rsid w:val="001C3C22"/>
    <w:rsid w:val="001C412E"/>
    <w:rsid w:val="001C4171"/>
    <w:rsid w:val="001C41C1"/>
    <w:rsid w:val="001C41D2"/>
    <w:rsid w:val="001C420A"/>
    <w:rsid w:val="001C4406"/>
    <w:rsid w:val="001C4433"/>
    <w:rsid w:val="001C4444"/>
    <w:rsid w:val="001C45ED"/>
    <w:rsid w:val="001C4649"/>
    <w:rsid w:val="001C4771"/>
    <w:rsid w:val="001C4803"/>
    <w:rsid w:val="001C4809"/>
    <w:rsid w:val="001C48DE"/>
    <w:rsid w:val="001C491C"/>
    <w:rsid w:val="001C4955"/>
    <w:rsid w:val="001C49F0"/>
    <w:rsid w:val="001C4B48"/>
    <w:rsid w:val="001C4B53"/>
    <w:rsid w:val="001C4BEF"/>
    <w:rsid w:val="001C4D18"/>
    <w:rsid w:val="001C4D58"/>
    <w:rsid w:val="001C4E0B"/>
    <w:rsid w:val="001C4E59"/>
    <w:rsid w:val="001C4E73"/>
    <w:rsid w:val="001C4F0A"/>
    <w:rsid w:val="001C4FA6"/>
    <w:rsid w:val="001C51E8"/>
    <w:rsid w:val="001C525F"/>
    <w:rsid w:val="001C5369"/>
    <w:rsid w:val="001C5518"/>
    <w:rsid w:val="001C556E"/>
    <w:rsid w:val="001C5821"/>
    <w:rsid w:val="001C58C4"/>
    <w:rsid w:val="001C5909"/>
    <w:rsid w:val="001C5954"/>
    <w:rsid w:val="001C5B92"/>
    <w:rsid w:val="001C5BA8"/>
    <w:rsid w:val="001C5D53"/>
    <w:rsid w:val="001C610D"/>
    <w:rsid w:val="001C61F1"/>
    <w:rsid w:val="001C61F5"/>
    <w:rsid w:val="001C6571"/>
    <w:rsid w:val="001C6620"/>
    <w:rsid w:val="001C6692"/>
    <w:rsid w:val="001C6723"/>
    <w:rsid w:val="001C679C"/>
    <w:rsid w:val="001C68F7"/>
    <w:rsid w:val="001C6C62"/>
    <w:rsid w:val="001C6CEE"/>
    <w:rsid w:val="001C6E3C"/>
    <w:rsid w:val="001C6EB2"/>
    <w:rsid w:val="001C6FB4"/>
    <w:rsid w:val="001C6FC6"/>
    <w:rsid w:val="001C70F2"/>
    <w:rsid w:val="001C7234"/>
    <w:rsid w:val="001C7685"/>
    <w:rsid w:val="001C770B"/>
    <w:rsid w:val="001C7747"/>
    <w:rsid w:val="001C7796"/>
    <w:rsid w:val="001C7820"/>
    <w:rsid w:val="001C78C0"/>
    <w:rsid w:val="001C7B13"/>
    <w:rsid w:val="001C7E0B"/>
    <w:rsid w:val="001C7FD6"/>
    <w:rsid w:val="001D0073"/>
    <w:rsid w:val="001D010B"/>
    <w:rsid w:val="001D01AE"/>
    <w:rsid w:val="001D01C6"/>
    <w:rsid w:val="001D02BB"/>
    <w:rsid w:val="001D03B1"/>
    <w:rsid w:val="001D0533"/>
    <w:rsid w:val="001D0708"/>
    <w:rsid w:val="001D0829"/>
    <w:rsid w:val="001D08CD"/>
    <w:rsid w:val="001D0AE3"/>
    <w:rsid w:val="001D0AEE"/>
    <w:rsid w:val="001D0BC1"/>
    <w:rsid w:val="001D0C13"/>
    <w:rsid w:val="001D0CFA"/>
    <w:rsid w:val="001D0FBD"/>
    <w:rsid w:val="001D10BB"/>
    <w:rsid w:val="001D114E"/>
    <w:rsid w:val="001D122B"/>
    <w:rsid w:val="001D125D"/>
    <w:rsid w:val="001D13CD"/>
    <w:rsid w:val="001D1436"/>
    <w:rsid w:val="001D14C8"/>
    <w:rsid w:val="001D1644"/>
    <w:rsid w:val="001D1696"/>
    <w:rsid w:val="001D16A4"/>
    <w:rsid w:val="001D172C"/>
    <w:rsid w:val="001D19F6"/>
    <w:rsid w:val="001D1C46"/>
    <w:rsid w:val="001D1DDC"/>
    <w:rsid w:val="001D1E40"/>
    <w:rsid w:val="001D1EC5"/>
    <w:rsid w:val="001D2003"/>
    <w:rsid w:val="001D205B"/>
    <w:rsid w:val="001D2104"/>
    <w:rsid w:val="001D2174"/>
    <w:rsid w:val="001D2190"/>
    <w:rsid w:val="001D2226"/>
    <w:rsid w:val="001D236C"/>
    <w:rsid w:val="001D249B"/>
    <w:rsid w:val="001D2542"/>
    <w:rsid w:val="001D2823"/>
    <w:rsid w:val="001D2A71"/>
    <w:rsid w:val="001D2DF5"/>
    <w:rsid w:val="001D2E71"/>
    <w:rsid w:val="001D2E90"/>
    <w:rsid w:val="001D2EAC"/>
    <w:rsid w:val="001D2F13"/>
    <w:rsid w:val="001D2FE1"/>
    <w:rsid w:val="001D31D2"/>
    <w:rsid w:val="001D31F9"/>
    <w:rsid w:val="001D3238"/>
    <w:rsid w:val="001D33A8"/>
    <w:rsid w:val="001D3446"/>
    <w:rsid w:val="001D346F"/>
    <w:rsid w:val="001D356D"/>
    <w:rsid w:val="001D372F"/>
    <w:rsid w:val="001D3AD5"/>
    <w:rsid w:val="001D3DCB"/>
    <w:rsid w:val="001D3E0B"/>
    <w:rsid w:val="001D3ED5"/>
    <w:rsid w:val="001D3F33"/>
    <w:rsid w:val="001D3F3E"/>
    <w:rsid w:val="001D4026"/>
    <w:rsid w:val="001D460A"/>
    <w:rsid w:val="001D480D"/>
    <w:rsid w:val="001D4CA1"/>
    <w:rsid w:val="001D4DA9"/>
    <w:rsid w:val="001D5228"/>
    <w:rsid w:val="001D523D"/>
    <w:rsid w:val="001D534C"/>
    <w:rsid w:val="001D5363"/>
    <w:rsid w:val="001D5631"/>
    <w:rsid w:val="001D5636"/>
    <w:rsid w:val="001D5713"/>
    <w:rsid w:val="001D5A22"/>
    <w:rsid w:val="001D5A33"/>
    <w:rsid w:val="001D5E3D"/>
    <w:rsid w:val="001D5E69"/>
    <w:rsid w:val="001D5F89"/>
    <w:rsid w:val="001D5FAE"/>
    <w:rsid w:val="001D6004"/>
    <w:rsid w:val="001D60D1"/>
    <w:rsid w:val="001D61E5"/>
    <w:rsid w:val="001D629F"/>
    <w:rsid w:val="001D62CA"/>
    <w:rsid w:val="001D6487"/>
    <w:rsid w:val="001D65D8"/>
    <w:rsid w:val="001D65D9"/>
    <w:rsid w:val="001D65EC"/>
    <w:rsid w:val="001D661C"/>
    <w:rsid w:val="001D6A37"/>
    <w:rsid w:val="001D6CA6"/>
    <w:rsid w:val="001D6CE6"/>
    <w:rsid w:val="001D6E1A"/>
    <w:rsid w:val="001D6E1C"/>
    <w:rsid w:val="001D6E42"/>
    <w:rsid w:val="001D6FF7"/>
    <w:rsid w:val="001D707E"/>
    <w:rsid w:val="001D7135"/>
    <w:rsid w:val="001D7176"/>
    <w:rsid w:val="001D71ED"/>
    <w:rsid w:val="001D728E"/>
    <w:rsid w:val="001D7444"/>
    <w:rsid w:val="001D747F"/>
    <w:rsid w:val="001D74DA"/>
    <w:rsid w:val="001D7656"/>
    <w:rsid w:val="001D78C5"/>
    <w:rsid w:val="001D7B59"/>
    <w:rsid w:val="001D7BB0"/>
    <w:rsid w:val="001D7C2C"/>
    <w:rsid w:val="001D7CC3"/>
    <w:rsid w:val="001D7CDD"/>
    <w:rsid w:val="001D7D12"/>
    <w:rsid w:val="001D7D3B"/>
    <w:rsid w:val="001D7DE7"/>
    <w:rsid w:val="001D7DF4"/>
    <w:rsid w:val="001D7FCE"/>
    <w:rsid w:val="001E0037"/>
    <w:rsid w:val="001E00CF"/>
    <w:rsid w:val="001E0154"/>
    <w:rsid w:val="001E01DC"/>
    <w:rsid w:val="001E0246"/>
    <w:rsid w:val="001E02BA"/>
    <w:rsid w:val="001E0309"/>
    <w:rsid w:val="001E0443"/>
    <w:rsid w:val="001E0462"/>
    <w:rsid w:val="001E0494"/>
    <w:rsid w:val="001E049A"/>
    <w:rsid w:val="001E0607"/>
    <w:rsid w:val="001E0617"/>
    <w:rsid w:val="001E061C"/>
    <w:rsid w:val="001E0752"/>
    <w:rsid w:val="001E096A"/>
    <w:rsid w:val="001E0B24"/>
    <w:rsid w:val="001E0BDC"/>
    <w:rsid w:val="001E0C76"/>
    <w:rsid w:val="001E0CD2"/>
    <w:rsid w:val="001E0D7F"/>
    <w:rsid w:val="001E0E44"/>
    <w:rsid w:val="001E0FE7"/>
    <w:rsid w:val="001E104A"/>
    <w:rsid w:val="001E10A9"/>
    <w:rsid w:val="001E1255"/>
    <w:rsid w:val="001E13D6"/>
    <w:rsid w:val="001E1514"/>
    <w:rsid w:val="001E1560"/>
    <w:rsid w:val="001E1610"/>
    <w:rsid w:val="001E17E6"/>
    <w:rsid w:val="001E199E"/>
    <w:rsid w:val="001E1C9C"/>
    <w:rsid w:val="001E1DB2"/>
    <w:rsid w:val="001E1DDA"/>
    <w:rsid w:val="001E1E3C"/>
    <w:rsid w:val="001E1E63"/>
    <w:rsid w:val="001E1F18"/>
    <w:rsid w:val="001E221C"/>
    <w:rsid w:val="001E2393"/>
    <w:rsid w:val="001E2633"/>
    <w:rsid w:val="001E26EA"/>
    <w:rsid w:val="001E2746"/>
    <w:rsid w:val="001E27AF"/>
    <w:rsid w:val="001E27E4"/>
    <w:rsid w:val="001E2A63"/>
    <w:rsid w:val="001E2A7A"/>
    <w:rsid w:val="001E2D81"/>
    <w:rsid w:val="001E2D8E"/>
    <w:rsid w:val="001E2DC0"/>
    <w:rsid w:val="001E2E9A"/>
    <w:rsid w:val="001E2E9B"/>
    <w:rsid w:val="001E3126"/>
    <w:rsid w:val="001E3195"/>
    <w:rsid w:val="001E332B"/>
    <w:rsid w:val="001E3635"/>
    <w:rsid w:val="001E3707"/>
    <w:rsid w:val="001E37B5"/>
    <w:rsid w:val="001E37F3"/>
    <w:rsid w:val="001E3A54"/>
    <w:rsid w:val="001E3AC9"/>
    <w:rsid w:val="001E3C22"/>
    <w:rsid w:val="001E3C68"/>
    <w:rsid w:val="001E3D0F"/>
    <w:rsid w:val="001E3E2C"/>
    <w:rsid w:val="001E3E81"/>
    <w:rsid w:val="001E3F49"/>
    <w:rsid w:val="001E400E"/>
    <w:rsid w:val="001E4237"/>
    <w:rsid w:val="001E42CB"/>
    <w:rsid w:val="001E42D2"/>
    <w:rsid w:val="001E43DE"/>
    <w:rsid w:val="001E440F"/>
    <w:rsid w:val="001E447F"/>
    <w:rsid w:val="001E4729"/>
    <w:rsid w:val="001E474A"/>
    <w:rsid w:val="001E4904"/>
    <w:rsid w:val="001E495F"/>
    <w:rsid w:val="001E4970"/>
    <w:rsid w:val="001E4B86"/>
    <w:rsid w:val="001E4BA7"/>
    <w:rsid w:val="001E4C5B"/>
    <w:rsid w:val="001E4D81"/>
    <w:rsid w:val="001E4DBA"/>
    <w:rsid w:val="001E4E49"/>
    <w:rsid w:val="001E519B"/>
    <w:rsid w:val="001E5380"/>
    <w:rsid w:val="001E5457"/>
    <w:rsid w:val="001E546E"/>
    <w:rsid w:val="001E54AA"/>
    <w:rsid w:val="001E58EC"/>
    <w:rsid w:val="001E592B"/>
    <w:rsid w:val="001E598A"/>
    <w:rsid w:val="001E5D04"/>
    <w:rsid w:val="001E5D72"/>
    <w:rsid w:val="001E5E8D"/>
    <w:rsid w:val="001E5E92"/>
    <w:rsid w:val="001E60B8"/>
    <w:rsid w:val="001E6198"/>
    <w:rsid w:val="001E61F3"/>
    <w:rsid w:val="001E620B"/>
    <w:rsid w:val="001E6288"/>
    <w:rsid w:val="001E62D8"/>
    <w:rsid w:val="001E6764"/>
    <w:rsid w:val="001E67E7"/>
    <w:rsid w:val="001E6814"/>
    <w:rsid w:val="001E693C"/>
    <w:rsid w:val="001E6A29"/>
    <w:rsid w:val="001E6B80"/>
    <w:rsid w:val="001E6C0B"/>
    <w:rsid w:val="001E6C4F"/>
    <w:rsid w:val="001E6D35"/>
    <w:rsid w:val="001E6ED3"/>
    <w:rsid w:val="001E708E"/>
    <w:rsid w:val="001E7364"/>
    <w:rsid w:val="001E73CD"/>
    <w:rsid w:val="001E74BC"/>
    <w:rsid w:val="001E7527"/>
    <w:rsid w:val="001E77AB"/>
    <w:rsid w:val="001E78AE"/>
    <w:rsid w:val="001E7B8D"/>
    <w:rsid w:val="001E7CD1"/>
    <w:rsid w:val="001E7E2A"/>
    <w:rsid w:val="001E7EC7"/>
    <w:rsid w:val="001E7EE6"/>
    <w:rsid w:val="001F007D"/>
    <w:rsid w:val="001F01BB"/>
    <w:rsid w:val="001F01BE"/>
    <w:rsid w:val="001F0321"/>
    <w:rsid w:val="001F048A"/>
    <w:rsid w:val="001F07DB"/>
    <w:rsid w:val="001F0858"/>
    <w:rsid w:val="001F0968"/>
    <w:rsid w:val="001F0AEB"/>
    <w:rsid w:val="001F0CB5"/>
    <w:rsid w:val="001F0E29"/>
    <w:rsid w:val="001F0F84"/>
    <w:rsid w:val="001F0F8E"/>
    <w:rsid w:val="001F104A"/>
    <w:rsid w:val="001F122F"/>
    <w:rsid w:val="001F1338"/>
    <w:rsid w:val="001F143A"/>
    <w:rsid w:val="001F1461"/>
    <w:rsid w:val="001F147A"/>
    <w:rsid w:val="001F15C4"/>
    <w:rsid w:val="001F1B39"/>
    <w:rsid w:val="001F1D08"/>
    <w:rsid w:val="001F1F89"/>
    <w:rsid w:val="001F2051"/>
    <w:rsid w:val="001F20D9"/>
    <w:rsid w:val="001F2118"/>
    <w:rsid w:val="001F21F2"/>
    <w:rsid w:val="001F2239"/>
    <w:rsid w:val="001F22FA"/>
    <w:rsid w:val="001F2475"/>
    <w:rsid w:val="001F24A7"/>
    <w:rsid w:val="001F2623"/>
    <w:rsid w:val="001F265F"/>
    <w:rsid w:val="001F26F6"/>
    <w:rsid w:val="001F2821"/>
    <w:rsid w:val="001F2867"/>
    <w:rsid w:val="001F2A03"/>
    <w:rsid w:val="001F2A57"/>
    <w:rsid w:val="001F2AC3"/>
    <w:rsid w:val="001F2B5D"/>
    <w:rsid w:val="001F2D8D"/>
    <w:rsid w:val="001F307C"/>
    <w:rsid w:val="001F31BC"/>
    <w:rsid w:val="001F326E"/>
    <w:rsid w:val="001F326F"/>
    <w:rsid w:val="001F3354"/>
    <w:rsid w:val="001F35E8"/>
    <w:rsid w:val="001F3703"/>
    <w:rsid w:val="001F3841"/>
    <w:rsid w:val="001F385A"/>
    <w:rsid w:val="001F386C"/>
    <w:rsid w:val="001F3B01"/>
    <w:rsid w:val="001F3E74"/>
    <w:rsid w:val="001F425C"/>
    <w:rsid w:val="001F445D"/>
    <w:rsid w:val="001F4587"/>
    <w:rsid w:val="001F45C2"/>
    <w:rsid w:val="001F46D3"/>
    <w:rsid w:val="001F479D"/>
    <w:rsid w:val="001F481C"/>
    <w:rsid w:val="001F4965"/>
    <w:rsid w:val="001F49B7"/>
    <w:rsid w:val="001F4A17"/>
    <w:rsid w:val="001F4AB5"/>
    <w:rsid w:val="001F4C24"/>
    <w:rsid w:val="001F4C3A"/>
    <w:rsid w:val="001F4CA2"/>
    <w:rsid w:val="001F4CAF"/>
    <w:rsid w:val="001F4CB2"/>
    <w:rsid w:val="001F4EEB"/>
    <w:rsid w:val="001F4FE4"/>
    <w:rsid w:val="001F5031"/>
    <w:rsid w:val="001F5154"/>
    <w:rsid w:val="001F5182"/>
    <w:rsid w:val="001F52C7"/>
    <w:rsid w:val="001F5362"/>
    <w:rsid w:val="001F552A"/>
    <w:rsid w:val="001F5555"/>
    <w:rsid w:val="001F5742"/>
    <w:rsid w:val="001F57F0"/>
    <w:rsid w:val="001F5839"/>
    <w:rsid w:val="001F58DF"/>
    <w:rsid w:val="001F594F"/>
    <w:rsid w:val="001F598A"/>
    <w:rsid w:val="001F59A8"/>
    <w:rsid w:val="001F59E6"/>
    <w:rsid w:val="001F5A7B"/>
    <w:rsid w:val="001F5AD0"/>
    <w:rsid w:val="001F5BBA"/>
    <w:rsid w:val="001F5D4D"/>
    <w:rsid w:val="001F5DE3"/>
    <w:rsid w:val="001F5E7B"/>
    <w:rsid w:val="001F5FEA"/>
    <w:rsid w:val="001F5FF9"/>
    <w:rsid w:val="001F6032"/>
    <w:rsid w:val="001F6105"/>
    <w:rsid w:val="001F6119"/>
    <w:rsid w:val="001F6239"/>
    <w:rsid w:val="001F631C"/>
    <w:rsid w:val="001F6353"/>
    <w:rsid w:val="001F63A7"/>
    <w:rsid w:val="001F6461"/>
    <w:rsid w:val="001F64C0"/>
    <w:rsid w:val="001F64CC"/>
    <w:rsid w:val="001F64F5"/>
    <w:rsid w:val="001F6554"/>
    <w:rsid w:val="001F65DC"/>
    <w:rsid w:val="001F6652"/>
    <w:rsid w:val="001F668B"/>
    <w:rsid w:val="001F66A8"/>
    <w:rsid w:val="001F68A1"/>
    <w:rsid w:val="001F68A9"/>
    <w:rsid w:val="001F69B1"/>
    <w:rsid w:val="001F6A5B"/>
    <w:rsid w:val="001F6B03"/>
    <w:rsid w:val="001F6C28"/>
    <w:rsid w:val="001F6D26"/>
    <w:rsid w:val="001F6DDA"/>
    <w:rsid w:val="001F6FFC"/>
    <w:rsid w:val="001F7155"/>
    <w:rsid w:val="001F71FC"/>
    <w:rsid w:val="001F7416"/>
    <w:rsid w:val="001F7421"/>
    <w:rsid w:val="001F74EB"/>
    <w:rsid w:val="001F772A"/>
    <w:rsid w:val="001F793F"/>
    <w:rsid w:val="001F7981"/>
    <w:rsid w:val="001F7B51"/>
    <w:rsid w:val="001F7BD8"/>
    <w:rsid w:val="001F7D9C"/>
    <w:rsid w:val="001F7F66"/>
    <w:rsid w:val="002000F8"/>
    <w:rsid w:val="00200195"/>
    <w:rsid w:val="00200275"/>
    <w:rsid w:val="00200390"/>
    <w:rsid w:val="002003E2"/>
    <w:rsid w:val="00200516"/>
    <w:rsid w:val="0020053F"/>
    <w:rsid w:val="002007F2"/>
    <w:rsid w:val="002009FD"/>
    <w:rsid w:val="00200B48"/>
    <w:rsid w:val="00200B50"/>
    <w:rsid w:val="00200B67"/>
    <w:rsid w:val="00200C53"/>
    <w:rsid w:val="00200D15"/>
    <w:rsid w:val="00201068"/>
    <w:rsid w:val="00201311"/>
    <w:rsid w:val="002013C5"/>
    <w:rsid w:val="002013D4"/>
    <w:rsid w:val="0020141C"/>
    <w:rsid w:val="00201495"/>
    <w:rsid w:val="002016DE"/>
    <w:rsid w:val="002017A6"/>
    <w:rsid w:val="00201954"/>
    <w:rsid w:val="002019F2"/>
    <w:rsid w:val="00201AEA"/>
    <w:rsid w:val="00201B3D"/>
    <w:rsid w:val="00201B8E"/>
    <w:rsid w:val="00201F88"/>
    <w:rsid w:val="00202021"/>
    <w:rsid w:val="00202169"/>
    <w:rsid w:val="0020217A"/>
    <w:rsid w:val="0020220B"/>
    <w:rsid w:val="00202260"/>
    <w:rsid w:val="0020228E"/>
    <w:rsid w:val="002022A5"/>
    <w:rsid w:val="0020237C"/>
    <w:rsid w:val="002023BE"/>
    <w:rsid w:val="0020244D"/>
    <w:rsid w:val="002025A4"/>
    <w:rsid w:val="0020266A"/>
    <w:rsid w:val="002027AA"/>
    <w:rsid w:val="002027DC"/>
    <w:rsid w:val="00202849"/>
    <w:rsid w:val="0020296F"/>
    <w:rsid w:val="002029E1"/>
    <w:rsid w:val="00202A39"/>
    <w:rsid w:val="00202B9C"/>
    <w:rsid w:val="00202C9F"/>
    <w:rsid w:val="00202CC6"/>
    <w:rsid w:val="00202F35"/>
    <w:rsid w:val="00203055"/>
    <w:rsid w:val="00203079"/>
    <w:rsid w:val="002031C2"/>
    <w:rsid w:val="0020340A"/>
    <w:rsid w:val="0020376C"/>
    <w:rsid w:val="0020379C"/>
    <w:rsid w:val="002037BD"/>
    <w:rsid w:val="00203934"/>
    <w:rsid w:val="002039E5"/>
    <w:rsid w:val="00203A4D"/>
    <w:rsid w:val="00203BF3"/>
    <w:rsid w:val="00203C52"/>
    <w:rsid w:val="00203D5B"/>
    <w:rsid w:val="00203EE7"/>
    <w:rsid w:val="002040B3"/>
    <w:rsid w:val="002042FA"/>
    <w:rsid w:val="002043E6"/>
    <w:rsid w:val="00204707"/>
    <w:rsid w:val="00204949"/>
    <w:rsid w:val="00204BF0"/>
    <w:rsid w:val="00205111"/>
    <w:rsid w:val="002051FA"/>
    <w:rsid w:val="002053DC"/>
    <w:rsid w:val="002056C0"/>
    <w:rsid w:val="002057AB"/>
    <w:rsid w:val="00205C72"/>
    <w:rsid w:val="0020641C"/>
    <w:rsid w:val="00206674"/>
    <w:rsid w:val="002067AF"/>
    <w:rsid w:val="00206904"/>
    <w:rsid w:val="0020691C"/>
    <w:rsid w:val="00206A57"/>
    <w:rsid w:val="00206F1D"/>
    <w:rsid w:val="00206F42"/>
    <w:rsid w:val="00207152"/>
    <w:rsid w:val="00207216"/>
    <w:rsid w:val="002072A6"/>
    <w:rsid w:val="002073FD"/>
    <w:rsid w:val="0020767D"/>
    <w:rsid w:val="0020769E"/>
    <w:rsid w:val="002076A2"/>
    <w:rsid w:val="002076CE"/>
    <w:rsid w:val="002076E7"/>
    <w:rsid w:val="0020789F"/>
    <w:rsid w:val="0020794E"/>
    <w:rsid w:val="00207A85"/>
    <w:rsid w:val="00207B30"/>
    <w:rsid w:val="00207F41"/>
    <w:rsid w:val="00207F8A"/>
    <w:rsid w:val="00210287"/>
    <w:rsid w:val="002102BF"/>
    <w:rsid w:val="002103C6"/>
    <w:rsid w:val="002103DF"/>
    <w:rsid w:val="002103EB"/>
    <w:rsid w:val="0021052C"/>
    <w:rsid w:val="0021056A"/>
    <w:rsid w:val="002105D2"/>
    <w:rsid w:val="00210671"/>
    <w:rsid w:val="00210D2E"/>
    <w:rsid w:val="00210DF7"/>
    <w:rsid w:val="00210E52"/>
    <w:rsid w:val="00210E84"/>
    <w:rsid w:val="00211182"/>
    <w:rsid w:val="0021123D"/>
    <w:rsid w:val="00211451"/>
    <w:rsid w:val="002114F0"/>
    <w:rsid w:val="00211549"/>
    <w:rsid w:val="002115FC"/>
    <w:rsid w:val="00211656"/>
    <w:rsid w:val="00211D18"/>
    <w:rsid w:val="00211D5F"/>
    <w:rsid w:val="00211E93"/>
    <w:rsid w:val="00211F60"/>
    <w:rsid w:val="00211FAD"/>
    <w:rsid w:val="00212054"/>
    <w:rsid w:val="00212095"/>
    <w:rsid w:val="0021212D"/>
    <w:rsid w:val="0021225A"/>
    <w:rsid w:val="002122CF"/>
    <w:rsid w:val="0021248A"/>
    <w:rsid w:val="002124E5"/>
    <w:rsid w:val="0021252F"/>
    <w:rsid w:val="002126D9"/>
    <w:rsid w:val="002126EB"/>
    <w:rsid w:val="0021271B"/>
    <w:rsid w:val="002127AD"/>
    <w:rsid w:val="002127E6"/>
    <w:rsid w:val="00212816"/>
    <w:rsid w:val="00212936"/>
    <w:rsid w:val="00212A89"/>
    <w:rsid w:val="00212AE3"/>
    <w:rsid w:val="00212B9F"/>
    <w:rsid w:val="00212BA0"/>
    <w:rsid w:val="00212C03"/>
    <w:rsid w:val="00212C1E"/>
    <w:rsid w:val="00212CD6"/>
    <w:rsid w:val="00212DCC"/>
    <w:rsid w:val="00212DE0"/>
    <w:rsid w:val="00212E3E"/>
    <w:rsid w:val="00212F90"/>
    <w:rsid w:val="00213006"/>
    <w:rsid w:val="002130E7"/>
    <w:rsid w:val="002131BC"/>
    <w:rsid w:val="0021322B"/>
    <w:rsid w:val="00213231"/>
    <w:rsid w:val="002134C7"/>
    <w:rsid w:val="002135BB"/>
    <w:rsid w:val="0021361F"/>
    <w:rsid w:val="00213861"/>
    <w:rsid w:val="00213A10"/>
    <w:rsid w:val="00213AAE"/>
    <w:rsid w:val="00213BAC"/>
    <w:rsid w:val="00213BCE"/>
    <w:rsid w:val="00213E0F"/>
    <w:rsid w:val="00213E5C"/>
    <w:rsid w:val="002141BE"/>
    <w:rsid w:val="0021428A"/>
    <w:rsid w:val="00214515"/>
    <w:rsid w:val="00214660"/>
    <w:rsid w:val="002147A2"/>
    <w:rsid w:val="00214813"/>
    <w:rsid w:val="00214B0C"/>
    <w:rsid w:val="00214B5E"/>
    <w:rsid w:val="00214BE2"/>
    <w:rsid w:val="00214DA0"/>
    <w:rsid w:val="00214ECD"/>
    <w:rsid w:val="00215106"/>
    <w:rsid w:val="00215117"/>
    <w:rsid w:val="00215118"/>
    <w:rsid w:val="0021521E"/>
    <w:rsid w:val="00215276"/>
    <w:rsid w:val="002152E7"/>
    <w:rsid w:val="002152EB"/>
    <w:rsid w:val="002153AF"/>
    <w:rsid w:val="00215686"/>
    <w:rsid w:val="002157BE"/>
    <w:rsid w:val="0021599D"/>
    <w:rsid w:val="00215A6A"/>
    <w:rsid w:val="00215B54"/>
    <w:rsid w:val="00215B8D"/>
    <w:rsid w:val="00215C0F"/>
    <w:rsid w:val="00215D17"/>
    <w:rsid w:val="00215DCF"/>
    <w:rsid w:val="00215E1B"/>
    <w:rsid w:val="00215EB8"/>
    <w:rsid w:val="00215F1D"/>
    <w:rsid w:val="002162A0"/>
    <w:rsid w:val="002162A8"/>
    <w:rsid w:val="00216432"/>
    <w:rsid w:val="002165F1"/>
    <w:rsid w:val="00216678"/>
    <w:rsid w:val="00216C66"/>
    <w:rsid w:val="00216DC4"/>
    <w:rsid w:val="00216F7D"/>
    <w:rsid w:val="0021701F"/>
    <w:rsid w:val="0021702E"/>
    <w:rsid w:val="00217036"/>
    <w:rsid w:val="00217286"/>
    <w:rsid w:val="0021769C"/>
    <w:rsid w:val="00217874"/>
    <w:rsid w:val="00217878"/>
    <w:rsid w:val="00217882"/>
    <w:rsid w:val="00217891"/>
    <w:rsid w:val="00217CED"/>
    <w:rsid w:val="00217E2B"/>
    <w:rsid w:val="00217E38"/>
    <w:rsid w:val="00217E46"/>
    <w:rsid w:val="00220067"/>
    <w:rsid w:val="0022021A"/>
    <w:rsid w:val="00220255"/>
    <w:rsid w:val="0022066C"/>
    <w:rsid w:val="00220695"/>
    <w:rsid w:val="0022071B"/>
    <w:rsid w:val="00220742"/>
    <w:rsid w:val="00220ABC"/>
    <w:rsid w:val="00220C44"/>
    <w:rsid w:val="00220C5F"/>
    <w:rsid w:val="00220D8F"/>
    <w:rsid w:val="002211B9"/>
    <w:rsid w:val="00221256"/>
    <w:rsid w:val="002213ED"/>
    <w:rsid w:val="00221447"/>
    <w:rsid w:val="0022146C"/>
    <w:rsid w:val="00221630"/>
    <w:rsid w:val="002216E1"/>
    <w:rsid w:val="00221723"/>
    <w:rsid w:val="0022174A"/>
    <w:rsid w:val="00221943"/>
    <w:rsid w:val="00221AC8"/>
    <w:rsid w:val="00221AD6"/>
    <w:rsid w:val="00221B2B"/>
    <w:rsid w:val="00221D52"/>
    <w:rsid w:val="00221F99"/>
    <w:rsid w:val="002220DC"/>
    <w:rsid w:val="00222373"/>
    <w:rsid w:val="0022247E"/>
    <w:rsid w:val="002224A7"/>
    <w:rsid w:val="002225DB"/>
    <w:rsid w:val="00222672"/>
    <w:rsid w:val="00222953"/>
    <w:rsid w:val="00222B52"/>
    <w:rsid w:val="00222BB2"/>
    <w:rsid w:val="00222DBA"/>
    <w:rsid w:val="00222EAE"/>
    <w:rsid w:val="00222EB2"/>
    <w:rsid w:val="00222EF6"/>
    <w:rsid w:val="00222F0C"/>
    <w:rsid w:val="00222F1E"/>
    <w:rsid w:val="0022303E"/>
    <w:rsid w:val="00223071"/>
    <w:rsid w:val="0022319D"/>
    <w:rsid w:val="00223203"/>
    <w:rsid w:val="00223285"/>
    <w:rsid w:val="0022329F"/>
    <w:rsid w:val="00223330"/>
    <w:rsid w:val="0022338B"/>
    <w:rsid w:val="002233F5"/>
    <w:rsid w:val="002234E2"/>
    <w:rsid w:val="00223554"/>
    <w:rsid w:val="002235D2"/>
    <w:rsid w:val="002236A6"/>
    <w:rsid w:val="00223B3D"/>
    <w:rsid w:val="00223BF5"/>
    <w:rsid w:val="00223ED3"/>
    <w:rsid w:val="00223F47"/>
    <w:rsid w:val="00223FDC"/>
    <w:rsid w:val="0022405B"/>
    <w:rsid w:val="00224158"/>
    <w:rsid w:val="00224336"/>
    <w:rsid w:val="00224433"/>
    <w:rsid w:val="0022471C"/>
    <w:rsid w:val="00224860"/>
    <w:rsid w:val="00224959"/>
    <w:rsid w:val="002249FE"/>
    <w:rsid w:val="00224AB7"/>
    <w:rsid w:val="00224DC8"/>
    <w:rsid w:val="00224E98"/>
    <w:rsid w:val="0022515F"/>
    <w:rsid w:val="002252D5"/>
    <w:rsid w:val="00225453"/>
    <w:rsid w:val="0022547C"/>
    <w:rsid w:val="002255A4"/>
    <w:rsid w:val="00225639"/>
    <w:rsid w:val="002257CF"/>
    <w:rsid w:val="002258EB"/>
    <w:rsid w:val="00225964"/>
    <w:rsid w:val="00225980"/>
    <w:rsid w:val="00225D04"/>
    <w:rsid w:val="00225DB8"/>
    <w:rsid w:val="002262AE"/>
    <w:rsid w:val="00226452"/>
    <w:rsid w:val="00226564"/>
    <w:rsid w:val="002267CB"/>
    <w:rsid w:val="00226852"/>
    <w:rsid w:val="002269FE"/>
    <w:rsid w:val="00226D11"/>
    <w:rsid w:val="00226D6C"/>
    <w:rsid w:val="00226DA4"/>
    <w:rsid w:val="00226E08"/>
    <w:rsid w:val="00226E69"/>
    <w:rsid w:val="00226F94"/>
    <w:rsid w:val="00227092"/>
    <w:rsid w:val="0022711E"/>
    <w:rsid w:val="002272AB"/>
    <w:rsid w:val="0022745C"/>
    <w:rsid w:val="0022758F"/>
    <w:rsid w:val="002277E4"/>
    <w:rsid w:val="0022797A"/>
    <w:rsid w:val="00227A28"/>
    <w:rsid w:val="00227A29"/>
    <w:rsid w:val="00227CC1"/>
    <w:rsid w:val="00227CD2"/>
    <w:rsid w:val="00227CE0"/>
    <w:rsid w:val="00227DDA"/>
    <w:rsid w:val="00227EC9"/>
    <w:rsid w:val="00227F8F"/>
    <w:rsid w:val="00230068"/>
    <w:rsid w:val="002301BA"/>
    <w:rsid w:val="002302C8"/>
    <w:rsid w:val="00230337"/>
    <w:rsid w:val="00230355"/>
    <w:rsid w:val="00230430"/>
    <w:rsid w:val="002307CC"/>
    <w:rsid w:val="002307E4"/>
    <w:rsid w:val="00230CC0"/>
    <w:rsid w:val="0023100E"/>
    <w:rsid w:val="00231107"/>
    <w:rsid w:val="00231215"/>
    <w:rsid w:val="00231358"/>
    <w:rsid w:val="00231418"/>
    <w:rsid w:val="002317B9"/>
    <w:rsid w:val="00231D75"/>
    <w:rsid w:val="00231F49"/>
    <w:rsid w:val="00232388"/>
    <w:rsid w:val="00232592"/>
    <w:rsid w:val="002328F2"/>
    <w:rsid w:val="002329DA"/>
    <w:rsid w:val="00232CFC"/>
    <w:rsid w:val="00232DB2"/>
    <w:rsid w:val="00232E26"/>
    <w:rsid w:val="00233252"/>
    <w:rsid w:val="002335F3"/>
    <w:rsid w:val="00233683"/>
    <w:rsid w:val="00233721"/>
    <w:rsid w:val="0023379B"/>
    <w:rsid w:val="0023386E"/>
    <w:rsid w:val="002339BC"/>
    <w:rsid w:val="002339C7"/>
    <w:rsid w:val="00233CFE"/>
    <w:rsid w:val="00233F3A"/>
    <w:rsid w:val="002341B2"/>
    <w:rsid w:val="00234381"/>
    <w:rsid w:val="002343AB"/>
    <w:rsid w:val="00234575"/>
    <w:rsid w:val="0023484B"/>
    <w:rsid w:val="00234A08"/>
    <w:rsid w:val="00234A87"/>
    <w:rsid w:val="00234CC8"/>
    <w:rsid w:val="00234F75"/>
    <w:rsid w:val="002350DC"/>
    <w:rsid w:val="002351B5"/>
    <w:rsid w:val="002351EE"/>
    <w:rsid w:val="0023530D"/>
    <w:rsid w:val="002354C0"/>
    <w:rsid w:val="00235652"/>
    <w:rsid w:val="00235699"/>
    <w:rsid w:val="0023591B"/>
    <w:rsid w:val="00235C7B"/>
    <w:rsid w:val="00235DD5"/>
    <w:rsid w:val="00235E09"/>
    <w:rsid w:val="00235F2D"/>
    <w:rsid w:val="00235F39"/>
    <w:rsid w:val="00235FCF"/>
    <w:rsid w:val="0023600C"/>
    <w:rsid w:val="0023612A"/>
    <w:rsid w:val="002361A1"/>
    <w:rsid w:val="002362B6"/>
    <w:rsid w:val="00236309"/>
    <w:rsid w:val="0023658A"/>
    <w:rsid w:val="002365B2"/>
    <w:rsid w:val="002366FB"/>
    <w:rsid w:val="0023673C"/>
    <w:rsid w:val="00236786"/>
    <w:rsid w:val="00236835"/>
    <w:rsid w:val="00236855"/>
    <w:rsid w:val="00236B19"/>
    <w:rsid w:val="00236C69"/>
    <w:rsid w:val="00236DB9"/>
    <w:rsid w:val="00236EC8"/>
    <w:rsid w:val="00236F1A"/>
    <w:rsid w:val="00236FF0"/>
    <w:rsid w:val="002371F0"/>
    <w:rsid w:val="0023739B"/>
    <w:rsid w:val="0023751B"/>
    <w:rsid w:val="0023754C"/>
    <w:rsid w:val="00237801"/>
    <w:rsid w:val="00237AA8"/>
    <w:rsid w:val="00237B13"/>
    <w:rsid w:val="00237F7E"/>
    <w:rsid w:val="00240167"/>
    <w:rsid w:val="0024054E"/>
    <w:rsid w:val="00240565"/>
    <w:rsid w:val="00240595"/>
    <w:rsid w:val="0024062C"/>
    <w:rsid w:val="0024074D"/>
    <w:rsid w:val="002409E1"/>
    <w:rsid w:val="00240AC3"/>
    <w:rsid w:val="00240B2B"/>
    <w:rsid w:val="00240C81"/>
    <w:rsid w:val="00240DFA"/>
    <w:rsid w:val="00240FFA"/>
    <w:rsid w:val="0024112E"/>
    <w:rsid w:val="00241494"/>
    <w:rsid w:val="00241504"/>
    <w:rsid w:val="0024151F"/>
    <w:rsid w:val="00241640"/>
    <w:rsid w:val="0024169D"/>
    <w:rsid w:val="0024170B"/>
    <w:rsid w:val="002417AA"/>
    <w:rsid w:val="0024182C"/>
    <w:rsid w:val="00241936"/>
    <w:rsid w:val="002419A6"/>
    <w:rsid w:val="00241B01"/>
    <w:rsid w:val="00241BA8"/>
    <w:rsid w:val="00241C64"/>
    <w:rsid w:val="00241E1F"/>
    <w:rsid w:val="00241E69"/>
    <w:rsid w:val="00241EF5"/>
    <w:rsid w:val="00241F4D"/>
    <w:rsid w:val="00241FC5"/>
    <w:rsid w:val="0024205F"/>
    <w:rsid w:val="0024214E"/>
    <w:rsid w:val="002422A8"/>
    <w:rsid w:val="002422D5"/>
    <w:rsid w:val="00242526"/>
    <w:rsid w:val="00242593"/>
    <w:rsid w:val="0024263C"/>
    <w:rsid w:val="00242803"/>
    <w:rsid w:val="002428A1"/>
    <w:rsid w:val="002429C5"/>
    <w:rsid w:val="00242A53"/>
    <w:rsid w:val="00242B84"/>
    <w:rsid w:val="00242E8C"/>
    <w:rsid w:val="00242E9C"/>
    <w:rsid w:val="00242FF9"/>
    <w:rsid w:val="00243410"/>
    <w:rsid w:val="00243413"/>
    <w:rsid w:val="0024342D"/>
    <w:rsid w:val="00243452"/>
    <w:rsid w:val="0024357B"/>
    <w:rsid w:val="0024371A"/>
    <w:rsid w:val="0024374C"/>
    <w:rsid w:val="00243752"/>
    <w:rsid w:val="00243888"/>
    <w:rsid w:val="00243898"/>
    <w:rsid w:val="00243958"/>
    <w:rsid w:val="00243997"/>
    <w:rsid w:val="00243A69"/>
    <w:rsid w:val="00243BC2"/>
    <w:rsid w:val="00243CA9"/>
    <w:rsid w:val="00243D58"/>
    <w:rsid w:val="00243F26"/>
    <w:rsid w:val="00243F64"/>
    <w:rsid w:val="0024402A"/>
    <w:rsid w:val="00244440"/>
    <w:rsid w:val="0024448A"/>
    <w:rsid w:val="00244642"/>
    <w:rsid w:val="00244677"/>
    <w:rsid w:val="002446FD"/>
    <w:rsid w:val="00244837"/>
    <w:rsid w:val="0024485B"/>
    <w:rsid w:val="002448F4"/>
    <w:rsid w:val="00244ADD"/>
    <w:rsid w:val="00244E66"/>
    <w:rsid w:val="00244FD3"/>
    <w:rsid w:val="00245309"/>
    <w:rsid w:val="00245331"/>
    <w:rsid w:val="002453D1"/>
    <w:rsid w:val="002454AD"/>
    <w:rsid w:val="0024553B"/>
    <w:rsid w:val="00245761"/>
    <w:rsid w:val="00245838"/>
    <w:rsid w:val="00245855"/>
    <w:rsid w:val="00245B5B"/>
    <w:rsid w:val="00245D5C"/>
    <w:rsid w:val="00245FE9"/>
    <w:rsid w:val="00246102"/>
    <w:rsid w:val="0024612D"/>
    <w:rsid w:val="0024616E"/>
    <w:rsid w:val="00246409"/>
    <w:rsid w:val="00246671"/>
    <w:rsid w:val="002466E8"/>
    <w:rsid w:val="002467CF"/>
    <w:rsid w:val="002467D2"/>
    <w:rsid w:val="002468B6"/>
    <w:rsid w:val="0024696F"/>
    <w:rsid w:val="002469CD"/>
    <w:rsid w:val="00246B72"/>
    <w:rsid w:val="00246CAD"/>
    <w:rsid w:val="00246D87"/>
    <w:rsid w:val="00246D8A"/>
    <w:rsid w:val="00246DC1"/>
    <w:rsid w:val="00246E67"/>
    <w:rsid w:val="00246EAD"/>
    <w:rsid w:val="00246F41"/>
    <w:rsid w:val="00246F9C"/>
    <w:rsid w:val="0024711E"/>
    <w:rsid w:val="002471ED"/>
    <w:rsid w:val="002472EA"/>
    <w:rsid w:val="002475EE"/>
    <w:rsid w:val="002479E2"/>
    <w:rsid w:val="00247A96"/>
    <w:rsid w:val="00247C47"/>
    <w:rsid w:val="00247D00"/>
    <w:rsid w:val="00247D02"/>
    <w:rsid w:val="00247D9A"/>
    <w:rsid w:val="00247E36"/>
    <w:rsid w:val="002503E9"/>
    <w:rsid w:val="0025051A"/>
    <w:rsid w:val="00250582"/>
    <w:rsid w:val="0025077F"/>
    <w:rsid w:val="0025088A"/>
    <w:rsid w:val="002508F4"/>
    <w:rsid w:val="00250A27"/>
    <w:rsid w:val="00250AC2"/>
    <w:rsid w:val="00250B29"/>
    <w:rsid w:val="00250CA0"/>
    <w:rsid w:val="00250EA3"/>
    <w:rsid w:val="00250EFE"/>
    <w:rsid w:val="00250FEB"/>
    <w:rsid w:val="00251200"/>
    <w:rsid w:val="0025131C"/>
    <w:rsid w:val="002513A0"/>
    <w:rsid w:val="00251454"/>
    <w:rsid w:val="0025148B"/>
    <w:rsid w:val="002514D1"/>
    <w:rsid w:val="002517C5"/>
    <w:rsid w:val="002517DD"/>
    <w:rsid w:val="0025184F"/>
    <w:rsid w:val="002518DF"/>
    <w:rsid w:val="00251C83"/>
    <w:rsid w:val="00251D41"/>
    <w:rsid w:val="00251DA2"/>
    <w:rsid w:val="00251EFF"/>
    <w:rsid w:val="00251F34"/>
    <w:rsid w:val="00251FB6"/>
    <w:rsid w:val="00252023"/>
    <w:rsid w:val="002520C7"/>
    <w:rsid w:val="00252104"/>
    <w:rsid w:val="00252228"/>
    <w:rsid w:val="00252264"/>
    <w:rsid w:val="002522BE"/>
    <w:rsid w:val="0025240F"/>
    <w:rsid w:val="002525A7"/>
    <w:rsid w:val="002525DA"/>
    <w:rsid w:val="002525E1"/>
    <w:rsid w:val="00252612"/>
    <w:rsid w:val="00252637"/>
    <w:rsid w:val="002527BC"/>
    <w:rsid w:val="00252901"/>
    <w:rsid w:val="00252A6D"/>
    <w:rsid w:val="00252A9C"/>
    <w:rsid w:val="00252B9E"/>
    <w:rsid w:val="00252C7A"/>
    <w:rsid w:val="00252E69"/>
    <w:rsid w:val="002532F0"/>
    <w:rsid w:val="0025330A"/>
    <w:rsid w:val="002533AF"/>
    <w:rsid w:val="00253463"/>
    <w:rsid w:val="00253679"/>
    <w:rsid w:val="00253836"/>
    <w:rsid w:val="002538E4"/>
    <w:rsid w:val="00253A3C"/>
    <w:rsid w:val="00253A42"/>
    <w:rsid w:val="00253B6C"/>
    <w:rsid w:val="00253D8A"/>
    <w:rsid w:val="00253DF3"/>
    <w:rsid w:val="002541C6"/>
    <w:rsid w:val="002544A6"/>
    <w:rsid w:val="0025451E"/>
    <w:rsid w:val="002545C2"/>
    <w:rsid w:val="00254610"/>
    <w:rsid w:val="002546CA"/>
    <w:rsid w:val="00254801"/>
    <w:rsid w:val="0025480B"/>
    <w:rsid w:val="00254906"/>
    <w:rsid w:val="0025497B"/>
    <w:rsid w:val="002549D0"/>
    <w:rsid w:val="00254A05"/>
    <w:rsid w:val="00254A0A"/>
    <w:rsid w:val="00254A4E"/>
    <w:rsid w:val="00254AE1"/>
    <w:rsid w:val="00254D5A"/>
    <w:rsid w:val="0025516D"/>
    <w:rsid w:val="00255225"/>
    <w:rsid w:val="0025573D"/>
    <w:rsid w:val="00255797"/>
    <w:rsid w:val="0025598D"/>
    <w:rsid w:val="00255B38"/>
    <w:rsid w:val="00255B93"/>
    <w:rsid w:val="00255BDB"/>
    <w:rsid w:val="00255C0F"/>
    <w:rsid w:val="002560AA"/>
    <w:rsid w:val="002561AE"/>
    <w:rsid w:val="00256446"/>
    <w:rsid w:val="0025647B"/>
    <w:rsid w:val="0025658B"/>
    <w:rsid w:val="00256657"/>
    <w:rsid w:val="002567B0"/>
    <w:rsid w:val="002567FC"/>
    <w:rsid w:val="00256808"/>
    <w:rsid w:val="002568BB"/>
    <w:rsid w:val="00256BE8"/>
    <w:rsid w:val="00256E65"/>
    <w:rsid w:val="00256F5E"/>
    <w:rsid w:val="00256F95"/>
    <w:rsid w:val="00257154"/>
    <w:rsid w:val="002571C7"/>
    <w:rsid w:val="0025721F"/>
    <w:rsid w:val="0025777A"/>
    <w:rsid w:val="00257818"/>
    <w:rsid w:val="00257963"/>
    <w:rsid w:val="00257A22"/>
    <w:rsid w:val="00257B6A"/>
    <w:rsid w:val="00257CD5"/>
    <w:rsid w:val="00257D2E"/>
    <w:rsid w:val="00257D48"/>
    <w:rsid w:val="00257DDB"/>
    <w:rsid w:val="00257FAA"/>
    <w:rsid w:val="002601F3"/>
    <w:rsid w:val="002603A0"/>
    <w:rsid w:val="00260430"/>
    <w:rsid w:val="002605C7"/>
    <w:rsid w:val="002606E8"/>
    <w:rsid w:val="002607AB"/>
    <w:rsid w:val="002608D2"/>
    <w:rsid w:val="002609C8"/>
    <w:rsid w:val="00260B3D"/>
    <w:rsid w:val="00260BB4"/>
    <w:rsid w:val="00260BBC"/>
    <w:rsid w:val="00260C7A"/>
    <w:rsid w:val="00260D85"/>
    <w:rsid w:val="00260EF2"/>
    <w:rsid w:val="00261009"/>
    <w:rsid w:val="00261048"/>
    <w:rsid w:val="002613D5"/>
    <w:rsid w:val="00261407"/>
    <w:rsid w:val="0026152C"/>
    <w:rsid w:val="0026163A"/>
    <w:rsid w:val="0026163F"/>
    <w:rsid w:val="00261699"/>
    <w:rsid w:val="002617C8"/>
    <w:rsid w:val="002618FC"/>
    <w:rsid w:val="0026196D"/>
    <w:rsid w:val="00261BCB"/>
    <w:rsid w:val="00261C3F"/>
    <w:rsid w:val="00261E53"/>
    <w:rsid w:val="00262115"/>
    <w:rsid w:val="00262186"/>
    <w:rsid w:val="0026246F"/>
    <w:rsid w:val="002624E8"/>
    <w:rsid w:val="00262518"/>
    <w:rsid w:val="00262617"/>
    <w:rsid w:val="00262647"/>
    <w:rsid w:val="002626DE"/>
    <w:rsid w:val="002627DF"/>
    <w:rsid w:val="002628D6"/>
    <w:rsid w:val="00262C0C"/>
    <w:rsid w:val="00262C81"/>
    <w:rsid w:val="00262E76"/>
    <w:rsid w:val="0026308C"/>
    <w:rsid w:val="002630B9"/>
    <w:rsid w:val="0026315E"/>
    <w:rsid w:val="002631B4"/>
    <w:rsid w:val="0026322B"/>
    <w:rsid w:val="002632E9"/>
    <w:rsid w:val="002633A5"/>
    <w:rsid w:val="00263545"/>
    <w:rsid w:val="0026374D"/>
    <w:rsid w:val="00263769"/>
    <w:rsid w:val="0026381A"/>
    <w:rsid w:val="00263828"/>
    <w:rsid w:val="00263996"/>
    <w:rsid w:val="002639B0"/>
    <w:rsid w:val="00263A77"/>
    <w:rsid w:val="00263D16"/>
    <w:rsid w:val="00263D45"/>
    <w:rsid w:val="00263D73"/>
    <w:rsid w:val="00263F01"/>
    <w:rsid w:val="00263F7E"/>
    <w:rsid w:val="002640B2"/>
    <w:rsid w:val="0026413E"/>
    <w:rsid w:val="00264365"/>
    <w:rsid w:val="00264589"/>
    <w:rsid w:val="0026473C"/>
    <w:rsid w:val="00264833"/>
    <w:rsid w:val="00264921"/>
    <w:rsid w:val="002649C3"/>
    <w:rsid w:val="002649FB"/>
    <w:rsid w:val="00264ABC"/>
    <w:rsid w:val="00264B91"/>
    <w:rsid w:val="00264F35"/>
    <w:rsid w:val="0026513E"/>
    <w:rsid w:val="002652DE"/>
    <w:rsid w:val="00265483"/>
    <w:rsid w:val="0026557B"/>
    <w:rsid w:val="00265600"/>
    <w:rsid w:val="0026561F"/>
    <w:rsid w:val="0026562E"/>
    <w:rsid w:val="0026576C"/>
    <w:rsid w:val="002657B5"/>
    <w:rsid w:val="00265911"/>
    <w:rsid w:val="002659A9"/>
    <w:rsid w:val="00265A19"/>
    <w:rsid w:val="00265A76"/>
    <w:rsid w:val="00265B67"/>
    <w:rsid w:val="00265B88"/>
    <w:rsid w:val="00265D11"/>
    <w:rsid w:val="00265DB7"/>
    <w:rsid w:val="00265DB9"/>
    <w:rsid w:val="00265DE9"/>
    <w:rsid w:val="00265E0E"/>
    <w:rsid w:val="00265F56"/>
    <w:rsid w:val="00265FA1"/>
    <w:rsid w:val="00265FEF"/>
    <w:rsid w:val="0026606E"/>
    <w:rsid w:val="002660BF"/>
    <w:rsid w:val="00266170"/>
    <w:rsid w:val="00266616"/>
    <w:rsid w:val="002666E3"/>
    <w:rsid w:val="002667A1"/>
    <w:rsid w:val="002669F0"/>
    <w:rsid w:val="00266C9C"/>
    <w:rsid w:val="00266E0F"/>
    <w:rsid w:val="00266FC4"/>
    <w:rsid w:val="002670C2"/>
    <w:rsid w:val="002670C9"/>
    <w:rsid w:val="002671DE"/>
    <w:rsid w:val="002672BC"/>
    <w:rsid w:val="00267326"/>
    <w:rsid w:val="00267365"/>
    <w:rsid w:val="0026737E"/>
    <w:rsid w:val="00267384"/>
    <w:rsid w:val="00267472"/>
    <w:rsid w:val="00267482"/>
    <w:rsid w:val="00267869"/>
    <w:rsid w:val="002679E1"/>
    <w:rsid w:val="002679E6"/>
    <w:rsid w:val="00267A87"/>
    <w:rsid w:val="00267B02"/>
    <w:rsid w:val="00267B3D"/>
    <w:rsid w:val="00267E28"/>
    <w:rsid w:val="00267FD0"/>
    <w:rsid w:val="00267FE0"/>
    <w:rsid w:val="0027004C"/>
    <w:rsid w:val="002700AE"/>
    <w:rsid w:val="002700F7"/>
    <w:rsid w:val="002702F7"/>
    <w:rsid w:val="0027033A"/>
    <w:rsid w:val="0027050B"/>
    <w:rsid w:val="00270725"/>
    <w:rsid w:val="0027074B"/>
    <w:rsid w:val="00270837"/>
    <w:rsid w:val="0027083A"/>
    <w:rsid w:val="0027096F"/>
    <w:rsid w:val="00270C3F"/>
    <w:rsid w:val="00270C62"/>
    <w:rsid w:val="00270D2D"/>
    <w:rsid w:val="00270F6F"/>
    <w:rsid w:val="00271027"/>
    <w:rsid w:val="00271060"/>
    <w:rsid w:val="0027122D"/>
    <w:rsid w:val="0027138A"/>
    <w:rsid w:val="002715F5"/>
    <w:rsid w:val="00271653"/>
    <w:rsid w:val="002718A4"/>
    <w:rsid w:val="0027197E"/>
    <w:rsid w:val="00271C0F"/>
    <w:rsid w:val="00271C63"/>
    <w:rsid w:val="00272136"/>
    <w:rsid w:val="00272140"/>
    <w:rsid w:val="002721CE"/>
    <w:rsid w:val="002723D4"/>
    <w:rsid w:val="0027248D"/>
    <w:rsid w:val="002724DC"/>
    <w:rsid w:val="00272772"/>
    <w:rsid w:val="0027287A"/>
    <w:rsid w:val="00272970"/>
    <w:rsid w:val="00272C42"/>
    <w:rsid w:val="00272C71"/>
    <w:rsid w:val="00272CB6"/>
    <w:rsid w:val="00272DB2"/>
    <w:rsid w:val="00272DEA"/>
    <w:rsid w:val="00272EB7"/>
    <w:rsid w:val="00272ED9"/>
    <w:rsid w:val="00272F6B"/>
    <w:rsid w:val="002732CD"/>
    <w:rsid w:val="0027343D"/>
    <w:rsid w:val="00273647"/>
    <w:rsid w:val="00273754"/>
    <w:rsid w:val="0027379C"/>
    <w:rsid w:val="00273811"/>
    <w:rsid w:val="00273821"/>
    <w:rsid w:val="00273853"/>
    <w:rsid w:val="0027388E"/>
    <w:rsid w:val="002738B9"/>
    <w:rsid w:val="002739C7"/>
    <w:rsid w:val="00273B2F"/>
    <w:rsid w:val="00273B6C"/>
    <w:rsid w:val="00273BB8"/>
    <w:rsid w:val="00273CF6"/>
    <w:rsid w:val="00273D18"/>
    <w:rsid w:val="00273E84"/>
    <w:rsid w:val="00273EF6"/>
    <w:rsid w:val="00274120"/>
    <w:rsid w:val="002741F0"/>
    <w:rsid w:val="002742CB"/>
    <w:rsid w:val="00274318"/>
    <w:rsid w:val="00274329"/>
    <w:rsid w:val="002743E7"/>
    <w:rsid w:val="002745B2"/>
    <w:rsid w:val="002745FA"/>
    <w:rsid w:val="00274657"/>
    <w:rsid w:val="00274892"/>
    <w:rsid w:val="0027492F"/>
    <w:rsid w:val="00274AE8"/>
    <w:rsid w:val="00274B02"/>
    <w:rsid w:val="00274CB0"/>
    <w:rsid w:val="00274D5F"/>
    <w:rsid w:val="00274DA3"/>
    <w:rsid w:val="00274F0B"/>
    <w:rsid w:val="00274F7D"/>
    <w:rsid w:val="0027503C"/>
    <w:rsid w:val="00275340"/>
    <w:rsid w:val="002753AA"/>
    <w:rsid w:val="002753FF"/>
    <w:rsid w:val="00275543"/>
    <w:rsid w:val="002755B9"/>
    <w:rsid w:val="002756A6"/>
    <w:rsid w:val="002756BD"/>
    <w:rsid w:val="00275820"/>
    <w:rsid w:val="00275894"/>
    <w:rsid w:val="002759DB"/>
    <w:rsid w:val="00275B6D"/>
    <w:rsid w:val="00275BC6"/>
    <w:rsid w:val="00275BD7"/>
    <w:rsid w:val="00275C72"/>
    <w:rsid w:val="00275C7A"/>
    <w:rsid w:val="00275E76"/>
    <w:rsid w:val="00275FA7"/>
    <w:rsid w:val="00276084"/>
    <w:rsid w:val="00276297"/>
    <w:rsid w:val="002762FF"/>
    <w:rsid w:val="0027632E"/>
    <w:rsid w:val="002763AB"/>
    <w:rsid w:val="00276416"/>
    <w:rsid w:val="002764AD"/>
    <w:rsid w:val="00276654"/>
    <w:rsid w:val="002766DB"/>
    <w:rsid w:val="00276913"/>
    <w:rsid w:val="00276A56"/>
    <w:rsid w:val="00276A6E"/>
    <w:rsid w:val="00276A84"/>
    <w:rsid w:val="00276ABA"/>
    <w:rsid w:val="00276C6B"/>
    <w:rsid w:val="00277403"/>
    <w:rsid w:val="002774CF"/>
    <w:rsid w:val="00277526"/>
    <w:rsid w:val="002775BA"/>
    <w:rsid w:val="0027765E"/>
    <w:rsid w:val="002777C3"/>
    <w:rsid w:val="00277895"/>
    <w:rsid w:val="00277959"/>
    <w:rsid w:val="00277AAF"/>
    <w:rsid w:val="00277B51"/>
    <w:rsid w:val="00277C5E"/>
    <w:rsid w:val="00277CE1"/>
    <w:rsid w:val="00277D83"/>
    <w:rsid w:val="00277D8E"/>
    <w:rsid w:val="002800AF"/>
    <w:rsid w:val="0028038E"/>
    <w:rsid w:val="002803EB"/>
    <w:rsid w:val="0028040B"/>
    <w:rsid w:val="00280454"/>
    <w:rsid w:val="0028051F"/>
    <w:rsid w:val="00280598"/>
    <w:rsid w:val="0028063C"/>
    <w:rsid w:val="002807A8"/>
    <w:rsid w:val="0028081F"/>
    <w:rsid w:val="00280841"/>
    <w:rsid w:val="002810FA"/>
    <w:rsid w:val="0028112F"/>
    <w:rsid w:val="0028114D"/>
    <w:rsid w:val="0028116E"/>
    <w:rsid w:val="00281202"/>
    <w:rsid w:val="0028121A"/>
    <w:rsid w:val="0028143D"/>
    <w:rsid w:val="0028173C"/>
    <w:rsid w:val="0028191D"/>
    <w:rsid w:val="00281949"/>
    <w:rsid w:val="00281A9D"/>
    <w:rsid w:val="00281B6E"/>
    <w:rsid w:val="00281EB0"/>
    <w:rsid w:val="00281EC6"/>
    <w:rsid w:val="00282040"/>
    <w:rsid w:val="00282056"/>
    <w:rsid w:val="0028211B"/>
    <w:rsid w:val="00282120"/>
    <w:rsid w:val="0028216C"/>
    <w:rsid w:val="002821BE"/>
    <w:rsid w:val="002823B1"/>
    <w:rsid w:val="002823E4"/>
    <w:rsid w:val="00282706"/>
    <w:rsid w:val="002827F9"/>
    <w:rsid w:val="00282AB2"/>
    <w:rsid w:val="00282B8E"/>
    <w:rsid w:val="00282BED"/>
    <w:rsid w:val="00282FAC"/>
    <w:rsid w:val="00282FF6"/>
    <w:rsid w:val="0028319F"/>
    <w:rsid w:val="002833EB"/>
    <w:rsid w:val="0028358F"/>
    <w:rsid w:val="00283693"/>
    <w:rsid w:val="00283739"/>
    <w:rsid w:val="00283781"/>
    <w:rsid w:val="002837FA"/>
    <w:rsid w:val="00283933"/>
    <w:rsid w:val="00283940"/>
    <w:rsid w:val="0028397C"/>
    <w:rsid w:val="00283A09"/>
    <w:rsid w:val="00283A21"/>
    <w:rsid w:val="00283CCE"/>
    <w:rsid w:val="00283FC5"/>
    <w:rsid w:val="002841E3"/>
    <w:rsid w:val="0028435B"/>
    <w:rsid w:val="002843B2"/>
    <w:rsid w:val="002843E3"/>
    <w:rsid w:val="0028468F"/>
    <w:rsid w:val="0028489D"/>
    <w:rsid w:val="00284ADE"/>
    <w:rsid w:val="00284D18"/>
    <w:rsid w:val="00284D72"/>
    <w:rsid w:val="00284E40"/>
    <w:rsid w:val="00284E52"/>
    <w:rsid w:val="00284E9D"/>
    <w:rsid w:val="00284EB7"/>
    <w:rsid w:val="00284EDF"/>
    <w:rsid w:val="00284F8D"/>
    <w:rsid w:val="0028500A"/>
    <w:rsid w:val="002851E3"/>
    <w:rsid w:val="00285316"/>
    <w:rsid w:val="002853A8"/>
    <w:rsid w:val="00285466"/>
    <w:rsid w:val="0028556E"/>
    <w:rsid w:val="002856D3"/>
    <w:rsid w:val="00285865"/>
    <w:rsid w:val="002859D3"/>
    <w:rsid w:val="002859F1"/>
    <w:rsid w:val="00285AEF"/>
    <w:rsid w:val="00285C81"/>
    <w:rsid w:val="00285D3D"/>
    <w:rsid w:val="00285E11"/>
    <w:rsid w:val="00285E7E"/>
    <w:rsid w:val="00286050"/>
    <w:rsid w:val="002862DD"/>
    <w:rsid w:val="002862E1"/>
    <w:rsid w:val="002863BC"/>
    <w:rsid w:val="00286466"/>
    <w:rsid w:val="0028652B"/>
    <w:rsid w:val="002866AD"/>
    <w:rsid w:val="002866FB"/>
    <w:rsid w:val="00286888"/>
    <w:rsid w:val="002869AB"/>
    <w:rsid w:val="00286A07"/>
    <w:rsid w:val="00286B8E"/>
    <w:rsid w:val="00286F0D"/>
    <w:rsid w:val="00286F2F"/>
    <w:rsid w:val="00286FDC"/>
    <w:rsid w:val="002870E8"/>
    <w:rsid w:val="002870F5"/>
    <w:rsid w:val="002873B6"/>
    <w:rsid w:val="002873CD"/>
    <w:rsid w:val="002873FB"/>
    <w:rsid w:val="0028781B"/>
    <w:rsid w:val="0028781F"/>
    <w:rsid w:val="00287927"/>
    <w:rsid w:val="00287B09"/>
    <w:rsid w:val="00287C26"/>
    <w:rsid w:val="00287C2C"/>
    <w:rsid w:val="00287D3B"/>
    <w:rsid w:val="00287E5B"/>
    <w:rsid w:val="00287FB4"/>
    <w:rsid w:val="00287FDF"/>
    <w:rsid w:val="00290025"/>
    <w:rsid w:val="0029006D"/>
    <w:rsid w:val="002900C9"/>
    <w:rsid w:val="00290157"/>
    <w:rsid w:val="00290161"/>
    <w:rsid w:val="00290210"/>
    <w:rsid w:val="0029028C"/>
    <w:rsid w:val="002902AC"/>
    <w:rsid w:val="0029064A"/>
    <w:rsid w:val="002906DA"/>
    <w:rsid w:val="00290797"/>
    <w:rsid w:val="00290858"/>
    <w:rsid w:val="00290938"/>
    <w:rsid w:val="00290994"/>
    <w:rsid w:val="00290B48"/>
    <w:rsid w:val="00290C79"/>
    <w:rsid w:val="00290CBF"/>
    <w:rsid w:val="00290D77"/>
    <w:rsid w:val="0029104A"/>
    <w:rsid w:val="0029109A"/>
    <w:rsid w:val="00291350"/>
    <w:rsid w:val="00291401"/>
    <w:rsid w:val="0029142F"/>
    <w:rsid w:val="002916E1"/>
    <w:rsid w:val="002917F6"/>
    <w:rsid w:val="00291821"/>
    <w:rsid w:val="00291851"/>
    <w:rsid w:val="002919F1"/>
    <w:rsid w:val="00291A63"/>
    <w:rsid w:val="00291A80"/>
    <w:rsid w:val="00291B61"/>
    <w:rsid w:val="00291F2B"/>
    <w:rsid w:val="00292239"/>
    <w:rsid w:val="00292259"/>
    <w:rsid w:val="002923BD"/>
    <w:rsid w:val="00292453"/>
    <w:rsid w:val="00292706"/>
    <w:rsid w:val="00292817"/>
    <w:rsid w:val="0029297E"/>
    <w:rsid w:val="00292B59"/>
    <w:rsid w:val="00292C7A"/>
    <w:rsid w:val="00292CFE"/>
    <w:rsid w:val="00292D30"/>
    <w:rsid w:val="00292D4D"/>
    <w:rsid w:val="00292DF6"/>
    <w:rsid w:val="00292E16"/>
    <w:rsid w:val="00292EAB"/>
    <w:rsid w:val="00292FD6"/>
    <w:rsid w:val="00293015"/>
    <w:rsid w:val="002930D5"/>
    <w:rsid w:val="0029317C"/>
    <w:rsid w:val="00293484"/>
    <w:rsid w:val="0029351A"/>
    <w:rsid w:val="00293652"/>
    <w:rsid w:val="0029380F"/>
    <w:rsid w:val="00293A63"/>
    <w:rsid w:val="00293ABE"/>
    <w:rsid w:val="00293AD2"/>
    <w:rsid w:val="00293B54"/>
    <w:rsid w:val="00293CF5"/>
    <w:rsid w:val="00293D80"/>
    <w:rsid w:val="00293E6E"/>
    <w:rsid w:val="00294156"/>
    <w:rsid w:val="0029415F"/>
    <w:rsid w:val="00294170"/>
    <w:rsid w:val="00294209"/>
    <w:rsid w:val="002943B7"/>
    <w:rsid w:val="002943DF"/>
    <w:rsid w:val="002944CA"/>
    <w:rsid w:val="00294543"/>
    <w:rsid w:val="0029459F"/>
    <w:rsid w:val="002946C1"/>
    <w:rsid w:val="002946CB"/>
    <w:rsid w:val="00294733"/>
    <w:rsid w:val="002949BF"/>
    <w:rsid w:val="00294A4F"/>
    <w:rsid w:val="00294A55"/>
    <w:rsid w:val="00294B43"/>
    <w:rsid w:val="00294C26"/>
    <w:rsid w:val="00294F73"/>
    <w:rsid w:val="00295092"/>
    <w:rsid w:val="002953B6"/>
    <w:rsid w:val="00295513"/>
    <w:rsid w:val="00295536"/>
    <w:rsid w:val="00295631"/>
    <w:rsid w:val="00295699"/>
    <w:rsid w:val="00295724"/>
    <w:rsid w:val="0029573C"/>
    <w:rsid w:val="002959FF"/>
    <w:rsid w:val="00295BCB"/>
    <w:rsid w:val="00295CBE"/>
    <w:rsid w:val="00295D19"/>
    <w:rsid w:val="00296004"/>
    <w:rsid w:val="0029601E"/>
    <w:rsid w:val="00296218"/>
    <w:rsid w:val="0029636F"/>
    <w:rsid w:val="0029655F"/>
    <w:rsid w:val="00296835"/>
    <w:rsid w:val="002968C1"/>
    <w:rsid w:val="0029693D"/>
    <w:rsid w:val="00296B31"/>
    <w:rsid w:val="00296C0B"/>
    <w:rsid w:val="00296D04"/>
    <w:rsid w:val="00296D19"/>
    <w:rsid w:val="00296EEE"/>
    <w:rsid w:val="00296EF4"/>
    <w:rsid w:val="00296F64"/>
    <w:rsid w:val="00297066"/>
    <w:rsid w:val="00297283"/>
    <w:rsid w:val="002972DF"/>
    <w:rsid w:val="00297487"/>
    <w:rsid w:val="002975BC"/>
    <w:rsid w:val="00297ADF"/>
    <w:rsid w:val="00297FCB"/>
    <w:rsid w:val="002A028D"/>
    <w:rsid w:val="002A048D"/>
    <w:rsid w:val="002A04AE"/>
    <w:rsid w:val="002A04B1"/>
    <w:rsid w:val="002A053D"/>
    <w:rsid w:val="002A0642"/>
    <w:rsid w:val="002A0891"/>
    <w:rsid w:val="002A0AD6"/>
    <w:rsid w:val="002A0C0A"/>
    <w:rsid w:val="002A0C91"/>
    <w:rsid w:val="002A0F42"/>
    <w:rsid w:val="002A0FAA"/>
    <w:rsid w:val="002A1337"/>
    <w:rsid w:val="002A14D0"/>
    <w:rsid w:val="002A1588"/>
    <w:rsid w:val="002A15AD"/>
    <w:rsid w:val="002A1767"/>
    <w:rsid w:val="002A17CF"/>
    <w:rsid w:val="002A1894"/>
    <w:rsid w:val="002A1942"/>
    <w:rsid w:val="002A1DC1"/>
    <w:rsid w:val="002A1DDE"/>
    <w:rsid w:val="002A1E27"/>
    <w:rsid w:val="002A1E6C"/>
    <w:rsid w:val="002A1ED0"/>
    <w:rsid w:val="002A20D7"/>
    <w:rsid w:val="002A21EC"/>
    <w:rsid w:val="002A22AC"/>
    <w:rsid w:val="002A2445"/>
    <w:rsid w:val="002A2567"/>
    <w:rsid w:val="002A263F"/>
    <w:rsid w:val="002A2711"/>
    <w:rsid w:val="002A27B8"/>
    <w:rsid w:val="002A2905"/>
    <w:rsid w:val="002A2DDE"/>
    <w:rsid w:val="002A2F21"/>
    <w:rsid w:val="002A3188"/>
    <w:rsid w:val="002A31CE"/>
    <w:rsid w:val="002A31EB"/>
    <w:rsid w:val="002A32D0"/>
    <w:rsid w:val="002A33C6"/>
    <w:rsid w:val="002A375A"/>
    <w:rsid w:val="002A379B"/>
    <w:rsid w:val="002A39CD"/>
    <w:rsid w:val="002A3A79"/>
    <w:rsid w:val="002A3AD1"/>
    <w:rsid w:val="002A3B01"/>
    <w:rsid w:val="002A3B1C"/>
    <w:rsid w:val="002A3E38"/>
    <w:rsid w:val="002A3E62"/>
    <w:rsid w:val="002A40B1"/>
    <w:rsid w:val="002A40D8"/>
    <w:rsid w:val="002A415E"/>
    <w:rsid w:val="002A4162"/>
    <w:rsid w:val="002A42E0"/>
    <w:rsid w:val="002A43DE"/>
    <w:rsid w:val="002A43FB"/>
    <w:rsid w:val="002A44A4"/>
    <w:rsid w:val="002A4574"/>
    <w:rsid w:val="002A459D"/>
    <w:rsid w:val="002A461B"/>
    <w:rsid w:val="002A4671"/>
    <w:rsid w:val="002A47FC"/>
    <w:rsid w:val="002A4980"/>
    <w:rsid w:val="002A4AD1"/>
    <w:rsid w:val="002A4B01"/>
    <w:rsid w:val="002A4C53"/>
    <w:rsid w:val="002A4CC1"/>
    <w:rsid w:val="002A528D"/>
    <w:rsid w:val="002A53D9"/>
    <w:rsid w:val="002A54DA"/>
    <w:rsid w:val="002A5505"/>
    <w:rsid w:val="002A56FD"/>
    <w:rsid w:val="002A5765"/>
    <w:rsid w:val="002A576F"/>
    <w:rsid w:val="002A5920"/>
    <w:rsid w:val="002A59AA"/>
    <w:rsid w:val="002A5B79"/>
    <w:rsid w:val="002A5C53"/>
    <w:rsid w:val="002A5CF1"/>
    <w:rsid w:val="002A5E36"/>
    <w:rsid w:val="002A604C"/>
    <w:rsid w:val="002A615F"/>
    <w:rsid w:val="002A61C9"/>
    <w:rsid w:val="002A622B"/>
    <w:rsid w:val="002A6291"/>
    <w:rsid w:val="002A62C0"/>
    <w:rsid w:val="002A62F2"/>
    <w:rsid w:val="002A63DD"/>
    <w:rsid w:val="002A64CA"/>
    <w:rsid w:val="002A65B5"/>
    <w:rsid w:val="002A687E"/>
    <w:rsid w:val="002A68BD"/>
    <w:rsid w:val="002A6A17"/>
    <w:rsid w:val="002A6A3D"/>
    <w:rsid w:val="002A6B3E"/>
    <w:rsid w:val="002A6B46"/>
    <w:rsid w:val="002A6B5A"/>
    <w:rsid w:val="002A6D68"/>
    <w:rsid w:val="002A6FD5"/>
    <w:rsid w:val="002A7009"/>
    <w:rsid w:val="002A7501"/>
    <w:rsid w:val="002A7529"/>
    <w:rsid w:val="002A7540"/>
    <w:rsid w:val="002A75C0"/>
    <w:rsid w:val="002A76AD"/>
    <w:rsid w:val="002A791A"/>
    <w:rsid w:val="002A7923"/>
    <w:rsid w:val="002A795B"/>
    <w:rsid w:val="002A7C03"/>
    <w:rsid w:val="002A7C20"/>
    <w:rsid w:val="002A7C35"/>
    <w:rsid w:val="002A7C6C"/>
    <w:rsid w:val="002A7CEC"/>
    <w:rsid w:val="002A7D3B"/>
    <w:rsid w:val="002A7D86"/>
    <w:rsid w:val="002A7D9B"/>
    <w:rsid w:val="002A7E75"/>
    <w:rsid w:val="002A7FFD"/>
    <w:rsid w:val="002B00C5"/>
    <w:rsid w:val="002B0109"/>
    <w:rsid w:val="002B01A8"/>
    <w:rsid w:val="002B03EE"/>
    <w:rsid w:val="002B043A"/>
    <w:rsid w:val="002B04BA"/>
    <w:rsid w:val="002B0512"/>
    <w:rsid w:val="002B05A5"/>
    <w:rsid w:val="002B06E2"/>
    <w:rsid w:val="002B0712"/>
    <w:rsid w:val="002B0A90"/>
    <w:rsid w:val="002B0B5B"/>
    <w:rsid w:val="002B0BA9"/>
    <w:rsid w:val="002B0BCA"/>
    <w:rsid w:val="002B0D5F"/>
    <w:rsid w:val="002B0DC7"/>
    <w:rsid w:val="002B0F98"/>
    <w:rsid w:val="002B114E"/>
    <w:rsid w:val="002B1236"/>
    <w:rsid w:val="002B133C"/>
    <w:rsid w:val="002B1378"/>
    <w:rsid w:val="002B164C"/>
    <w:rsid w:val="002B1842"/>
    <w:rsid w:val="002B1898"/>
    <w:rsid w:val="002B1A35"/>
    <w:rsid w:val="002B1D51"/>
    <w:rsid w:val="002B1E58"/>
    <w:rsid w:val="002B1E5E"/>
    <w:rsid w:val="002B208C"/>
    <w:rsid w:val="002B2118"/>
    <w:rsid w:val="002B216B"/>
    <w:rsid w:val="002B2196"/>
    <w:rsid w:val="002B21D1"/>
    <w:rsid w:val="002B223C"/>
    <w:rsid w:val="002B23D7"/>
    <w:rsid w:val="002B277C"/>
    <w:rsid w:val="002B27BE"/>
    <w:rsid w:val="002B27E3"/>
    <w:rsid w:val="002B2989"/>
    <w:rsid w:val="002B29A6"/>
    <w:rsid w:val="002B2AC8"/>
    <w:rsid w:val="002B2AD5"/>
    <w:rsid w:val="002B2B21"/>
    <w:rsid w:val="002B2CAA"/>
    <w:rsid w:val="002B2DF5"/>
    <w:rsid w:val="002B2E33"/>
    <w:rsid w:val="002B2F47"/>
    <w:rsid w:val="002B2F8A"/>
    <w:rsid w:val="002B3165"/>
    <w:rsid w:val="002B3194"/>
    <w:rsid w:val="002B3249"/>
    <w:rsid w:val="002B3322"/>
    <w:rsid w:val="002B3420"/>
    <w:rsid w:val="002B34EF"/>
    <w:rsid w:val="002B354A"/>
    <w:rsid w:val="002B365F"/>
    <w:rsid w:val="002B36C5"/>
    <w:rsid w:val="002B382C"/>
    <w:rsid w:val="002B3852"/>
    <w:rsid w:val="002B3871"/>
    <w:rsid w:val="002B3897"/>
    <w:rsid w:val="002B3B75"/>
    <w:rsid w:val="002B3C05"/>
    <w:rsid w:val="002B3C89"/>
    <w:rsid w:val="002B3F6D"/>
    <w:rsid w:val="002B3FE7"/>
    <w:rsid w:val="002B4126"/>
    <w:rsid w:val="002B4171"/>
    <w:rsid w:val="002B4276"/>
    <w:rsid w:val="002B42CE"/>
    <w:rsid w:val="002B42D6"/>
    <w:rsid w:val="002B458B"/>
    <w:rsid w:val="002B46FC"/>
    <w:rsid w:val="002B47C4"/>
    <w:rsid w:val="002B495E"/>
    <w:rsid w:val="002B4973"/>
    <w:rsid w:val="002B4A69"/>
    <w:rsid w:val="002B4BAA"/>
    <w:rsid w:val="002B4BE3"/>
    <w:rsid w:val="002B4C14"/>
    <w:rsid w:val="002B4CEE"/>
    <w:rsid w:val="002B4DA8"/>
    <w:rsid w:val="002B4DFD"/>
    <w:rsid w:val="002B4ED1"/>
    <w:rsid w:val="002B4EEF"/>
    <w:rsid w:val="002B4F7D"/>
    <w:rsid w:val="002B5069"/>
    <w:rsid w:val="002B528C"/>
    <w:rsid w:val="002B540E"/>
    <w:rsid w:val="002B5412"/>
    <w:rsid w:val="002B55A7"/>
    <w:rsid w:val="002B5661"/>
    <w:rsid w:val="002B5722"/>
    <w:rsid w:val="002B574F"/>
    <w:rsid w:val="002B5780"/>
    <w:rsid w:val="002B5B05"/>
    <w:rsid w:val="002B5C78"/>
    <w:rsid w:val="002B5D11"/>
    <w:rsid w:val="002B60C2"/>
    <w:rsid w:val="002B60D7"/>
    <w:rsid w:val="002B61AF"/>
    <w:rsid w:val="002B6288"/>
    <w:rsid w:val="002B629B"/>
    <w:rsid w:val="002B62B3"/>
    <w:rsid w:val="002B6330"/>
    <w:rsid w:val="002B6339"/>
    <w:rsid w:val="002B65C4"/>
    <w:rsid w:val="002B663B"/>
    <w:rsid w:val="002B6650"/>
    <w:rsid w:val="002B6922"/>
    <w:rsid w:val="002B6A66"/>
    <w:rsid w:val="002B6A73"/>
    <w:rsid w:val="002B6B31"/>
    <w:rsid w:val="002B6B3A"/>
    <w:rsid w:val="002B6DD6"/>
    <w:rsid w:val="002B6E1B"/>
    <w:rsid w:val="002B6E28"/>
    <w:rsid w:val="002B6FF5"/>
    <w:rsid w:val="002B7055"/>
    <w:rsid w:val="002B717C"/>
    <w:rsid w:val="002B72C3"/>
    <w:rsid w:val="002B7403"/>
    <w:rsid w:val="002B76A7"/>
    <w:rsid w:val="002B7A65"/>
    <w:rsid w:val="002B7BD9"/>
    <w:rsid w:val="002B7E08"/>
    <w:rsid w:val="002C0012"/>
    <w:rsid w:val="002C0028"/>
    <w:rsid w:val="002C026F"/>
    <w:rsid w:val="002C0515"/>
    <w:rsid w:val="002C05C3"/>
    <w:rsid w:val="002C086A"/>
    <w:rsid w:val="002C0946"/>
    <w:rsid w:val="002C0B17"/>
    <w:rsid w:val="002C0C29"/>
    <w:rsid w:val="002C0D18"/>
    <w:rsid w:val="002C0F16"/>
    <w:rsid w:val="002C10E7"/>
    <w:rsid w:val="002C10F8"/>
    <w:rsid w:val="002C11A7"/>
    <w:rsid w:val="002C13EC"/>
    <w:rsid w:val="002C148C"/>
    <w:rsid w:val="002C16E5"/>
    <w:rsid w:val="002C1836"/>
    <w:rsid w:val="002C18E7"/>
    <w:rsid w:val="002C1964"/>
    <w:rsid w:val="002C1965"/>
    <w:rsid w:val="002C1CEB"/>
    <w:rsid w:val="002C1D39"/>
    <w:rsid w:val="002C1F15"/>
    <w:rsid w:val="002C1F79"/>
    <w:rsid w:val="002C209C"/>
    <w:rsid w:val="002C2249"/>
    <w:rsid w:val="002C22CC"/>
    <w:rsid w:val="002C23CD"/>
    <w:rsid w:val="002C23D1"/>
    <w:rsid w:val="002C28A0"/>
    <w:rsid w:val="002C2969"/>
    <w:rsid w:val="002C29D4"/>
    <w:rsid w:val="002C2BBB"/>
    <w:rsid w:val="002C2CDB"/>
    <w:rsid w:val="002C2F3F"/>
    <w:rsid w:val="002C313E"/>
    <w:rsid w:val="002C31CA"/>
    <w:rsid w:val="002C334D"/>
    <w:rsid w:val="002C342E"/>
    <w:rsid w:val="002C361D"/>
    <w:rsid w:val="002C385C"/>
    <w:rsid w:val="002C38BE"/>
    <w:rsid w:val="002C3948"/>
    <w:rsid w:val="002C397B"/>
    <w:rsid w:val="002C39B8"/>
    <w:rsid w:val="002C3AE6"/>
    <w:rsid w:val="002C3C2C"/>
    <w:rsid w:val="002C3D58"/>
    <w:rsid w:val="002C3E7A"/>
    <w:rsid w:val="002C3E7E"/>
    <w:rsid w:val="002C417C"/>
    <w:rsid w:val="002C426E"/>
    <w:rsid w:val="002C428F"/>
    <w:rsid w:val="002C4317"/>
    <w:rsid w:val="002C437D"/>
    <w:rsid w:val="002C43AF"/>
    <w:rsid w:val="002C45FB"/>
    <w:rsid w:val="002C4748"/>
    <w:rsid w:val="002C4906"/>
    <w:rsid w:val="002C4C92"/>
    <w:rsid w:val="002C4CA5"/>
    <w:rsid w:val="002C4CAB"/>
    <w:rsid w:val="002C4CB8"/>
    <w:rsid w:val="002C4D19"/>
    <w:rsid w:val="002C4E06"/>
    <w:rsid w:val="002C5309"/>
    <w:rsid w:val="002C53A8"/>
    <w:rsid w:val="002C54CB"/>
    <w:rsid w:val="002C54F1"/>
    <w:rsid w:val="002C5755"/>
    <w:rsid w:val="002C5968"/>
    <w:rsid w:val="002C5AA3"/>
    <w:rsid w:val="002C5AF0"/>
    <w:rsid w:val="002C5C7B"/>
    <w:rsid w:val="002C5D2E"/>
    <w:rsid w:val="002C5D6B"/>
    <w:rsid w:val="002C5DE6"/>
    <w:rsid w:val="002C5F81"/>
    <w:rsid w:val="002C6026"/>
    <w:rsid w:val="002C6094"/>
    <w:rsid w:val="002C61CD"/>
    <w:rsid w:val="002C62D1"/>
    <w:rsid w:val="002C6391"/>
    <w:rsid w:val="002C651A"/>
    <w:rsid w:val="002C655E"/>
    <w:rsid w:val="002C6722"/>
    <w:rsid w:val="002C672D"/>
    <w:rsid w:val="002C674C"/>
    <w:rsid w:val="002C692B"/>
    <w:rsid w:val="002C69CD"/>
    <w:rsid w:val="002C6A34"/>
    <w:rsid w:val="002C6BE8"/>
    <w:rsid w:val="002C6DEB"/>
    <w:rsid w:val="002C6DEE"/>
    <w:rsid w:val="002C6DFA"/>
    <w:rsid w:val="002C6FEA"/>
    <w:rsid w:val="002C7052"/>
    <w:rsid w:val="002C7239"/>
    <w:rsid w:val="002C72C9"/>
    <w:rsid w:val="002C730F"/>
    <w:rsid w:val="002C7492"/>
    <w:rsid w:val="002C74EF"/>
    <w:rsid w:val="002C756F"/>
    <w:rsid w:val="002C75EA"/>
    <w:rsid w:val="002C75F2"/>
    <w:rsid w:val="002C7697"/>
    <w:rsid w:val="002C76BB"/>
    <w:rsid w:val="002C76E3"/>
    <w:rsid w:val="002C78A9"/>
    <w:rsid w:val="002C796E"/>
    <w:rsid w:val="002C7CCC"/>
    <w:rsid w:val="002C7CD8"/>
    <w:rsid w:val="002C7D91"/>
    <w:rsid w:val="002C7EE7"/>
    <w:rsid w:val="002D0014"/>
    <w:rsid w:val="002D001C"/>
    <w:rsid w:val="002D0150"/>
    <w:rsid w:val="002D0222"/>
    <w:rsid w:val="002D023E"/>
    <w:rsid w:val="002D02B3"/>
    <w:rsid w:val="002D0365"/>
    <w:rsid w:val="002D04CB"/>
    <w:rsid w:val="002D08F7"/>
    <w:rsid w:val="002D0AC1"/>
    <w:rsid w:val="002D0B1B"/>
    <w:rsid w:val="002D0CCC"/>
    <w:rsid w:val="002D0D83"/>
    <w:rsid w:val="002D0F49"/>
    <w:rsid w:val="002D10CD"/>
    <w:rsid w:val="002D10F4"/>
    <w:rsid w:val="002D115C"/>
    <w:rsid w:val="002D15D5"/>
    <w:rsid w:val="002D191E"/>
    <w:rsid w:val="002D1978"/>
    <w:rsid w:val="002D1A93"/>
    <w:rsid w:val="002D1B39"/>
    <w:rsid w:val="002D1C8F"/>
    <w:rsid w:val="002D1D06"/>
    <w:rsid w:val="002D1E51"/>
    <w:rsid w:val="002D2147"/>
    <w:rsid w:val="002D24F6"/>
    <w:rsid w:val="002D25FA"/>
    <w:rsid w:val="002D2609"/>
    <w:rsid w:val="002D27AB"/>
    <w:rsid w:val="002D27AF"/>
    <w:rsid w:val="002D27EB"/>
    <w:rsid w:val="002D285E"/>
    <w:rsid w:val="002D2AB6"/>
    <w:rsid w:val="002D2B90"/>
    <w:rsid w:val="002D2EEA"/>
    <w:rsid w:val="002D2F77"/>
    <w:rsid w:val="002D2F78"/>
    <w:rsid w:val="002D30CF"/>
    <w:rsid w:val="002D3160"/>
    <w:rsid w:val="002D32D1"/>
    <w:rsid w:val="002D3399"/>
    <w:rsid w:val="002D3496"/>
    <w:rsid w:val="002D3678"/>
    <w:rsid w:val="002D37D7"/>
    <w:rsid w:val="002D3888"/>
    <w:rsid w:val="002D38DB"/>
    <w:rsid w:val="002D3AD8"/>
    <w:rsid w:val="002D3B6D"/>
    <w:rsid w:val="002D3B72"/>
    <w:rsid w:val="002D3CE8"/>
    <w:rsid w:val="002D3D91"/>
    <w:rsid w:val="002D3EFE"/>
    <w:rsid w:val="002D3F9A"/>
    <w:rsid w:val="002D3FA7"/>
    <w:rsid w:val="002D42EE"/>
    <w:rsid w:val="002D4587"/>
    <w:rsid w:val="002D4593"/>
    <w:rsid w:val="002D4898"/>
    <w:rsid w:val="002D48AB"/>
    <w:rsid w:val="002D48B7"/>
    <w:rsid w:val="002D4CA8"/>
    <w:rsid w:val="002D4DBE"/>
    <w:rsid w:val="002D4E86"/>
    <w:rsid w:val="002D4F2E"/>
    <w:rsid w:val="002D4F31"/>
    <w:rsid w:val="002D4F72"/>
    <w:rsid w:val="002D51A4"/>
    <w:rsid w:val="002D52B2"/>
    <w:rsid w:val="002D5649"/>
    <w:rsid w:val="002D567D"/>
    <w:rsid w:val="002D56CD"/>
    <w:rsid w:val="002D5A64"/>
    <w:rsid w:val="002D5AEC"/>
    <w:rsid w:val="002D5B32"/>
    <w:rsid w:val="002D5BB3"/>
    <w:rsid w:val="002D5D1A"/>
    <w:rsid w:val="002D5D27"/>
    <w:rsid w:val="002D5E76"/>
    <w:rsid w:val="002D5E9D"/>
    <w:rsid w:val="002D615E"/>
    <w:rsid w:val="002D61DF"/>
    <w:rsid w:val="002D61FE"/>
    <w:rsid w:val="002D62DD"/>
    <w:rsid w:val="002D633B"/>
    <w:rsid w:val="002D6369"/>
    <w:rsid w:val="002D6593"/>
    <w:rsid w:val="002D65DB"/>
    <w:rsid w:val="002D66EB"/>
    <w:rsid w:val="002D696D"/>
    <w:rsid w:val="002D69CB"/>
    <w:rsid w:val="002D69D5"/>
    <w:rsid w:val="002D6A7F"/>
    <w:rsid w:val="002D6B40"/>
    <w:rsid w:val="002D6BB2"/>
    <w:rsid w:val="002D6C12"/>
    <w:rsid w:val="002D6CC3"/>
    <w:rsid w:val="002D6CEE"/>
    <w:rsid w:val="002D6D81"/>
    <w:rsid w:val="002D6D8D"/>
    <w:rsid w:val="002D6DA1"/>
    <w:rsid w:val="002D6E91"/>
    <w:rsid w:val="002D7076"/>
    <w:rsid w:val="002D70E9"/>
    <w:rsid w:val="002D7110"/>
    <w:rsid w:val="002D717B"/>
    <w:rsid w:val="002D72DE"/>
    <w:rsid w:val="002D7354"/>
    <w:rsid w:val="002D7366"/>
    <w:rsid w:val="002D74AB"/>
    <w:rsid w:val="002D7594"/>
    <w:rsid w:val="002D7712"/>
    <w:rsid w:val="002D77F6"/>
    <w:rsid w:val="002D78D0"/>
    <w:rsid w:val="002D7B59"/>
    <w:rsid w:val="002D7C33"/>
    <w:rsid w:val="002D7CC9"/>
    <w:rsid w:val="002D7DCD"/>
    <w:rsid w:val="002E0168"/>
    <w:rsid w:val="002E02E5"/>
    <w:rsid w:val="002E0398"/>
    <w:rsid w:val="002E0420"/>
    <w:rsid w:val="002E0A11"/>
    <w:rsid w:val="002E0AFB"/>
    <w:rsid w:val="002E0C78"/>
    <w:rsid w:val="002E0CFE"/>
    <w:rsid w:val="002E0DFA"/>
    <w:rsid w:val="002E1157"/>
    <w:rsid w:val="002E11DC"/>
    <w:rsid w:val="002E123F"/>
    <w:rsid w:val="002E1436"/>
    <w:rsid w:val="002E14E5"/>
    <w:rsid w:val="002E1545"/>
    <w:rsid w:val="002E1688"/>
    <w:rsid w:val="002E1736"/>
    <w:rsid w:val="002E1764"/>
    <w:rsid w:val="002E1805"/>
    <w:rsid w:val="002E1941"/>
    <w:rsid w:val="002E1B1F"/>
    <w:rsid w:val="002E1B5A"/>
    <w:rsid w:val="002E1CA6"/>
    <w:rsid w:val="002E1FD9"/>
    <w:rsid w:val="002E212A"/>
    <w:rsid w:val="002E212E"/>
    <w:rsid w:val="002E2516"/>
    <w:rsid w:val="002E261C"/>
    <w:rsid w:val="002E292E"/>
    <w:rsid w:val="002E299C"/>
    <w:rsid w:val="002E29C9"/>
    <w:rsid w:val="002E29F7"/>
    <w:rsid w:val="002E2A31"/>
    <w:rsid w:val="002E2A46"/>
    <w:rsid w:val="002E2A72"/>
    <w:rsid w:val="002E2B0A"/>
    <w:rsid w:val="002E2B6B"/>
    <w:rsid w:val="002E2BF5"/>
    <w:rsid w:val="002E2C7A"/>
    <w:rsid w:val="002E2D05"/>
    <w:rsid w:val="002E2D97"/>
    <w:rsid w:val="002E2FF0"/>
    <w:rsid w:val="002E31AD"/>
    <w:rsid w:val="002E3234"/>
    <w:rsid w:val="002E3634"/>
    <w:rsid w:val="002E39D2"/>
    <w:rsid w:val="002E3A3A"/>
    <w:rsid w:val="002E3A48"/>
    <w:rsid w:val="002E3ADF"/>
    <w:rsid w:val="002E3D20"/>
    <w:rsid w:val="002E3EBD"/>
    <w:rsid w:val="002E3EE2"/>
    <w:rsid w:val="002E3FA6"/>
    <w:rsid w:val="002E401D"/>
    <w:rsid w:val="002E4113"/>
    <w:rsid w:val="002E43FF"/>
    <w:rsid w:val="002E4604"/>
    <w:rsid w:val="002E4AAF"/>
    <w:rsid w:val="002E4AD4"/>
    <w:rsid w:val="002E4BDE"/>
    <w:rsid w:val="002E4C8B"/>
    <w:rsid w:val="002E4E14"/>
    <w:rsid w:val="002E4EE7"/>
    <w:rsid w:val="002E4FEE"/>
    <w:rsid w:val="002E526B"/>
    <w:rsid w:val="002E5370"/>
    <w:rsid w:val="002E5403"/>
    <w:rsid w:val="002E556B"/>
    <w:rsid w:val="002E5818"/>
    <w:rsid w:val="002E59BA"/>
    <w:rsid w:val="002E59ED"/>
    <w:rsid w:val="002E5BAF"/>
    <w:rsid w:val="002E5CF2"/>
    <w:rsid w:val="002E5D3F"/>
    <w:rsid w:val="002E5D5C"/>
    <w:rsid w:val="002E5D60"/>
    <w:rsid w:val="002E6028"/>
    <w:rsid w:val="002E62BB"/>
    <w:rsid w:val="002E6404"/>
    <w:rsid w:val="002E64D0"/>
    <w:rsid w:val="002E66CE"/>
    <w:rsid w:val="002E68E6"/>
    <w:rsid w:val="002E698D"/>
    <w:rsid w:val="002E69B8"/>
    <w:rsid w:val="002E6C90"/>
    <w:rsid w:val="002E6CB6"/>
    <w:rsid w:val="002E6CF5"/>
    <w:rsid w:val="002E6D18"/>
    <w:rsid w:val="002E6DE2"/>
    <w:rsid w:val="002E6FAC"/>
    <w:rsid w:val="002E7079"/>
    <w:rsid w:val="002E7162"/>
    <w:rsid w:val="002E71C1"/>
    <w:rsid w:val="002E7321"/>
    <w:rsid w:val="002E74D8"/>
    <w:rsid w:val="002E751C"/>
    <w:rsid w:val="002E7591"/>
    <w:rsid w:val="002E7AA1"/>
    <w:rsid w:val="002E7BDD"/>
    <w:rsid w:val="002E7C2C"/>
    <w:rsid w:val="002E7CAB"/>
    <w:rsid w:val="002E7E10"/>
    <w:rsid w:val="002E7EA9"/>
    <w:rsid w:val="002F0055"/>
    <w:rsid w:val="002F00E4"/>
    <w:rsid w:val="002F00FE"/>
    <w:rsid w:val="002F0293"/>
    <w:rsid w:val="002F0347"/>
    <w:rsid w:val="002F0420"/>
    <w:rsid w:val="002F05FC"/>
    <w:rsid w:val="002F06C7"/>
    <w:rsid w:val="002F0817"/>
    <w:rsid w:val="002F0AC1"/>
    <w:rsid w:val="002F0BBE"/>
    <w:rsid w:val="002F0C24"/>
    <w:rsid w:val="002F0D31"/>
    <w:rsid w:val="002F0D6C"/>
    <w:rsid w:val="002F0DE2"/>
    <w:rsid w:val="002F1118"/>
    <w:rsid w:val="002F1150"/>
    <w:rsid w:val="002F1183"/>
    <w:rsid w:val="002F11D7"/>
    <w:rsid w:val="002F1220"/>
    <w:rsid w:val="002F1272"/>
    <w:rsid w:val="002F12C3"/>
    <w:rsid w:val="002F18AF"/>
    <w:rsid w:val="002F18C8"/>
    <w:rsid w:val="002F197F"/>
    <w:rsid w:val="002F1ADE"/>
    <w:rsid w:val="002F1B18"/>
    <w:rsid w:val="002F1B29"/>
    <w:rsid w:val="002F1C04"/>
    <w:rsid w:val="002F1C4D"/>
    <w:rsid w:val="002F1C7C"/>
    <w:rsid w:val="002F1E61"/>
    <w:rsid w:val="002F1FC4"/>
    <w:rsid w:val="002F20D9"/>
    <w:rsid w:val="002F21C2"/>
    <w:rsid w:val="002F2282"/>
    <w:rsid w:val="002F2350"/>
    <w:rsid w:val="002F248D"/>
    <w:rsid w:val="002F2555"/>
    <w:rsid w:val="002F2597"/>
    <w:rsid w:val="002F2641"/>
    <w:rsid w:val="002F26F6"/>
    <w:rsid w:val="002F2839"/>
    <w:rsid w:val="002F287A"/>
    <w:rsid w:val="002F290B"/>
    <w:rsid w:val="002F29D8"/>
    <w:rsid w:val="002F2A08"/>
    <w:rsid w:val="002F2AB3"/>
    <w:rsid w:val="002F2C1E"/>
    <w:rsid w:val="002F2CBC"/>
    <w:rsid w:val="002F2FBA"/>
    <w:rsid w:val="002F321A"/>
    <w:rsid w:val="002F337F"/>
    <w:rsid w:val="002F33FF"/>
    <w:rsid w:val="002F356C"/>
    <w:rsid w:val="002F3576"/>
    <w:rsid w:val="002F358E"/>
    <w:rsid w:val="002F35D1"/>
    <w:rsid w:val="002F36B4"/>
    <w:rsid w:val="002F3818"/>
    <w:rsid w:val="002F3830"/>
    <w:rsid w:val="002F3927"/>
    <w:rsid w:val="002F3A00"/>
    <w:rsid w:val="002F3A18"/>
    <w:rsid w:val="002F3AD0"/>
    <w:rsid w:val="002F3CC9"/>
    <w:rsid w:val="002F3E8C"/>
    <w:rsid w:val="002F3FDD"/>
    <w:rsid w:val="002F4391"/>
    <w:rsid w:val="002F45E5"/>
    <w:rsid w:val="002F46B6"/>
    <w:rsid w:val="002F492D"/>
    <w:rsid w:val="002F49B5"/>
    <w:rsid w:val="002F4AF4"/>
    <w:rsid w:val="002F4C8C"/>
    <w:rsid w:val="002F4D84"/>
    <w:rsid w:val="002F4F36"/>
    <w:rsid w:val="002F4F80"/>
    <w:rsid w:val="002F50F8"/>
    <w:rsid w:val="002F50FE"/>
    <w:rsid w:val="002F5118"/>
    <w:rsid w:val="002F51FF"/>
    <w:rsid w:val="002F5754"/>
    <w:rsid w:val="002F5A59"/>
    <w:rsid w:val="002F5C55"/>
    <w:rsid w:val="002F6622"/>
    <w:rsid w:val="002F6A53"/>
    <w:rsid w:val="002F6AF6"/>
    <w:rsid w:val="002F6F4D"/>
    <w:rsid w:val="002F6FCE"/>
    <w:rsid w:val="002F7065"/>
    <w:rsid w:val="002F7095"/>
    <w:rsid w:val="002F70AE"/>
    <w:rsid w:val="002F70EA"/>
    <w:rsid w:val="002F7196"/>
    <w:rsid w:val="002F71B0"/>
    <w:rsid w:val="002F72D9"/>
    <w:rsid w:val="002F7628"/>
    <w:rsid w:val="002F7644"/>
    <w:rsid w:val="002F7767"/>
    <w:rsid w:val="002F7A99"/>
    <w:rsid w:val="002F7D7E"/>
    <w:rsid w:val="002F7E14"/>
    <w:rsid w:val="002F7F55"/>
    <w:rsid w:val="0030016D"/>
    <w:rsid w:val="0030042E"/>
    <w:rsid w:val="0030048E"/>
    <w:rsid w:val="00300549"/>
    <w:rsid w:val="0030066E"/>
    <w:rsid w:val="0030074D"/>
    <w:rsid w:val="00300A06"/>
    <w:rsid w:val="00300A92"/>
    <w:rsid w:val="00300C4E"/>
    <w:rsid w:val="00300D6D"/>
    <w:rsid w:val="00300EFE"/>
    <w:rsid w:val="0030103E"/>
    <w:rsid w:val="00301093"/>
    <w:rsid w:val="00301297"/>
    <w:rsid w:val="0030143E"/>
    <w:rsid w:val="00301567"/>
    <w:rsid w:val="0030161E"/>
    <w:rsid w:val="00301640"/>
    <w:rsid w:val="003016F3"/>
    <w:rsid w:val="003017DE"/>
    <w:rsid w:val="00301809"/>
    <w:rsid w:val="00301988"/>
    <w:rsid w:val="00301A76"/>
    <w:rsid w:val="00301CB8"/>
    <w:rsid w:val="00301D36"/>
    <w:rsid w:val="00301E4B"/>
    <w:rsid w:val="00301FD5"/>
    <w:rsid w:val="00301FEB"/>
    <w:rsid w:val="003020AB"/>
    <w:rsid w:val="003020BA"/>
    <w:rsid w:val="003020CC"/>
    <w:rsid w:val="0030210E"/>
    <w:rsid w:val="0030223B"/>
    <w:rsid w:val="003024C2"/>
    <w:rsid w:val="0030257C"/>
    <w:rsid w:val="00302877"/>
    <w:rsid w:val="00302917"/>
    <w:rsid w:val="00302961"/>
    <w:rsid w:val="00302A8F"/>
    <w:rsid w:val="00302C3F"/>
    <w:rsid w:val="00302E5A"/>
    <w:rsid w:val="00302EB4"/>
    <w:rsid w:val="00303060"/>
    <w:rsid w:val="0030312A"/>
    <w:rsid w:val="003032B7"/>
    <w:rsid w:val="003032EA"/>
    <w:rsid w:val="00303395"/>
    <w:rsid w:val="00303463"/>
    <w:rsid w:val="0030347D"/>
    <w:rsid w:val="003034EB"/>
    <w:rsid w:val="00303581"/>
    <w:rsid w:val="00303A8C"/>
    <w:rsid w:val="00303AD0"/>
    <w:rsid w:val="00303ADF"/>
    <w:rsid w:val="00303B74"/>
    <w:rsid w:val="00303C23"/>
    <w:rsid w:val="00303D3E"/>
    <w:rsid w:val="00303D91"/>
    <w:rsid w:val="00303F69"/>
    <w:rsid w:val="0030415C"/>
    <w:rsid w:val="00304166"/>
    <w:rsid w:val="003041A4"/>
    <w:rsid w:val="00304226"/>
    <w:rsid w:val="003044C4"/>
    <w:rsid w:val="003044E5"/>
    <w:rsid w:val="003045F7"/>
    <w:rsid w:val="003049EB"/>
    <w:rsid w:val="00304A85"/>
    <w:rsid w:val="00304BE9"/>
    <w:rsid w:val="00304DEE"/>
    <w:rsid w:val="00304E57"/>
    <w:rsid w:val="00304E7A"/>
    <w:rsid w:val="00304F13"/>
    <w:rsid w:val="00304FCD"/>
    <w:rsid w:val="0030503D"/>
    <w:rsid w:val="003053E2"/>
    <w:rsid w:val="003053F6"/>
    <w:rsid w:val="003055BD"/>
    <w:rsid w:val="00305629"/>
    <w:rsid w:val="00305698"/>
    <w:rsid w:val="00305889"/>
    <w:rsid w:val="003059C7"/>
    <w:rsid w:val="00305C16"/>
    <w:rsid w:val="00305C88"/>
    <w:rsid w:val="00305D06"/>
    <w:rsid w:val="00305DE5"/>
    <w:rsid w:val="00305E96"/>
    <w:rsid w:val="00306259"/>
    <w:rsid w:val="003062F3"/>
    <w:rsid w:val="00306396"/>
    <w:rsid w:val="003063C3"/>
    <w:rsid w:val="00306481"/>
    <w:rsid w:val="00306888"/>
    <w:rsid w:val="00306A07"/>
    <w:rsid w:val="00306A58"/>
    <w:rsid w:val="00306ACF"/>
    <w:rsid w:val="00306CAB"/>
    <w:rsid w:val="00306D20"/>
    <w:rsid w:val="00306E59"/>
    <w:rsid w:val="00306F7D"/>
    <w:rsid w:val="00306FD3"/>
    <w:rsid w:val="0030700A"/>
    <w:rsid w:val="0030705C"/>
    <w:rsid w:val="0030710F"/>
    <w:rsid w:val="003071BB"/>
    <w:rsid w:val="003071E8"/>
    <w:rsid w:val="0030727B"/>
    <w:rsid w:val="003074B3"/>
    <w:rsid w:val="00307547"/>
    <w:rsid w:val="00307596"/>
    <w:rsid w:val="003075E2"/>
    <w:rsid w:val="0030775D"/>
    <w:rsid w:val="00307A8A"/>
    <w:rsid w:val="00307A98"/>
    <w:rsid w:val="00307D55"/>
    <w:rsid w:val="00307EA6"/>
    <w:rsid w:val="003101C6"/>
    <w:rsid w:val="0031038C"/>
    <w:rsid w:val="00310500"/>
    <w:rsid w:val="00310866"/>
    <w:rsid w:val="0031091F"/>
    <w:rsid w:val="00310A79"/>
    <w:rsid w:val="00310B83"/>
    <w:rsid w:val="00310BE7"/>
    <w:rsid w:val="00310C48"/>
    <w:rsid w:val="00310CB7"/>
    <w:rsid w:val="00310D06"/>
    <w:rsid w:val="00310D47"/>
    <w:rsid w:val="00310D9D"/>
    <w:rsid w:val="00310DB4"/>
    <w:rsid w:val="00310E0D"/>
    <w:rsid w:val="00310F30"/>
    <w:rsid w:val="0031100C"/>
    <w:rsid w:val="0031102B"/>
    <w:rsid w:val="0031105B"/>
    <w:rsid w:val="00311243"/>
    <w:rsid w:val="0031131F"/>
    <w:rsid w:val="003113A8"/>
    <w:rsid w:val="003116B4"/>
    <w:rsid w:val="00311851"/>
    <w:rsid w:val="00311D40"/>
    <w:rsid w:val="00311D76"/>
    <w:rsid w:val="00311EC3"/>
    <w:rsid w:val="00311ED0"/>
    <w:rsid w:val="003120B7"/>
    <w:rsid w:val="00312254"/>
    <w:rsid w:val="00312311"/>
    <w:rsid w:val="00312320"/>
    <w:rsid w:val="00312478"/>
    <w:rsid w:val="00312479"/>
    <w:rsid w:val="003126AF"/>
    <w:rsid w:val="00312856"/>
    <w:rsid w:val="003129BC"/>
    <w:rsid w:val="003129F2"/>
    <w:rsid w:val="00312C07"/>
    <w:rsid w:val="00312CEA"/>
    <w:rsid w:val="00312D6C"/>
    <w:rsid w:val="00312FBC"/>
    <w:rsid w:val="0031327E"/>
    <w:rsid w:val="003132C1"/>
    <w:rsid w:val="0031333B"/>
    <w:rsid w:val="00313495"/>
    <w:rsid w:val="003135A1"/>
    <w:rsid w:val="003135A5"/>
    <w:rsid w:val="00313667"/>
    <w:rsid w:val="003136CD"/>
    <w:rsid w:val="00313751"/>
    <w:rsid w:val="00313963"/>
    <w:rsid w:val="00313BBA"/>
    <w:rsid w:val="00313BFD"/>
    <w:rsid w:val="00313C6D"/>
    <w:rsid w:val="00313D19"/>
    <w:rsid w:val="00313EA0"/>
    <w:rsid w:val="00314019"/>
    <w:rsid w:val="00314239"/>
    <w:rsid w:val="0031437C"/>
    <w:rsid w:val="00314513"/>
    <w:rsid w:val="00314605"/>
    <w:rsid w:val="00314613"/>
    <w:rsid w:val="00314650"/>
    <w:rsid w:val="00314692"/>
    <w:rsid w:val="00314712"/>
    <w:rsid w:val="00314B73"/>
    <w:rsid w:val="00314C58"/>
    <w:rsid w:val="00314CE3"/>
    <w:rsid w:val="00314E77"/>
    <w:rsid w:val="00314F38"/>
    <w:rsid w:val="00315143"/>
    <w:rsid w:val="00315277"/>
    <w:rsid w:val="003154D4"/>
    <w:rsid w:val="0031558F"/>
    <w:rsid w:val="00315643"/>
    <w:rsid w:val="00315690"/>
    <w:rsid w:val="00315693"/>
    <w:rsid w:val="003156A8"/>
    <w:rsid w:val="0031585E"/>
    <w:rsid w:val="00315878"/>
    <w:rsid w:val="003158CD"/>
    <w:rsid w:val="003158FC"/>
    <w:rsid w:val="00315A13"/>
    <w:rsid w:val="00315A92"/>
    <w:rsid w:val="00315AC9"/>
    <w:rsid w:val="00315AD4"/>
    <w:rsid w:val="00315B54"/>
    <w:rsid w:val="00315F03"/>
    <w:rsid w:val="00315F27"/>
    <w:rsid w:val="0031608E"/>
    <w:rsid w:val="00316226"/>
    <w:rsid w:val="003163F7"/>
    <w:rsid w:val="0031644E"/>
    <w:rsid w:val="00316479"/>
    <w:rsid w:val="0031656C"/>
    <w:rsid w:val="00316655"/>
    <w:rsid w:val="0031677D"/>
    <w:rsid w:val="003167A5"/>
    <w:rsid w:val="003167F6"/>
    <w:rsid w:val="003169BB"/>
    <w:rsid w:val="00316AE3"/>
    <w:rsid w:val="00316AE9"/>
    <w:rsid w:val="00316B4A"/>
    <w:rsid w:val="00316B82"/>
    <w:rsid w:val="00316BEC"/>
    <w:rsid w:val="00316CDA"/>
    <w:rsid w:val="00316EB9"/>
    <w:rsid w:val="0031701F"/>
    <w:rsid w:val="00317032"/>
    <w:rsid w:val="00317089"/>
    <w:rsid w:val="003170C5"/>
    <w:rsid w:val="003175D5"/>
    <w:rsid w:val="00317711"/>
    <w:rsid w:val="00317806"/>
    <w:rsid w:val="00317830"/>
    <w:rsid w:val="0031789E"/>
    <w:rsid w:val="00317B36"/>
    <w:rsid w:val="00317B4A"/>
    <w:rsid w:val="00317C35"/>
    <w:rsid w:val="00317CD9"/>
    <w:rsid w:val="00317CF0"/>
    <w:rsid w:val="00317CFD"/>
    <w:rsid w:val="00317D75"/>
    <w:rsid w:val="00317DB7"/>
    <w:rsid w:val="00317F8E"/>
    <w:rsid w:val="003200F5"/>
    <w:rsid w:val="0032016C"/>
    <w:rsid w:val="00320213"/>
    <w:rsid w:val="0032028B"/>
    <w:rsid w:val="003202EC"/>
    <w:rsid w:val="003203A8"/>
    <w:rsid w:val="003206A7"/>
    <w:rsid w:val="003206CB"/>
    <w:rsid w:val="003206DB"/>
    <w:rsid w:val="003208A3"/>
    <w:rsid w:val="00320943"/>
    <w:rsid w:val="00320984"/>
    <w:rsid w:val="00320A12"/>
    <w:rsid w:val="00320BFD"/>
    <w:rsid w:val="00320C91"/>
    <w:rsid w:val="00321125"/>
    <w:rsid w:val="00321126"/>
    <w:rsid w:val="00321132"/>
    <w:rsid w:val="0032113A"/>
    <w:rsid w:val="003212AE"/>
    <w:rsid w:val="00321736"/>
    <w:rsid w:val="00321770"/>
    <w:rsid w:val="00321C7C"/>
    <w:rsid w:val="00321C83"/>
    <w:rsid w:val="00321DC8"/>
    <w:rsid w:val="0032223D"/>
    <w:rsid w:val="00322307"/>
    <w:rsid w:val="00322310"/>
    <w:rsid w:val="0032243D"/>
    <w:rsid w:val="003224E1"/>
    <w:rsid w:val="003225C1"/>
    <w:rsid w:val="003225C6"/>
    <w:rsid w:val="003226E4"/>
    <w:rsid w:val="00322739"/>
    <w:rsid w:val="003227BB"/>
    <w:rsid w:val="00322955"/>
    <w:rsid w:val="0032297D"/>
    <w:rsid w:val="00322B2F"/>
    <w:rsid w:val="00322C80"/>
    <w:rsid w:val="00322CFF"/>
    <w:rsid w:val="00322EF8"/>
    <w:rsid w:val="00322F7A"/>
    <w:rsid w:val="00322F80"/>
    <w:rsid w:val="00322FA9"/>
    <w:rsid w:val="003230BD"/>
    <w:rsid w:val="003231A2"/>
    <w:rsid w:val="003231AE"/>
    <w:rsid w:val="003232FE"/>
    <w:rsid w:val="00323322"/>
    <w:rsid w:val="00323394"/>
    <w:rsid w:val="003233A4"/>
    <w:rsid w:val="0032349A"/>
    <w:rsid w:val="003234DE"/>
    <w:rsid w:val="00323603"/>
    <w:rsid w:val="00323628"/>
    <w:rsid w:val="0032363D"/>
    <w:rsid w:val="003236D2"/>
    <w:rsid w:val="00323769"/>
    <w:rsid w:val="00323AE6"/>
    <w:rsid w:val="00323CEE"/>
    <w:rsid w:val="00323D15"/>
    <w:rsid w:val="00323D82"/>
    <w:rsid w:val="00323DFB"/>
    <w:rsid w:val="00323FF8"/>
    <w:rsid w:val="003240EB"/>
    <w:rsid w:val="00324224"/>
    <w:rsid w:val="003242A0"/>
    <w:rsid w:val="0032430F"/>
    <w:rsid w:val="00324320"/>
    <w:rsid w:val="00324366"/>
    <w:rsid w:val="00324381"/>
    <w:rsid w:val="003243ED"/>
    <w:rsid w:val="0032448E"/>
    <w:rsid w:val="00324769"/>
    <w:rsid w:val="00324828"/>
    <w:rsid w:val="00324832"/>
    <w:rsid w:val="003249E5"/>
    <w:rsid w:val="00324A94"/>
    <w:rsid w:val="00324C96"/>
    <w:rsid w:val="00325206"/>
    <w:rsid w:val="003253AE"/>
    <w:rsid w:val="003253DD"/>
    <w:rsid w:val="0032552C"/>
    <w:rsid w:val="003256B9"/>
    <w:rsid w:val="003256F9"/>
    <w:rsid w:val="0032587D"/>
    <w:rsid w:val="00325C1C"/>
    <w:rsid w:val="00325C93"/>
    <w:rsid w:val="00325E36"/>
    <w:rsid w:val="00325E7D"/>
    <w:rsid w:val="0032616A"/>
    <w:rsid w:val="0032640A"/>
    <w:rsid w:val="00326678"/>
    <w:rsid w:val="00326700"/>
    <w:rsid w:val="003267AA"/>
    <w:rsid w:val="0032680B"/>
    <w:rsid w:val="003269DD"/>
    <w:rsid w:val="00326C03"/>
    <w:rsid w:val="00326C86"/>
    <w:rsid w:val="00326CE2"/>
    <w:rsid w:val="00326D1B"/>
    <w:rsid w:val="00326EDC"/>
    <w:rsid w:val="00326EFF"/>
    <w:rsid w:val="0032702E"/>
    <w:rsid w:val="00327034"/>
    <w:rsid w:val="00327063"/>
    <w:rsid w:val="00327079"/>
    <w:rsid w:val="003272FD"/>
    <w:rsid w:val="00327337"/>
    <w:rsid w:val="003274BE"/>
    <w:rsid w:val="003274F3"/>
    <w:rsid w:val="00327504"/>
    <w:rsid w:val="00327667"/>
    <w:rsid w:val="00327718"/>
    <w:rsid w:val="00327761"/>
    <w:rsid w:val="00327793"/>
    <w:rsid w:val="003278FE"/>
    <w:rsid w:val="00327A79"/>
    <w:rsid w:val="00327B1D"/>
    <w:rsid w:val="00327B4B"/>
    <w:rsid w:val="00327D0F"/>
    <w:rsid w:val="00327DD3"/>
    <w:rsid w:val="00327F7E"/>
    <w:rsid w:val="00327F82"/>
    <w:rsid w:val="00330100"/>
    <w:rsid w:val="003301F9"/>
    <w:rsid w:val="00330218"/>
    <w:rsid w:val="003304B1"/>
    <w:rsid w:val="003305F5"/>
    <w:rsid w:val="003306A0"/>
    <w:rsid w:val="00330804"/>
    <w:rsid w:val="0033085E"/>
    <w:rsid w:val="00330CD1"/>
    <w:rsid w:val="00330CDD"/>
    <w:rsid w:val="00330CE4"/>
    <w:rsid w:val="00330D7A"/>
    <w:rsid w:val="003311C3"/>
    <w:rsid w:val="0033125B"/>
    <w:rsid w:val="00331268"/>
    <w:rsid w:val="00331317"/>
    <w:rsid w:val="0033133B"/>
    <w:rsid w:val="0033176E"/>
    <w:rsid w:val="003317E5"/>
    <w:rsid w:val="0033195C"/>
    <w:rsid w:val="003319BC"/>
    <w:rsid w:val="003319DA"/>
    <w:rsid w:val="00331B7C"/>
    <w:rsid w:val="00331B8F"/>
    <w:rsid w:val="00331BB5"/>
    <w:rsid w:val="00331C34"/>
    <w:rsid w:val="00331E5C"/>
    <w:rsid w:val="00331EDC"/>
    <w:rsid w:val="00331F40"/>
    <w:rsid w:val="00331F9F"/>
    <w:rsid w:val="00332015"/>
    <w:rsid w:val="00332192"/>
    <w:rsid w:val="00332418"/>
    <w:rsid w:val="00332548"/>
    <w:rsid w:val="0033267A"/>
    <w:rsid w:val="003327A5"/>
    <w:rsid w:val="00332801"/>
    <w:rsid w:val="003328C3"/>
    <w:rsid w:val="00332AA6"/>
    <w:rsid w:val="00332E81"/>
    <w:rsid w:val="00332EEC"/>
    <w:rsid w:val="0033314A"/>
    <w:rsid w:val="0033318D"/>
    <w:rsid w:val="00333318"/>
    <w:rsid w:val="00333628"/>
    <w:rsid w:val="00333720"/>
    <w:rsid w:val="003337EA"/>
    <w:rsid w:val="00333960"/>
    <w:rsid w:val="00333AD9"/>
    <w:rsid w:val="00333D43"/>
    <w:rsid w:val="00333D59"/>
    <w:rsid w:val="00333F72"/>
    <w:rsid w:val="00333FB6"/>
    <w:rsid w:val="00334020"/>
    <w:rsid w:val="003340A9"/>
    <w:rsid w:val="00334169"/>
    <w:rsid w:val="0033416B"/>
    <w:rsid w:val="003341CC"/>
    <w:rsid w:val="0033441E"/>
    <w:rsid w:val="00334A65"/>
    <w:rsid w:val="00334BD8"/>
    <w:rsid w:val="00334DE7"/>
    <w:rsid w:val="00334FC2"/>
    <w:rsid w:val="00334FD3"/>
    <w:rsid w:val="00334FDD"/>
    <w:rsid w:val="00334FE4"/>
    <w:rsid w:val="0033508E"/>
    <w:rsid w:val="003350CA"/>
    <w:rsid w:val="003351E4"/>
    <w:rsid w:val="00335336"/>
    <w:rsid w:val="0033540F"/>
    <w:rsid w:val="0033564B"/>
    <w:rsid w:val="00335763"/>
    <w:rsid w:val="0033576E"/>
    <w:rsid w:val="00335949"/>
    <w:rsid w:val="00335961"/>
    <w:rsid w:val="00335995"/>
    <w:rsid w:val="00335A26"/>
    <w:rsid w:val="00335B1B"/>
    <w:rsid w:val="00335D2C"/>
    <w:rsid w:val="00335EA0"/>
    <w:rsid w:val="00335EA1"/>
    <w:rsid w:val="00335FA0"/>
    <w:rsid w:val="00336038"/>
    <w:rsid w:val="003360DC"/>
    <w:rsid w:val="00336130"/>
    <w:rsid w:val="00336177"/>
    <w:rsid w:val="0033624C"/>
    <w:rsid w:val="00336367"/>
    <w:rsid w:val="003364AF"/>
    <w:rsid w:val="003365F1"/>
    <w:rsid w:val="00336627"/>
    <w:rsid w:val="00336B46"/>
    <w:rsid w:val="00336B9F"/>
    <w:rsid w:val="00336C53"/>
    <w:rsid w:val="00336C92"/>
    <w:rsid w:val="00336D8E"/>
    <w:rsid w:val="00336EF9"/>
    <w:rsid w:val="00336EFC"/>
    <w:rsid w:val="0033701A"/>
    <w:rsid w:val="0033719F"/>
    <w:rsid w:val="003371C0"/>
    <w:rsid w:val="003372FE"/>
    <w:rsid w:val="003373AF"/>
    <w:rsid w:val="0033743A"/>
    <w:rsid w:val="0033746D"/>
    <w:rsid w:val="00337496"/>
    <w:rsid w:val="0033760D"/>
    <w:rsid w:val="00337879"/>
    <w:rsid w:val="0033797B"/>
    <w:rsid w:val="00337A29"/>
    <w:rsid w:val="00337A49"/>
    <w:rsid w:val="00337B4A"/>
    <w:rsid w:val="00337B54"/>
    <w:rsid w:val="00337B78"/>
    <w:rsid w:val="00337D03"/>
    <w:rsid w:val="00337DAC"/>
    <w:rsid w:val="00337EB2"/>
    <w:rsid w:val="00337FFA"/>
    <w:rsid w:val="0034006D"/>
    <w:rsid w:val="00340241"/>
    <w:rsid w:val="003404FA"/>
    <w:rsid w:val="0034056D"/>
    <w:rsid w:val="0034060B"/>
    <w:rsid w:val="003407CA"/>
    <w:rsid w:val="003408CE"/>
    <w:rsid w:val="00340BAF"/>
    <w:rsid w:val="00340BC0"/>
    <w:rsid w:val="00340D35"/>
    <w:rsid w:val="00340DA4"/>
    <w:rsid w:val="00340E48"/>
    <w:rsid w:val="00340E51"/>
    <w:rsid w:val="00340E9B"/>
    <w:rsid w:val="00340F59"/>
    <w:rsid w:val="00340FBB"/>
    <w:rsid w:val="0034108F"/>
    <w:rsid w:val="0034111B"/>
    <w:rsid w:val="00341142"/>
    <w:rsid w:val="003411F7"/>
    <w:rsid w:val="003413E5"/>
    <w:rsid w:val="003417A2"/>
    <w:rsid w:val="003417F7"/>
    <w:rsid w:val="0034193F"/>
    <w:rsid w:val="00341AA2"/>
    <w:rsid w:val="00341B88"/>
    <w:rsid w:val="00341C77"/>
    <w:rsid w:val="00341CE9"/>
    <w:rsid w:val="00341EE1"/>
    <w:rsid w:val="00342100"/>
    <w:rsid w:val="00342116"/>
    <w:rsid w:val="00342366"/>
    <w:rsid w:val="00342442"/>
    <w:rsid w:val="00342765"/>
    <w:rsid w:val="0034283D"/>
    <w:rsid w:val="00342852"/>
    <w:rsid w:val="00342A90"/>
    <w:rsid w:val="00342D6B"/>
    <w:rsid w:val="00342DB0"/>
    <w:rsid w:val="00342F60"/>
    <w:rsid w:val="00342FD5"/>
    <w:rsid w:val="00342FE2"/>
    <w:rsid w:val="00343032"/>
    <w:rsid w:val="00343039"/>
    <w:rsid w:val="0034303E"/>
    <w:rsid w:val="0034313F"/>
    <w:rsid w:val="00343183"/>
    <w:rsid w:val="00343237"/>
    <w:rsid w:val="0034326A"/>
    <w:rsid w:val="00343371"/>
    <w:rsid w:val="0034337A"/>
    <w:rsid w:val="00343430"/>
    <w:rsid w:val="003435DA"/>
    <w:rsid w:val="003436DB"/>
    <w:rsid w:val="00343A8E"/>
    <w:rsid w:val="00343A9C"/>
    <w:rsid w:val="00343AEF"/>
    <w:rsid w:val="00343BF7"/>
    <w:rsid w:val="00343CA0"/>
    <w:rsid w:val="00343CCD"/>
    <w:rsid w:val="00343FD2"/>
    <w:rsid w:val="003440FB"/>
    <w:rsid w:val="0034441B"/>
    <w:rsid w:val="00344478"/>
    <w:rsid w:val="0034448C"/>
    <w:rsid w:val="003445F9"/>
    <w:rsid w:val="0034467A"/>
    <w:rsid w:val="003446C8"/>
    <w:rsid w:val="00344925"/>
    <w:rsid w:val="0034492D"/>
    <w:rsid w:val="00344C30"/>
    <w:rsid w:val="00344C53"/>
    <w:rsid w:val="00344E15"/>
    <w:rsid w:val="00344EB4"/>
    <w:rsid w:val="00344EF5"/>
    <w:rsid w:val="0034503C"/>
    <w:rsid w:val="00345475"/>
    <w:rsid w:val="003454D0"/>
    <w:rsid w:val="003458B7"/>
    <w:rsid w:val="00345A19"/>
    <w:rsid w:val="00345AC8"/>
    <w:rsid w:val="00345BC1"/>
    <w:rsid w:val="00345C31"/>
    <w:rsid w:val="00345E46"/>
    <w:rsid w:val="00346197"/>
    <w:rsid w:val="00346268"/>
    <w:rsid w:val="00346500"/>
    <w:rsid w:val="003465F5"/>
    <w:rsid w:val="0034670E"/>
    <w:rsid w:val="003469BA"/>
    <w:rsid w:val="00346C26"/>
    <w:rsid w:val="00346C48"/>
    <w:rsid w:val="00346C91"/>
    <w:rsid w:val="00346CE4"/>
    <w:rsid w:val="00346D20"/>
    <w:rsid w:val="00346DDE"/>
    <w:rsid w:val="00346E43"/>
    <w:rsid w:val="003470BB"/>
    <w:rsid w:val="0034713D"/>
    <w:rsid w:val="003471CF"/>
    <w:rsid w:val="003473DF"/>
    <w:rsid w:val="00347459"/>
    <w:rsid w:val="003474B8"/>
    <w:rsid w:val="00347566"/>
    <w:rsid w:val="003477D0"/>
    <w:rsid w:val="003477E1"/>
    <w:rsid w:val="00347948"/>
    <w:rsid w:val="00347A14"/>
    <w:rsid w:val="00347AC9"/>
    <w:rsid w:val="00347E07"/>
    <w:rsid w:val="00347F3F"/>
    <w:rsid w:val="00347FC5"/>
    <w:rsid w:val="00350098"/>
    <w:rsid w:val="003500CA"/>
    <w:rsid w:val="0035018E"/>
    <w:rsid w:val="003501B7"/>
    <w:rsid w:val="00350290"/>
    <w:rsid w:val="003502B0"/>
    <w:rsid w:val="003503FE"/>
    <w:rsid w:val="003505DD"/>
    <w:rsid w:val="00350652"/>
    <w:rsid w:val="00350713"/>
    <w:rsid w:val="003507A0"/>
    <w:rsid w:val="003507EE"/>
    <w:rsid w:val="003508E0"/>
    <w:rsid w:val="00350BBA"/>
    <w:rsid w:val="00350E97"/>
    <w:rsid w:val="003510F4"/>
    <w:rsid w:val="003511B7"/>
    <w:rsid w:val="003511BA"/>
    <w:rsid w:val="003511C4"/>
    <w:rsid w:val="003511CB"/>
    <w:rsid w:val="00351266"/>
    <w:rsid w:val="0035128B"/>
    <w:rsid w:val="003513C0"/>
    <w:rsid w:val="0035143A"/>
    <w:rsid w:val="00351571"/>
    <w:rsid w:val="0035168A"/>
    <w:rsid w:val="0035172E"/>
    <w:rsid w:val="00351766"/>
    <w:rsid w:val="00351775"/>
    <w:rsid w:val="0035179E"/>
    <w:rsid w:val="00351808"/>
    <w:rsid w:val="00351891"/>
    <w:rsid w:val="00351C9D"/>
    <w:rsid w:val="00351DCE"/>
    <w:rsid w:val="00351E39"/>
    <w:rsid w:val="00351E84"/>
    <w:rsid w:val="00351E87"/>
    <w:rsid w:val="00351E93"/>
    <w:rsid w:val="00351F5C"/>
    <w:rsid w:val="00351FA9"/>
    <w:rsid w:val="00352041"/>
    <w:rsid w:val="003520EF"/>
    <w:rsid w:val="0035216F"/>
    <w:rsid w:val="0035225F"/>
    <w:rsid w:val="003522D6"/>
    <w:rsid w:val="003523F4"/>
    <w:rsid w:val="00352470"/>
    <w:rsid w:val="00352530"/>
    <w:rsid w:val="00352673"/>
    <w:rsid w:val="003526C8"/>
    <w:rsid w:val="00352A64"/>
    <w:rsid w:val="00352AD1"/>
    <w:rsid w:val="00352BE8"/>
    <w:rsid w:val="00352D0E"/>
    <w:rsid w:val="00352D6E"/>
    <w:rsid w:val="00352DDE"/>
    <w:rsid w:val="00352DEF"/>
    <w:rsid w:val="00352E17"/>
    <w:rsid w:val="00352E58"/>
    <w:rsid w:val="00352E71"/>
    <w:rsid w:val="00352ECB"/>
    <w:rsid w:val="00352EEB"/>
    <w:rsid w:val="003530BD"/>
    <w:rsid w:val="003530ED"/>
    <w:rsid w:val="00353203"/>
    <w:rsid w:val="00353354"/>
    <w:rsid w:val="003534AB"/>
    <w:rsid w:val="003536AC"/>
    <w:rsid w:val="003537ED"/>
    <w:rsid w:val="0035392E"/>
    <w:rsid w:val="00353A3B"/>
    <w:rsid w:val="00353F72"/>
    <w:rsid w:val="003541B3"/>
    <w:rsid w:val="003541B7"/>
    <w:rsid w:val="00354252"/>
    <w:rsid w:val="0035444B"/>
    <w:rsid w:val="003545C3"/>
    <w:rsid w:val="003545E0"/>
    <w:rsid w:val="00354611"/>
    <w:rsid w:val="00354690"/>
    <w:rsid w:val="003546AC"/>
    <w:rsid w:val="003546E3"/>
    <w:rsid w:val="00354988"/>
    <w:rsid w:val="00354AA9"/>
    <w:rsid w:val="00354B05"/>
    <w:rsid w:val="00354BEB"/>
    <w:rsid w:val="00354CF9"/>
    <w:rsid w:val="00354E1D"/>
    <w:rsid w:val="00354E49"/>
    <w:rsid w:val="00355051"/>
    <w:rsid w:val="003552A6"/>
    <w:rsid w:val="003552FC"/>
    <w:rsid w:val="0035537A"/>
    <w:rsid w:val="003553E8"/>
    <w:rsid w:val="00355553"/>
    <w:rsid w:val="00355573"/>
    <w:rsid w:val="0035561B"/>
    <w:rsid w:val="003557BA"/>
    <w:rsid w:val="00355810"/>
    <w:rsid w:val="00355915"/>
    <w:rsid w:val="003559D4"/>
    <w:rsid w:val="003559D5"/>
    <w:rsid w:val="00355EB4"/>
    <w:rsid w:val="00355F22"/>
    <w:rsid w:val="0035600E"/>
    <w:rsid w:val="003561F0"/>
    <w:rsid w:val="0035621C"/>
    <w:rsid w:val="003562A8"/>
    <w:rsid w:val="003562D1"/>
    <w:rsid w:val="003563E7"/>
    <w:rsid w:val="003566C0"/>
    <w:rsid w:val="00356706"/>
    <w:rsid w:val="00356BA9"/>
    <w:rsid w:val="00356C57"/>
    <w:rsid w:val="00356D1C"/>
    <w:rsid w:val="00356DA3"/>
    <w:rsid w:val="00356FA0"/>
    <w:rsid w:val="00356FDD"/>
    <w:rsid w:val="00357302"/>
    <w:rsid w:val="0035744E"/>
    <w:rsid w:val="003574C6"/>
    <w:rsid w:val="003575E0"/>
    <w:rsid w:val="003576E5"/>
    <w:rsid w:val="0035771E"/>
    <w:rsid w:val="003577CB"/>
    <w:rsid w:val="0035796C"/>
    <w:rsid w:val="0035796E"/>
    <w:rsid w:val="00357C20"/>
    <w:rsid w:val="00357DBD"/>
    <w:rsid w:val="00357F1B"/>
    <w:rsid w:val="00360070"/>
    <w:rsid w:val="0036038A"/>
    <w:rsid w:val="003603F5"/>
    <w:rsid w:val="00360549"/>
    <w:rsid w:val="00360604"/>
    <w:rsid w:val="0036061B"/>
    <w:rsid w:val="003606AA"/>
    <w:rsid w:val="0036071A"/>
    <w:rsid w:val="0036077D"/>
    <w:rsid w:val="0036085B"/>
    <w:rsid w:val="0036086F"/>
    <w:rsid w:val="00360949"/>
    <w:rsid w:val="00360BD6"/>
    <w:rsid w:val="00360D28"/>
    <w:rsid w:val="00360DB3"/>
    <w:rsid w:val="00360EF6"/>
    <w:rsid w:val="003610CE"/>
    <w:rsid w:val="00361129"/>
    <w:rsid w:val="0036131D"/>
    <w:rsid w:val="00361527"/>
    <w:rsid w:val="00361537"/>
    <w:rsid w:val="00361722"/>
    <w:rsid w:val="0036185F"/>
    <w:rsid w:val="00361894"/>
    <w:rsid w:val="003618B5"/>
    <w:rsid w:val="00361AD8"/>
    <w:rsid w:val="00361D01"/>
    <w:rsid w:val="00361D6B"/>
    <w:rsid w:val="00361D8D"/>
    <w:rsid w:val="00361DB1"/>
    <w:rsid w:val="00361EAF"/>
    <w:rsid w:val="0036208C"/>
    <w:rsid w:val="00362161"/>
    <w:rsid w:val="00362167"/>
    <w:rsid w:val="0036218E"/>
    <w:rsid w:val="00362310"/>
    <w:rsid w:val="00362327"/>
    <w:rsid w:val="00362397"/>
    <w:rsid w:val="00362448"/>
    <w:rsid w:val="00362542"/>
    <w:rsid w:val="00362612"/>
    <w:rsid w:val="0036278E"/>
    <w:rsid w:val="003627E2"/>
    <w:rsid w:val="003628D3"/>
    <w:rsid w:val="00362A12"/>
    <w:rsid w:val="00362A51"/>
    <w:rsid w:val="00362D76"/>
    <w:rsid w:val="00362EED"/>
    <w:rsid w:val="003632D2"/>
    <w:rsid w:val="00363327"/>
    <w:rsid w:val="00363536"/>
    <w:rsid w:val="003635B6"/>
    <w:rsid w:val="003635F1"/>
    <w:rsid w:val="003636FB"/>
    <w:rsid w:val="00363789"/>
    <w:rsid w:val="00363AE8"/>
    <w:rsid w:val="00363C6D"/>
    <w:rsid w:val="00363CA4"/>
    <w:rsid w:val="00363F56"/>
    <w:rsid w:val="00363F7D"/>
    <w:rsid w:val="00364014"/>
    <w:rsid w:val="003641DA"/>
    <w:rsid w:val="00364313"/>
    <w:rsid w:val="00364375"/>
    <w:rsid w:val="003643C5"/>
    <w:rsid w:val="003644EB"/>
    <w:rsid w:val="003645A4"/>
    <w:rsid w:val="0036464A"/>
    <w:rsid w:val="00364657"/>
    <w:rsid w:val="00364880"/>
    <w:rsid w:val="00364AA6"/>
    <w:rsid w:val="00364BD5"/>
    <w:rsid w:val="00364DAC"/>
    <w:rsid w:val="00364E7E"/>
    <w:rsid w:val="00365035"/>
    <w:rsid w:val="00365331"/>
    <w:rsid w:val="00365378"/>
    <w:rsid w:val="0036544B"/>
    <w:rsid w:val="0036561D"/>
    <w:rsid w:val="00365750"/>
    <w:rsid w:val="00365782"/>
    <w:rsid w:val="00365910"/>
    <w:rsid w:val="00365AB1"/>
    <w:rsid w:val="00365B92"/>
    <w:rsid w:val="00365D8C"/>
    <w:rsid w:val="00365E55"/>
    <w:rsid w:val="00365E8A"/>
    <w:rsid w:val="00365EE3"/>
    <w:rsid w:val="00365EF7"/>
    <w:rsid w:val="00365F07"/>
    <w:rsid w:val="00365F2B"/>
    <w:rsid w:val="003660F0"/>
    <w:rsid w:val="0036618E"/>
    <w:rsid w:val="003663B7"/>
    <w:rsid w:val="00366609"/>
    <w:rsid w:val="00366635"/>
    <w:rsid w:val="003666A8"/>
    <w:rsid w:val="0036677C"/>
    <w:rsid w:val="003667B4"/>
    <w:rsid w:val="0036681B"/>
    <w:rsid w:val="00366933"/>
    <w:rsid w:val="00366A4C"/>
    <w:rsid w:val="00366B71"/>
    <w:rsid w:val="00366D1A"/>
    <w:rsid w:val="00366D6D"/>
    <w:rsid w:val="00366E56"/>
    <w:rsid w:val="00366EE9"/>
    <w:rsid w:val="00367167"/>
    <w:rsid w:val="0036745F"/>
    <w:rsid w:val="003674E7"/>
    <w:rsid w:val="003676B4"/>
    <w:rsid w:val="0036788C"/>
    <w:rsid w:val="003678CC"/>
    <w:rsid w:val="00367A8C"/>
    <w:rsid w:val="00367B6E"/>
    <w:rsid w:val="00367B81"/>
    <w:rsid w:val="00367C45"/>
    <w:rsid w:val="00367DDD"/>
    <w:rsid w:val="00367FFB"/>
    <w:rsid w:val="0037001E"/>
    <w:rsid w:val="00370069"/>
    <w:rsid w:val="003700BE"/>
    <w:rsid w:val="0037015F"/>
    <w:rsid w:val="0037017A"/>
    <w:rsid w:val="003702DA"/>
    <w:rsid w:val="0037049E"/>
    <w:rsid w:val="00370584"/>
    <w:rsid w:val="003705F2"/>
    <w:rsid w:val="003706F7"/>
    <w:rsid w:val="003707A0"/>
    <w:rsid w:val="003707B2"/>
    <w:rsid w:val="003707BF"/>
    <w:rsid w:val="003707F7"/>
    <w:rsid w:val="00370851"/>
    <w:rsid w:val="003708C3"/>
    <w:rsid w:val="00370D4E"/>
    <w:rsid w:val="003711D7"/>
    <w:rsid w:val="003716BF"/>
    <w:rsid w:val="003718EF"/>
    <w:rsid w:val="00371962"/>
    <w:rsid w:val="00371B6A"/>
    <w:rsid w:val="00371C10"/>
    <w:rsid w:val="00371D89"/>
    <w:rsid w:val="00372014"/>
    <w:rsid w:val="00372068"/>
    <w:rsid w:val="003723AC"/>
    <w:rsid w:val="003723AF"/>
    <w:rsid w:val="00372569"/>
    <w:rsid w:val="0037260A"/>
    <w:rsid w:val="003728F2"/>
    <w:rsid w:val="00372B66"/>
    <w:rsid w:val="00372B84"/>
    <w:rsid w:val="00372C0A"/>
    <w:rsid w:val="00372C20"/>
    <w:rsid w:val="00372C93"/>
    <w:rsid w:val="00372DEA"/>
    <w:rsid w:val="00372E57"/>
    <w:rsid w:val="00373324"/>
    <w:rsid w:val="003733F8"/>
    <w:rsid w:val="003735C2"/>
    <w:rsid w:val="003735D1"/>
    <w:rsid w:val="0037361D"/>
    <w:rsid w:val="003736AA"/>
    <w:rsid w:val="00373790"/>
    <w:rsid w:val="00373816"/>
    <w:rsid w:val="00373989"/>
    <w:rsid w:val="00373A0B"/>
    <w:rsid w:val="00373A0D"/>
    <w:rsid w:val="00373A31"/>
    <w:rsid w:val="00373B88"/>
    <w:rsid w:val="00373CDD"/>
    <w:rsid w:val="00373D61"/>
    <w:rsid w:val="00373DFA"/>
    <w:rsid w:val="00373E91"/>
    <w:rsid w:val="00374350"/>
    <w:rsid w:val="0037438A"/>
    <w:rsid w:val="003743E9"/>
    <w:rsid w:val="0037445B"/>
    <w:rsid w:val="003744CC"/>
    <w:rsid w:val="003745F0"/>
    <w:rsid w:val="003746FC"/>
    <w:rsid w:val="0037470E"/>
    <w:rsid w:val="0037472A"/>
    <w:rsid w:val="00374779"/>
    <w:rsid w:val="0037482F"/>
    <w:rsid w:val="00374830"/>
    <w:rsid w:val="00374924"/>
    <w:rsid w:val="0037493B"/>
    <w:rsid w:val="00374967"/>
    <w:rsid w:val="003749CB"/>
    <w:rsid w:val="00374A6F"/>
    <w:rsid w:val="00374AEB"/>
    <w:rsid w:val="00374BAF"/>
    <w:rsid w:val="00375062"/>
    <w:rsid w:val="003751C4"/>
    <w:rsid w:val="003752AE"/>
    <w:rsid w:val="00375373"/>
    <w:rsid w:val="00375385"/>
    <w:rsid w:val="003753C1"/>
    <w:rsid w:val="003753D5"/>
    <w:rsid w:val="003754C8"/>
    <w:rsid w:val="0037558D"/>
    <w:rsid w:val="003756E3"/>
    <w:rsid w:val="0037572B"/>
    <w:rsid w:val="00375B20"/>
    <w:rsid w:val="00375D00"/>
    <w:rsid w:val="003761A9"/>
    <w:rsid w:val="0037637A"/>
    <w:rsid w:val="0037637C"/>
    <w:rsid w:val="00376400"/>
    <w:rsid w:val="003764DE"/>
    <w:rsid w:val="0037651D"/>
    <w:rsid w:val="003767D9"/>
    <w:rsid w:val="003768E6"/>
    <w:rsid w:val="0037695C"/>
    <w:rsid w:val="00376B36"/>
    <w:rsid w:val="00376BE3"/>
    <w:rsid w:val="00377016"/>
    <w:rsid w:val="00377021"/>
    <w:rsid w:val="00377163"/>
    <w:rsid w:val="003774F0"/>
    <w:rsid w:val="00377787"/>
    <w:rsid w:val="003779B4"/>
    <w:rsid w:val="00377C2F"/>
    <w:rsid w:val="00377E2E"/>
    <w:rsid w:val="00377FDA"/>
    <w:rsid w:val="00380220"/>
    <w:rsid w:val="003805E9"/>
    <w:rsid w:val="0038070A"/>
    <w:rsid w:val="003808E5"/>
    <w:rsid w:val="003809EA"/>
    <w:rsid w:val="00380A3D"/>
    <w:rsid w:val="00380B7E"/>
    <w:rsid w:val="00380EB1"/>
    <w:rsid w:val="00380ED7"/>
    <w:rsid w:val="003810CD"/>
    <w:rsid w:val="0038116E"/>
    <w:rsid w:val="00381220"/>
    <w:rsid w:val="0038136C"/>
    <w:rsid w:val="0038164E"/>
    <w:rsid w:val="00381776"/>
    <w:rsid w:val="00381895"/>
    <w:rsid w:val="00381933"/>
    <w:rsid w:val="00381A58"/>
    <w:rsid w:val="0038206B"/>
    <w:rsid w:val="003823F9"/>
    <w:rsid w:val="0038267C"/>
    <w:rsid w:val="003826EB"/>
    <w:rsid w:val="00382854"/>
    <w:rsid w:val="0038292C"/>
    <w:rsid w:val="00382A06"/>
    <w:rsid w:val="00382AC5"/>
    <w:rsid w:val="00382AF5"/>
    <w:rsid w:val="00382C63"/>
    <w:rsid w:val="00382DD3"/>
    <w:rsid w:val="00383068"/>
    <w:rsid w:val="00383133"/>
    <w:rsid w:val="0038325C"/>
    <w:rsid w:val="00383570"/>
    <w:rsid w:val="003835F8"/>
    <w:rsid w:val="00383719"/>
    <w:rsid w:val="00383956"/>
    <w:rsid w:val="0038399A"/>
    <w:rsid w:val="003839A1"/>
    <w:rsid w:val="00383B2B"/>
    <w:rsid w:val="00383BD3"/>
    <w:rsid w:val="00383C5D"/>
    <w:rsid w:val="00383D12"/>
    <w:rsid w:val="00383D1E"/>
    <w:rsid w:val="00383E32"/>
    <w:rsid w:val="00383F70"/>
    <w:rsid w:val="00384012"/>
    <w:rsid w:val="00384307"/>
    <w:rsid w:val="00384612"/>
    <w:rsid w:val="00384966"/>
    <w:rsid w:val="003849D5"/>
    <w:rsid w:val="00384AF1"/>
    <w:rsid w:val="00384BBF"/>
    <w:rsid w:val="00384C62"/>
    <w:rsid w:val="00384E7F"/>
    <w:rsid w:val="00384EA9"/>
    <w:rsid w:val="00384EB6"/>
    <w:rsid w:val="00385005"/>
    <w:rsid w:val="00385026"/>
    <w:rsid w:val="0038506D"/>
    <w:rsid w:val="00385086"/>
    <w:rsid w:val="0038519B"/>
    <w:rsid w:val="00385208"/>
    <w:rsid w:val="0038526C"/>
    <w:rsid w:val="0038549A"/>
    <w:rsid w:val="00385518"/>
    <w:rsid w:val="00385583"/>
    <w:rsid w:val="00385602"/>
    <w:rsid w:val="00385787"/>
    <w:rsid w:val="00385B52"/>
    <w:rsid w:val="00385DAF"/>
    <w:rsid w:val="00385FB5"/>
    <w:rsid w:val="0038606D"/>
    <w:rsid w:val="0038626A"/>
    <w:rsid w:val="003863AE"/>
    <w:rsid w:val="003863E6"/>
    <w:rsid w:val="0038697C"/>
    <w:rsid w:val="00386A95"/>
    <w:rsid w:val="00386A9A"/>
    <w:rsid w:val="00386C13"/>
    <w:rsid w:val="00386C80"/>
    <w:rsid w:val="00386D70"/>
    <w:rsid w:val="0038700F"/>
    <w:rsid w:val="0038712F"/>
    <w:rsid w:val="0038718D"/>
    <w:rsid w:val="00387484"/>
    <w:rsid w:val="003875C4"/>
    <w:rsid w:val="003878BC"/>
    <w:rsid w:val="00387970"/>
    <w:rsid w:val="003879B5"/>
    <w:rsid w:val="00387DF1"/>
    <w:rsid w:val="00387E13"/>
    <w:rsid w:val="003900E3"/>
    <w:rsid w:val="00390188"/>
    <w:rsid w:val="003901BD"/>
    <w:rsid w:val="0039025F"/>
    <w:rsid w:val="00390333"/>
    <w:rsid w:val="003904B1"/>
    <w:rsid w:val="0039063F"/>
    <w:rsid w:val="003909BF"/>
    <w:rsid w:val="00390A3A"/>
    <w:rsid w:val="00390A47"/>
    <w:rsid w:val="00390A48"/>
    <w:rsid w:val="00390B58"/>
    <w:rsid w:val="00390C5A"/>
    <w:rsid w:val="00390C7B"/>
    <w:rsid w:val="00390F06"/>
    <w:rsid w:val="00391019"/>
    <w:rsid w:val="003913E4"/>
    <w:rsid w:val="0039145D"/>
    <w:rsid w:val="00391626"/>
    <w:rsid w:val="003917EC"/>
    <w:rsid w:val="003918C9"/>
    <w:rsid w:val="00391963"/>
    <w:rsid w:val="00391A2C"/>
    <w:rsid w:val="00391BCC"/>
    <w:rsid w:val="00391D89"/>
    <w:rsid w:val="00391E6C"/>
    <w:rsid w:val="0039202D"/>
    <w:rsid w:val="0039205A"/>
    <w:rsid w:val="003920EB"/>
    <w:rsid w:val="003920F5"/>
    <w:rsid w:val="003920FC"/>
    <w:rsid w:val="00392416"/>
    <w:rsid w:val="0039253E"/>
    <w:rsid w:val="003925E0"/>
    <w:rsid w:val="00392656"/>
    <w:rsid w:val="003926A0"/>
    <w:rsid w:val="003926D6"/>
    <w:rsid w:val="00392944"/>
    <w:rsid w:val="00392998"/>
    <w:rsid w:val="00392AA8"/>
    <w:rsid w:val="00392B16"/>
    <w:rsid w:val="00392BD0"/>
    <w:rsid w:val="00392C09"/>
    <w:rsid w:val="00392C2B"/>
    <w:rsid w:val="00392EDF"/>
    <w:rsid w:val="00393037"/>
    <w:rsid w:val="003930EA"/>
    <w:rsid w:val="003934C8"/>
    <w:rsid w:val="00393540"/>
    <w:rsid w:val="003935D3"/>
    <w:rsid w:val="003937B2"/>
    <w:rsid w:val="00393969"/>
    <w:rsid w:val="003939DC"/>
    <w:rsid w:val="00393A9D"/>
    <w:rsid w:val="00393B65"/>
    <w:rsid w:val="00393BC3"/>
    <w:rsid w:val="00393C95"/>
    <w:rsid w:val="00393D6F"/>
    <w:rsid w:val="00393DBF"/>
    <w:rsid w:val="00393F01"/>
    <w:rsid w:val="00393F21"/>
    <w:rsid w:val="00393F8F"/>
    <w:rsid w:val="00393FE9"/>
    <w:rsid w:val="00394162"/>
    <w:rsid w:val="00394789"/>
    <w:rsid w:val="00394874"/>
    <w:rsid w:val="003948D5"/>
    <w:rsid w:val="003949C6"/>
    <w:rsid w:val="00394A3F"/>
    <w:rsid w:val="00394C0F"/>
    <w:rsid w:val="00394C21"/>
    <w:rsid w:val="00394C85"/>
    <w:rsid w:val="00394C8A"/>
    <w:rsid w:val="00394CBB"/>
    <w:rsid w:val="00394CE2"/>
    <w:rsid w:val="00394E09"/>
    <w:rsid w:val="00395096"/>
    <w:rsid w:val="003950BE"/>
    <w:rsid w:val="00395239"/>
    <w:rsid w:val="0039523F"/>
    <w:rsid w:val="003955A3"/>
    <w:rsid w:val="00395672"/>
    <w:rsid w:val="003956FA"/>
    <w:rsid w:val="0039570D"/>
    <w:rsid w:val="0039574B"/>
    <w:rsid w:val="003958EF"/>
    <w:rsid w:val="0039591E"/>
    <w:rsid w:val="00395B49"/>
    <w:rsid w:val="00395BA3"/>
    <w:rsid w:val="00395BB3"/>
    <w:rsid w:val="00395C7A"/>
    <w:rsid w:val="00395C93"/>
    <w:rsid w:val="00395D92"/>
    <w:rsid w:val="00395D94"/>
    <w:rsid w:val="00395E23"/>
    <w:rsid w:val="00395EB9"/>
    <w:rsid w:val="00395EC3"/>
    <w:rsid w:val="00395FB2"/>
    <w:rsid w:val="00396114"/>
    <w:rsid w:val="00396318"/>
    <w:rsid w:val="003964B1"/>
    <w:rsid w:val="00396A72"/>
    <w:rsid w:val="00396C0E"/>
    <w:rsid w:val="00396C79"/>
    <w:rsid w:val="00396EA8"/>
    <w:rsid w:val="00397089"/>
    <w:rsid w:val="00397206"/>
    <w:rsid w:val="0039726A"/>
    <w:rsid w:val="003972B5"/>
    <w:rsid w:val="00397393"/>
    <w:rsid w:val="003976FB"/>
    <w:rsid w:val="00397785"/>
    <w:rsid w:val="003977DB"/>
    <w:rsid w:val="00397850"/>
    <w:rsid w:val="00397A2E"/>
    <w:rsid w:val="00397B17"/>
    <w:rsid w:val="00397C0D"/>
    <w:rsid w:val="00397C42"/>
    <w:rsid w:val="00397C4D"/>
    <w:rsid w:val="00397C4F"/>
    <w:rsid w:val="00397C6B"/>
    <w:rsid w:val="00397CD4"/>
    <w:rsid w:val="00397EE0"/>
    <w:rsid w:val="00397F2B"/>
    <w:rsid w:val="003A0174"/>
    <w:rsid w:val="003A0250"/>
    <w:rsid w:val="003A02A2"/>
    <w:rsid w:val="003A0333"/>
    <w:rsid w:val="003A0382"/>
    <w:rsid w:val="003A03A2"/>
    <w:rsid w:val="003A045A"/>
    <w:rsid w:val="003A04EA"/>
    <w:rsid w:val="003A054E"/>
    <w:rsid w:val="003A063E"/>
    <w:rsid w:val="003A0658"/>
    <w:rsid w:val="003A069A"/>
    <w:rsid w:val="003A0724"/>
    <w:rsid w:val="003A084D"/>
    <w:rsid w:val="003A0B26"/>
    <w:rsid w:val="003A0CB0"/>
    <w:rsid w:val="003A0D64"/>
    <w:rsid w:val="003A0E1E"/>
    <w:rsid w:val="003A0E93"/>
    <w:rsid w:val="003A0F44"/>
    <w:rsid w:val="003A111B"/>
    <w:rsid w:val="003A1319"/>
    <w:rsid w:val="003A1349"/>
    <w:rsid w:val="003A149F"/>
    <w:rsid w:val="003A171C"/>
    <w:rsid w:val="003A17AD"/>
    <w:rsid w:val="003A1914"/>
    <w:rsid w:val="003A19D4"/>
    <w:rsid w:val="003A1B8F"/>
    <w:rsid w:val="003A1C93"/>
    <w:rsid w:val="003A1F24"/>
    <w:rsid w:val="003A2001"/>
    <w:rsid w:val="003A2058"/>
    <w:rsid w:val="003A212B"/>
    <w:rsid w:val="003A21E3"/>
    <w:rsid w:val="003A22B0"/>
    <w:rsid w:val="003A2559"/>
    <w:rsid w:val="003A28D2"/>
    <w:rsid w:val="003A29D5"/>
    <w:rsid w:val="003A2D81"/>
    <w:rsid w:val="003A2E17"/>
    <w:rsid w:val="003A3204"/>
    <w:rsid w:val="003A3260"/>
    <w:rsid w:val="003A32CF"/>
    <w:rsid w:val="003A32F1"/>
    <w:rsid w:val="003A33D4"/>
    <w:rsid w:val="003A33FF"/>
    <w:rsid w:val="003A3474"/>
    <w:rsid w:val="003A349C"/>
    <w:rsid w:val="003A35B8"/>
    <w:rsid w:val="003A3684"/>
    <w:rsid w:val="003A3778"/>
    <w:rsid w:val="003A379F"/>
    <w:rsid w:val="003A38B6"/>
    <w:rsid w:val="003A38DF"/>
    <w:rsid w:val="003A3964"/>
    <w:rsid w:val="003A39E6"/>
    <w:rsid w:val="003A3BB0"/>
    <w:rsid w:val="003A3D0C"/>
    <w:rsid w:val="003A3D57"/>
    <w:rsid w:val="003A3D6C"/>
    <w:rsid w:val="003A3D85"/>
    <w:rsid w:val="003A3DCD"/>
    <w:rsid w:val="003A4153"/>
    <w:rsid w:val="003A4260"/>
    <w:rsid w:val="003A42CC"/>
    <w:rsid w:val="003A468E"/>
    <w:rsid w:val="003A470F"/>
    <w:rsid w:val="003A47E1"/>
    <w:rsid w:val="003A48AE"/>
    <w:rsid w:val="003A4B55"/>
    <w:rsid w:val="003A4C5F"/>
    <w:rsid w:val="003A4C94"/>
    <w:rsid w:val="003A4E20"/>
    <w:rsid w:val="003A4E29"/>
    <w:rsid w:val="003A4EA6"/>
    <w:rsid w:val="003A4F23"/>
    <w:rsid w:val="003A4F5A"/>
    <w:rsid w:val="003A50F7"/>
    <w:rsid w:val="003A5128"/>
    <w:rsid w:val="003A5277"/>
    <w:rsid w:val="003A53D5"/>
    <w:rsid w:val="003A53F5"/>
    <w:rsid w:val="003A54F6"/>
    <w:rsid w:val="003A550A"/>
    <w:rsid w:val="003A59B6"/>
    <w:rsid w:val="003A5A8A"/>
    <w:rsid w:val="003A5B18"/>
    <w:rsid w:val="003A5B7F"/>
    <w:rsid w:val="003A5C01"/>
    <w:rsid w:val="003A5CA7"/>
    <w:rsid w:val="003A5EAD"/>
    <w:rsid w:val="003A5EB0"/>
    <w:rsid w:val="003A5F9D"/>
    <w:rsid w:val="003A6078"/>
    <w:rsid w:val="003A60F7"/>
    <w:rsid w:val="003A6238"/>
    <w:rsid w:val="003A6289"/>
    <w:rsid w:val="003A62E0"/>
    <w:rsid w:val="003A6346"/>
    <w:rsid w:val="003A638F"/>
    <w:rsid w:val="003A6404"/>
    <w:rsid w:val="003A64C4"/>
    <w:rsid w:val="003A65D9"/>
    <w:rsid w:val="003A65F9"/>
    <w:rsid w:val="003A685B"/>
    <w:rsid w:val="003A68F8"/>
    <w:rsid w:val="003A6978"/>
    <w:rsid w:val="003A6E6A"/>
    <w:rsid w:val="003A6EC4"/>
    <w:rsid w:val="003A703A"/>
    <w:rsid w:val="003A706F"/>
    <w:rsid w:val="003A71BD"/>
    <w:rsid w:val="003A71C3"/>
    <w:rsid w:val="003A7271"/>
    <w:rsid w:val="003A7315"/>
    <w:rsid w:val="003A7356"/>
    <w:rsid w:val="003A73F0"/>
    <w:rsid w:val="003A744C"/>
    <w:rsid w:val="003A7497"/>
    <w:rsid w:val="003A76B4"/>
    <w:rsid w:val="003A770F"/>
    <w:rsid w:val="003A78DA"/>
    <w:rsid w:val="003A7BE6"/>
    <w:rsid w:val="003A7C16"/>
    <w:rsid w:val="003A7DE4"/>
    <w:rsid w:val="003A7E51"/>
    <w:rsid w:val="003A7EAA"/>
    <w:rsid w:val="003B0022"/>
    <w:rsid w:val="003B003E"/>
    <w:rsid w:val="003B00A0"/>
    <w:rsid w:val="003B039B"/>
    <w:rsid w:val="003B03C1"/>
    <w:rsid w:val="003B049D"/>
    <w:rsid w:val="003B0508"/>
    <w:rsid w:val="003B0566"/>
    <w:rsid w:val="003B059C"/>
    <w:rsid w:val="003B05D7"/>
    <w:rsid w:val="003B066E"/>
    <w:rsid w:val="003B0810"/>
    <w:rsid w:val="003B0A4F"/>
    <w:rsid w:val="003B0AF0"/>
    <w:rsid w:val="003B0C2A"/>
    <w:rsid w:val="003B119B"/>
    <w:rsid w:val="003B11DD"/>
    <w:rsid w:val="003B121A"/>
    <w:rsid w:val="003B1255"/>
    <w:rsid w:val="003B12B3"/>
    <w:rsid w:val="003B1492"/>
    <w:rsid w:val="003B1543"/>
    <w:rsid w:val="003B1575"/>
    <w:rsid w:val="003B15A7"/>
    <w:rsid w:val="003B17B1"/>
    <w:rsid w:val="003B17E4"/>
    <w:rsid w:val="003B1860"/>
    <w:rsid w:val="003B1957"/>
    <w:rsid w:val="003B19B6"/>
    <w:rsid w:val="003B1A8A"/>
    <w:rsid w:val="003B1C86"/>
    <w:rsid w:val="003B1C97"/>
    <w:rsid w:val="003B1D62"/>
    <w:rsid w:val="003B1EF6"/>
    <w:rsid w:val="003B1F11"/>
    <w:rsid w:val="003B20AC"/>
    <w:rsid w:val="003B22F0"/>
    <w:rsid w:val="003B23DB"/>
    <w:rsid w:val="003B24A7"/>
    <w:rsid w:val="003B24B7"/>
    <w:rsid w:val="003B275B"/>
    <w:rsid w:val="003B2890"/>
    <w:rsid w:val="003B2A43"/>
    <w:rsid w:val="003B2A65"/>
    <w:rsid w:val="003B2AB3"/>
    <w:rsid w:val="003B2B4B"/>
    <w:rsid w:val="003B2B64"/>
    <w:rsid w:val="003B2B7A"/>
    <w:rsid w:val="003B2BEC"/>
    <w:rsid w:val="003B2F16"/>
    <w:rsid w:val="003B3029"/>
    <w:rsid w:val="003B306B"/>
    <w:rsid w:val="003B322F"/>
    <w:rsid w:val="003B32BD"/>
    <w:rsid w:val="003B32E8"/>
    <w:rsid w:val="003B3333"/>
    <w:rsid w:val="003B33AA"/>
    <w:rsid w:val="003B3437"/>
    <w:rsid w:val="003B348F"/>
    <w:rsid w:val="003B37A8"/>
    <w:rsid w:val="003B383F"/>
    <w:rsid w:val="003B3843"/>
    <w:rsid w:val="003B39CD"/>
    <w:rsid w:val="003B3CB7"/>
    <w:rsid w:val="003B3D22"/>
    <w:rsid w:val="003B402A"/>
    <w:rsid w:val="003B421E"/>
    <w:rsid w:val="003B42B6"/>
    <w:rsid w:val="003B43CA"/>
    <w:rsid w:val="003B44E5"/>
    <w:rsid w:val="003B462D"/>
    <w:rsid w:val="003B485B"/>
    <w:rsid w:val="003B49F1"/>
    <w:rsid w:val="003B4CED"/>
    <w:rsid w:val="003B4D6D"/>
    <w:rsid w:val="003B4F94"/>
    <w:rsid w:val="003B5068"/>
    <w:rsid w:val="003B506E"/>
    <w:rsid w:val="003B51AC"/>
    <w:rsid w:val="003B5440"/>
    <w:rsid w:val="003B5563"/>
    <w:rsid w:val="003B5755"/>
    <w:rsid w:val="003B57A6"/>
    <w:rsid w:val="003B5A5E"/>
    <w:rsid w:val="003B5B3E"/>
    <w:rsid w:val="003B5BE8"/>
    <w:rsid w:val="003B5C3E"/>
    <w:rsid w:val="003B5E94"/>
    <w:rsid w:val="003B5ECF"/>
    <w:rsid w:val="003B5F2F"/>
    <w:rsid w:val="003B5F7A"/>
    <w:rsid w:val="003B60AE"/>
    <w:rsid w:val="003B61D9"/>
    <w:rsid w:val="003B6316"/>
    <w:rsid w:val="003B634B"/>
    <w:rsid w:val="003B6430"/>
    <w:rsid w:val="003B6515"/>
    <w:rsid w:val="003B6523"/>
    <w:rsid w:val="003B65A9"/>
    <w:rsid w:val="003B6874"/>
    <w:rsid w:val="003B6A77"/>
    <w:rsid w:val="003B6A7B"/>
    <w:rsid w:val="003B6C3B"/>
    <w:rsid w:val="003B6D8C"/>
    <w:rsid w:val="003B6FFF"/>
    <w:rsid w:val="003B73CE"/>
    <w:rsid w:val="003B7440"/>
    <w:rsid w:val="003B769F"/>
    <w:rsid w:val="003B77AA"/>
    <w:rsid w:val="003B77F7"/>
    <w:rsid w:val="003B781D"/>
    <w:rsid w:val="003B787F"/>
    <w:rsid w:val="003B7A3D"/>
    <w:rsid w:val="003B7AA5"/>
    <w:rsid w:val="003B7C59"/>
    <w:rsid w:val="003B7F46"/>
    <w:rsid w:val="003B7F95"/>
    <w:rsid w:val="003C0074"/>
    <w:rsid w:val="003C012B"/>
    <w:rsid w:val="003C048A"/>
    <w:rsid w:val="003C08CC"/>
    <w:rsid w:val="003C093C"/>
    <w:rsid w:val="003C0C10"/>
    <w:rsid w:val="003C0C35"/>
    <w:rsid w:val="003C0ECA"/>
    <w:rsid w:val="003C1020"/>
    <w:rsid w:val="003C11CD"/>
    <w:rsid w:val="003C12A3"/>
    <w:rsid w:val="003C132E"/>
    <w:rsid w:val="003C1565"/>
    <w:rsid w:val="003C16B3"/>
    <w:rsid w:val="003C1780"/>
    <w:rsid w:val="003C196B"/>
    <w:rsid w:val="003C1973"/>
    <w:rsid w:val="003C19FA"/>
    <w:rsid w:val="003C1B0A"/>
    <w:rsid w:val="003C1B37"/>
    <w:rsid w:val="003C1CDB"/>
    <w:rsid w:val="003C1D88"/>
    <w:rsid w:val="003C1DD2"/>
    <w:rsid w:val="003C1DDB"/>
    <w:rsid w:val="003C1FE3"/>
    <w:rsid w:val="003C220C"/>
    <w:rsid w:val="003C23B0"/>
    <w:rsid w:val="003C248A"/>
    <w:rsid w:val="003C2574"/>
    <w:rsid w:val="003C2658"/>
    <w:rsid w:val="003C2753"/>
    <w:rsid w:val="003C297B"/>
    <w:rsid w:val="003C2A09"/>
    <w:rsid w:val="003C2A57"/>
    <w:rsid w:val="003C2DE7"/>
    <w:rsid w:val="003C2F23"/>
    <w:rsid w:val="003C3302"/>
    <w:rsid w:val="003C3387"/>
    <w:rsid w:val="003C358D"/>
    <w:rsid w:val="003C35BD"/>
    <w:rsid w:val="003C361D"/>
    <w:rsid w:val="003C393F"/>
    <w:rsid w:val="003C3AF3"/>
    <w:rsid w:val="003C3C0A"/>
    <w:rsid w:val="003C3F00"/>
    <w:rsid w:val="003C421B"/>
    <w:rsid w:val="003C423F"/>
    <w:rsid w:val="003C438B"/>
    <w:rsid w:val="003C44ED"/>
    <w:rsid w:val="003C4573"/>
    <w:rsid w:val="003C45F0"/>
    <w:rsid w:val="003C4797"/>
    <w:rsid w:val="003C49C6"/>
    <w:rsid w:val="003C4A36"/>
    <w:rsid w:val="003C4B23"/>
    <w:rsid w:val="003C4B66"/>
    <w:rsid w:val="003C4C7E"/>
    <w:rsid w:val="003C4DC3"/>
    <w:rsid w:val="003C5264"/>
    <w:rsid w:val="003C52DD"/>
    <w:rsid w:val="003C538F"/>
    <w:rsid w:val="003C5531"/>
    <w:rsid w:val="003C557D"/>
    <w:rsid w:val="003C5837"/>
    <w:rsid w:val="003C584E"/>
    <w:rsid w:val="003C5C4C"/>
    <w:rsid w:val="003C6218"/>
    <w:rsid w:val="003C6318"/>
    <w:rsid w:val="003C64C2"/>
    <w:rsid w:val="003C650F"/>
    <w:rsid w:val="003C6604"/>
    <w:rsid w:val="003C663B"/>
    <w:rsid w:val="003C66AA"/>
    <w:rsid w:val="003C66AE"/>
    <w:rsid w:val="003C67B0"/>
    <w:rsid w:val="003C6834"/>
    <w:rsid w:val="003C68AE"/>
    <w:rsid w:val="003C699F"/>
    <w:rsid w:val="003C6C09"/>
    <w:rsid w:val="003C6C5A"/>
    <w:rsid w:val="003C6C7B"/>
    <w:rsid w:val="003C6CE6"/>
    <w:rsid w:val="003C6E08"/>
    <w:rsid w:val="003C6E29"/>
    <w:rsid w:val="003C6E69"/>
    <w:rsid w:val="003C71AB"/>
    <w:rsid w:val="003C71C7"/>
    <w:rsid w:val="003C735C"/>
    <w:rsid w:val="003C73C3"/>
    <w:rsid w:val="003C7403"/>
    <w:rsid w:val="003C7441"/>
    <w:rsid w:val="003C750D"/>
    <w:rsid w:val="003C76EF"/>
    <w:rsid w:val="003C7843"/>
    <w:rsid w:val="003C78C3"/>
    <w:rsid w:val="003C79E5"/>
    <w:rsid w:val="003C7A24"/>
    <w:rsid w:val="003C7AF2"/>
    <w:rsid w:val="003C7B84"/>
    <w:rsid w:val="003C7E6A"/>
    <w:rsid w:val="003C7F67"/>
    <w:rsid w:val="003D012C"/>
    <w:rsid w:val="003D01E8"/>
    <w:rsid w:val="003D023F"/>
    <w:rsid w:val="003D02A9"/>
    <w:rsid w:val="003D02BF"/>
    <w:rsid w:val="003D04FD"/>
    <w:rsid w:val="003D053B"/>
    <w:rsid w:val="003D05F7"/>
    <w:rsid w:val="003D067B"/>
    <w:rsid w:val="003D06BD"/>
    <w:rsid w:val="003D0713"/>
    <w:rsid w:val="003D078D"/>
    <w:rsid w:val="003D08E6"/>
    <w:rsid w:val="003D09EE"/>
    <w:rsid w:val="003D0A6B"/>
    <w:rsid w:val="003D0BA3"/>
    <w:rsid w:val="003D0DC5"/>
    <w:rsid w:val="003D0E1C"/>
    <w:rsid w:val="003D0F8B"/>
    <w:rsid w:val="003D0FAC"/>
    <w:rsid w:val="003D106F"/>
    <w:rsid w:val="003D10DF"/>
    <w:rsid w:val="003D11C5"/>
    <w:rsid w:val="003D1431"/>
    <w:rsid w:val="003D14BD"/>
    <w:rsid w:val="003D14E8"/>
    <w:rsid w:val="003D176E"/>
    <w:rsid w:val="003D1818"/>
    <w:rsid w:val="003D1829"/>
    <w:rsid w:val="003D183D"/>
    <w:rsid w:val="003D1853"/>
    <w:rsid w:val="003D186C"/>
    <w:rsid w:val="003D1B0E"/>
    <w:rsid w:val="003D1B3E"/>
    <w:rsid w:val="003D1B5B"/>
    <w:rsid w:val="003D1CDF"/>
    <w:rsid w:val="003D1DCD"/>
    <w:rsid w:val="003D2322"/>
    <w:rsid w:val="003D237E"/>
    <w:rsid w:val="003D23AC"/>
    <w:rsid w:val="003D2561"/>
    <w:rsid w:val="003D2617"/>
    <w:rsid w:val="003D26F5"/>
    <w:rsid w:val="003D270F"/>
    <w:rsid w:val="003D2789"/>
    <w:rsid w:val="003D284F"/>
    <w:rsid w:val="003D28C9"/>
    <w:rsid w:val="003D29C6"/>
    <w:rsid w:val="003D2A7D"/>
    <w:rsid w:val="003D2C23"/>
    <w:rsid w:val="003D2CC8"/>
    <w:rsid w:val="003D2D23"/>
    <w:rsid w:val="003D2F13"/>
    <w:rsid w:val="003D2F4A"/>
    <w:rsid w:val="003D33B0"/>
    <w:rsid w:val="003D3446"/>
    <w:rsid w:val="003D3519"/>
    <w:rsid w:val="003D35DD"/>
    <w:rsid w:val="003D37BF"/>
    <w:rsid w:val="003D3855"/>
    <w:rsid w:val="003D3905"/>
    <w:rsid w:val="003D3942"/>
    <w:rsid w:val="003D395A"/>
    <w:rsid w:val="003D3995"/>
    <w:rsid w:val="003D39E6"/>
    <w:rsid w:val="003D3A33"/>
    <w:rsid w:val="003D3A3B"/>
    <w:rsid w:val="003D3A44"/>
    <w:rsid w:val="003D3BE7"/>
    <w:rsid w:val="003D3D33"/>
    <w:rsid w:val="003D3E51"/>
    <w:rsid w:val="003D3E57"/>
    <w:rsid w:val="003D400D"/>
    <w:rsid w:val="003D406D"/>
    <w:rsid w:val="003D42FB"/>
    <w:rsid w:val="003D4334"/>
    <w:rsid w:val="003D4387"/>
    <w:rsid w:val="003D43F1"/>
    <w:rsid w:val="003D453A"/>
    <w:rsid w:val="003D4616"/>
    <w:rsid w:val="003D4620"/>
    <w:rsid w:val="003D48D4"/>
    <w:rsid w:val="003D4AF7"/>
    <w:rsid w:val="003D4AFE"/>
    <w:rsid w:val="003D4B81"/>
    <w:rsid w:val="003D4BC5"/>
    <w:rsid w:val="003D4C1C"/>
    <w:rsid w:val="003D50A2"/>
    <w:rsid w:val="003D523A"/>
    <w:rsid w:val="003D52A5"/>
    <w:rsid w:val="003D52BE"/>
    <w:rsid w:val="003D5320"/>
    <w:rsid w:val="003D55BB"/>
    <w:rsid w:val="003D5602"/>
    <w:rsid w:val="003D5685"/>
    <w:rsid w:val="003D571A"/>
    <w:rsid w:val="003D5742"/>
    <w:rsid w:val="003D5856"/>
    <w:rsid w:val="003D5A2D"/>
    <w:rsid w:val="003D6151"/>
    <w:rsid w:val="003D6313"/>
    <w:rsid w:val="003D63AB"/>
    <w:rsid w:val="003D63D0"/>
    <w:rsid w:val="003D6416"/>
    <w:rsid w:val="003D65A6"/>
    <w:rsid w:val="003D65D7"/>
    <w:rsid w:val="003D66D3"/>
    <w:rsid w:val="003D675D"/>
    <w:rsid w:val="003D6804"/>
    <w:rsid w:val="003D683E"/>
    <w:rsid w:val="003D6CF1"/>
    <w:rsid w:val="003D6CFD"/>
    <w:rsid w:val="003D6D70"/>
    <w:rsid w:val="003D6DEF"/>
    <w:rsid w:val="003D6EA0"/>
    <w:rsid w:val="003D7051"/>
    <w:rsid w:val="003D70A7"/>
    <w:rsid w:val="003D7242"/>
    <w:rsid w:val="003D75BC"/>
    <w:rsid w:val="003D764B"/>
    <w:rsid w:val="003D76B1"/>
    <w:rsid w:val="003D76FC"/>
    <w:rsid w:val="003D7979"/>
    <w:rsid w:val="003D7A3B"/>
    <w:rsid w:val="003D7A3C"/>
    <w:rsid w:val="003D7B11"/>
    <w:rsid w:val="003D7B4D"/>
    <w:rsid w:val="003D7B51"/>
    <w:rsid w:val="003D7D0F"/>
    <w:rsid w:val="003D7D23"/>
    <w:rsid w:val="003D7D7A"/>
    <w:rsid w:val="003D7EEE"/>
    <w:rsid w:val="003E0006"/>
    <w:rsid w:val="003E0181"/>
    <w:rsid w:val="003E01A6"/>
    <w:rsid w:val="003E01D9"/>
    <w:rsid w:val="003E0233"/>
    <w:rsid w:val="003E032E"/>
    <w:rsid w:val="003E04C0"/>
    <w:rsid w:val="003E04EC"/>
    <w:rsid w:val="003E0902"/>
    <w:rsid w:val="003E0A22"/>
    <w:rsid w:val="003E0BED"/>
    <w:rsid w:val="003E0D6D"/>
    <w:rsid w:val="003E0FAA"/>
    <w:rsid w:val="003E1028"/>
    <w:rsid w:val="003E11B8"/>
    <w:rsid w:val="003E12C9"/>
    <w:rsid w:val="003E14BE"/>
    <w:rsid w:val="003E15D8"/>
    <w:rsid w:val="003E189B"/>
    <w:rsid w:val="003E1ACC"/>
    <w:rsid w:val="003E1AD8"/>
    <w:rsid w:val="003E1E1E"/>
    <w:rsid w:val="003E1ECB"/>
    <w:rsid w:val="003E2227"/>
    <w:rsid w:val="003E22B3"/>
    <w:rsid w:val="003E2392"/>
    <w:rsid w:val="003E23AE"/>
    <w:rsid w:val="003E23E2"/>
    <w:rsid w:val="003E2405"/>
    <w:rsid w:val="003E2436"/>
    <w:rsid w:val="003E2503"/>
    <w:rsid w:val="003E255E"/>
    <w:rsid w:val="003E2571"/>
    <w:rsid w:val="003E2579"/>
    <w:rsid w:val="003E2695"/>
    <w:rsid w:val="003E2840"/>
    <w:rsid w:val="003E2964"/>
    <w:rsid w:val="003E2B00"/>
    <w:rsid w:val="003E2B6C"/>
    <w:rsid w:val="003E2F42"/>
    <w:rsid w:val="003E2FD2"/>
    <w:rsid w:val="003E31D0"/>
    <w:rsid w:val="003E3284"/>
    <w:rsid w:val="003E336D"/>
    <w:rsid w:val="003E348B"/>
    <w:rsid w:val="003E3496"/>
    <w:rsid w:val="003E3686"/>
    <w:rsid w:val="003E374A"/>
    <w:rsid w:val="003E3B8F"/>
    <w:rsid w:val="003E3C3C"/>
    <w:rsid w:val="003E3D46"/>
    <w:rsid w:val="003E4032"/>
    <w:rsid w:val="003E408C"/>
    <w:rsid w:val="003E41C1"/>
    <w:rsid w:val="003E4444"/>
    <w:rsid w:val="003E46A7"/>
    <w:rsid w:val="003E46A9"/>
    <w:rsid w:val="003E46C6"/>
    <w:rsid w:val="003E46CB"/>
    <w:rsid w:val="003E4760"/>
    <w:rsid w:val="003E4840"/>
    <w:rsid w:val="003E4996"/>
    <w:rsid w:val="003E4BD1"/>
    <w:rsid w:val="003E4DF0"/>
    <w:rsid w:val="003E4F3A"/>
    <w:rsid w:val="003E4FD7"/>
    <w:rsid w:val="003E50DA"/>
    <w:rsid w:val="003E5161"/>
    <w:rsid w:val="003E52E4"/>
    <w:rsid w:val="003E5340"/>
    <w:rsid w:val="003E5380"/>
    <w:rsid w:val="003E54F6"/>
    <w:rsid w:val="003E5505"/>
    <w:rsid w:val="003E5914"/>
    <w:rsid w:val="003E5A9C"/>
    <w:rsid w:val="003E5AC7"/>
    <w:rsid w:val="003E5C9F"/>
    <w:rsid w:val="003E5DF2"/>
    <w:rsid w:val="003E5F1D"/>
    <w:rsid w:val="003E5F9E"/>
    <w:rsid w:val="003E5FF4"/>
    <w:rsid w:val="003E615F"/>
    <w:rsid w:val="003E619D"/>
    <w:rsid w:val="003E6239"/>
    <w:rsid w:val="003E6343"/>
    <w:rsid w:val="003E645E"/>
    <w:rsid w:val="003E6561"/>
    <w:rsid w:val="003E69B0"/>
    <w:rsid w:val="003E6B08"/>
    <w:rsid w:val="003E6CC8"/>
    <w:rsid w:val="003E6D4F"/>
    <w:rsid w:val="003E6EAF"/>
    <w:rsid w:val="003E6EC7"/>
    <w:rsid w:val="003E6ECB"/>
    <w:rsid w:val="003E7210"/>
    <w:rsid w:val="003E72E3"/>
    <w:rsid w:val="003E7622"/>
    <w:rsid w:val="003E7833"/>
    <w:rsid w:val="003E787D"/>
    <w:rsid w:val="003E78C4"/>
    <w:rsid w:val="003E78C6"/>
    <w:rsid w:val="003E78CB"/>
    <w:rsid w:val="003E7A2C"/>
    <w:rsid w:val="003E7AF0"/>
    <w:rsid w:val="003E7C59"/>
    <w:rsid w:val="003E7DD1"/>
    <w:rsid w:val="003E7ED4"/>
    <w:rsid w:val="003E7EF3"/>
    <w:rsid w:val="003F0124"/>
    <w:rsid w:val="003F01D1"/>
    <w:rsid w:val="003F0522"/>
    <w:rsid w:val="003F0821"/>
    <w:rsid w:val="003F082B"/>
    <w:rsid w:val="003F0914"/>
    <w:rsid w:val="003F0AB9"/>
    <w:rsid w:val="003F0D0C"/>
    <w:rsid w:val="003F0D36"/>
    <w:rsid w:val="003F0EF4"/>
    <w:rsid w:val="003F0FC1"/>
    <w:rsid w:val="003F1164"/>
    <w:rsid w:val="003F132A"/>
    <w:rsid w:val="003F148C"/>
    <w:rsid w:val="003F149B"/>
    <w:rsid w:val="003F1542"/>
    <w:rsid w:val="003F162A"/>
    <w:rsid w:val="003F172B"/>
    <w:rsid w:val="003F1845"/>
    <w:rsid w:val="003F18B2"/>
    <w:rsid w:val="003F1C36"/>
    <w:rsid w:val="003F2008"/>
    <w:rsid w:val="003F2023"/>
    <w:rsid w:val="003F20F8"/>
    <w:rsid w:val="003F21BC"/>
    <w:rsid w:val="003F21C6"/>
    <w:rsid w:val="003F234D"/>
    <w:rsid w:val="003F2372"/>
    <w:rsid w:val="003F23A9"/>
    <w:rsid w:val="003F23CD"/>
    <w:rsid w:val="003F23ED"/>
    <w:rsid w:val="003F241A"/>
    <w:rsid w:val="003F26B3"/>
    <w:rsid w:val="003F28B4"/>
    <w:rsid w:val="003F2A77"/>
    <w:rsid w:val="003F2C24"/>
    <w:rsid w:val="003F2CB8"/>
    <w:rsid w:val="003F2D29"/>
    <w:rsid w:val="003F2DAD"/>
    <w:rsid w:val="003F2F49"/>
    <w:rsid w:val="003F30A9"/>
    <w:rsid w:val="003F3111"/>
    <w:rsid w:val="003F315F"/>
    <w:rsid w:val="003F326B"/>
    <w:rsid w:val="003F32A3"/>
    <w:rsid w:val="003F341E"/>
    <w:rsid w:val="003F346A"/>
    <w:rsid w:val="003F34EE"/>
    <w:rsid w:val="003F3859"/>
    <w:rsid w:val="003F3950"/>
    <w:rsid w:val="003F3CB1"/>
    <w:rsid w:val="003F3CD7"/>
    <w:rsid w:val="003F3DE6"/>
    <w:rsid w:val="003F3FBF"/>
    <w:rsid w:val="003F3FCE"/>
    <w:rsid w:val="003F4033"/>
    <w:rsid w:val="003F40A3"/>
    <w:rsid w:val="003F4123"/>
    <w:rsid w:val="003F4262"/>
    <w:rsid w:val="003F42C5"/>
    <w:rsid w:val="003F42EB"/>
    <w:rsid w:val="003F4749"/>
    <w:rsid w:val="003F498E"/>
    <w:rsid w:val="003F4B38"/>
    <w:rsid w:val="003F50B5"/>
    <w:rsid w:val="003F50ED"/>
    <w:rsid w:val="003F511A"/>
    <w:rsid w:val="003F5223"/>
    <w:rsid w:val="003F571B"/>
    <w:rsid w:val="003F5727"/>
    <w:rsid w:val="003F58B9"/>
    <w:rsid w:val="003F5AE1"/>
    <w:rsid w:val="003F5C0B"/>
    <w:rsid w:val="003F5FCD"/>
    <w:rsid w:val="003F60BE"/>
    <w:rsid w:val="003F60C0"/>
    <w:rsid w:val="003F6667"/>
    <w:rsid w:val="003F6691"/>
    <w:rsid w:val="003F6751"/>
    <w:rsid w:val="003F67AF"/>
    <w:rsid w:val="003F698B"/>
    <w:rsid w:val="003F6AA3"/>
    <w:rsid w:val="003F6C94"/>
    <w:rsid w:val="003F6D18"/>
    <w:rsid w:val="003F6F3E"/>
    <w:rsid w:val="003F6F6E"/>
    <w:rsid w:val="003F7190"/>
    <w:rsid w:val="003F736D"/>
    <w:rsid w:val="003F7831"/>
    <w:rsid w:val="003F78C8"/>
    <w:rsid w:val="003F78F2"/>
    <w:rsid w:val="003F79DA"/>
    <w:rsid w:val="003F7AF9"/>
    <w:rsid w:val="003F7BA9"/>
    <w:rsid w:val="003F7CBC"/>
    <w:rsid w:val="003F7DE8"/>
    <w:rsid w:val="003F7E07"/>
    <w:rsid w:val="003F7ED8"/>
    <w:rsid w:val="003F7F85"/>
    <w:rsid w:val="003F7FF4"/>
    <w:rsid w:val="004000AC"/>
    <w:rsid w:val="00400140"/>
    <w:rsid w:val="004001FA"/>
    <w:rsid w:val="0040021B"/>
    <w:rsid w:val="00400284"/>
    <w:rsid w:val="00400341"/>
    <w:rsid w:val="0040046F"/>
    <w:rsid w:val="00400597"/>
    <w:rsid w:val="004005A7"/>
    <w:rsid w:val="00400813"/>
    <w:rsid w:val="00400985"/>
    <w:rsid w:val="00400FA1"/>
    <w:rsid w:val="00400FAA"/>
    <w:rsid w:val="0040101D"/>
    <w:rsid w:val="00401030"/>
    <w:rsid w:val="00401260"/>
    <w:rsid w:val="0040127F"/>
    <w:rsid w:val="004013A9"/>
    <w:rsid w:val="00401483"/>
    <w:rsid w:val="004014D7"/>
    <w:rsid w:val="00401506"/>
    <w:rsid w:val="0040168E"/>
    <w:rsid w:val="00401B84"/>
    <w:rsid w:val="00401BBD"/>
    <w:rsid w:val="00401CA9"/>
    <w:rsid w:val="00401CCC"/>
    <w:rsid w:val="00401E52"/>
    <w:rsid w:val="00401F8B"/>
    <w:rsid w:val="004020C7"/>
    <w:rsid w:val="004023AD"/>
    <w:rsid w:val="004023DA"/>
    <w:rsid w:val="00402520"/>
    <w:rsid w:val="004026FA"/>
    <w:rsid w:val="0040275B"/>
    <w:rsid w:val="00402760"/>
    <w:rsid w:val="004027E7"/>
    <w:rsid w:val="00402831"/>
    <w:rsid w:val="004028A3"/>
    <w:rsid w:val="004028A5"/>
    <w:rsid w:val="00402A35"/>
    <w:rsid w:val="00402A97"/>
    <w:rsid w:val="00402C44"/>
    <w:rsid w:val="00402C54"/>
    <w:rsid w:val="00402D49"/>
    <w:rsid w:val="00402E87"/>
    <w:rsid w:val="00402EAD"/>
    <w:rsid w:val="00402F71"/>
    <w:rsid w:val="00402F94"/>
    <w:rsid w:val="00403094"/>
    <w:rsid w:val="004030BE"/>
    <w:rsid w:val="00403134"/>
    <w:rsid w:val="00403229"/>
    <w:rsid w:val="004032D0"/>
    <w:rsid w:val="0040355A"/>
    <w:rsid w:val="00403650"/>
    <w:rsid w:val="004036BD"/>
    <w:rsid w:val="00403872"/>
    <w:rsid w:val="004038A4"/>
    <w:rsid w:val="004038AF"/>
    <w:rsid w:val="00403C0E"/>
    <w:rsid w:val="00403C15"/>
    <w:rsid w:val="00403D4E"/>
    <w:rsid w:val="00403F2E"/>
    <w:rsid w:val="00404213"/>
    <w:rsid w:val="004042B5"/>
    <w:rsid w:val="00404341"/>
    <w:rsid w:val="00404353"/>
    <w:rsid w:val="004043D6"/>
    <w:rsid w:val="00404690"/>
    <w:rsid w:val="0040471B"/>
    <w:rsid w:val="004048E8"/>
    <w:rsid w:val="004049C9"/>
    <w:rsid w:val="00404AF8"/>
    <w:rsid w:val="00404B93"/>
    <w:rsid w:val="00404C35"/>
    <w:rsid w:val="00404CD8"/>
    <w:rsid w:val="0040500B"/>
    <w:rsid w:val="0040516B"/>
    <w:rsid w:val="004051DA"/>
    <w:rsid w:val="004051DF"/>
    <w:rsid w:val="004052F2"/>
    <w:rsid w:val="00405417"/>
    <w:rsid w:val="00405492"/>
    <w:rsid w:val="00405597"/>
    <w:rsid w:val="004055F3"/>
    <w:rsid w:val="004057D7"/>
    <w:rsid w:val="004059E0"/>
    <w:rsid w:val="004059F9"/>
    <w:rsid w:val="00405DDD"/>
    <w:rsid w:val="00405E63"/>
    <w:rsid w:val="00405F7A"/>
    <w:rsid w:val="0040606E"/>
    <w:rsid w:val="004061FD"/>
    <w:rsid w:val="0040621F"/>
    <w:rsid w:val="00406394"/>
    <w:rsid w:val="004063D1"/>
    <w:rsid w:val="00406542"/>
    <w:rsid w:val="00406651"/>
    <w:rsid w:val="004066A9"/>
    <w:rsid w:val="004066F8"/>
    <w:rsid w:val="0040685C"/>
    <w:rsid w:val="00406B7E"/>
    <w:rsid w:val="00406B8A"/>
    <w:rsid w:val="00406C65"/>
    <w:rsid w:val="00406E29"/>
    <w:rsid w:val="00406F7C"/>
    <w:rsid w:val="00406FEB"/>
    <w:rsid w:val="00407063"/>
    <w:rsid w:val="004070A6"/>
    <w:rsid w:val="004070B4"/>
    <w:rsid w:val="004071D0"/>
    <w:rsid w:val="0040740A"/>
    <w:rsid w:val="004074D4"/>
    <w:rsid w:val="004074F8"/>
    <w:rsid w:val="0040784B"/>
    <w:rsid w:val="00407897"/>
    <w:rsid w:val="00407929"/>
    <w:rsid w:val="0040797B"/>
    <w:rsid w:val="00407A9C"/>
    <w:rsid w:val="00407AA0"/>
    <w:rsid w:val="00407BCF"/>
    <w:rsid w:val="00407DF3"/>
    <w:rsid w:val="00407E5F"/>
    <w:rsid w:val="004101B6"/>
    <w:rsid w:val="004101D9"/>
    <w:rsid w:val="004101F6"/>
    <w:rsid w:val="0041024E"/>
    <w:rsid w:val="00410271"/>
    <w:rsid w:val="0041031D"/>
    <w:rsid w:val="004103E7"/>
    <w:rsid w:val="00410408"/>
    <w:rsid w:val="00410458"/>
    <w:rsid w:val="00410544"/>
    <w:rsid w:val="0041076F"/>
    <w:rsid w:val="00410806"/>
    <w:rsid w:val="00410A27"/>
    <w:rsid w:val="00410A6B"/>
    <w:rsid w:val="00410AA0"/>
    <w:rsid w:val="00410AAD"/>
    <w:rsid w:val="00410AF3"/>
    <w:rsid w:val="00410B01"/>
    <w:rsid w:val="00410BA4"/>
    <w:rsid w:val="00410EFF"/>
    <w:rsid w:val="00410FF6"/>
    <w:rsid w:val="004111F0"/>
    <w:rsid w:val="00411365"/>
    <w:rsid w:val="0041158E"/>
    <w:rsid w:val="00411646"/>
    <w:rsid w:val="004118C4"/>
    <w:rsid w:val="004119BB"/>
    <w:rsid w:val="00411A63"/>
    <w:rsid w:val="00411A87"/>
    <w:rsid w:val="00411B6D"/>
    <w:rsid w:val="00411E07"/>
    <w:rsid w:val="00411E34"/>
    <w:rsid w:val="00411E4B"/>
    <w:rsid w:val="00411E5E"/>
    <w:rsid w:val="004122D8"/>
    <w:rsid w:val="00412397"/>
    <w:rsid w:val="004123A2"/>
    <w:rsid w:val="00412424"/>
    <w:rsid w:val="004124B5"/>
    <w:rsid w:val="0041253E"/>
    <w:rsid w:val="00412726"/>
    <w:rsid w:val="00412880"/>
    <w:rsid w:val="004129C2"/>
    <w:rsid w:val="004129E7"/>
    <w:rsid w:val="00412BAA"/>
    <w:rsid w:val="00412C1F"/>
    <w:rsid w:val="00412D40"/>
    <w:rsid w:val="00412EE4"/>
    <w:rsid w:val="00413154"/>
    <w:rsid w:val="00413360"/>
    <w:rsid w:val="00413497"/>
    <w:rsid w:val="00413720"/>
    <w:rsid w:val="0041387E"/>
    <w:rsid w:val="0041393D"/>
    <w:rsid w:val="00413AD3"/>
    <w:rsid w:val="00413B35"/>
    <w:rsid w:val="00413B83"/>
    <w:rsid w:val="00413D5B"/>
    <w:rsid w:val="00413DE5"/>
    <w:rsid w:val="00413DE8"/>
    <w:rsid w:val="00413E1C"/>
    <w:rsid w:val="00413E9F"/>
    <w:rsid w:val="0041400D"/>
    <w:rsid w:val="0041434D"/>
    <w:rsid w:val="00414384"/>
    <w:rsid w:val="004143C1"/>
    <w:rsid w:val="00414569"/>
    <w:rsid w:val="004147D1"/>
    <w:rsid w:val="00414A95"/>
    <w:rsid w:val="00414CCE"/>
    <w:rsid w:val="00414E3D"/>
    <w:rsid w:val="00414E72"/>
    <w:rsid w:val="00414FA9"/>
    <w:rsid w:val="004150FC"/>
    <w:rsid w:val="00415113"/>
    <w:rsid w:val="0041537B"/>
    <w:rsid w:val="00415593"/>
    <w:rsid w:val="0041569F"/>
    <w:rsid w:val="004157DB"/>
    <w:rsid w:val="00415909"/>
    <w:rsid w:val="00415A21"/>
    <w:rsid w:val="00415B47"/>
    <w:rsid w:val="00415B98"/>
    <w:rsid w:val="00415CDA"/>
    <w:rsid w:val="00415DC3"/>
    <w:rsid w:val="00415F34"/>
    <w:rsid w:val="00416016"/>
    <w:rsid w:val="004160B4"/>
    <w:rsid w:val="004162CB"/>
    <w:rsid w:val="004165FD"/>
    <w:rsid w:val="004166B6"/>
    <w:rsid w:val="004166FA"/>
    <w:rsid w:val="0041671A"/>
    <w:rsid w:val="004168AC"/>
    <w:rsid w:val="00416A37"/>
    <w:rsid w:val="00416B0E"/>
    <w:rsid w:val="00416C6B"/>
    <w:rsid w:val="00416D81"/>
    <w:rsid w:val="00416DD1"/>
    <w:rsid w:val="00416DF1"/>
    <w:rsid w:val="00416E3E"/>
    <w:rsid w:val="00416E70"/>
    <w:rsid w:val="00416EF4"/>
    <w:rsid w:val="00416F84"/>
    <w:rsid w:val="0041707E"/>
    <w:rsid w:val="0041732B"/>
    <w:rsid w:val="00417512"/>
    <w:rsid w:val="00417521"/>
    <w:rsid w:val="00417548"/>
    <w:rsid w:val="004176F3"/>
    <w:rsid w:val="00417758"/>
    <w:rsid w:val="004178BB"/>
    <w:rsid w:val="004178D6"/>
    <w:rsid w:val="00417ACD"/>
    <w:rsid w:val="00417C16"/>
    <w:rsid w:val="00417CDA"/>
    <w:rsid w:val="00417D32"/>
    <w:rsid w:val="00417DE8"/>
    <w:rsid w:val="0042012A"/>
    <w:rsid w:val="00420133"/>
    <w:rsid w:val="0042021B"/>
    <w:rsid w:val="00420299"/>
    <w:rsid w:val="00420478"/>
    <w:rsid w:val="004205D3"/>
    <w:rsid w:val="00420A39"/>
    <w:rsid w:val="00420B06"/>
    <w:rsid w:val="00420CA5"/>
    <w:rsid w:val="00420CF3"/>
    <w:rsid w:val="00420D45"/>
    <w:rsid w:val="00420EC9"/>
    <w:rsid w:val="00420EED"/>
    <w:rsid w:val="00420F5C"/>
    <w:rsid w:val="0042106B"/>
    <w:rsid w:val="004215DB"/>
    <w:rsid w:val="00421671"/>
    <w:rsid w:val="004217F9"/>
    <w:rsid w:val="004219F2"/>
    <w:rsid w:val="00421B44"/>
    <w:rsid w:val="00421BC7"/>
    <w:rsid w:val="00421BCF"/>
    <w:rsid w:val="00421CB4"/>
    <w:rsid w:val="00421CE6"/>
    <w:rsid w:val="00421CF9"/>
    <w:rsid w:val="00421D54"/>
    <w:rsid w:val="00421EC9"/>
    <w:rsid w:val="00421F62"/>
    <w:rsid w:val="00422343"/>
    <w:rsid w:val="00422414"/>
    <w:rsid w:val="00422440"/>
    <w:rsid w:val="0042244E"/>
    <w:rsid w:val="0042253F"/>
    <w:rsid w:val="0042254E"/>
    <w:rsid w:val="0042272B"/>
    <w:rsid w:val="004228D8"/>
    <w:rsid w:val="00422DFC"/>
    <w:rsid w:val="00422F13"/>
    <w:rsid w:val="00422FA6"/>
    <w:rsid w:val="00423086"/>
    <w:rsid w:val="0042329F"/>
    <w:rsid w:val="0042342D"/>
    <w:rsid w:val="0042362D"/>
    <w:rsid w:val="004236F7"/>
    <w:rsid w:val="00423730"/>
    <w:rsid w:val="0042399A"/>
    <w:rsid w:val="004239F3"/>
    <w:rsid w:val="00423C33"/>
    <w:rsid w:val="00423CED"/>
    <w:rsid w:val="00423D36"/>
    <w:rsid w:val="00423E6B"/>
    <w:rsid w:val="00423F95"/>
    <w:rsid w:val="00424026"/>
    <w:rsid w:val="004240BC"/>
    <w:rsid w:val="00424276"/>
    <w:rsid w:val="004242AA"/>
    <w:rsid w:val="00424456"/>
    <w:rsid w:val="00424599"/>
    <w:rsid w:val="004245BE"/>
    <w:rsid w:val="004245F6"/>
    <w:rsid w:val="0042464E"/>
    <w:rsid w:val="0042465C"/>
    <w:rsid w:val="0042476A"/>
    <w:rsid w:val="0042482D"/>
    <w:rsid w:val="00424901"/>
    <w:rsid w:val="00424A52"/>
    <w:rsid w:val="00424C5A"/>
    <w:rsid w:val="00424D3E"/>
    <w:rsid w:val="00425179"/>
    <w:rsid w:val="00425353"/>
    <w:rsid w:val="00425486"/>
    <w:rsid w:val="0042568A"/>
    <w:rsid w:val="004256D8"/>
    <w:rsid w:val="004258E3"/>
    <w:rsid w:val="00425901"/>
    <w:rsid w:val="00425AA0"/>
    <w:rsid w:val="00425B73"/>
    <w:rsid w:val="00425CAA"/>
    <w:rsid w:val="00426089"/>
    <w:rsid w:val="004260F7"/>
    <w:rsid w:val="00426235"/>
    <w:rsid w:val="00426362"/>
    <w:rsid w:val="00426740"/>
    <w:rsid w:val="00426B78"/>
    <w:rsid w:val="00426ECC"/>
    <w:rsid w:val="00426F1B"/>
    <w:rsid w:val="0042700E"/>
    <w:rsid w:val="00427077"/>
    <w:rsid w:val="004270D4"/>
    <w:rsid w:val="004271D3"/>
    <w:rsid w:val="00427220"/>
    <w:rsid w:val="00427258"/>
    <w:rsid w:val="0042738B"/>
    <w:rsid w:val="004273EE"/>
    <w:rsid w:val="0042749A"/>
    <w:rsid w:val="00427622"/>
    <w:rsid w:val="0042763F"/>
    <w:rsid w:val="0042765E"/>
    <w:rsid w:val="004276CA"/>
    <w:rsid w:val="004277A6"/>
    <w:rsid w:val="00427940"/>
    <w:rsid w:val="00427AB9"/>
    <w:rsid w:val="00427AC3"/>
    <w:rsid w:val="00427B7E"/>
    <w:rsid w:val="00427CFA"/>
    <w:rsid w:val="00427D19"/>
    <w:rsid w:val="00427DB1"/>
    <w:rsid w:val="00427DB7"/>
    <w:rsid w:val="00430354"/>
    <w:rsid w:val="004304C5"/>
    <w:rsid w:val="004306C8"/>
    <w:rsid w:val="00430740"/>
    <w:rsid w:val="00430774"/>
    <w:rsid w:val="004307CC"/>
    <w:rsid w:val="0043081C"/>
    <w:rsid w:val="00430871"/>
    <w:rsid w:val="0043094B"/>
    <w:rsid w:val="004309EC"/>
    <w:rsid w:val="00430A94"/>
    <w:rsid w:val="00430B23"/>
    <w:rsid w:val="00430C52"/>
    <w:rsid w:val="00430E00"/>
    <w:rsid w:val="00430F0C"/>
    <w:rsid w:val="004310EC"/>
    <w:rsid w:val="00431132"/>
    <w:rsid w:val="00431282"/>
    <w:rsid w:val="004312DF"/>
    <w:rsid w:val="004312FB"/>
    <w:rsid w:val="00431323"/>
    <w:rsid w:val="004315A8"/>
    <w:rsid w:val="00431651"/>
    <w:rsid w:val="00431749"/>
    <w:rsid w:val="004317B5"/>
    <w:rsid w:val="004317B9"/>
    <w:rsid w:val="004319B1"/>
    <w:rsid w:val="00431D0A"/>
    <w:rsid w:val="00431DFE"/>
    <w:rsid w:val="00431E2A"/>
    <w:rsid w:val="00431E75"/>
    <w:rsid w:val="00431E8E"/>
    <w:rsid w:val="00431F7E"/>
    <w:rsid w:val="00432014"/>
    <w:rsid w:val="00432386"/>
    <w:rsid w:val="004323A9"/>
    <w:rsid w:val="004324B0"/>
    <w:rsid w:val="004325F4"/>
    <w:rsid w:val="0043268D"/>
    <w:rsid w:val="00432746"/>
    <w:rsid w:val="0043294F"/>
    <w:rsid w:val="004329C5"/>
    <w:rsid w:val="00432A7A"/>
    <w:rsid w:val="00432AE0"/>
    <w:rsid w:val="00432B8F"/>
    <w:rsid w:val="00432D3A"/>
    <w:rsid w:val="00432EAB"/>
    <w:rsid w:val="00432F1F"/>
    <w:rsid w:val="00433073"/>
    <w:rsid w:val="00433105"/>
    <w:rsid w:val="004331A7"/>
    <w:rsid w:val="004332A4"/>
    <w:rsid w:val="00433452"/>
    <w:rsid w:val="004334E4"/>
    <w:rsid w:val="0043353C"/>
    <w:rsid w:val="00433670"/>
    <w:rsid w:val="00433682"/>
    <w:rsid w:val="004337A6"/>
    <w:rsid w:val="00433908"/>
    <w:rsid w:val="00433A1F"/>
    <w:rsid w:val="00433BA8"/>
    <w:rsid w:val="00433C28"/>
    <w:rsid w:val="00433D85"/>
    <w:rsid w:val="00433F29"/>
    <w:rsid w:val="004340F6"/>
    <w:rsid w:val="00434371"/>
    <w:rsid w:val="00434428"/>
    <w:rsid w:val="00434611"/>
    <w:rsid w:val="004346C7"/>
    <w:rsid w:val="0043484F"/>
    <w:rsid w:val="004348D0"/>
    <w:rsid w:val="004348D3"/>
    <w:rsid w:val="00434A17"/>
    <w:rsid w:val="00434AFB"/>
    <w:rsid w:val="00434B04"/>
    <w:rsid w:val="00434BCC"/>
    <w:rsid w:val="00434C44"/>
    <w:rsid w:val="00434F0F"/>
    <w:rsid w:val="00434F13"/>
    <w:rsid w:val="00435018"/>
    <w:rsid w:val="0043519D"/>
    <w:rsid w:val="0043546D"/>
    <w:rsid w:val="0043548A"/>
    <w:rsid w:val="00435895"/>
    <w:rsid w:val="00435964"/>
    <w:rsid w:val="00435A69"/>
    <w:rsid w:val="00435A98"/>
    <w:rsid w:val="00435CB9"/>
    <w:rsid w:val="00435D93"/>
    <w:rsid w:val="00435E28"/>
    <w:rsid w:val="00435E2A"/>
    <w:rsid w:val="00436057"/>
    <w:rsid w:val="004360AC"/>
    <w:rsid w:val="004361EE"/>
    <w:rsid w:val="00436360"/>
    <w:rsid w:val="004363C0"/>
    <w:rsid w:val="0043656A"/>
    <w:rsid w:val="0043664F"/>
    <w:rsid w:val="00436745"/>
    <w:rsid w:val="00436883"/>
    <w:rsid w:val="0043692E"/>
    <w:rsid w:val="00436A59"/>
    <w:rsid w:val="00436A7D"/>
    <w:rsid w:val="00436BF8"/>
    <w:rsid w:val="00436EC1"/>
    <w:rsid w:val="00437035"/>
    <w:rsid w:val="004371BF"/>
    <w:rsid w:val="004373DC"/>
    <w:rsid w:val="00437525"/>
    <w:rsid w:val="0043755E"/>
    <w:rsid w:val="0043758C"/>
    <w:rsid w:val="004375A7"/>
    <w:rsid w:val="004376BE"/>
    <w:rsid w:val="00437709"/>
    <w:rsid w:val="004377B0"/>
    <w:rsid w:val="0043799C"/>
    <w:rsid w:val="00437A38"/>
    <w:rsid w:val="00437BE1"/>
    <w:rsid w:val="00437C37"/>
    <w:rsid w:val="00437C7A"/>
    <w:rsid w:val="00437E1E"/>
    <w:rsid w:val="00437E45"/>
    <w:rsid w:val="00437E47"/>
    <w:rsid w:val="00437ED6"/>
    <w:rsid w:val="00437F60"/>
    <w:rsid w:val="0044065F"/>
    <w:rsid w:val="00440712"/>
    <w:rsid w:val="0044078B"/>
    <w:rsid w:val="004407CA"/>
    <w:rsid w:val="0044098A"/>
    <w:rsid w:val="00440A9D"/>
    <w:rsid w:val="00440AB8"/>
    <w:rsid w:val="00440DF9"/>
    <w:rsid w:val="00440F59"/>
    <w:rsid w:val="0044101D"/>
    <w:rsid w:val="0044111A"/>
    <w:rsid w:val="00441288"/>
    <w:rsid w:val="004412BA"/>
    <w:rsid w:val="00441333"/>
    <w:rsid w:val="00441480"/>
    <w:rsid w:val="004416EB"/>
    <w:rsid w:val="0044175C"/>
    <w:rsid w:val="004418E5"/>
    <w:rsid w:val="0044197A"/>
    <w:rsid w:val="004419D0"/>
    <w:rsid w:val="00441BF9"/>
    <w:rsid w:val="00441C55"/>
    <w:rsid w:val="00441CC5"/>
    <w:rsid w:val="00441DEC"/>
    <w:rsid w:val="00441EB2"/>
    <w:rsid w:val="00441EC1"/>
    <w:rsid w:val="00441F79"/>
    <w:rsid w:val="00441FF3"/>
    <w:rsid w:val="00441FF7"/>
    <w:rsid w:val="00442052"/>
    <w:rsid w:val="004420E2"/>
    <w:rsid w:val="004423EE"/>
    <w:rsid w:val="00442451"/>
    <w:rsid w:val="0044253D"/>
    <w:rsid w:val="00442797"/>
    <w:rsid w:val="004427B1"/>
    <w:rsid w:val="00442827"/>
    <w:rsid w:val="004428B5"/>
    <w:rsid w:val="004428F5"/>
    <w:rsid w:val="00442A21"/>
    <w:rsid w:val="00442A7C"/>
    <w:rsid w:val="00442BC2"/>
    <w:rsid w:val="00442EB0"/>
    <w:rsid w:val="00443036"/>
    <w:rsid w:val="00443284"/>
    <w:rsid w:val="00443390"/>
    <w:rsid w:val="004433B9"/>
    <w:rsid w:val="00443534"/>
    <w:rsid w:val="004436C8"/>
    <w:rsid w:val="00443814"/>
    <w:rsid w:val="00443841"/>
    <w:rsid w:val="00443AAD"/>
    <w:rsid w:val="00443C93"/>
    <w:rsid w:val="00443CF2"/>
    <w:rsid w:val="00443DF6"/>
    <w:rsid w:val="00443E81"/>
    <w:rsid w:val="00444593"/>
    <w:rsid w:val="0044482E"/>
    <w:rsid w:val="00444962"/>
    <w:rsid w:val="00444AFB"/>
    <w:rsid w:val="00444BED"/>
    <w:rsid w:val="00444D41"/>
    <w:rsid w:val="00444F4A"/>
    <w:rsid w:val="004450B5"/>
    <w:rsid w:val="004450C8"/>
    <w:rsid w:val="004451C7"/>
    <w:rsid w:val="004451F3"/>
    <w:rsid w:val="004451F7"/>
    <w:rsid w:val="004451FB"/>
    <w:rsid w:val="0044520B"/>
    <w:rsid w:val="00445350"/>
    <w:rsid w:val="0044538E"/>
    <w:rsid w:val="00445549"/>
    <w:rsid w:val="00445567"/>
    <w:rsid w:val="00445603"/>
    <w:rsid w:val="0044575A"/>
    <w:rsid w:val="00445811"/>
    <w:rsid w:val="00445820"/>
    <w:rsid w:val="00445876"/>
    <w:rsid w:val="00445918"/>
    <w:rsid w:val="00445B5B"/>
    <w:rsid w:val="00445B6C"/>
    <w:rsid w:val="00445BA9"/>
    <w:rsid w:val="00445C46"/>
    <w:rsid w:val="00445D9B"/>
    <w:rsid w:val="00445E56"/>
    <w:rsid w:val="00445E91"/>
    <w:rsid w:val="00445FCA"/>
    <w:rsid w:val="004460CE"/>
    <w:rsid w:val="00446224"/>
    <w:rsid w:val="00446258"/>
    <w:rsid w:val="00446286"/>
    <w:rsid w:val="00446342"/>
    <w:rsid w:val="00446530"/>
    <w:rsid w:val="0044656B"/>
    <w:rsid w:val="00446570"/>
    <w:rsid w:val="004467B7"/>
    <w:rsid w:val="00446846"/>
    <w:rsid w:val="00446944"/>
    <w:rsid w:val="00446A6D"/>
    <w:rsid w:val="00446AF7"/>
    <w:rsid w:val="00446B73"/>
    <w:rsid w:val="00446B75"/>
    <w:rsid w:val="00446E02"/>
    <w:rsid w:val="00446E64"/>
    <w:rsid w:val="00446E8C"/>
    <w:rsid w:val="004471D4"/>
    <w:rsid w:val="004471DC"/>
    <w:rsid w:val="004478C2"/>
    <w:rsid w:val="00447E0E"/>
    <w:rsid w:val="004500A2"/>
    <w:rsid w:val="004501D8"/>
    <w:rsid w:val="0045049A"/>
    <w:rsid w:val="0045053E"/>
    <w:rsid w:val="0045058B"/>
    <w:rsid w:val="00450658"/>
    <w:rsid w:val="0045068E"/>
    <w:rsid w:val="0045071F"/>
    <w:rsid w:val="00450803"/>
    <w:rsid w:val="004508C5"/>
    <w:rsid w:val="0045098C"/>
    <w:rsid w:val="004509A9"/>
    <w:rsid w:val="00450D54"/>
    <w:rsid w:val="00450DD0"/>
    <w:rsid w:val="00450EAD"/>
    <w:rsid w:val="00450F2B"/>
    <w:rsid w:val="00450FE3"/>
    <w:rsid w:val="004510EC"/>
    <w:rsid w:val="004512FF"/>
    <w:rsid w:val="00451517"/>
    <w:rsid w:val="004516CB"/>
    <w:rsid w:val="004518C9"/>
    <w:rsid w:val="0045195C"/>
    <w:rsid w:val="00451965"/>
    <w:rsid w:val="004519A2"/>
    <w:rsid w:val="00451A12"/>
    <w:rsid w:val="00451B36"/>
    <w:rsid w:val="00451D5B"/>
    <w:rsid w:val="00451F6A"/>
    <w:rsid w:val="00451F7F"/>
    <w:rsid w:val="004520D1"/>
    <w:rsid w:val="00452144"/>
    <w:rsid w:val="0045220B"/>
    <w:rsid w:val="00452221"/>
    <w:rsid w:val="004522EA"/>
    <w:rsid w:val="004522F9"/>
    <w:rsid w:val="0045236F"/>
    <w:rsid w:val="004524E2"/>
    <w:rsid w:val="004525B3"/>
    <w:rsid w:val="0045268C"/>
    <w:rsid w:val="004526ED"/>
    <w:rsid w:val="00452AE1"/>
    <w:rsid w:val="00452B9A"/>
    <w:rsid w:val="00452BBA"/>
    <w:rsid w:val="00452C4A"/>
    <w:rsid w:val="00452C5B"/>
    <w:rsid w:val="00452D9F"/>
    <w:rsid w:val="00452F5A"/>
    <w:rsid w:val="0045301E"/>
    <w:rsid w:val="0045328E"/>
    <w:rsid w:val="004533F2"/>
    <w:rsid w:val="004534AE"/>
    <w:rsid w:val="00453555"/>
    <w:rsid w:val="00453564"/>
    <w:rsid w:val="0045364F"/>
    <w:rsid w:val="00453675"/>
    <w:rsid w:val="0045372E"/>
    <w:rsid w:val="00453777"/>
    <w:rsid w:val="004537AF"/>
    <w:rsid w:val="004537C8"/>
    <w:rsid w:val="00453887"/>
    <w:rsid w:val="004538B7"/>
    <w:rsid w:val="004538D1"/>
    <w:rsid w:val="00453924"/>
    <w:rsid w:val="00453A10"/>
    <w:rsid w:val="00453DC8"/>
    <w:rsid w:val="00453E53"/>
    <w:rsid w:val="00453F8D"/>
    <w:rsid w:val="00454044"/>
    <w:rsid w:val="00454293"/>
    <w:rsid w:val="00454296"/>
    <w:rsid w:val="004542AB"/>
    <w:rsid w:val="004544F2"/>
    <w:rsid w:val="0045455A"/>
    <w:rsid w:val="00454560"/>
    <w:rsid w:val="004548EE"/>
    <w:rsid w:val="0045497A"/>
    <w:rsid w:val="00454980"/>
    <w:rsid w:val="00454988"/>
    <w:rsid w:val="00454A00"/>
    <w:rsid w:val="00454EEF"/>
    <w:rsid w:val="00454F99"/>
    <w:rsid w:val="004550AA"/>
    <w:rsid w:val="00455217"/>
    <w:rsid w:val="00455253"/>
    <w:rsid w:val="0045527C"/>
    <w:rsid w:val="00455372"/>
    <w:rsid w:val="00455538"/>
    <w:rsid w:val="00455633"/>
    <w:rsid w:val="00455688"/>
    <w:rsid w:val="00455697"/>
    <w:rsid w:val="00455708"/>
    <w:rsid w:val="0045582D"/>
    <w:rsid w:val="004558AD"/>
    <w:rsid w:val="00455927"/>
    <w:rsid w:val="00455940"/>
    <w:rsid w:val="00455C9F"/>
    <w:rsid w:val="00455D9F"/>
    <w:rsid w:val="00455E6E"/>
    <w:rsid w:val="00455EDA"/>
    <w:rsid w:val="00455FE5"/>
    <w:rsid w:val="0045604B"/>
    <w:rsid w:val="0045625B"/>
    <w:rsid w:val="00456267"/>
    <w:rsid w:val="004563B1"/>
    <w:rsid w:val="0045665E"/>
    <w:rsid w:val="00456868"/>
    <w:rsid w:val="004568CC"/>
    <w:rsid w:val="00456C2E"/>
    <w:rsid w:val="00456C73"/>
    <w:rsid w:val="00456CC2"/>
    <w:rsid w:val="00457056"/>
    <w:rsid w:val="0045706D"/>
    <w:rsid w:val="00457096"/>
    <w:rsid w:val="004570E6"/>
    <w:rsid w:val="004571EC"/>
    <w:rsid w:val="00457208"/>
    <w:rsid w:val="004572E0"/>
    <w:rsid w:val="00457692"/>
    <w:rsid w:val="004576C8"/>
    <w:rsid w:val="00457904"/>
    <w:rsid w:val="00457946"/>
    <w:rsid w:val="00457BAE"/>
    <w:rsid w:val="00457BCA"/>
    <w:rsid w:val="00457C3B"/>
    <w:rsid w:val="00457C8F"/>
    <w:rsid w:val="00457D69"/>
    <w:rsid w:val="004600A3"/>
    <w:rsid w:val="004600B3"/>
    <w:rsid w:val="0046036E"/>
    <w:rsid w:val="00460470"/>
    <w:rsid w:val="0046050B"/>
    <w:rsid w:val="00460577"/>
    <w:rsid w:val="004606FF"/>
    <w:rsid w:val="00460861"/>
    <w:rsid w:val="004609CC"/>
    <w:rsid w:val="00460B3A"/>
    <w:rsid w:val="00460DFC"/>
    <w:rsid w:val="00460EB0"/>
    <w:rsid w:val="00460F49"/>
    <w:rsid w:val="00460F4C"/>
    <w:rsid w:val="00460F97"/>
    <w:rsid w:val="00460FD2"/>
    <w:rsid w:val="004610AB"/>
    <w:rsid w:val="004611B2"/>
    <w:rsid w:val="00461222"/>
    <w:rsid w:val="004613FB"/>
    <w:rsid w:val="00461524"/>
    <w:rsid w:val="0046166F"/>
    <w:rsid w:val="00461724"/>
    <w:rsid w:val="0046184F"/>
    <w:rsid w:val="004618D3"/>
    <w:rsid w:val="00461BAD"/>
    <w:rsid w:val="00461C6E"/>
    <w:rsid w:val="00461D3D"/>
    <w:rsid w:val="00461F15"/>
    <w:rsid w:val="00461FDB"/>
    <w:rsid w:val="004621C8"/>
    <w:rsid w:val="00462202"/>
    <w:rsid w:val="004623EA"/>
    <w:rsid w:val="00462654"/>
    <w:rsid w:val="004628F3"/>
    <w:rsid w:val="00462BCA"/>
    <w:rsid w:val="00462F2C"/>
    <w:rsid w:val="004630AC"/>
    <w:rsid w:val="004631ED"/>
    <w:rsid w:val="00463309"/>
    <w:rsid w:val="00463379"/>
    <w:rsid w:val="00463481"/>
    <w:rsid w:val="00463570"/>
    <w:rsid w:val="00463578"/>
    <w:rsid w:val="00463598"/>
    <w:rsid w:val="00463651"/>
    <w:rsid w:val="00463715"/>
    <w:rsid w:val="00463727"/>
    <w:rsid w:val="0046387D"/>
    <w:rsid w:val="004638B7"/>
    <w:rsid w:val="00463B08"/>
    <w:rsid w:val="00463B5B"/>
    <w:rsid w:val="00463BAF"/>
    <w:rsid w:val="00463BF0"/>
    <w:rsid w:val="00463BF5"/>
    <w:rsid w:val="00463DBB"/>
    <w:rsid w:val="00464080"/>
    <w:rsid w:val="00464149"/>
    <w:rsid w:val="004641D8"/>
    <w:rsid w:val="00464278"/>
    <w:rsid w:val="004642FE"/>
    <w:rsid w:val="00464473"/>
    <w:rsid w:val="004645EC"/>
    <w:rsid w:val="0046479F"/>
    <w:rsid w:val="00464A3B"/>
    <w:rsid w:val="00464B16"/>
    <w:rsid w:val="00464B6C"/>
    <w:rsid w:val="00464BD3"/>
    <w:rsid w:val="00464BF8"/>
    <w:rsid w:val="00464C8A"/>
    <w:rsid w:val="00464DD0"/>
    <w:rsid w:val="00464DE6"/>
    <w:rsid w:val="00464E56"/>
    <w:rsid w:val="00464F3E"/>
    <w:rsid w:val="00464FF1"/>
    <w:rsid w:val="004650BD"/>
    <w:rsid w:val="004652D9"/>
    <w:rsid w:val="00465351"/>
    <w:rsid w:val="004655CC"/>
    <w:rsid w:val="00465666"/>
    <w:rsid w:val="004656B2"/>
    <w:rsid w:val="0046575B"/>
    <w:rsid w:val="004657FF"/>
    <w:rsid w:val="00465814"/>
    <w:rsid w:val="004659D8"/>
    <w:rsid w:val="00465B9F"/>
    <w:rsid w:val="00465FC7"/>
    <w:rsid w:val="0046603D"/>
    <w:rsid w:val="00466049"/>
    <w:rsid w:val="0046605C"/>
    <w:rsid w:val="004664E2"/>
    <w:rsid w:val="00466653"/>
    <w:rsid w:val="0046680F"/>
    <w:rsid w:val="00466812"/>
    <w:rsid w:val="0046698B"/>
    <w:rsid w:val="00466B6F"/>
    <w:rsid w:val="00466D5D"/>
    <w:rsid w:val="00466D80"/>
    <w:rsid w:val="00466DB6"/>
    <w:rsid w:val="00467051"/>
    <w:rsid w:val="0046706C"/>
    <w:rsid w:val="004670D8"/>
    <w:rsid w:val="00467118"/>
    <w:rsid w:val="004671B3"/>
    <w:rsid w:val="00467242"/>
    <w:rsid w:val="0046729B"/>
    <w:rsid w:val="004672BB"/>
    <w:rsid w:val="00467398"/>
    <w:rsid w:val="0046746D"/>
    <w:rsid w:val="004674BB"/>
    <w:rsid w:val="004675DE"/>
    <w:rsid w:val="004676D1"/>
    <w:rsid w:val="00467769"/>
    <w:rsid w:val="0046799F"/>
    <w:rsid w:val="00467B49"/>
    <w:rsid w:val="00467C4A"/>
    <w:rsid w:val="00467C88"/>
    <w:rsid w:val="00467DCA"/>
    <w:rsid w:val="00467E5A"/>
    <w:rsid w:val="00467E90"/>
    <w:rsid w:val="00467EC5"/>
    <w:rsid w:val="00467F0B"/>
    <w:rsid w:val="0047001B"/>
    <w:rsid w:val="0047016A"/>
    <w:rsid w:val="0047028E"/>
    <w:rsid w:val="0047031C"/>
    <w:rsid w:val="00470327"/>
    <w:rsid w:val="004704BA"/>
    <w:rsid w:val="004704EC"/>
    <w:rsid w:val="00470506"/>
    <w:rsid w:val="004706CF"/>
    <w:rsid w:val="004708A0"/>
    <w:rsid w:val="00470A9C"/>
    <w:rsid w:val="00470D56"/>
    <w:rsid w:val="00470DAC"/>
    <w:rsid w:val="00470ED5"/>
    <w:rsid w:val="00470F3C"/>
    <w:rsid w:val="00470F68"/>
    <w:rsid w:val="00471026"/>
    <w:rsid w:val="00471208"/>
    <w:rsid w:val="0047121B"/>
    <w:rsid w:val="00471272"/>
    <w:rsid w:val="00471388"/>
    <w:rsid w:val="004717BD"/>
    <w:rsid w:val="00471832"/>
    <w:rsid w:val="0047194F"/>
    <w:rsid w:val="00471B60"/>
    <w:rsid w:val="00471BB6"/>
    <w:rsid w:val="00471C33"/>
    <w:rsid w:val="00471C3E"/>
    <w:rsid w:val="00471D48"/>
    <w:rsid w:val="00471F5A"/>
    <w:rsid w:val="00471F67"/>
    <w:rsid w:val="00471FB9"/>
    <w:rsid w:val="00471FE4"/>
    <w:rsid w:val="00472055"/>
    <w:rsid w:val="00472073"/>
    <w:rsid w:val="004720B1"/>
    <w:rsid w:val="00472125"/>
    <w:rsid w:val="004721AD"/>
    <w:rsid w:val="004721D4"/>
    <w:rsid w:val="004721F7"/>
    <w:rsid w:val="004723F4"/>
    <w:rsid w:val="00472455"/>
    <w:rsid w:val="0047255A"/>
    <w:rsid w:val="004726DE"/>
    <w:rsid w:val="0047288F"/>
    <w:rsid w:val="00472964"/>
    <w:rsid w:val="004729F6"/>
    <w:rsid w:val="00472A2C"/>
    <w:rsid w:val="00472A72"/>
    <w:rsid w:val="00472B9A"/>
    <w:rsid w:val="00472DC9"/>
    <w:rsid w:val="00472E4B"/>
    <w:rsid w:val="00472E4E"/>
    <w:rsid w:val="00472F18"/>
    <w:rsid w:val="00472F2B"/>
    <w:rsid w:val="00473101"/>
    <w:rsid w:val="00473326"/>
    <w:rsid w:val="00473376"/>
    <w:rsid w:val="004734A0"/>
    <w:rsid w:val="004734C4"/>
    <w:rsid w:val="00473987"/>
    <w:rsid w:val="00473A3A"/>
    <w:rsid w:val="00473B26"/>
    <w:rsid w:val="00473E49"/>
    <w:rsid w:val="0047466E"/>
    <w:rsid w:val="00474A41"/>
    <w:rsid w:val="00474A6C"/>
    <w:rsid w:val="00474B6F"/>
    <w:rsid w:val="00474BAD"/>
    <w:rsid w:val="00474BB1"/>
    <w:rsid w:val="00474BC7"/>
    <w:rsid w:val="00474BCD"/>
    <w:rsid w:val="00474C00"/>
    <w:rsid w:val="00474C9E"/>
    <w:rsid w:val="00474EC5"/>
    <w:rsid w:val="00474F71"/>
    <w:rsid w:val="0047509E"/>
    <w:rsid w:val="004751EE"/>
    <w:rsid w:val="0047520A"/>
    <w:rsid w:val="0047525A"/>
    <w:rsid w:val="0047532B"/>
    <w:rsid w:val="0047538D"/>
    <w:rsid w:val="00475706"/>
    <w:rsid w:val="00475920"/>
    <w:rsid w:val="00475C91"/>
    <w:rsid w:val="00475D03"/>
    <w:rsid w:val="00475D2E"/>
    <w:rsid w:val="00475D30"/>
    <w:rsid w:val="00475D37"/>
    <w:rsid w:val="00476052"/>
    <w:rsid w:val="004760AD"/>
    <w:rsid w:val="004760AF"/>
    <w:rsid w:val="00476221"/>
    <w:rsid w:val="004762D8"/>
    <w:rsid w:val="0047632D"/>
    <w:rsid w:val="004763C4"/>
    <w:rsid w:val="004763F6"/>
    <w:rsid w:val="00476603"/>
    <w:rsid w:val="00476861"/>
    <w:rsid w:val="0047686F"/>
    <w:rsid w:val="004768B0"/>
    <w:rsid w:val="00476B30"/>
    <w:rsid w:val="00476C51"/>
    <w:rsid w:val="00476C97"/>
    <w:rsid w:val="0047732B"/>
    <w:rsid w:val="004773BF"/>
    <w:rsid w:val="00477406"/>
    <w:rsid w:val="004775F3"/>
    <w:rsid w:val="00477763"/>
    <w:rsid w:val="004777A3"/>
    <w:rsid w:val="004777BA"/>
    <w:rsid w:val="00477B05"/>
    <w:rsid w:val="00477B4F"/>
    <w:rsid w:val="00477BC4"/>
    <w:rsid w:val="00477C5A"/>
    <w:rsid w:val="00477C74"/>
    <w:rsid w:val="00477D38"/>
    <w:rsid w:val="00477E02"/>
    <w:rsid w:val="00477F8A"/>
    <w:rsid w:val="004800CD"/>
    <w:rsid w:val="0048028F"/>
    <w:rsid w:val="004803CA"/>
    <w:rsid w:val="00480473"/>
    <w:rsid w:val="00480572"/>
    <w:rsid w:val="00480599"/>
    <w:rsid w:val="00480723"/>
    <w:rsid w:val="00480812"/>
    <w:rsid w:val="0048093D"/>
    <w:rsid w:val="004809CC"/>
    <w:rsid w:val="00480A18"/>
    <w:rsid w:val="00480A4B"/>
    <w:rsid w:val="00480A89"/>
    <w:rsid w:val="00480ACB"/>
    <w:rsid w:val="00480DAB"/>
    <w:rsid w:val="00480E23"/>
    <w:rsid w:val="00480E6A"/>
    <w:rsid w:val="00480F2C"/>
    <w:rsid w:val="00481004"/>
    <w:rsid w:val="00481077"/>
    <w:rsid w:val="004811B8"/>
    <w:rsid w:val="004811DC"/>
    <w:rsid w:val="0048123D"/>
    <w:rsid w:val="004812E8"/>
    <w:rsid w:val="00481463"/>
    <w:rsid w:val="004814EC"/>
    <w:rsid w:val="00481574"/>
    <w:rsid w:val="0048164E"/>
    <w:rsid w:val="004818A4"/>
    <w:rsid w:val="00481BAD"/>
    <w:rsid w:val="00481BD5"/>
    <w:rsid w:val="00481E86"/>
    <w:rsid w:val="00481FF6"/>
    <w:rsid w:val="0048209A"/>
    <w:rsid w:val="00482142"/>
    <w:rsid w:val="0048271E"/>
    <w:rsid w:val="004827F0"/>
    <w:rsid w:val="00482BA0"/>
    <w:rsid w:val="00482CC7"/>
    <w:rsid w:val="0048301E"/>
    <w:rsid w:val="00483143"/>
    <w:rsid w:val="00483185"/>
    <w:rsid w:val="0048324A"/>
    <w:rsid w:val="004833D6"/>
    <w:rsid w:val="00483497"/>
    <w:rsid w:val="00483543"/>
    <w:rsid w:val="004835E7"/>
    <w:rsid w:val="00483688"/>
    <w:rsid w:val="004837E8"/>
    <w:rsid w:val="004838A7"/>
    <w:rsid w:val="004838BF"/>
    <w:rsid w:val="004839A6"/>
    <w:rsid w:val="00483A92"/>
    <w:rsid w:val="00483AB1"/>
    <w:rsid w:val="00483BEF"/>
    <w:rsid w:val="00483C0D"/>
    <w:rsid w:val="00483C14"/>
    <w:rsid w:val="00483C3B"/>
    <w:rsid w:val="00483DF4"/>
    <w:rsid w:val="004840EA"/>
    <w:rsid w:val="00484524"/>
    <w:rsid w:val="0048452A"/>
    <w:rsid w:val="00484550"/>
    <w:rsid w:val="0048460B"/>
    <w:rsid w:val="0048464E"/>
    <w:rsid w:val="004846D9"/>
    <w:rsid w:val="0048478F"/>
    <w:rsid w:val="00484A6B"/>
    <w:rsid w:val="00484AB8"/>
    <w:rsid w:val="00484DDA"/>
    <w:rsid w:val="00484F60"/>
    <w:rsid w:val="00485065"/>
    <w:rsid w:val="004851B9"/>
    <w:rsid w:val="004851FB"/>
    <w:rsid w:val="00485435"/>
    <w:rsid w:val="004854AB"/>
    <w:rsid w:val="00485729"/>
    <w:rsid w:val="00485827"/>
    <w:rsid w:val="004859C2"/>
    <w:rsid w:val="00485AB5"/>
    <w:rsid w:val="00485BD2"/>
    <w:rsid w:val="00485F40"/>
    <w:rsid w:val="0048600A"/>
    <w:rsid w:val="00486306"/>
    <w:rsid w:val="0048653F"/>
    <w:rsid w:val="004866B6"/>
    <w:rsid w:val="004866D5"/>
    <w:rsid w:val="00486A5F"/>
    <w:rsid w:val="00486AC0"/>
    <w:rsid w:val="00486ADC"/>
    <w:rsid w:val="00486B92"/>
    <w:rsid w:val="00486C38"/>
    <w:rsid w:val="00486E2F"/>
    <w:rsid w:val="00486E3B"/>
    <w:rsid w:val="00487246"/>
    <w:rsid w:val="0048724E"/>
    <w:rsid w:val="00487411"/>
    <w:rsid w:val="0048755A"/>
    <w:rsid w:val="004875F1"/>
    <w:rsid w:val="004875F6"/>
    <w:rsid w:val="00487652"/>
    <w:rsid w:val="004876A7"/>
    <w:rsid w:val="0048792D"/>
    <w:rsid w:val="004879E4"/>
    <w:rsid w:val="00487AF2"/>
    <w:rsid w:val="00487C3E"/>
    <w:rsid w:val="00487CA1"/>
    <w:rsid w:val="00487D58"/>
    <w:rsid w:val="00487E35"/>
    <w:rsid w:val="00487E3B"/>
    <w:rsid w:val="00487E3F"/>
    <w:rsid w:val="00487EC9"/>
    <w:rsid w:val="00490096"/>
    <w:rsid w:val="004901BE"/>
    <w:rsid w:val="004901C9"/>
    <w:rsid w:val="00490280"/>
    <w:rsid w:val="00490487"/>
    <w:rsid w:val="00490535"/>
    <w:rsid w:val="0049068B"/>
    <w:rsid w:val="0049069D"/>
    <w:rsid w:val="00490841"/>
    <w:rsid w:val="00490A04"/>
    <w:rsid w:val="00490B22"/>
    <w:rsid w:val="00490C1C"/>
    <w:rsid w:val="00490CE3"/>
    <w:rsid w:val="00490DB2"/>
    <w:rsid w:val="00490E30"/>
    <w:rsid w:val="00490EEC"/>
    <w:rsid w:val="00490F43"/>
    <w:rsid w:val="00491037"/>
    <w:rsid w:val="00491080"/>
    <w:rsid w:val="00491092"/>
    <w:rsid w:val="0049114D"/>
    <w:rsid w:val="00491257"/>
    <w:rsid w:val="004913A4"/>
    <w:rsid w:val="0049147E"/>
    <w:rsid w:val="00491660"/>
    <w:rsid w:val="004916BA"/>
    <w:rsid w:val="00491A4C"/>
    <w:rsid w:val="00491A57"/>
    <w:rsid w:val="00491AE4"/>
    <w:rsid w:val="00491C80"/>
    <w:rsid w:val="00491C82"/>
    <w:rsid w:val="00491D84"/>
    <w:rsid w:val="00491D94"/>
    <w:rsid w:val="00492096"/>
    <w:rsid w:val="00492108"/>
    <w:rsid w:val="004921E8"/>
    <w:rsid w:val="004926D2"/>
    <w:rsid w:val="00492714"/>
    <w:rsid w:val="0049278F"/>
    <w:rsid w:val="004927CF"/>
    <w:rsid w:val="004927D7"/>
    <w:rsid w:val="0049283B"/>
    <w:rsid w:val="00492954"/>
    <w:rsid w:val="00492979"/>
    <w:rsid w:val="004929FD"/>
    <w:rsid w:val="00492AAF"/>
    <w:rsid w:val="00492BA0"/>
    <w:rsid w:val="00492D66"/>
    <w:rsid w:val="00493414"/>
    <w:rsid w:val="004934C7"/>
    <w:rsid w:val="00493BCD"/>
    <w:rsid w:val="00493C54"/>
    <w:rsid w:val="00493D79"/>
    <w:rsid w:val="00493DA8"/>
    <w:rsid w:val="00493E0D"/>
    <w:rsid w:val="00493EB7"/>
    <w:rsid w:val="0049419C"/>
    <w:rsid w:val="00494371"/>
    <w:rsid w:val="00494397"/>
    <w:rsid w:val="004944F0"/>
    <w:rsid w:val="00494765"/>
    <w:rsid w:val="0049478A"/>
    <w:rsid w:val="00494795"/>
    <w:rsid w:val="004948DA"/>
    <w:rsid w:val="00494A7F"/>
    <w:rsid w:val="00494EB2"/>
    <w:rsid w:val="0049516A"/>
    <w:rsid w:val="00495235"/>
    <w:rsid w:val="00495275"/>
    <w:rsid w:val="004953E1"/>
    <w:rsid w:val="004954BF"/>
    <w:rsid w:val="00495542"/>
    <w:rsid w:val="004956EA"/>
    <w:rsid w:val="00495862"/>
    <w:rsid w:val="004958B3"/>
    <w:rsid w:val="00495A89"/>
    <w:rsid w:val="00495B6B"/>
    <w:rsid w:val="00495D00"/>
    <w:rsid w:val="00495F99"/>
    <w:rsid w:val="00495FF0"/>
    <w:rsid w:val="004960A1"/>
    <w:rsid w:val="0049614F"/>
    <w:rsid w:val="00496214"/>
    <w:rsid w:val="004962B1"/>
    <w:rsid w:val="004963BF"/>
    <w:rsid w:val="00496737"/>
    <w:rsid w:val="004967A2"/>
    <w:rsid w:val="0049688F"/>
    <w:rsid w:val="00496967"/>
    <w:rsid w:val="004969BD"/>
    <w:rsid w:val="00496BE1"/>
    <w:rsid w:val="00496C67"/>
    <w:rsid w:val="00496D22"/>
    <w:rsid w:val="00497211"/>
    <w:rsid w:val="00497499"/>
    <w:rsid w:val="004974CC"/>
    <w:rsid w:val="004975FF"/>
    <w:rsid w:val="00497626"/>
    <w:rsid w:val="004976AD"/>
    <w:rsid w:val="00497740"/>
    <w:rsid w:val="0049777C"/>
    <w:rsid w:val="004978B7"/>
    <w:rsid w:val="004A0000"/>
    <w:rsid w:val="004A007C"/>
    <w:rsid w:val="004A011D"/>
    <w:rsid w:val="004A0148"/>
    <w:rsid w:val="004A02AC"/>
    <w:rsid w:val="004A0348"/>
    <w:rsid w:val="004A0349"/>
    <w:rsid w:val="004A038D"/>
    <w:rsid w:val="004A0606"/>
    <w:rsid w:val="004A062B"/>
    <w:rsid w:val="004A065A"/>
    <w:rsid w:val="004A0707"/>
    <w:rsid w:val="004A0946"/>
    <w:rsid w:val="004A09AE"/>
    <w:rsid w:val="004A0A2E"/>
    <w:rsid w:val="004A0A7D"/>
    <w:rsid w:val="004A0BC9"/>
    <w:rsid w:val="004A0BE5"/>
    <w:rsid w:val="004A0D53"/>
    <w:rsid w:val="004A0D60"/>
    <w:rsid w:val="004A0DB5"/>
    <w:rsid w:val="004A0E5B"/>
    <w:rsid w:val="004A0E67"/>
    <w:rsid w:val="004A10BD"/>
    <w:rsid w:val="004A132B"/>
    <w:rsid w:val="004A158B"/>
    <w:rsid w:val="004A1686"/>
    <w:rsid w:val="004A1711"/>
    <w:rsid w:val="004A173B"/>
    <w:rsid w:val="004A17DF"/>
    <w:rsid w:val="004A181F"/>
    <w:rsid w:val="004A1821"/>
    <w:rsid w:val="004A1845"/>
    <w:rsid w:val="004A185C"/>
    <w:rsid w:val="004A19D6"/>
    <w:rsid w:val="004A1A62"/>
    <w:rsid w:val="004A1A71"/>
    <w:rsid w:val="004A1AC8"/>
    <w:rsid w:val="004A1D17"/>
    <w:rsid w:val="004A1DF4"/>
    <w:rsid w:val="004A1E1F"/>
    <w:rsid w:val="004A1E3E"/>
    <w:rsid w:val="004A1FE9"/>
    <w:rsid w:val="004A2088"/>
    <w:rsid w:val="004A2168"/>
    <w:rsid w:val="004A21A7"/>
    <w:rsid w:val="004A21F5"/>
    <w:rsid w:val="004A22FF"/>
    <w:rsid w:val="004A2327"/>
    <w:rsid w:val="004A2617"/>
    <w:rsid w:val="004A268D"/>
    <w:rsid w:val="004A2694"/>
    <w:rsid w:val="004A2698"/>
    <w:rsid w:val="004A2701"/>
    <w:rsid w:val="004A298B"/>
    <w:rsid w:val="004A2A46"/>
    <w:rsid w:val="004A2AD0"/>
    <w:rsid w:val="004A2DB6"/>
    <w:rsid w:val="004A3010"/>
    <w:rsid w:val="004A3084"/>
    <w:rsid w:val="004A32EF"/>
    <w:rsid w:val="004A3386"/>
    <w:rsid w:val="004A353A"/>
    <w:rsid w:val="004A364E"/>
    <w:rsid w:val="004A3670"/>
    <w:rsid w:val="004A3766"/>
    <w:rsid w:val="004A37BF"/>
    <w:rsid w:val="004A3801"/>
    <w:rsid w:val="004A3A21"/>
    <w:rsid w:val="004A3AF4"/>
    <w:rsid w:val="004A3B44"/>
    <w:rsid w:val="004A3BC5"/>
    <w:rsid w:val="004A3D38"/>
    <w:rsid w:val="004A3D93"/>
    <w:rsid w:val="004A3F59"/>
    <w:rsid w:val="004A4241"/>
    <w:rsid w:val="004A4293"/>
    <w:rsid w:val="004A42EE"/>
    <w:rsid w:val="004A444A"/>
    <w:rsid w:val="004A45E7"/>
    <w:rsid w:val="004A46AC"/>
    <w:rsid w:val="004A4812"/>
    <w:rsid w:val="004A4ACD"/>
    <w:rsid w:val="004A4B65"/>
    <w:rsid w:val="004A4D07"/>
    <w:rsid w:val="004A4FB4"/>
    <w:rsid w:val="004A5127"/>
    <w:rsid w:val="004A5437"/>
    <w:rsid w:val="004A543F"/>
    <w:rsid w:val="004A54A6"/>
    <w:rsid w:val="004A560E"/>
    <w:rsid w:val="004A56B0"/>
    <w:rsid w:val="004A5864"/>
    <w:rsid w:val="004A59AF"/>
    <w:rsid w:val="004A5A9F"/>
    <w:rsid w:val="004A5CEC"/>
    <w:rsid w:val="004A5E75"/>
    <w:rsid w:val="004A5FF4"/>
    <w:rsid w:val="004A64A6"/>
    <w:rsid w:val="004A68DF"/>
    <w:rsid w:val="004A6935"/>
    <w:rsid w:val="004A6B0A"/>
    <w:rsid w:val="004A6B4E"/>
    <w:rsid w:val="004A6EF8"/>
    <w:rsid w:val="004A6FC9"/>
    <w:rsid w:val="004A705F"/>
    <w:rsid w:val="004A721E"/>
    <w:rsid w:val="004A72B3"/>
    <w:rsid w:val="004A73B9"/>
    <w:rsid w:val="004A7474"/>
    <w:rsid w:val="004A76DB"/>
    <w:rsid w:val="004A77FB"/>
    <w:rsid w:val="004A7A90"/>
    <w:rsid w:val="004A7ACE"/>
    <w:rsid w:val="004A7AFB"/>
    <w:rsid w:val="004A7CF6"/>
    <w:rsid w:val="004A7D21"/>
    <w:rsid w:val="004A7E1B"/>
    <w:rsid w:val="004A7FD7"/>
    <w:rsid w:val="004B0053"/>
    <w:rsid w:val="004B0066"/>
    <w:rsid w:val="004B02A7"/>
    <w:rsid w:val="004B02AF"/>
    <w:rsid w:val="004B0379"/>
    <w:rsid w:val="004B0388"/>
    <w:rsid w:val="004B0455"/>
    <w:rsid w:val="004B04B9"/>
    <w:rsid w:val="004B04D6"/>
    <w:rsid w:val="004B05FB"/>
    <w:rsid w:val="004B05FF"/>
    <w:rsid w:val="004B074C"/>
    <w:rsid w:val="004B076E"/>
    <w:rsid w:val="004B079B"/>
    <w:rsid w:val="004B07B1"/>
    <w:rsid w:val="004B0822"/>
    <w:rsid w:val="004B091D"/>
    <w:rsid w:val="004B0928"/>
    <w:rsid w:val="004B09D4"/>
    <w:rsid w:val="004B0A3E"/>
    <w:rsid w:val="004B0BCD"/>
    <w:rsid w:val="004B0BCF"/>
    <w:rsid w:val="004B0D38"/>
    <w:rsid w:val="004B0F64"/>
    <w:rsid w:val="004B10AB"/>
    <w:rsid w:val="004B123A"/>
    <w:rsid w:val="004B12E9"/>
    <w:rsid w:val="004B13E4"/>
    <w:rsid w:val="004B1418"/>
    <w:rsid w:val="004B1527"/>
    <w:rsid w:val="004B1579"/>
    <w:rsid w:val="004B15BB"/>
    <w:rsid w:val="004B15EA"/>
    <w:rsid w:val="004B1767"/>
    <w:rsid w:val="004B180D"/>
    <w:rsid w:val="004B195D"/>
    <w:rsid w:val="004B1991"/>
    <w:rsid w:val="004B1D7A"/>
    <w:rsid w:val="004B1E1E"/>
    <w:rsid w:val="004B1ED6"/>
    <w:rsid w:val="004B1EEC"/>
    <w:rsid w:val="004B205B"/>
    <w:rsid w:val="004B233C"/>
    <w:rsid w:val="004B2567"/>
    <w:rsid w:val="004B2569"/>
    <w:rsid w:val="004B2600"/>
    <w:rsid w:val="004B288B"/>
    <w:rsid w:val="004B2986"/>
    <w:rsid w:val="004B29C1"/>
    <w:rsid w:val="004B2BB6"/>
    <w:rsid w:val="004B2C67"/>
    <w:rsid w:val="004B2EFC"/>
    <w:rsid w:val="004B2F38"/>
    <w:rsid w:val="004B3224"/>
    <w:rsid w:val="004B323F"/>
    <w:rsid w:val="004B3304"/>
    <w:rsid w:val="004B3329"/>
    <w:rsid w:val="004B34C7"/>
    <w:rsid w:val="004B3501"/>
    <w:rsid w:val="004B35A1"/>
    <w:rsid w:val="004B367F"/>
    <w:rsid w:val="004B3918"/>
    <w:rsid w:val="004B3939"/>
    <w:rsid w:val="004B39C0"/>
    <w:rsid w:val="004B3A64"/>
    <w:rsid w:val="004B3BEC"/>
    <w:rsid w:val="004B3C25"/>
    <w:rsid w:val="004B3E25"/>
    <w:rsid w:val="004B3E8E"/>
    <w:rsid w:val="004B3F4E"/>
    <w:rsid w:val="004B3F50"/>
    <w:rsid w:val="004B42A0"/>
    <w:rsid w:val="004B4418"/>
    <w:rsid w:val="004B44A4"/>
    <w:rsid w:val="004B4583"/>
    <w:rsid w:val="004B461C"/>
    <w:rsid w:val="004B4817"/>
    <w:rsid w:val="004B4A75"/>
    <w:rsid w:val="004B4A99"/>
    <w:rsid w:val="004B4BEF"/>
    <w:rsid w:val="004B4C13"/>
    <w:rsid w:val="004B4E03"/>
    <w:rsid w:val="004B4E1D"/>
    <w:rsid w:val="004B4F98"/>
    <w:rsid w:val="004B513F"/>
    <w:rsid w:val="004B5188"/>
    <w:rsid w:val="004B52A3"/>
    <w:rsid w:val="004B5396"/>
    <w:rsid w:val="004B539C"/>
    <w:rsid w:val="004B55A4"/>
    <w:rsid w:val="004B55D6"/>
    <w:rsid w:val="004B5625"/>
    <w:rsid w:val="004B57C8"/>
    <w:rsid w:val="004B57CB"/>
    <w:rsid w:val="004B5967"/>
    <w:rsid w:val="004B5B45"/>
    <w:rsid w:val="004B5CE5"/>
    <w:rsid w:val="004B5EC4"/>
    <w:rsid w:val="004B6121"/>
    <w:rsid w:val="004B6128"/>
    <w:rsid w:val="004B614E"/>
    <w:rsid w:val="004B628F"/>
    <w:rsid w:val="004B6389"/>
    <w:rsid w:val="004B6580"/>
    <w:rsid w:val="004B65BA"/>
    <w:rsid w:val="004B6753"/>
    <w:rsid w:val="004B67C3"/>
    <w:rsid w:val="004B6832"/>
    <w:rsid w:val="004B6AC0"/>
    <w:rsid w:val="004B6B4B"/>
    <w:rsid w:val="004B6D18"/>
    <w:rsid w:val="004B6EBF"/>
    <w:rsid w:val="004B714C"/>
    <w:rsid w:val="004B73EC"/>
    <w:rsid w:val="004B780E"/>
    <w:rsid w:val="004B78CD"/>
    <w:rsid w:val="004B7A9C"/>
    <w:rsid w:val="004B7B42"/>
    <w:rsid w:val="004B7E55"/>
    <w:rsid w:val="004B7FE4"/>
    <w:rsid w:val="004C003A"/>
    <w:rsid w:val="004C0123"/>
    <w:rsid w:val="004C013C"/>
    <w:rsid w:val="004C01A6"/>
    <w:rsid w:val="004C01C7"/>
    <w:rsid w:val="004C04A8"/>
    <w:rsid w:val="004C04AD"/>
    <w:rsid w:val="004C0676"/>
    <w:rsid w:val="004C0727"/>
    <w:rsid w:val="004C07C5"/>
    <w:rsid w:val="004C0B0D"/>
    <w:rsid w:val="004C0BBA"/>
    <w:rsid w:val="004C0C07"/>
    <w:rsid w:val="004C0C40"/>
    <w:rsid w:val="004C0D11"/>
    <w:rsid w:val="004C0ECD"/>
    <w:rsid w:val="004C1132"/>
    <w:rsid w:val="004C113B"/>
    <w:rsid w:val="004C120E"/>
    <w:rsid w:val="004C12B9"/>
    <w:rsid w:val="004C1394"/>
    <w:rsid w:val="004C145C"/>
    <w:rsid w:val="004C14A6"/>
    <w:rsid w:val="004C14E7"/>
    <w:rsid w:val="004C1601"/>
    <w:rsid w:val="004C1854"/>
    <w:rsid w:val="004C19A6"/>
    <w:rsid w:val="004C1A36"/>
    <w:rsid w:val="004C1A39"/>
    <w:rsid w:val="004C1A89"/>
    <w:rsid w:val="004C1AF7"/>
    <w:rsid w:val="004C1D89"/>
    <w:rsid w:val="004C1E18"/>
    <w:rsid w:val="004C2083"/>
    <w:rsid w:val="004C2107"/>
    <w:rsid w:val="004C2662"/>
    <w:rsid w:val="004C2665"/>
    <w:rsid w:val="004C26A3"/>
    <w:rsid w:val="004C275A"/>
    <w:rsid w:val="004C2858"/>
    <w:rsid w:val="004C2B24"/>
    <w:rsid w:val="004C2B6B"/>
    <w:rsid w:val="004C2C5A"/>
    <w:rsid w:val="004C2CA3"/>
    <w:rsid w:val="004C2D04"/>
    <w:rsid w:val="004C30B8"/>
    <w:rsid w:val="004C30C2"/>
    <w:rsid w:val="004C3118"/>
    <w:rsid w:val="004C3182"/>
    <w:rsid w:val="004C3211"/>
    <w:rsid w:val="004C32EA"/>
    <w:rsid w:val="004C339D"/>
    <w:rsid w:val="004C34A7"/>
    <w:rsid w:val="004C3621"/>
    <w:rsid w:val="004C370F"/>
    <w:rsid w:val="004C398B"/>
    <w:rsid w:val="004C39C9"/>
    <w:rsid w:val="004C3B30"/>
    <w:rsid w:val="004C3B44"/>
    <w:rsid w:val="004C3CFE"/>
    <w:rsid w:val="004C4002"/>
    <w:rsid w:val="004C41B9"/>
    <w:rsid w:val="004C4459"/>
    <w:rsid w:val="004C4576"/>
    <w:rsid w:val="004C45D8"/>
    <w:rsid w:val="004C466B"/>
    <w:rsid w:val="004C4675"/>
    <w:rsid w:val="004C4847"/>
    <w:rsid w:val="004C48AA"/>
    <w:rsid w:val="004C48B4"/>
    <w:rsid w:val="004C4ABE"/>
    <w:rsid w:val="004C4AE1"/>
    <w:rsid w:val="004C4AF5"/>
    <w:rsid w:val="004C4B2A"/>
    <w:rsid w:val="004C4B48"/>
    <w:rsid w:val="004C4B5C"/>
    <w:rsid w:val="004C4CDF"/>
    <w:rsid w:val="004C506E"/>
    <w:rsid w:val="004C51E0"/>
    <w:rsid w:val="004C5204"/>
    <w:rsid w:val="004C53BB"/>
    <w:rsid w:val="004C53C6"/>
    <w:rsid w:val="004C5773"/>
    <w:rsid w:val="004C5962"/>
    <w:rsid w:val="004C5ADA"/>
    <w:rsid w:val="004C5B5C"/>
    <w:rsid w:val="004C5D68"/>
    <w:rsid w:val="004C5F90"/>
    <w:rsid w:val="004C60CB"/>
    <w:rsid w:val="004C6357"/>
    <w:rsid w:val="004C636E"/>
    <w:rsid w:val="004C6372"/>
    <w:rsid w:val="004C6415"/>
    <w:rsid w:val="004C643B"/>
    <w:rsid w:val="004C651F"/>
    <w:rsid w:val="004C66C7"/>
    <w:rsid w:val="004C66D1"/>
    <w:rsid w:val="004C677C"/>
    <w:rsid w:val="004C68BF"/>
    <w:rsid w:val="004C690C"/>
    <w:rsid w:val="004C696F"/>
    <w:rsid w:val="004C69EA"/>
    <w:rsid w:val="004C6B6B"/>
    <w:rsid w:val="004C6C20"/>
    <w:rsid w:val="004C6CDB"/>
    <w:rsid w:val="004C6E57"/>
    <w:rsid w:val="004C7010"/>
    <w:rsid w:val="004C7064"/>
    <w:rsid w:val="004C711A"/>
    <w:rsid w:val="004C7271"/>
    <w:rsid w:val="004C72C2"/>
    <w:rsid w:val="004C72D5"/>
    <w:rsid w:val="004C7362"/>
    <w:rsid w:val="004C74C1"/>
    <w:rsid w:val="004C7602"/>
    <w:rsid w:val="004C77E4"/>
    <w:rsid w:val="004C7BE2"/>
    <w:rsid w:val="004C7C03"/>
    <w:rsid w:val="004C7C35"/>
    <w:rsid w:val="004C7DE4"/>
    <w:rsid w:val="004C7FA5"/>
    <w:rsid w:val="004D008F"/>
    <w:rsid w:val="004D029D"/>
    <w:rsid w:val="004D02FD"/>
    <w:rsid w:val="004D0401"/>
    <w:rsid w:val="004D0414"/>
    <w:rsid w:val="004D0458"/>
    <w:rsid w:val="004D0461"/>
    <w:rsid w:val="004D04E3"/>
    <w:rsid w:val="004D05D3"/>
    <w:rsid w:val="004D061A"/>
    <w:rsid w:val="004D08A7"/>
    <w:rsid w:val="004D0933"/>
    <w:rsid w:val="004D09F1"/>
    <w:rsid w:val="004D0AB2"/>
    <w:rsid w:val="004D0D94"/>
    <w:rsid w:val="004D0E51"/>
    <w:rsid w:val="004D0F1E"/>
    <w:rsid w:val="004D1060"/>
    <w:rsid w:val="004D10C2"/>
    <w:rsid w:val="004D118D"/>
    <w:rsid w:val="004D11C4"/>
    <w:rsid w:val="004D11EC"/>
    <w:rsid w:val="004D1204"/>
    <w:rsid w:val="004D13F5"/>
    <w:rsid w:val="004D148A"/>
    <w:rsid w:val="004D14B1"/>
    <w:rsid w:val="004D16A6"/>
    <w:rsid w:val="004D16BA"/>
    <w:rsid w:val="004D16FA"/>
    <w:rsid w:val="004D1898"/>
    <w:rsid w:val="004D1A3A"/>
    <w:rsid w:val="004D1A48"/>
    <w:rsid w:val="004D1B09"/>
    <w:rsid w:val="004D1B2D"/>
    <w:rsid w:val="004D1D1D"/>
    <w:rsid w:val="004D1D92"/>
    <w:rsid w:val="004D1DBF"/>
    <w:rsid w:val="004D1E6C"/>
    <w:rsid w:val="004D1EC2"/>
    <w:rsid w:val="004D1ED2"/>
    <w:rsid w:val="004D1F22"/>
    <w:rsid w:val="004D1F55"/>
    <w:rsid w:val="004D2047"/>
    <w:rsid w:val="004D216F"/>
    <w:rsid w:val="004D25F5"/>
    <w:rsid w:val="004D26EF"/>
    <w:rsid w:val="004D2705"/>
    <w:rsid w:val="004D2776"/>
    <w:rsid w:val="004D28B9"/>
    <w:rsid w:val="004D2A5D"/>
    <w:rsid w:val="004D2A98"/>
    <w:rsid w:val="004D2C3D"/>
    <w:rsid w:val="004D2C95"/>
    <w:rsid w:val="004D2CDC"/>
    <w:rsid w:val="004D2E81"/>
    <w:rsid w:val="004D2E8A"/>
    <w:rsid w:val="004D303A"/>
    <w:rsid w:val="004D3202"/>
    <w:rsid w:val="004D32CE"/>
    <w:rsid w:val="004D330A"/>
    <w:rsid w:val="004D343F"/>
    <w:rsid w:val="004D3557"/>
    <w:rsid w:val="004D35FD"/>
    <w:rsid w:val="004D3951"/>
    <w:rsid w:val="004D3AA6"/>
    <w:rsid w:val="004D3C03"/>
    <w:rsid w:val="004D3C29"/>
    <w:rsid w:val="004D3D9A"/>
    <w:rsid w:val="004D3DAD"/>
    <w:rsid w:val="004D3FED"/>
    <w:rsid w:val="004D4108"/>
    <w:rsid w:val="004D412F"/>
    <w:rsid w:val="004D41CF"/>
    <w:rsid w:val="004D445C"/>
    <w:rsid w:val="004D476C"/>
    <w:rsid w:val="004D478D"/>
    <w:rsid w:val="004D4973"/>
    <w:rsid w:val="004D4994"/>
    <w:rsid w:val="004D4B52"/>
    <w:rsid w:val="004D4CA7"/>
    <w:rsid w:val="004D4FFC"/>
    <w:rsid w:val="004D5013"/>
    <w:rsid w:val="004D5017"/>
    <w:rsid w:val="004D50D6"/>
    <w:rsid w:val="004D528B"/>
    <w:rsid w:val="004D52C8"/>
    <w:rsid w:val="004D5347"/>
    <w:rsid w:val="004D5464"/>
    <w:rsid w:val="004D54E5"/>
    <w:rsid w:val="004D5524"/>
    <w:rsid w:val="004D55B8"/>
    <w:rsid w:val="004D5644"/>
    <w:rsid w:val="004D5654"/>
    <w:rsid w:val="004D56F0"/>
    <w:rsid w:val="004D5827"/>
    <w:rsid w:val="004D58B7"/>
    <w:rsid w:val="004D59A8"/>
    <w:rsid w:val="004D5ABD"/>
    <w:rsid w:val="004D5C94"/>
    <w:rsid w:val="004D5CBA"/>
    <w:rsid w:val="004D5E37"/>
    <w:rsid w:val="004D5E81"/>
    <w:rsid w:val="004D606D"/>
    <w:rsid w:val="004D6256"/>
    <w:rsid w:val="004D635F"/>
    <w:rsid w:val="004D6AD9"/>
    <w:rsid w:val="004D6B90"/>
    <w:rsid w:val="004D6B91"/>
    <w:rsid w:val="004D6BD5"/>
    <w:rsid w:val="004D6C42"/>
    <w:rsid w:val="004D6C5B"/>
    <w:rsid w:val="004D70DB"/>
    <w:rsid w:val="004D7117"/>
    <w:rsid w:val="004D729A"/>
    <w:rsid w:val="004D745C"/>
    <w:rsid w:val="004D751E"/>
    <w:rsid w:val="004D7593"/>
    <w:rsid w:val="004D76F4"/>
    <w:rsid w:val="004D78C5"/>
    <w:rsid w:val="004D78D4"/>
    <w:rsid w:val="004D79AA"/>
    <w:rsid w:val="004D7C86"/>
    <w:rsid w:val="004D7D8D"/>
    <w:rsid w:val="004D7EAB"/>
    <w:rsid w:val="004E0053"/>
    <w:rsid w:val="004E008B"/>
    <w:rsid w:val="004E01D0"/>
    <w:rsid w:val="004E01D7"/>
    <w:rsid w:val="004E0489"/>
    <w:rsid w:val="004E07B2"/>
    <w:rsid w:val="004E088D"/>
    <w:rsid w:val="004E0985"/>
    <w:rsid w:val="004E09A4"/>
    <w:rsid w:val="004E09DD"/>
    <w:rsid w:val="004E0AEE"/>
    <w:rsid w:val="004E0BC9"/>
    <w:rsid w:val="004E0C28"/>
    <w:rsid w:val="004E0E82"/>
    <w:rsid w:val="004E0EA8"/>
    <w:rsid w:val="004E0FF5"/>
    <w:rsid w:val="004E1037"/>
    <w:rsid w:val="004E110E"/>
    <w:rsid w:val="004E14B5"/>
    <w:rsid w:val="004E1534"/>
    <w:rsid w:val="004E1692"/>
    <w:rsid w:val="004E1819"/>
    <w:rsid w:val="004E18C4"/>
    <w:rsid w:val="004E1930"/>
    <w:rsid w:val="004E19F6"/>
    <w:rsid w:val="004E1B88"/>
    <w:rsid w:val="004E1CEE"/>
    <w:rsid w:val="004E1FC1"/>
    <w:rsid w:val="004E227C"/>
    <w:rsid w:val="004E2339"/>
    <w:rsid w:val="004E28D7"/>
    <w:rsid w:val="004E29C9"/>
    <w:rsid w:val="004E29CD"/>
    <w:rsid w:val="004E2BC6"/>
    <w:rsid w:val="004E2F76"/>
    <w:rsid w:val="004E3027"/>
    <w:rsid w:val="004E32C3"/>
    <w:rsid w:val="004E34CF"/>
    <w:rsid w:val="004E3515"/>
    <w:rsid w:val="004E35CD"/>
    <w:rsid w:val="004E36EC"/>
    <w:rsid w:val="004E3776"/>
    <w:rsid w:val="004E3814"/>
    <w:rsid w:val="004E38C6"/>
    <w:rsid w:val="004E38FD"/>
    <w:rsid w:val="004E39FC"/>
    <w:rsid w:val="004E3B8D"/>
    <w:rsid w:val="004E3CE8"/>
    <w:rsid w:val="004E3D9C"/>
    <w:rsid w:val="004E3E1C"/>
    <w:rsid w:val="004E3F0B"/>
    <w:rsid w:val="004E3FCD"/>
    <w:rsid w:val="004E4193"/>
    <w:rsid w:val="004E4275"/>
    <w:rsid w:val="004E42A8"/>
    <w:rsid w:val="004E4479"/>
    <w:rsid w:val="004E448B"/>
    <w:rsid w:val="004E44D3"/>
    <w:rsid w:val="004E464C"/>
    <w:rsid w:val="004E46FE"/>
    <w:rsid w:val="004E4906"/>
    <w:rsid w:val="004E4A13"/>
    <w:rsid w:val="004E4C96"/>
    <w:rsid w:val="004E4DAC"/>
    <w:rsid w:val="004E4FB8"/>
    <w:rsid w:val="004E50B9"/>
    <w:rsid w:val="004E51B9"/>
    <w:rsid w:val="004E53EE"/>
    <w:rsid w:val="004E5464"/>
    <w:rsid w:val="004E56C4"/>
    <w:rsid w:val="004E57AB"/>
    <w:rsid w:val="004E58C5"/>
    <w:rsid w:val="004E58F5"/>
    <w:rsid w:val="004E5999"/>
    <w:rsid w:val="004E5B53"/>
    <w:rsid w:val="004E6030"/>
    <w:rsid w:val="004E61B6"/>
    <w:rsid w:val="004E61C6"/>
    <w:rsid w:val="004E62FC"/>
    <w:rsid w:val="004E6332"/>
    <w:rsid w:val="004E63AF"/>
    <w:rsid w:val="004E6577"/>
    <w:rsid w:val="004E65ED"/>
    <w:rsid w:val="004E6805"/>
    <w:rsid w:val="004E6870"/>
    <w:rsid w:val="004E68AF"/>
    <w:rsid w:val="004E6925"/>
    <w:rsid w:val="004E6A03"/>
    <w:rsid w:val="004E6B14"/>
    <w:rsid w:val="004E6B32"/>
    <w:rsid w:val="004E6D03"/>
    <w:rsid w:val="004E6DC2"/>
    <w:rsid w:val="004E6E4A"/>
    <w:rsid w:val="004E6F7B"/>
    <w:rsid w:val="004E7221"/>
    <w:rsid w:val="004E72A0"/>
    <w:rsid w:val="004E7434"/>
    <w:rsid w:val="004E7610"/>
    <w:rsid w:val="004E762A"/>
    <w:rsid w:val="004E76EB"/>
    <w:rsid w:val="004E7A40"/>
    <w:rsid w:val="004E7B61"/>
    <w:rsid w:val="004E7C8B"/>
    <w:rsid w:val="004E7ECE"/>
    <w:rsid w:val="004F0186"/>
    <w:rsid w:val="004F019E"/>
    <w:rsid w:val="004F01D9"/>
    <w:rsid w:val="004F03BA"/>
    <w:rsid w:val="004F043A"/>
    <w:rsid w:val="004F047F"/>
    <w:rsid w:val="004F05F3"/>
    <w:rsid w:val="004F0641"/>
    <w:rsid w:val="004F0752"/>
    <w:rsid w:val="004F07EB"/>
    <w:rsid w:val="004F0A75"/>
    <w:rsid w:val="004F0BB7"/>
    <w:rsid w:val="004F0BBF"/>
    <w:rsid w:val="004F0C54"/>
    <w:rsid w:val="004F0D51"/>
    <w:rsid w:val="004F0DB8"/>
    <w:rsid w:val="004F0DF6"/>
    <w:rsid w:val="004F0EB0"/>
    <w:rsid w:val="004F12B1"/>
    <w:rsid w:val="004F12EF"/>
    <w:rsid w:val="004F1370"/>
    <w:rsid w:val="004F17D3"/>
    <w:rsid w:val="004F1801"/>
    <w:rsid w:val="004F19A7"/>
    <w:rsid w:val="004F1AA9"/>
    <w:rsid w:val="004F1AAD"/>
    <w:rsid w:val="004F1B38"/>
    <w:rsid w:val="004F1B69"/>
    <w:rsid w:val="004F1C79"/>
    <w:rsid w:val="004F1C93"/>
    <w:rsid w:val="004F1D66"/>
    <w:rsid w:val="004F1E2D"/>
    <w:rsid w:val="004F1EBB"/>
    <w:rsid w:val="004F1F04"/>
    <w:rsid w:val="004F222B"/>
    <w:rsid w:val="004F2470"/>
    <w:rsid w:val="004F2667"/>
    <w:rsid w:val="004F26BB"/>
    <w:rsid w:val="004F29BF"/>
    <w:rsid w:val="004F2A46"/>
    <w:rsid w:val="004F2A48"/>
    <w:rsid w:val="004F2AE0"/>
    <w:rsid w:val="004F2B61"/>
    <w:rsid w:val="004F2C79"/>
    <w:rsid w:val="004F2EEA"/>
    <w:rsid w:val="004F2FF6"/>
    <w:rsid w:val="004F30F3"/>
    <w:rsid w:val="004F312B"/>
    <w:rsid w:val="004F32A0"/>
    <w:rsid w:val="004F33F6"/>
    <w:rsid w:val="004F34DC"/>
    <w:rsid w:val="004F352B"/>
    <w:rsid w:val="004F357F"/>
    <w:rsid w:val="004F375C"/>
    <w:rsid w:val="004F383E"/>
    <w:rsid w:val="004F38C8"/>
    <w:rsid w:val="004F3B3F"/>
    <w:rsid w:val="004F3C05"/>
    <w:rsid w:val="004F3D9E"/>
    <w:rsid w:val="004F3EE5"/>
    <w:rsid w:val="004F400A"/>
    <w:rsid w:val="004F40C5"/>
    <w:rsid w:val="004F4288"/>
    <w:rsid w:val="004F42B1"/>
    <w:rsid w:val="004F42CF"/>
    <w:rsid w:val="004F4426"/>
    <w:rsid w:val="004F457B"/>
    <w:rsid w:val="004F477E"/>
    <w:rsid w:val="004F4846"/>
    <w:rsid w:val="004F48C2"/>
    <w:rsid w:val="004F4917"/>
    <w:rsid w:val="004F4A87"/>
    <w:rsid w:val="004F4AC9"/>
    <w:rsid w:val="004F4B21"/>
    <w:rsid w:val="004F4B3F"/>
    <w:rsid w:val="004F4B8D"/>
    <w:rsid w:val="004F4BC2"/>
    <w:rsid w:val="004F4C23"/>
    <w:rsid w:val="004F4C82"/>
    <w:rsid w:val="004F4D13"/>
    <w:rsid w:val="004F4DAE"/>
    <w:rsid w:val="004F4F5B"/>
    <w:rsid w:val="004F4FC9"/>
    <w:rsid w:val="004F5063"/>
    <w:rsid w:val="004F5089"/>
    <w:rsid w:val="004F521A"/>
    <w:rsid w:val="004F52DC"/>
    <w:rsid w:val="004F542B"/>
    <w:rsid w:val="004F546C"/>
    <w:rsid w:val="004F5513"/>
    <w:rsid w:val="004F5557"/>
    <w:rsid w:val="004F5573"/>
    <w:rsid w:val="004F5B39"/>
    <w:rsid w:val="004F5BA1"/>
    <w:rsid w:val="004F5F43"/>
    <w:rsid w:val="004F5F4F"/>
    <w:rsid w:val="004F5F84"/>
    <w:rsid w:val="004F60B9"/>
    <w:rsid w:val="004F60BD"/>
    <w:rsid w:val="004F60FA"/>
    <w:rsid w:val="004F6109"/>
    <w:rsid w:val="004F610A"/>
    <w:rsid w:val="004F64BF"/>
    <w:rsid w:val="004F6548"/>
    <w:rsid w:val="004F66E4"/>
    <w:rsid w:val="004F6896"/>
    <w:rsid w:val="004F692A"/>
    <w:rsid w:val="004F6C41"/>
    <w:rsid w:val="004F6EE5"/>
    <w:rsid w:val="004F70B2"/>
    <w:rsid w:val="004F7146"/>
    <w:rsid w:val="004F71EE"/>
    <w:rsid w:val="004F72E0"/>
    <w:rsid w:val="004F73FA"/>
    <w:rsid w:val="004F7481"/>
    <w:rsid w:val="004F74AD"/>
    <w:rsid w:val="004F76BB"/>
    <w:rsid w:val="004F79D1"/>
    <w:rsid w:val="004F7B34"/>
    <w:rsid w:val="004F7B95"/>
    <w:rsid w:val="004F7BC2"/>
    <w:rsid w:val="004F7C06"/>
    <w:rsid w:val="004F7CC6"/>
    <w:rsid w:val="004F7E38"/>
    <w:rsid w:val="004F7FCF"/>
    <w:rsid w:val="005001C0"/>
    <w:rsid w:val="005002C2"/>
    <w:rsid w:val="005003A8"/>
    <w:rsid w:val="00500472"/>
    <w:rsid w:val="005004F2"/>
    <w:rsid w:val="005004FE"/>
    <w:rsid w:val="005006AF"/>
    <w:rsid w:val="005006C1"/>
    <w:rsid w:val="0050076D"/>
    <w:rsid w:val="005008C9"/>
    <w:rsid w:val="005009F7"/>
    <w:rsid w:val="00500A37"/>
    <w:rsid w:val="00500AA6"/>
    <w:rsid w:val="00500C05"/>
    <w:rsid w:val="00500D4B"/>
    <w:rsid w:val="00500DCA"/>
    <w:rsid w:val="00500E94"/>
    <w:rsid w:val="00500FCF"/>
    <w:rsid w:val="0050101E"/>
    <w:rsid w:val="005010F2"/>
    <w:rsid w:val="005010F7"/>
    <w:rsid w:val="00501125"/>
    <w:rsid w:val="0050147D"/>
    <w:rsid w:val="00501490"/>
    <w:rsid w:val="005015B0"/>
    <w:rsid w:val="005016C9"/>
    <w:rsid w:val="005018C3"/>
    <w:rsid w:val="005018F6"/>
    <w:rsid w:val="00501F02"/>
    <w:rsid w:val="00501F09"/>
    <w:rsid w:val="00501F1B"/>
    <w:rsid w:val="00501F44"/>
    <w:rsid w:val="00502094"/>
    <w:rsid w:val="005020FE"/>
    <w:rsid w:val="005021A5"/>
    <w:rsid w:val="005021F4"/>
    <w:rsid w:val="0050224E"/>
    <w:rsid w:val="00502497"/>
    <w:rsid w:val="005024D5"/>
    <w:rsid w:val="005025A1"/>
    <w:rsid w:val="005025DB"/>
    <w:rsid w:val="005026D7"/>
    <w:rsid w:val="005028BF"/>
    <w:rsid w:val="005028C2"/>
    <w:rsid w:val="005029FF"/>
    <w:rsid w:val="00502B14"/>
    <w:rsid w:val="00502B70"/>
    <w:rsid w:val="00502DD2"/>
    <w:rsid w:val="00502E74"/>
    <w:rsid w:val="00502E86"/>
    <w:rsid w:val="00502E96"/>
    <w:rsid w:val="00503144"/>
    <w:rsid w:val="00503208"/>
    <w:rsid w:val="00503246"/>
    <w:rsid w:val="00503388"/>
    <w:rsid w:val="0050350D"/>
    <w:rsid w:val="005037F5"/>
    <w:rsid w:val="005038C9"/>
    <w:rsid w:val="00503A5B"/>
    <w:rsid w:val="00503BAA"/>
    <w:rsid w:val="00503C4A"/>
    <w:rsid w:val="00503D7E"/>
    <w:rsid w:val="00503F17"/>
    <w:rsid w:val="00504027"/>
    <w:rsid w:val="0050410B"/>
    <w:rsid w:val="00504219"/>
    <w:rsid w:val="00504455"/>
    <w:rsid w:val="0050448E"/>
    <w:rsid w:val="005045F4"/>
    <w:rsid w:val="0050469B"/>
    <w:rsid w:val="0050477E"/>
    <w:rsid w:val="00504800"/>
    <w:rsid w:val="00504858"/>
    <w:rsid w:val="0050489F"/>
    <w:rsid w:val="005048DD"/>
    <w:rsid w:val="005049CC"/>
    <w:rsid w:val="00504A35"/>
    <w:rsid w:val="00504A74"/>
    <w:rsid w:val="00504AED"/>
    <w:rsid w:val="00504B1D"/>
    <w:rsid w:val="00504BD0"/>
    <w:rsid w:val="00504CE3"/>
    <w:rsid w:val="00504D46"/>
    <w:rsid w:val="00504E61"/>
    <w:rsid w:val="00504EEF"/>
    <w:rsid w:val="00504FE2"/>
    <w:rsid w:val="005050E0"/>
    <w:rsid w:val="0050514A"/>
    <w:rsid w:val="0050526B"/>
    <w:rsid w:val="0050526E"/>
    <w:rsid w:val="00505318"/>
    <w:rsid w:val="00505323"/>
    <w:rsid w:val="005053E7"/>
    <w:rsid w:val="0050543E"/>
    <w:rsid w:val="00505613"/>
    <w:rsid w:val="0050569D"/>
    <w:rsid w:val="00505A49"/>
    <w:rsid w:val="00505D51"/>
    <w:rsid w:val="00505F53"/>
    <w:rsid w:val="00506016"/>
    <w:rsid w:val="005060EE"/>
    <w:rsid w:val="0050613E"/>
    <w:rsid w:val="0050619B"/>
    <w:rsid w:val="005061AC"/>
    <w:rsid w:val="00506212"/>
    <w:rsid w:val="00506328"/>
    <w:rsid w:val="0050633A"/>
    <w:rsid w:val="005063A0"/>
    <w:rsid w:val="005065EC"/>
    <w:rsid w:val="005066AB"/>
    <w:rsid w:val="005067DF"/>
    <w:rsid w:val="00506833"/>
    <w:rsid w:val="00506879"/>
    <w:rsid w:val="00506C03"/>
    <w:rsid w:val="00506D04"/>
    <w:rsid w:val="00506D26"/>
    <w:rsid w:val="00506E08"/>
    <w:rsid w:val="00506E58"/>
    <w:rsid w:val="00506F35"/>
    <w:rsid w:val="00506F37"/>
    <w:rsid w:val="00506F7A"/>
    <w:rsid w:val="00507209"/>
    <w:rsid w:val="0050748B"/>
    <w:rsid w:val="005074A5"/>
    <w:rsid w:val="00507699"/>
    <w:rsid w:val="005077E4"/>
    <w:rsid w:val="005077EF"/>
    <w:rsid w:val="00507877"/>
    <w:rsid w:val="0050792C"/>
    <w:rsid w:val="0050795F"/>
    <w:rsid w:val="00507976"/>
    <w:rsid w:val="005079C0"/>
    <w:rsid w:val="00507A5A"/>
    <w:rsid w:val="00507A67"/>
    <w:rsid w:val="00507A98"/>
    <w:rsid w:val="00507B74"/>
    <w:rsid w:val="00507CF4"/>
    <w:rsid w:val="00507D1A"/>
    <w:rsid w:val="00507D44"/>
    <w:rsid w:val="00507D60"/>
    <w:rsid w:val="00507DAC"/>
    <w:rsid w:val="00507F2B"/>
    <w:rsid w:val="0051006C"/>
    <w:rsid w:val="005101AE"/>
    <w:rsid w:val="005101C0"/>
    <w:rsid w:val="0051024C"/>
    <w:rsid w:val="00510792"/>
    <w:rsid w:val="005107F6"/>
    <w:rsid w:val="005109BA"/>
    <w:rsid w:val="00510C3F"/>
    <w:rsid w:val="00510D63"/>
    <w:rsid w:val="00510E7A"/>
    <w:rsid w:val="00510E83"/>
    <w:rsid w:val="00510EB8"/>
    <w:rsid w:val="00511286"/>
    <w:rsid w:val="005114DF"/>
    <w:rsid w:val="005115C1"/>
    <w:rsid w:val="005117E1"/>
    <w:rsid w:val="0051181A"/>
    <w:rsid w:val="00511BCE"/>
    <w:rsid w:val="00511C06"/>
    <w:rsid w:val="00511C58"/>
    <w:rsid w:val="00511DC1"/>
    <w:rsid w:val="00511E31"/>
    <w:rsid w:val="00511EA4"/>
    <w:rsid w:val="00511ED8"/>
    <w:rsid w:val="005120C7"/>
    <w:rsid w:val="005120F9"/>
    <w:rsid w:val="0051229F"/>
    <w:rsid w:val="0051238B"/>
    <w:rsid w:val="0051246C"/>
    <w:rsid w:val="00512524"/>
    <w:rsid w:val="00512719"/>
    <w:rsid w:val="005127A6"/>
    <w:rsid w:val="00512980"/>
    <w:rsid w:val="00512B19"/>
    <w:rsid w:val="00512C1B"/>
    <w:rsid w:val="00512DD0"/>
    <w:rsid w:val="00512E55"/>
    <w:rsid w:val="00512E59"/>
    <w:rsid w:val="00512ECC"/>
    <w:rsid w:val="00512EDA"/>
    <w:rsid w:val="00513112"/>
    <w:rsid w:val="0051312D"/>
    <w:rsid w:val="00513160"/>
    <w:rsid w:val="00513220"/>
    <w:rsid w:val="00513254"/>
    <w:rsid w:val="005132E3"/>
    <w:rsid w:val="005132E9"/>
    <w:rsid w:val="0051344E"/>
    <w:rsid w:val="0051347F"/>
    <w:rsid w:val="005134EC"/>
    <w:rsid w:val="0051351B"/>
    <w:rsid w:val="005136D0"/>
    <w:rsid w:val="005136D8"/>
    <w:rsid w:val="00513748"/>
    <w:rsid w:val="005137A0"/>
    <w:rsid w:val="00513886"/>
    <w:rsid w:val="00513990"/>
    <w:rsid w:val="005139DD"/>
    <w:rsid w:val="005139FC"/>
    <w:rsid w:val="00513A80"/>
    <w:rsid w:val="00513B4A"/>
    <w:rsid w:val="00513B54"/>
    <w:rsid w:val="00513B95"/>
    <w:rsid w:val="00513E5B"/>
    <w:rsid w:val="00514110"/>
    <w:rsid w:val="00514194"/>
    <w:rsid w:val="0051421F"/>
    <w:rsid w:val="005142A1"/>
    <w:rsid w:val="005142CB"/>
    <w:rsid w:val="0051433C"/>
    <w:rsid w:val="00514342"/>
    <w:rsid w:val="005143A4"/>
    <w:rsid w:val="00514456"/>
    <w:rsid w:val="00514553"/>
    <w:rsid w:val="0051467F"/>
    <w:rsid w:val="0051475E"/>
    <w:rsid w:val="005147A9"/>
    <w:rsid w:val="005149E6"/>
    <w:rsid w:val="00514A24"/>
    <w:rsid w:val="00514AA8"/>
    <w:rsid w:val="00514AC9"/>
    <w:rsid w:val="00514ACC"/>
    <w:rsid w:val="00514B4B"/>
    <w:rsid w:val="00514BF0"/>
    <w:rsid w:val="00514D68"/>
    <w:rsid w:val="00514F49"/>
    <w:rsid w:val="0051502F"/>
    <w:rsid w:val="00515107"/>
    <w:rsid w:val="005151B4"/>
    <w:rsid w:val="00515206"/>
    <w:rsid w:val="0051559A"/>
    <w:rsid w:val="005156AC"/>
    <w:rsid w:val="00515835"/>
    <w:rsid w:val="00515D7D"/>
    <w:rsid w:val="00515DDA"/>
    <w:rsid w:val="00515EC9"/>
    <w:rsid w:val="00515F12"/>
    <w:rsid w:val="0051606E"/>
    <w:rsid w:val="005161B5"/>
    <w:rsid w:val="005161DA"/>
    <w:rsid w:val="0051638D"/>
    <w:rsid w:val="005163D7"/>
    <w:rsid w:val="0051645E"/>
    <w:rsid w:val="0051663D"/>
    <w:rsid w:val="005166F4"/>
    <w:rsid w:val="0051672A"/>
    <w:rsid w:val="00516843"/>
    <w:rsid w:val="00516893"/>
    <w:rsid w:val="0051689C"/>
    <w:rsid w:val="00516A8A"/>
    <w:rsid w:val="00516B71"/>
    <w:rsid w:val="00516D65"/>
    <w:rsid w:val="00516F6B"/>
    <w:rsid w:val="00516FEB"/>
    <w:rsid w:val="00517157"/>
    <w:rsid w:val="005171A3"/>
    <w:rsid w:val="0051721C"/>
    <w:rsid w:val="00517240"/>
    <w:rsid w:val="005172F0"/>
    <w:rsid w:val="005174BF"/>
    <w:rsid w:val="00517503"/>
    <w:rsid w:val="00517560"/>
    <w:rsid w:val="00517693"/>
    <w:rsid w:val="005176B4"/>
    <w:rsid w:val="005178D2"/>
    <w:rsid w:val="005178DF"/>
    <w:rsid w:val="00517938"/>
    <w:rsid w:val="0051796D"/>
    <w:rsid w:val="00517A05"/>
    <w:rsid w:val="00517AA1"/>
    <w:rsid w:val="00517B5F"/>
    <w:rsid w:val="00517BCC"/>
    <w:rsid w:val="00517CD8"/>
    <w:rsid w:val="00517D73"/>
    <w:rsid w:val="00517DD3"/>
    <w:rsid w:val="00517E4E"/>
    <w:rsid w:val="00517E69"/>
    <w:rsid w:val="00517E82"/>
    <w:rsid w:val="00517E8F"/>
    <w:rsid w:val="00520036"/>
    <w:rsid w:val="00520049"/>
    <w:rsid w:val="00520280"/>
    <w:rsid w:val="005202C8"/>
    <w:rsid w:val="0052031A"/>
    <w:rsid w:val="005203A9"/>
    <w:rsid w:val="005203C3"/>
    <w:rsid w:val="00520477"/>
    <w:rsid w:val="00520496"/>
    <w:rsid w:val="005205B3"/>
    <w:rsid w:val="00520A5A"/>
    <w:rsid w:val="00520AEC"/>
    <w:rsid w:val="00520AFE"/>
    <w:rsid w:val="00520EBC"/>
    <w:rsid w:val="00520FBB"/>
    <w:rsid w:val="00521038"/>
    <w:rsid w:val="00521108"/>
    <w:rsid w:val="0052116B"/>
    <w:rsid w:val="005214B3"/>
    <w:rsid w:val="005214D1"/>
    <w:rsid w:val="00521600"/>
    <w:rsid w:val="0052173A"/>
    <w:rsid w:val="00521802"/>
    <w:rsid w:val="005218C6"/>
    <w:rsid w:val="005219D1"/>
    <w:rsid w:val="00521A66"/>
    <w:rsid w:val="00521BC2"/>
    <w:rsid w:val="00521D67"/>
    <w:rsid w:val="00521DAC"/>
    <w:rsid w:val="00521E0B"/>
    <w:rsid w:val="00521E71"/>
    <w:rsid w:val="00521F2A"/>
    <w:rsid w:val="00522058"/>
    <w:rsid w:val="00522275"/>
    <w:rsid w:val="005222AC"/>
    <w:rsid w:val="00522535"/>
    <w:rsid w:val="005225FB"/>
    <w:rsid w:val="00522725"/>
    <w:rsid w:val="00522773"/>
    <w:rsid w:val="005227C2"/>
    <w:rsid w:val="00522855"/>
    <w:rsid w:val="00522B57"/>
    <w:rsid w:val="00522C29"/>
    <w:rsid w:val="00522C2E"/>
    <w:rsid w:val="00522E7A"/>
    <w:rsid w:val="00522EFA"/>
    <w:rsid w:val="005231A3"/>
    <w:rsid w:val="005237B3"/>
    <w:rsid w:val="0052392F"/>
    <w:rsid w:val="0052397E"/>
    <w:rsid w:val="005239E0"/>
    <w:rsid w:val="00523A65"/>
    <w:rsid w:val="00523C0B"/>
    <w:rsid w:val="00523D5D"/>
    <w:rsid w:val="005241FF"/>
    <w:rsid w:val="005242EC"/>
    <w:rsid w:val="0052440E"/>
    <w:rsid w:val="00524452"/>
    <w:rsid w:val="005244B6"/>
    <w:rsid w:val="005245E3"/>
    <w:rsid w:val="00524637"/>
    <w:rsid w:val="00524764"/>
    <w:rsid w:val="005248FD"/>
    <w:rsid w:val="00524C06"/>
    <w:rsid w:val="00524DFC"/>
    <w:rsid w:val="00524EB6"/>
    <w:rsid w:val="00524FA9"/>
    <w:rsid w:val="00524FE8"/>
    <w:rsid w:val="00525025"/>
    <w:rsid w:val="0052503C"/>
    <w:rsid w:val="005250E9"/>
    <w:rsid w:val="005251B2"/>
    <w:rsid w:val="0052524B"/>
    <w:rsid w:val="0052525E"/>
    <w:rsid w:val="0052537A"/>
    <w:rsid w:val="00525427"/>
    <w:rsid w:val="00525851"/>
    <w:rsid w:val="005258C6"/>
    <w:rsid w:val="005259CB"/>
    <w:rsid w:val="00525A48"/>
    <w:rsid w:val="00525C51"/>
    <w:rsid w:val="00525F23"/>
    <w:rsid w:val="0052620C"/>
    <w:rsid w:val="0052627D"/>
    <w:rsid w:val="005271AC"/>
    <w:rsid w:val="00527213"/>
    <w:rsid w:val="00527258"/>
    <w:rsid w:val="005272FB"/>
    <w:rsid w:val="0052751D"/>
    <w:rsid w:val="005276B9"/>
    <w:rsid w:val="00527785"/>
    <w:rsid w:val="005277EA"/>
    <w:rsid w:val="005278D0"/>
    <w:rsid w:val="00527B19"/>
    <w:rsid w:val="00527B50"/>
    <w:rsid w:val="00527B62"/>
    <w:rsid w:val="00527FA8"/>
    <w:rsid w:val="005300B8"/>
    <w:rsid w:val="005300E2"/>
    <w:rsid w:val="005301EB"/>
    <w:rsid w:val="005302EA"/>
    <w:rsid w:val="005302F1"/>
    <w:rsid w:val="005305F4"/>
    <w:rsid w:val="00530604"/>
    <w:rsid w:val="00530714"/>
    <w:rsid w:val="00530725"/>
    <w:rsid w:val="00530790"/>
    <w:rsid w:val="00530803"/>
    <w:rsid w:val="005308E2"/>
    <w:rsid w:val="00530AC3"/>
    <w:rsid w:val="00530B81"/>
    <w:rsid w:val="00530CB3"/>
    <w:rsid w:val="00530D2B"/>
    <w:rsid w:val="00530DAA"/>
    <w:rsid w:val="00530FA9"/>
    <w:rsid w:val="005310B9"/>
    <w:rsid w:val="00531238"/>
    <w:rsid w:val="0053133C"/>
    <w:rsid w:val="0053159B"/>
    <w:rsid w:val="00531764"/>
    <w:rsid w:val="00531853"/>
    <w:rsid w:val="005318AC"/>
    <w:rsid w:val="00531948"/>
    <w:rsid w:val="00531B18"/>
    <w:rsid w:val="00531C9B"/>
    <w:rsid w:val="00531D99"/>
    <w:rsid w:val="00531E4E"/>
    <w:rsid w:val="00531E9E"/>
    <w:rsid w:val="00531F86"/>
    <w:rsid w:val="00531FE6"/>
    <w:rsid w:val="00532333"/>
    <w:rsid w:val="0053252C"/>
    <w:rsid w:val="005325C2"/>
    <w:rsid w:val="00532624"/>
    <w:rsid w:val="00532627"/>
    <w:rsid w:val="005326B4"/>
    <w:rsid w:val="0053274F"/>
    <w:rsid w:val="00532760"/>
    <w:rsid w:val="0053276B"/>
    <w:rsid w:val="0053276C"/>
    <w:rsid w:val="005327C2"/>
    <w:rsid w:val="005327EE"/>
    <w:rsid w:val="00532854"/>
    <w:rsid w:val="00532863"/>
    <w:rsid w:val="005328AE"/>
    <w:rsid w:val="005328B1"/>
    <w:rsid w:val="00532A3A"/>
    <w:rsid w:val="00532AB1"/>
    <w:rsid w:val="00532F5E"/>
    <w:rsid w:val="0053300C"/>
    <w:rsid w:val="0053302E"/>
    <w:rsid w:val="00533261"/>
    <w:rsid w:val="00533361"/>
    <w:rsid w:val="00533428"/>
    <w:rsid w:val="00533645"/>
    <w:rsid w:val="005336DC"/>
    <w:rsid w:val="00533ACB"/>
    <w:rsid w:val="00533B50"/>
    <w:rsid w:val="00533C69"/>
    <w:rsid w:val="00533D03"/>
    <w:rsid w:val="00533D79"/>
    <w:rsid w:val="00533E5F"/>
    <w:rsid w:val="005340F1"/>
    <w:rsid w:val="0053431D"/>
    <w:rsid w:val="0053463C"/>
    <w:rsid w:val="0053473C"/>
    <w:rsid w:val="0053482E"/>
    <w:rsid w:val="00534B17"/>
    <w:rsid w:val="00534C9F"/>
    <w:rsid w:val="00534CCA"/>
    <w:rsid w:val="00534E26"/>
    <w:rsid w:val="00534F81"/>
    <w:rsid w:val="00534FC6"/>
    <w:rsid w:val="00534FF7"/>
    <w:rsid w:val="005355A0"/>
    <w:rsid w:val="00535906"/>
    <w:rsid w:val="0053591D"/>
    <w:rsid w:val="005359AE"/>
    <w:rsid w:val="00535ABD"/>
    <w:rsid w:val="00535BC9"/>
    <w:rsid w:val="00535FBF"/>
    <w:rsid w:val="0053616C"/>
    <w:rsid w:val="00536216"/>
    <w:rsid w:val="0053622D"/>
    <w:rsid w:val="0053631A"/>
    <w:rsid w:val="00536493"/>
    <w:rsid w:val="0053654B"/>
    <w:rsid w:val="005365DE"/>
    <w:rsid w:val="005367D1"/>
    <w:rsid w:val="0053694E"/>
    <w:rsid w:val="00536C50"/>
    <w:rsid w:val="0053707D"/>
    <w:rsid w:val="0053717E"/>
    <w:rsid w:val="005372CB"/>
    <w:rsid w:val="0053730F"/>
    <w:rsid w:val="00537557"/>
    <w:rsid w:val="005375A2"/>
    <w:rsid w:val="00537672"/>
    <w:rsid w:val="0053769F"/>
    <w:rsid w:val="005376A4"/>
    <w:rsid w:val="005376F4"/>
    <w:rsid w:val="00537794"/>
    <w:rsid w:val="00537A7D"/>
    <w:rsid w:val="00537AE9"/>
    <w:rsid w:val="00537C8B"/>
    <w:rsid w:val="00540092"/>
    <w:rsid w:val="005400CA"/>
    <w:rsid w:val="005402C8"/>
    <w:rsid w:val="005402F1"/>
    <w:rsid w:val="0054033A"/>
    <w:rsid w:val="00540424"/>
    <w:rsid w:val="00540442"/>
    <w:rsid w:val="0054058F"/>
    <w:rsid w:val="00540660"/>
    <w:rsid w:val="005408E5"/>
    <w:rsid w:val="005409AD"/>
    <w:rsid w:val="005409D7"/>
    <w:rsid w:val="00540B82"/>
    <w:rsid w:val="00540C99"/>
    <w:rsid w:val="00540FCA"/>
    <w:rsid w:val="0054121A"/>
    <w:rsid w:val="00541343"/>
    <w:rsid w:val="0054151B"/>
    <w:rsid w:val="0054168E"/>
    <w:rsid w:val="005417F9"/>
    <w:rsid w:val="0054194A"/>
    <w:rsid w:val="00541B08"/>
    <w:rsid w:val="00541B7E"/>
    <w:rsid w:val="00541BA7"/>
    <w:rsid w:val="00541BB4"/>
    <w:rsid w:val="00541D9E"/>
    <w:rsid w:val="00541DDE"/>
    <w:rsid w:val="00541E5E"/>
    <w:rsid w:val="00541EB7"/>
    <w:rsid w:val="00541F8E"/>
    <w:rsid w:val="0054201B"/>
    <w:rsid w:val="00542107"/>
    <w:rsid w:val="005423CE"/>
    <w:rsid w:val="00542596"/>
    <w:rsid w:val="00542603"/>
    <w:rsid w:val="00542663"/>
    <w:rsid w:val="0054298C"/>
    <w:rsid w:val="00542A1E"/>
    <w:rsid w:val="00542ACA"/>
    <w:rsid w:val="00542DE0"/>
    <w:rsid w:val="00542E15"/>
    <w:rsid w:val="00542F86"/>
    <w:rsid w:val="00542FF5"/>
    <w:rsid w:val="0054301B"/>
    <w:rsid w:val="0054310D"/>
    <w:rsid w:val="00543144"/>
    <w:rsid w:val="00543198"/>
    <w:rsid w:val="005431F3"/>
    <w:rsid w:val="00543699"/>
    <w:rsid w:val="00543737"/>
    <w:rsid w:val="00543761"/>
    <w:rsid w:val="005437E6"/>
    <w:rsid w:val="00543A5B"/>
    <w:rsid w:val="00543C26"/>
    <w:rsid w:val="00543DA7"/>
    <w:rsid w:val="00543DDA"/>
    <w:rsid w:val="00543EF3"/>
    <w:rsid w:val="00543F8B"/>
    <w:rsid w:val="00543FE3"/>
    <w:rsid w:val="00544001"/>
    <w:rsid w:val="00544008"/>
    <w:rsid w:val="00544080"/>
    <w:rsid w:val="00544226"/>
    <w:rsid w:val="0054425A"/>
    <w:rsid w:val="00544430"/>
    <w:rsid w:val="005446C9"/>
    <w:rsid w:val="00544727"/>
    <w:rsid w:val="0054487C"/>
    <w:rsid w:val="00544927"/>
    <w:rsid w:val="0054495A"/>
    <w:rsid w:val="00544A82"/>
    <w:rsid w:val="00544B65"/>
    <w:rsid w:val="00544BC3"/>
    <w:rsid w:val="00544BDC"/>
    <w:rsid w:val="00544BEA"/>
    <w:rsid w:val="00544E36"/>
    <w:rsid w:val="00544EDE"/>
    <w:rsid w:val="005450FF"/>
    <w:rsid w:val="00545122"/>
    <w:rsid w:val="005451BD"/>
    <w:rsid w:val="005451E1"/>
    <w:rsid w:val="00545273"/>
    <w:rsid w:val="00545471"/>
    <w:rsid w:val="0054556F"/>
    <w:rsid w:val="005455E6"/>
    <w:rsid w:val="00545666"/>
    <w:rsid w:val="005456CE"/>
    <w:rsid w:val="0054581D"/>
    <w:rsid w:val="00545878"/>
    <w:rsid w:val="005458F2"/>
    <w:rsid w:val="005459BC"/>
    <w:rsid w:val="00545AAA"/>
    <w:rsid w:val="00545D3E"/>
    <w:rsid w:val="00545E05"/>
    <w:rsid w:val="00545FAB"/>
    <w:rsid w:val="00545FF7"/>
    <w:rsid w:val="00546067"/>
    <w:rsid w:val="0054618D"/>
    <w:rsid w:val="005462E5"/>
    <w:rsid w:val="0054638B"/>
    <w:rsid w:val="00546391"/>
    <w:rsid w:val="0054643F"/>
    <w:rsid w:val="00546494"/>
    <w:rsid w:val="005464C0"/>
    <w:rsid w:val="00546537"/>
    <w:rsid w:val="005467C6"/>
    <w:rsid w:val="00546821"/>
    <w:rsid w:val="00546906"/>
    <w:rsid w:val="0054696B"/>
    <w:rsid w:val="00546A62"/>
    <w:rsid w:val="00546D14"/>
    <w:rsid w:val="00546DF1"/>
    <w:rsid w:val="00546E9E"/>
    <w:rsid w:val="00546ED3"/>
    <w:rsid w:val="00547040"/>
    <w:rsid w:val="00547296"/>
    <w:rsid w:val="005474F6"/>
    <w:rsid w:val="005475BD"/>
    <w:rsid w:val="00547764"/>
    <w:rsid w:val="005477BF"/>
    <w:rsid w:val="005477E4"/>
    <w:rsid w:val="00547817"/>
    <w:rsid w:val="00547905"/>
    <w:rsid w:val="005479A3"/>
    <w:rsid w:val="00547B03"/>
    <w:rsid w:val="00547C77"/>
    <w:rsid w:val="00547CA4"/>
    <w:rsid w:val="00547E6F"/>
    <w:rsid w:val="0055001D"/>
    <w:rsid w:val="005500FF"/>
    <w:rsid w:val="0055011F"/>
    <w:rsid w:val="00550219"/>
    <w:rsid w:val="005502D8"/>
    <w:rsid w:val="0055036A"/>
    <w:rsid w:val="005504C2"/>
    <w:rsid w:val="005505F6"/>
    <w:rsid w:val="005506BF"/>
    <w:rsid w:val="00550713"/>
    <w:rsid w:val="00550762"/>
    <w:rsid w:val="00550903"/>
    <w:rsid w:val="00550B2D"/>
    <w:rsid w:val="00550B8C"/>
    <w:rsid w:val="00550C19"/>
    <w:rsid w:val="00550C67"/>
    <w:rsid w:val="00550DD0"/>
    <w:rsid w:val="00550E9B"/>
    <w:rsid w:val="00550EFB"/>
    <w:rsid w:val="00551133"/>
    <w:rsid w:val="00551423"/>
    <w:rsid w:val="005515D3"/>
    <w:rsid w:val="005516D2"/>
    <w:rsid w:val="005516FE"/>
    <w:rsid w:val="0055196E"/>
    <w:rsid w:val="00551979"/>
    <w:rsid w:val="00551F18"/>
    <w:rsid w:val="00551FD5"/>
    <w:rsid w:val="00551FE4"/>
    <w:rsid w:val="00552075"/>
    <w:rsid w:val="00552283"/>
    <w:rsid w:val="0055238B"/>
    <w:rsid w:val="0055244E"/>
    <w:rsid w:val="0055248B"/>
    <w:rsid w:val="0055261E"/>
    <w:rsid w:val="00552708"/>
    <w:rsid w:val="005528D1"/>
    <w:rsid w:val="00552B3D"/>
    <w:rsid w:val="00552B5B"/>
    <w:rsid w:val="00552C13"/>
    <w:rsid w:val="00552CD6"/>
    <w:rsid w:val="00552DE0"/>
    <w:rsid w:val="00552E2F"/>
    <w:rsid w:val="00553678"/>
    <w:rsid w:val="005536A4"/>
    <w:rsid w:val="00553861"/>
    <w:rsid w:val="00553980"/>
    <w:rsid w:val="005539FC"/>
    <w:rsid w:val="00553A0A"/>
    <w:rsid w:val="00553B37"/>
    <w:rsid w:val="00553D40"/>
    <w:rsid w:val="00553D61"/>
    <w:rsid w:val="00553F34"/>
    <w:rsid w:val="00554080"/>
    <w:rsid w:val="00554235"/>
    <w:rsid w:val="005542F4"/>
    <w:rsid w:val="0055433F"/>
    <w:rsid w:val="005543BC"/>
    <w:rsid w:val="005546ED"/>
    <w:rsid w:val="0055474A"/>
    <w:rsid w:val="00554770"/>
    <w:rsid w:val="005547CF"/>
    <w:rsid w:val="00554838"/>
    <w:rsid w:val="0055492E"/>
    <w:rsid w:val="00554A31"/>
    <w:rsid w:val="00554BB0"/>
    <w:rsid w:val="00554C6B"/>
    <w:rsid w:val="00554ECC"/>
    <w:rsid w:val="00554F65"/>
    <w:rsid w:val="00554F85"/>
    <w:rsid w:val="00554FCA"/>
    <w:rsid w:val="00554FCD"/>
    <w:rsid w:val="005550CE"/>
    <w:rsid w:val="00555163"/>
    <w:rsid w:val="005551BA"/>
    <w:rsid w:val="005551D6"/>
    <w:rsid w:val="0055550F"/>
    <w:rsid w:val="005555A6"/>
    <w:rsid w:val="005555A8"/>
    <w:rsid w:val="005555ED"/>
    <w:rsid w:val="00555A8A"/>
    <w:rsid w:val="00555ACA"/>
    <w:rsid w:val="005560A4"/>
    <w:rsid w:val="00556181"/>
    <w:rsid w:val="0055627F"/>
    <w:rsid w:val="00556287"/>
    <w:rsid w:val="00556357"/>
    <w:rsid w:val="005563D6"/>
    <w:rsid w:val="005563F4"/>
    <w:rsid w:val="00556498"/>
    <w:rsid w:val="00556585"/>
    <w:rsid w:val="005567EB"/>
    <w:rsid w:val="00556836"/>
    <w:rsid w:val="00556ACE"/>
    <w:rsid w:val="00556AD8"/>
    <w:rsid w:val="00556B2E"/>
    <w:rsid w:val="00556BCA"/>
    <w:rsid w:val="00556C37"/>
    <w:rsid w:val="00556D7E"/>
    <w:rsid w:val="00556E02"/>
    <w:rsid w:val="0055713F"/>
    <w:rsid w:val="005575E7"/>
    <w:rsid w:val="005577AD"/>
    <w:rsid w:val="00557A08"/>
    <w:rsid w:val="00557C94"/>
    <w:rsid w:val="00557EFE"/>
    <w:rsid w:val="0056008F"/>
    <w:rsid w:val="005600D9"/>
    <w:rsid w:val="005600FB"/>
    <w:rsid w:val="005602A4"/>
    <w:rsid w:val="005605B1"/>
    <w:rsid w:val="005606B1"/>
    <w:rsid w:val="005607D1"/>
    <w:rsid w:val="00560806"/>
    <w:rsid w:val="00560A42"/>
    <w:rsid w:val="00560AA7"/>
    <w:rsid w:val="00560B50"/>
    <w:rsid w:val="00560C38"/>
    <w:rsid w:val="0056120B"/>
    <w:rsid w:val="005612F2"/>
    <w:rsid w:val="00561308"/>
    <w:rsid w:val="00561495"/>
    <w:rsid w:val="0056188F"/>
    <w:rsid w:val="00561B2B"/>
    <w:rsid w:val="00561B39"/>
    <w:rsid w:val="00561D31"/>
    <w:rsid w:val="00561D55"/>
    <w:rsid w:val="00561F90"/>
    <w:rsid w:val="005620A6"/>
    <w:rsid w:val="00562212"/>
    <w:rsid w:val="005622B3"/>
    <w:rsid w:val="0056231D"/>
    <w:rsid w:val="0056246B"/>
    <w:rsid w:val="00562651"/>
    <w:rsid w:val="00562792"/>
    <w:rsid w:val="005627C2"/>
    <w:rsid w:val="00562809"/>
    <w:rsid w:val="0056293F"/>
    <w:rsid w:val="0056294D"/>
    <w:rsid w:val="005629E6"/>
    <w:rsid w:val="00562B23"/>
    <w:rsid w:val="00562C9A"/>
    <w:rsid w:val="00562E44"/>
    <w:rsid w:val="00562E94"/>
    <w:rsid w:val="00562EE6"/>
    <w:rsid w:val="00562FEF"/>
    <w:rsid w:val="005632FF"/>
    <w:rsid w:val="005634C4"/>
    <w:rsid w:val="00563547"/>
    <w:rsid w:val="005636CC"/>
    <w:rsid w:val="0056381C"/>
    <w:rsid w:val="00563861"/>
    <w:rsid w:val="005639F2"/>
    <w:rsid w:val="00563AE2"/>
    <w:rsid w:val="00563AE5"/>
    <w:rsid w:val="00563AFB"/>
    <w:rsid w:val="00563C8B"/>
    <w:rsid w:val="00563D4D"/>
    <w:rsid w:val="00563EE2"/>
    <w:rsid w:val="00563F31"/>
    <w:rsid w:val="00563FCC"/>
    <w:rsid w:val="00564029"/>
    <w:rsid w:val="00564055"/>
    <w:rsid w:val="0056407A"/>
    <w:rsid w:val="00564086"/>
    <w:rsid w:val="00564253"/>
    <w:rsid w:val="005644BE"/>
    <w:rsid w:val="00564646"/>
    <w:rsid w:val="0056468D"/>
    <w:rsid w:val="005648AC"/>
    <w:rsid w:val="00564906"/>
    <w:rsid w:val="005649A6"/>
    <w:rsid w:val="00564A19"/>
    <w:rsid w:val="00564B16"/>
    <w:rsid w:val="00564B69"/>
    <w:rsid w:val="00564C51"/>
    <w:rsid w:val="00564CE7"/>
    <w:rsid w:val="00564EC8"/>
    <w:rsid w:val="00564F07"/>
    <w:rsid w:val="00564F5F"/>
    <w:rsid w:val="00564F99"/>
    <w:rsid w:val="005653E1"/>
    <w:rsid w:val="00565775"/>
    <w:rsid w:val="005657B5"/>
    <w:rsid w:val="00565831"/>
    <w:rsid w:val="005658B8"/>
    <w:rsid w:val="00565ABF"/>
    <w:rsid w:val="00565B84"/>
    <w:rsid w:val="00565B86"/>
    <w:rsid w:val="00565B87"/>
    <w:rsid w:val="00565BC4"/>
    <w:rsid w:val="00565C53"/>
    <w:rsid w:val="00565E06"/>
    <w:rsid w:val="00565E94"/>
    <w:rsid w:val="00565EFF"/>
    <w:rsid w:val="005661CF"/>
    <w:rsid w:val="00566236"/>
    <w:rsid w:val="005664F4"/>
    <w:rsid w:val="005665AA"/>
    <w:rsid w:val="005665FC"/>
    <w:rsid w:val="00566884"/>
    <w:rsid w:val="00566A9A"/>
    <w:rsid w:val="00566B95"/>
    <w:rsid w:val="00566E43"/>
    <w:rsid w:val="00566F82"/>
    <w:rsid w:val="00566FA7"/>
    <w:rsid w:val="00566FE8"/>
    <w:rsid w:val="005670A2"/>
    <w:rsid w:val="0056722F"/>
    <w:rsid w:val="0056733F"/>
    <w:rsid w:val="0056737D"/>
    <w:rsid w:val="005674BC"/>
    <w:rsid w:val="00567558"/>
    <w:rsid w:val="0056756D"/>
    <w:rsid w:val="005675F7"/>
    <w:rsid w:val="0056766D"/>
    <w:rsid w:val="005676D2"/>
    <w:rsid w:val="005679E1"/>
    <w:rsid w:val="005679E4"/>
    <w:rsid w:val="005679E7"/>
    <w:rsid w:val="00567B6F"/>
    <w:rsid w:val="00567BB2"/>
    <w:rsid w:val="00567BD5"/>
    <w:rsid w:val="00567C5D"/>
    <w:rsid w:val="00567DA1"/>
    <w:rsid w:val="00567F42"/>
    <w:rsid w:val="00570047"/>
    <w:rsid w:val="00570203"/>
    <w:rsid w:val="00570211"/>
    <w:rsid w:val="0057063E"/>
    <w:rsid w:val="0057085F"/>
    <w:rsid w:val="00570955"/>
    <w:rsid w:val="00570E9D"/>
    <w:rsid w:val="00570EBD"/>
    <w:rsid w:val="00570EEB"/>
    <w:rsid w:val="00570F52"/>
    <w:rsid w:val="00570FCC"/>
    <w:rsid w:val="0057100D"/>
    <w:rsid w:val="00571195"/>
    <w:rsid w:val="00571222"/>
    <w:rsid w:val="00571267"/>
    <w:rsid w:val="005713BB"/>
    <w:rsid w:val="005714A3"/>
    <w:rsid w:val="005716B8"/>
    <w:rsid w:val="00571800"/>
    <w:rsid w:val="005718C1"/>
    <w:rsid w:val="00571DAC"/>
    <w:rsid w:val="00571EFF"/>
    <w:rsid w:val="00571F85"/>
    <w:rsid w:val="00571F9D"/>
    <w:rsid w:val="00571FD7"/>
    <w:rsid w:val="00572050"/>
    <w:rsid w:val="00572077"/>
    <w:rsid w:val="00572118"/>
    <w:rsid w:val="00572124"/>
    <w:rsid w:val="005721A6"/>
    <w:rsid w:val="005721F8"/>
    <w:rsid w:val="005723C9"/>
    <w:rsid w:val="005724A8"/>
    <w:rsid w:val="005724D6"/>
    <w:rsid w:val="005724DC"/>
    <w:rsid w:val="00572622"/>
    <w:rsid w:val="005726A5"/>
    <w:rsid w:val="005726E4"/>
    <w:rsid w:val="00572769"/>
    <w:rsid w:val="005727F6"/>
    <w:rsid w:val="0057282B"/>
    <w:rsid w:val="005728A1"/>
    <w:rsid w:val="00572B3F"/>
    <w:rsid w:val="00572B9B"/>
    <w:rsid w:val="00572BB0"/>
    <w:rsid w:val="00572C91"/>
    <w:rsid w:val="00572E9B"/>
    <w:rsid w:val="00573167"/>
    <w:rsid w:val="00573233"/>
    <w:rsid w:val="005734CE"/>
    <w:rsid w:val="005735AA"/>
    <w:rsid w:val="0057360A"/>
    <w:rsid w:val="005736AB"/>
    <w:rsid w:val="00573727"/>
    <w:rsid w:val="0057381F"/>
    <w:rsid w:val="00573B70"/>
    <w:rsid w:val="00573CAF"/>
    <w:rsid w:val="00573D5C"/>
    <w:rsid w:val="00573DE8"/>
    <w:rsid w:val="00573E6D"/>
    <w:rsid w:val="00573EE4"/>
    <w:rsid w:val="00573F31"/>
    <w:rsid w:val="00573F64"/>
    <w:rsid w:val="0057411C"/>
    <w:rsid w:val="0057426B"/>
    <w:rsid w:val="00574473"/>
    <w:rsid w:val="0057450A"/>
    <w:rsid w:val="00574714"/>
    <w:rsid w:val="0057480B"/>
    <w:rsid w:val="005749D8"/>
    <w:rsid w:val="00574AD2"/>
    <w:rsid w:val="00574B30"/>
    <w:rsid w:val="00574D36"/>
    <w:rsid w:val="0057501E"/>
    <w:rsid w:val="0057502B"/>
    <w:rsid w:val="005750E5"/>
    <w:rsid w:val="0057519A"/>
    <w:rsid w:val="005751B8"/>
    <w:rsid w:val="005751FD"/>
    <w:rsid w:val="0057520B"/>
    <w:rsid w:val="00575380"/>
    <w:rsid w:val="0057562F"/>
    <w:rsid w:val="0057568F"/>
    <w:rsid w:val="00575A52"/>
    <w:rsid w:val="00575FF8"/>
    <w:rsid w:val="00576130"/>
    <w:rsid w:val="0057614B"/>
    <w:rsid w:val="0057617C"/>
    <w:rsid w:val="005761EC"/>
    <w:rsid w:val="00576277"/>
    <w:rsid w:val="0057630E"/>
    <w:rsid w:val="005763A2"/>
    <w:rsid w:val="005765B1"/>
    <w:rsid w:val="00576640"/>
    <w:rsid w:val="0057689C"/>
    <w:rsid w:val="00576A34"/>
    <w:rsid w:val="00576C95"/>
    <w:rsid w:val="00576E3D"/>
    <w:rsid w:val="00576E84"/>
    <w:rsid w:val="00576FE6"/>
    <w:rsid w:val="005771F6"/>
    <w:rsid w:val="00577236"/>
    <w:rsid w:val="005773F2"/>
    <w:rsid w:val="0057746D"/>
    <w:rsid w:val="00577611"/>
    <w:rsid w:val="0057762E"/>
    <w:rsid w:val="0057766F"/>
    <w:rsid w:val="0057785E"/>
    <w:rsid w:val="00577AA1"/>
    <w:rsid w:val="00577D9A"/>
    <w:rsid w:val="00577DD8"/>
    <w:rsid w:val="005800F9"/>
    <w:rsid w:val="005801C0"/>
    <w:rsid w:val="005802ED"/>
    <w:rsid w:val="00580305"/>
    <w:rsid w:val="005803D6"/>
    <w:rsid w:val="0058051F"/>
    <w:rsid w:val="0058062D"/>
    <w:rsid w:val="0058072E"/>
    <w:rsid w:val="0058096B"/>
    <w:rsid w:val="00580A26"/>
    <w:rsid w:val="00580ABD"/>
    <w:rsid w:val="00580B5B"/>
    <w:rsid w:val="00580B77"/>
    <w:rsid w:val="00580FD5"/>
    <w:rsid w:val="005811ED"/>
    <w:rsid w:val="005812E5"/>
    <w:rsid w:val="00581470"/>
    <w:rsid w:val="005816D0"/>
    <w:rsid w:val="0058179D"/>
    <w:rsid w:val="005819D9"/>
    <w:rsid w:val="00581A24"/>
    <w:rsid w:val="00581AC6"/>
    <w:rsid w:val="00581ADC"/>
    <w:rsid w:val="00581B1D"/>
    <w:rsid w:val="00581F14"/>
    <w:rsid w:val="0058230F"/>
    <w:rsid w:val="0058244B"/>
    <w:rsid w:val="00582513"/>
    <w:rsid w:val="00582577"/>
    <w:rsid w:val="0058266F"/>
    <w:rsid w:val="00582A7D"/>
    <w:rsid w:val="00582BB3"/>
    <w:rsid w:val="00582C0E"/>
    <w:rsid w:val="00582CFF"/>
    <w:rsid w:val="00582E31"/>
    <w:rsid w:val="00582ED1"/>
    <w:rsid w:val="0058307E"/>
    <w:rsid w:val="0058318B"/>
    <w:rsid w:val="00583240"/>
    <w:rsid w:val="005833DD"/>
    <w:rsid w:val="005833E2"/>
    <w:rsid w:val="005834A5"/>
    <w:rsid w:val="0058355A"/>
    <w:rsid w:val="0058379D"/>
    <w:rsid w:val="00583934"/>
    <w:rsid w:val="00583AF4"/>
    <w:rsid w:val="00583C25"/>
    <w:rsid w:val="00583F85"/>
    <w:rsid w:val="00584025"/>
    <w:rsid w:val="00584174"/>
    <w:rsid w:val="0058426E"/>
    <w:rsid w:val="005842B6"/>
    <w:rsid w:val="00584392"/>
    <w:rsid w:val="005843BB"/>
    <w:rsid w:val="005843C8"/>
    <w:rsid w:val="00584412"/>
    <w:rsid w:val="00584432"/>
    <w:rsid w:val="005844B6"/>
    <w:rsid w:val="0058461F"/>
    <w:rsid w:val="005846EA"/>
    <w:rsid w:val="0058470E"/>
    <w:rsid w:val="00584729"/>
    <w:rsid w:val="00584873"/>
    <w:rsid w:val="005849FB"/>
    <w:rsid w:val="00584B6C"/>
    <w:rsid w:val="00584B79"/>
    <w:rsid w:val="00584C3A"/>
    <w:rsid w:val="00584C94"/>
    <w:rsid w:val="00584E90"/>
    <w:rsid w:val="00584E9E"/>
    <w:rsid w:val="00584F6F"/>
    <w:rsid w:val="00584FC5"/>
    <w:rsid w:val="00585025"/>
    <w:rsid w:val="005850C8"/>
    <w:rsid w:val="0058517E"/>
    <w:rsid w:val="0058518C"/>
    <w:rsid w:val="005853D0"/>
    <w:rsid w:val="005853F6"/>
    <w:rsid w:val="00585474"/>
    <w:rsid w:val="005854A6"/>
    <w:rsid w:val="005855F5"/>
    <w:rsid w:val="0058578F"/>
    <w:rsid w:val="00585863"/>
    <w:rsid w:val="00585868"/>
    <w:rsid w:val="005858A7"/>
    <w:rsid w:val="00585A28"/>
    <w:rsid w:val="00585BBE"/>
    <w:rsid w:val="00585BD7"/>
    <w:rsid w:val="00585C80"/>
    <w:rsid w:val="00585CAE"/>
    <w:rsid w:val="00585E4E"/>
    <w:rsid w:val="00586149"/>
    <w:rsid w:val="00586717"/>
    <w:rsid w:val="00586758"/>
    <w:rsid w:val="0058675A"/>
    <w:rsid w:val="00586948"/>
    <w:rsid w:val="00586A55"/>
    <w:rsid w:val="00586AE6"/>
    <w:rsid w:val="00586BA5"/>
    <w:rsid w:val="00586C36"/>
    <w:rsid w:val="00586C50"/>
    <w:rsid w:val="00586DB6"/>
    <w:rsid w:val="00586EE4"/>
    <w:rsid w:val="00586F45"/>
    <w:rsid w:val="00586F78"/>
    <w:rsid w:val="00587014"/>
    <w:rsid w:val="00587364"/>
    <w:rsid w:val="00587387"/>
    <w:rsid w:val="0058738E"/>
    <w:rsid w:val="005873CC"/>
    <w:rsid w:val="005874BC"/>
    <w:rsid w:val="005879C3"/>
    <w:rsid w:val="00587A47"/>
    <w:rsid w:val="00587B06"/>
    <w:rsid w:val="00587B5F"/>
    <w:rsid w:val="00587BD8"/>
    <w:rsid w:val="00587C1D"/>
    <w:rsid w:val="00587DD2"/>
    <w:rsid w:val="00587F88"/>
    <w:rsid w:val="00587FB9"/>
    <w:rsid w:val="00587FEC"/>
    <w:rsid w:val="00590024"/>
    <w:rsid w:val="00590059"/>
    <w:rsid w:val="00590119"/>
    <w:rsid w:val="005904E7"/>
    <w:rsid w:val="00590525"/>
    <w:rsid w:val="00590573"/>
    <w:rsid w:val="005905B0"/>
    <w:rsid w:val="00590868"/>
    <w:rsid w:val="0059094B"/>
    <w:rsid w:val="00590975"/>
    <w:rsid w:val="00590976"/>
    <w:rsid w:val="005909F8"/>
    <w:rsid w:val="00590A04"/>
    <w:rsid w:val="00590AC3"/>
    <w:rsid w:val="00590C5C"/>
    <w:rsid w:val="00590CAA"/>
    <w:rsid w:val="00590E37"/>
    <w:rsid w:val="00590E68"/>
    <w:rsid w:val="00591027"/>
    <w:rsid w:val="0059123A"/>
    <w:rsid w:val="00591282"/>
    <w:rsid w:val="0059132B"/>
    <w:rsid w:val="005913A5"/>
    <w:rsid w:val="005914E6"/>
    <w:rsid w:val="005915B7"/>
    <w:rsid w:val="00591663"/>
    <w:rsid w:val="00591854"/>
    <w:rsid w:val="005918D7"/>
    <w:rsid w:val="00591B92"/>
    <w:rsid w:val="00591BFC"/>
    <w:rsid w:val="00591DDD"/>
    <w:rsid w:val="00591E01"/>
    <w:rsid w:val="00591FD1"/>
    <w:rsid w:val="00591FE8"/>
    <w:rsid w:val="0059207C"/>
    <w:rsid w:val="005922BA"/>
    <w:rsid w:val="005923F0"/>
    <w:rsid w:val="00592487"/>
    <w:rsid w:val="005924F5"/>
    <w:rsid w:val="005925D9"/>
    <w:rsid w:val="00592713"/>
    <w:rsid w:val="005927A7"/>
    <w:rsid w:val="005927D2"/>
    <w:rsid w:val="00592987"/>
    <w:rsid w:val="00592B10"/>
    <w:rsid w:val="00592B9D"/>
    <w:rsid w:val="00592CAD"/>
    <w:rsid w:val="00592D00"/>
    <w:rsid w:val="00592D48"/>
    <w:rsid w:val="00592D94"/>
    <w:rsid w:val="00592DA0"/>
    <w:rsid w:val="00592F38"/>
    <w:rsid w:val="0059300E"/>
    <w:rsid w:val="00593066"/>
    <w:rsid w:val="0059306C"/>
    <w:rsid w:val="005930CE"/>
    <w:rsid w:val="005932D9"/>
    <w:rsid w:val="005932E0"/>
    <w:rsid w:val="00593507"/>
    <w:rsid w:val="0059352A"/>
    <w:rsid w:val="0059367F"/>
    <w:rsid w:val="005936EC"/>
    <w:rsid w:val="00593775"/>
    <w:rsid w:val="00593A66"/>
    <w:rsid w:val="00593B72"/>
    <w:rsid w:val="00593C55"/>
    <w:rsid w:val="00593D16"/>
    <w:rsid w:val="00593DD3"/>
    <w:rsid w:val="00593E39"/>
    <w:rsid w:val="00593F30"/>
    <w:rsid w:val="00594293"/>
    <w:rsid w:val="005942AD"/>
    <w:rsid w:val="00594482"/>
    <w:rsid w:val="005944DF"/>
    <w:rsid w:val="0059460E"/>
    <w:rsid w:val="00594655"/>
    <w:rsid w:val="00594883"/>
    <w:rsid w:val="00594A12"/>
    <w:rsid w:val="00594A2E"/>
    <w:rsid w:val="00594A9E"/>
    <w:rsid w:val="00594CBE"/>
    <w:rsid w:val="00594DA8"/>
    <w:rsid w:val="00594E49"/>
    <w:rsid w:val="0059500B"/>
    <w:rsid w:val="0059500F"/>
    <w:rsid w:val="00595046"/>
    <w:rsid w:val="0059505D"/>
    <w:rsid w:val="00595149"/>
    <w:rsid w:val="005951E5"/>
    <w:rsid w:val="0059528B"/>
    <w:rsid w:val="005953AB"/>
    <w:rsid w:val="005953F2"/>
    <w:rsid w:val="0059552D"/>
    <w:rsid w:val="00595552"/>
    <w:rsid w:val="0059582B"/>
    <w:rsid w:val="00595875"/>
    <w:rsid w:val="005959CB"/>
    <w:rsid w:val="00595A56"/>
    <w:rsid w:val="00595A8D"/>
    <w:rsid w:val="00595BA9"/>
    <w:rsid w:val="00595F83"/>
    <w:rsid w:val="0059602A"/>
    <w:rsid w:val="00596036"/>
    <w:rsid w:val="005961CC"/>
    <w:rsid w:val="00596388"/>
    <w:rsid w:val="0059654E"/>
    <w:rsid w:val="00596836"/>
    <w:rsid w:val="005968C0"/>
    <w:rsid w:val="005968DD"/>
    <w:rsid w:val="005969A6"/>
    <w:rsid w:val="00596A13"/>
    <w:rsid w:val="00596B0E"/>
    <w:rsid w:val="00596C62"/>
    <w:rsid w:val="00596D0F"/>
    <w:rsid w:val="00596D8D"/>
    <w:rsid w:val="00596DD3"/>
    <w:rsid w:val="00597135"/>
    <w:rsid w:val="00597219"/>
    <w:rsid w:val="0059739B"/>
    <w:rsid w:val="00597483"/>
    <w:rsid w:val="00597595"/>
    <w:rsid w:val="00597655"/>
    <w:rsid w:val="005976CA"/>
    <w:rsid w:val="005976E2"/>
    <w:rsid w:val="0059776A"/>
    <w:rsid w:val="0059796F"/>
    <w:rsid w:val="00597AED"/>
    <w:rsid w:val="00597D84"/>
    <w:rsid w:val="00597F5E"/>
    <w:rsid w:val="00597F98"/>
    <w:rsid w:val="005A0090"/>
    <w:rsid w:val="005A00AC"/>
    <w:rsid w:val="005A0168"/>
    <w:rsid w:val="005A0171"/>
    <w:rsid w:val="005A01B8"/>
    <w:rsid w:val="005A028A"/>
    <w:rsid w:val="005A079A"/>
    <w:rsid w:val="005A07D4"/>
    <w:rsid w:val="005A0883"/>
    <w:rsid w:val="005A0B2F"/>
    <w:rsid w:val="005A0D34"/>
    <w:rsid w:val="005A1134"/>
    <w:rsid w:val="005A1156"/>
    <w:rsid w:val="005A1253"/>
    <w:rsid w:val="005A1319"/>
    <w:rsid w:val="005A132B"/>
    <w:rsid w:val="005A1361"/>
    <w:rsid w:val="005A1373"/>
    <w:rsid w:val="005A139F"/>
    <w:rsid w:val="005A14D0"/>
    <w:rsid w:val="005A1512"/>
    <w:rsid w:val="005A16C9"/>
    <w:rsid w:val="005A17B6"/>
    <w:rsid w:val="005A18DD"/>
    <w:rsid w:val="005A19F2"/>
    <w:rsid w:val="005A1B0C"/>
    <w:rsid w:val="005A1C4C"/>
    <w:rsid w:val="005A1C9D"/>
    <w:rsid w:val="005A1D83"/>
    <w:rsid w:val="005A1E0E"/>
    <w:rsid w:val="005A1E46"/>
    <w:rsid w:val="005A1EF3"/>
    <w:rsid w:val="005A1F16"/>
    <w:rsid w:val="005A2070"/>
    <w:rsid w:val="005A2163"/>
    <w:rsid w:val="005A21BF"/>
    <w:rsid w:val="005A24FA"/>
    <w:rsid w:val="005A251F"/>
    <w:rsid w:val="005A2B05"/>
    <w:rsid w:val="005A2B57"/>
    <w:rsid w:val="005A2C3B"/>
    <w:rsid w:val="005A2D6F"/>
    <w:rsid w:val="005A2E16"/>
    <w:rsid w:val="005A2E54"/>
    <w:rsid w:val="005A2FA2"/>
    <w:rsid w:val="005A2FB7"/>
    <w:rsid w:val="005A30A4"/>
    <w:rsid w:val="005A30E3"/>
    <w:rsid w:val="005A3134"/>
    <w:rsid w:val="005A3160"/>
    <w:rsid w:val="005A317A"/>
    <w:rsid w:val="005A3192"/>
    <w:rsid w:val="005A33BB"/>
    <w:rsid w:val="005A3409"/>
    <w:rsid w:val="005A345B"/>
    <w:rsid w:val="005A3469"/>
    <w:rsid w:val="005A34DA"/>
    <w:rsid w:val="005A352A"/>
    <w:rsid w:val="005A35B6"/>
    <w:rsid w:val="005A35F8"/>
    <w:rsid w:val="005A3A9D"/>
    <w:rsid w:val="005A3AA1"/>
    <w:rsid w:val="005A3BF6"/>
    <w:rsid w:val="005A3D31"/>
    <w:rsid w:val="005A3DC9"/>
    <w:rsid w:val="005A4009"/>
    <w:rsid w:val="005A4054"/>
    <w:rsid w:val="005A4310"/>
    <w:rsid w:val="005A4450"/>
    <w:rsid w:val="005A45D4"/>
    <w:rsid w:val="005A46BC"/>
    <w:rsid w:val="005A47FE"/>
    <w:rsid w:val="005A48A4"/>
    <w:rsid w:val="005A4977"/>
    <w:rsid w:val="005A4BD0"/>
    <w:rsid w:val="005A4BFF"/>
    <w:rsid w:val="005A4C23"/>
    <w:rsid w:val="005A4DFB"/>
    <w:rsid w:val="005A5072"/>
    <w:rsid w:val="005A509F"/>
    <w:rsid w:val="005A51F1"/>
    <w:rsid w:val="005A5349"/>
    <w:rsid w:val="005A536A"/>
    <w:rsid w:val="005A54CA"/>
    <w:rsid w:val="005A55C5"/>
    <w:rsid w:val="005A55E8"/>
    <w:rsid w:val="005A575C"/>
    <w:rsid w:val="005A57C6"/>
    <w:rsid w:val="005A5874"/>
    <w:rsid w:val="005A59A3"/>
    <w:rsid w:val="005A59FD"/>
    <w:rsid w:val="005A5AB8"/>
    <w:rsid w:val="005A5B33"/>
    <w:rsid w:val="005A5D0A"/>
    <w:rsid w:val="005A6033"/>
    <w:rsid w:val="005A609E"/>
    <w:rsid w:val="005A6132"/>
    <w:rsid w:val="005A6189"/>
    <w:rsid w:val="005A6260"/>
    <w:rsid w:val="005A633E"/>
    <w:rsid w:val="005A63B0"/>
    <w:rsid w:val="005A63D1"/>
    <w:rsid w:val="005A6453"/>
    <w:rsid w:val="005A64D1"/>
    <w:rsid w:val="005A65DC"/>
    <w:rsid w:val="005A65F2"/>
    <w:rsid w:val="005A6617"/>
    <w:rsid w:val="005A6638"/>
    <w:rsid w:val="005A684D"/>
    <w:rsid w:val="005A6999"/>
    <w:rsid w:val="005A69A3"/>
    <w:rsid w:val="005A6B61"/>
    <w:rsid w:val="005A6BDE"/>
    <w:rsid w:val="005A6CAB"/>
    <w:rsid w:val="005A6CB2"/>
    <w:rsid w:val="005A6E43"/>
    <w:rsid w:val="005A7196"/>
    <w:rsid w:val="005A71FA"/>
    <w:rsid w:val="005A72A9"/>
    <w:rsid w:val="005A731F"/>
    <w:rsid w:val="005A73F3"/>
    <w:rsid w:val="005A75B0"/>
    <w:rsid w:val="005A75DF"/>
    <w:rsid w:val="005A7628"/>
    <w:rsid w:val="005A7694"/>
    <w:rsid w:val="005A76FB"/>
    <w:rsid w:val="005A77E6"/>
    <w:rsid w:val="005A7D73"/>
    <w:rsid w:val="005A7E80"/>
    <w:rsid w:val="005A7EAD"/>
    <w:rsid w:val="005A7FA4"/>
    <w:rsid w:val="005B0139"/>
    <w:rsid w:val="005B01F1"/>
    <w:rsid w:val="005B0208"/>
    <w:rsid w:val="005B033C"/>
    <w:rsid w:val="005B03C1"/>
    <w:rsid w:val="005B048B"/>
    <w:rsid w:val="005B062C"/>
    <w:rsid w:val="005B06BF"/>
    <w:rsid w:val="005B088B"/>
    <w:rsid w:val="005B0915"/>
    <w:rsid w:val="005B0943"/>
    <w:rsid w:val="005B0BF7"/>
    <w:rsid w:val="005B0C5B"/>
    <w:rsid w:val="005B0CE4"/>
    <w:rsid w:val="005B0E2E"/>
    <w:rsid w:val="005B0E33"/>
    <w:rsid w:val="005B0F7C"/>
    <w:rsid w:val="005B1019"/>
    <w:rsid w:val="005B106D"/>
    <w:rsid w:val="005B1505"/>
    <w:rsid w:val="005B1663"/>
    <w:rsid w:val="005B16D3"/>
    <w:rsid w:val="005B179E"/>
    <w:rsid w:val="005B186F"/>
    <w:rsid w:val="005B18AA"/>
    <w:rsid w:val="005B19B4"/>
    <w:rsid w:val="005B1AF7"/>
    <w:rsid w:val="005B1B81"/>
    <w:rsid w:val="005B1B9B"/>
    <w:rsid w:val="005B1C01"/>
    <w:rsid w:val="005B1D6D"/>
    <w:rsid w:val="005B1D91"/>
    <w:rsid w:val="005B1ED7"/>
    <w:rsid w:val="005B201E"/>
    <w:rsid w:val="005B21DC"/>
    <w:rsid w:val="005B226D"/>
    <w:rsid w:val="005B23FC"/>
    <w:rsid w:val="005B244A"/>
    <w:rsid w:val="005B2689"/>
    <w:rsid w:val="005B27AE"/>
    <w:rsid w:val="005B2845"/>
    <w:rsid w:val="005B28A8"/>
    <w:rsid w:val="005B292E"/>
    <w:rsid w:val="005B2980"/>
    <w:rsid w:val="005B2B4B"/>
    <w:rsid w:val="005B2BDF"/>
    <w:rsid w:val="005B2C05"/>
    <w:rsid w:val="005B2C3B"/>
    <w:rsid w:val="005B2F66"/>
    <w:rsid w:val="005B2FDB"/>
    <w:rsid w:val="005B3052"/>
    <w:rsid w:val="005B314C"/>
    <w:rsid w:val="005B31ED"/>
    <w:rsid w:val="005B32E5"/>
    <w:rsid w:val="005B32ED"/>
    <w:rsid w:val="005B330B"/>
    <w:rsid w:val="005B3370"/>
    <w:rsid w:val="005B344D"/>
    <w:rsid w:val="005B347D"/>
    <w:rsid w:val="005B3649"/>
    <w:rsid w:val="005B37F2"/>
    <w:rsid w:val="005B3908"/>
    <w:rsid w:val="005B39BA"/>
    <w:rsid w:val="005B3A85"/>
    <w:rsid w:val="005B3B9C"/>
    <w:rsid w:val="005B3EFC"/>
    <w:rsid w:val="005B3F17"/>
    <w:rsid w:val="005B3F46"/>
    <w:rsid w:val="005B3FE5"/>
    <w:rsid w:val="005B4076"/>
    <w:rsid w:val="005B40E4"/>
    <w:rsid w:val="005B4233"/>
    <w:rsid w:val="005B42F9"/>
    <w:rsid w:val="005B435F"/>
    <w:rsid w:val="005B4416"/>
    <w:rsid w:val="005B4482"/>
    <w:rsid w:val="005B44C6"/>
    <w:rsid w:val="005B44FB"/>
    <w:rsid w:val="005B4608"/>
    <w:rsid w:val="005B48B5"/>
    <w:rsid w:val="005B4BFE"/>
    <w:rsid w:val="005B4CC3"/>
    <w:rsid w:val="005B4E42"/>
    <w:rsid w:val="005B4F99"/>
    <w:rsid w:val="005B505C"/>
    <w:rsid w:val="005B50BC"/>
    <w:rsid w:val="005B524F"/>
    <w:rsid w:val="005B5290"/>
    <w:rsid w:val="005B5558"/>
    <w:rsid w:val="005B582F"/>
    <w:rsid w:val="005B597E"/>
    <w:rsid w:val="005B5B11"/>
    <w:rsid w:val="005B5BF2"/>
    <w:rsid w:val="005B5D26"/>
    <w:rsid w:val="005B5DD5"/>
    <w:rsid w:val="005B5E0C"/>
    <w:rsid w:val="005B5E73"/>
    <w:rsid w:val="005B5F75"/>
    <w:rsid w:val="005B606D"/>
    <w:rsid w:val="005B6121"/>
    <w:rsid w:val="005B636D"/>
    <w:rsid w:val="005B6449"/>
    <w:rsid w:val="005B67D5"/>
    <w:rsid w:val="005B6A48"/>
    <w:rsid w:val="005B6AB6"/>
    <w:rsid w:val="005B6C0A"/>
    <w:rsid w:val="005B6C18"/>
    <w:rsid w:val="005B6DB0"/>
    <w:rsid w:val="005B6DB9"/>
    <w:rsid w:val="005B6EA3"/>
    <w:rsid w:val="005B6EAF"/>
    <w:rsid w:val="005B6ED1"/>
    <w:rsid w:val="005B6ED8"/>
    <w:rsid w:val="005B6FA9"/>
    <w:rsid w:val="005B6FB2"/>
    <w:rsid w:val="005B7177"/>
    <w:rsid w:val="005B727F"/>
    <w:rsid w:val="005B72B7"/>
    <w:rsid w:val="005B757F"/>
    <w:rsid w:val="005B7783"/>
    <w:rsid w:val="005B799B"/>
    <w:rsid w:val="005B79ED"/>
    <w:rsid w:val="005B7A27"/>
    <w:rsid w:val="005B7A55"/>
    <w:rsid w:val="005B7E30"/>
    <w:rsid w:val="005B7E67"/>
    <w:rsid w:val="005C027F"/>
    <w:rsid w:val="005C0456"/>
    <w:rsid w:val="005C04B7"/>
    <w:rsid w:val="005C05DF"/>
    <w:rsid w:val="005C0633"/>
    <w:rsid w:val="005C0923"/>
    <w:rsid w:val="005C0A69"/>
    <w:rsid w:val="005C0AEF"/>
    <w:rsid w:val="005C0D4D"/>
    <w:rsid w:val="005C0E14"/>
    <w:rsid w:val="005C0F6A"/>
    <w:rsid w:val="005C1008"/>
    <w:rsid w:val="005C101C"/>
    <w:rsid w:val="005C102B"/>
    <w:rsid w:val="005C1104"/>
    <w:rsid w:val="005C116D"/>
    <w:rsid w:val="005C133A"/>
    <w:rsid w:val="005C13D4"/>
    <w:rsid w:val="005C1547"/>
    <w:rsid w:val="005C16F3"/>
    <w:rsid w:val="005C17CE"/>
    <w:rsid w:val="005C18C7"/>
    <w:rsid w:val="005C18D7"/>
    <w:rsid w:val="005C1A39"/>
    <w:rsid w:val="005C1AE4"/>
    <w:rsid w:val="005C1FD3"/>
    <w:rsid w:val="005C20C7"/>
    <w:rsid w:val="005C20EA"/>
    <w:rsid w:val="005C223E"/>
    <w:rsid w:val="005C2702"/>
    <w:rsid w:val="005C2881"/>
    <w:rsid w:val="005C2A1D"/>
    <w:rsid w:val="005C2DEE"/>
    <w:rsid w:val="005C2F06"/>
    <w:rsid w:val="005C2FF8"/>
    <w:rsid w:val="005C3108"/>
    <w:rsid w:val="005C313B"/>
    <w:rsid w:val="005C325F"/>
    <w:rsid w:val="005C32A9"/>
    <w:rsid w:val="005C35B5"/>
    <w:rsid w:val="005C36BC"/>
    <w:rsid w:val="005C3D45"/>
    <w:rsid w:val="005C3D8C"/>
    <w:rsid w:val="005C3DE1"/>
    <w:rsid w:val="005C3E42"/>
    <w:rsid w:val="005C3E51"/>
    <w:rsid w:val="005C409E"/>
    <w:rsid w:val="005C40D7"/>
    <w:rsid w:val="005C418B"/>
    <w:rsid w:val="005C43D0"/>
    <w:rsid w:val="005C46CA"/>
    <w:rsid w:val="005C47B7"/>
    <w:rsid w:val="005C484F"/>
    <w:rsid w:val="005C48A7"/>
    <w:rsid w:val="005C4B8A"/>
    <w:rsid w:val="005C4C08"/>
    <w:rsid w:val="005C4E14"/>
    <w:rsid w:val="005C4E6E"/>
    <w:rsid w:val="005C4F9D"/>
    <w:rsid w:val="005C4FAE"/>
    <w:rsid w:val="005C500A"/>
    <w:rsid w:val="005C5038"/>
    <w:rsid w:val="005C5085"/>
    <w:rsid w:val="005C535C"/>
    <w:rsid w:val="005C545B"/>
    <w:rsid w:val="005C56F8"/>
    <w:rsid w:val="005C5724"/>
    <w:rsid w:val="005C573C"/>
    <w:rsid w:val="005C57AF"/>
    <w:rsid w:val="005C57B2"/>
    <w:rsid w:val="005C58ED"/>
    <w:rsid w:val="005C5928"/>
    <w:rsid w:val="005C5B06"/>
    <w:rsid w:val="005C5B2F"/>
    <w:rsid w:val="005C5B90"/>
    <w:rsid w:val="005C5C86"/>
    <w:rsid w:val="005C5D1A"/>
    <w:rsid w:val="005C5E9F"/>
    <w:rsid w:val="005C5F94"/>
    <w:rsid w:val="005C5FAD"/>
    <w:rsid w:val="005C6254"/>
    <w:rsid w:val="005C6614"/>
    <w:rsid w:val="005C6763"/>
    <w:rsid w:val="005C67BF"/>
    <w:rsid w:val="005C6949"/>
    <w:rsid w:val="005C694F"/>
    <w:rsid w:val="005C69D7"/>
    <w:rsid w:val="005C69EB"/>
    <w:rsid w:val="005C6A38"/>
    <w:rsid w:val="005C6E06"/>
    <w:rsid w:val="005C702F"/>
    <w:rsid w:val="005C72A0"/>
    <w:rsid w:val="005C7499"/>
    <w:rsid w:val="005C74FE"/>
    <w:rsid w:val="005C7582"/>
    <w:rsid w:val="005C771A"/>
    <w:rsid w:val="005C773A"/>
    <w:rsid w:val="005C7825"/>
    <w:rsid w:val="005C79AA"/>
    <w:rsid w:val="005C7A58"/>
    <w:rsid w:val="005C7AAD"/>
    <w:rsid w:val="005C7B15"/>
    <w:rsid w:val="005C7C4D"/>
    <w:rsid w:val="005C7D1D"/>
    <w:rsid w:val="005C7D5C"/>
    <w:rsid w:val="005C7EBE"/>
    <w:rsid w:val="005C7F2C"/>
    <w:rsid w:val="005D052F"/>
    <w:rsid w:val="005D055E"/>
    <w:rsid w:val="005D061C"/>
    <w:rsid w:val="005D071F"/>
    <w:rsid w:val="005D0722"/>
    <w:rsid w:val="005D0A0F"/>
    <w:rsid w:val="005D0B61"/>
    <w:rsid w:val="005D0C85"/>
    <w:rsid w:val="005D0C8D"/>
    <w:rsid w:val="005D0DB9"/>
    <w:rsid w:val="005D0E8F"/>
    <w:rsid w:val="005D0EFF"/>
    <w:rsid w:val="005D1021"/>
    <w:rsid w:val="005D111F"/>
    <w:rsid w:val="005D1203"/>
    <w:rsid w:val="005D15A1"/>
    <w:rsid w:val="005D15FF"/>
    <w:rsid w:val="005D161A"/>
    <w:rsid w:val="005D1746"/>
    <w:rsid w:val="005D1817"/>
    <w:rsid w:val="005D1966"/>
    <w:rsid w:val="005D19AB"/>
    <w:rsid w:val="005D1AC7"/>
    <w:rsid w:val="005D1BAB"/>
    <w:rsid w:val="005D1C0F"/>
    <w:rsid w:val="005D1CA4"/>
    <w:rsid w:val="005D1D1D"/>
    <w:rsid w:val="005D1D59"/>
    <w:rsid w:val="005D1E04"/>
    <w:rsid w:val="005D1EE8"/>
    <w:rsid w:val="005D1F33"/>
    <w:rsid w:val="005D1FA8"/>
    <w:rsid w:val="005D2080"/>
    <w:rsid w:val="005D20E9"/>
    <w:rsid w:val="005D214C"/>
    <w:rsid w:val="005D21DD"/>
    <w:rsid w:val="005D2207"/>
    <w:rsid w:val="005D2278"/>
    <w:rsid w:val="005D24A7"/>
    <w:rsid w:val="005D24BC"/>
    <w:rsid w:val="005D2577"/>
    <w:rsid w:val="005D279B"/>
    <w:rsid w:val="005D2869"/>
    <w:rsid w:val="005D2895"/>
    <w:rsid w:val="005D2A5D"/>
    <w:rsid w:val="005D2B3F"/>
    <w:rsid w:val="005D2B7C"/>
    <w:rsid w:val="005D2BB5"/>
    <w:rsid w:val="005D2BF2"/>
    <w:rsid w:val="005D2BFB"/>
    <w:rsid w:val="005D2C3F"/>
    <w:rsid w:val="005D2CAD"/>
    <w:rsid w:val="005D2D8E"/>
    <w:rsid w:val="005D3096"/>
    <w:rsid w:val="005D3174"/>
    <w:rsid w:val="005D329D"/>
    <w:rsid w:val="005D33F4"/>
    <w:rsid w:val="005D3482"/>
    <w:rsid w:val="005D34BA"/>
    <w:rsid w:val="005D37F8"/>
    <w:rsid w:val="005D38BF"/>
    <w:rsid w:val="005D3920"/>
    <w:rsid w:val="005D3993"/>
    <w:rsid w:val="005D39C7"/>
    <w:rsid w:val="005D3C5C"/>
    <w:rsid w:val="005D3C7B"/>
    <w:rsid w:val="005D3DD7"/>
    <w:rsid w:val="005D3F15"/>
    <w:rsid w:val="005D427A"/>
    <w:rsid w:val="005D4496"/>
    <w:rsid w:val="005D45B4"/>
    <w:rsid w:val="005D469C"/>
    <w:rsid w:val="005D4895"/>
    <w:rsid w:val="005D48D0"/>
    <w:rsid w:val="005D491F"/>
    <w:rsid w:val="005D49A9"/>
    <w:rsid w:val="005D49B6"/>
    <w:rsid w:val="005D4A84"/>
    <w:rsid w:val="005D4AC5"/>
    <w:rsid w:val="005D4DC0"/>
    <w:rsid w:val="005D4DD1"/>
    <w:rsid w:val="005D4E96"/>
    <w:rsid w:val="005D4FEB"/>
    <w:rsid w:val="005D5696"/>
    <w:rsid w:val="005D56F5"/>
    <w:rsid w:val="005D570D"/>
    <w:rsid w:val="005D577B"/>
    <w:rsid w:val="005D57B2"/>
    <w:rsid w:val="005D5823"/>
    <w:rsid w:val="005D5C43"/>
    <w:rsid w:val="005D5C50"/>
    <w:rsid w:val="005D5D47"/>
    <w:rsid w:val="005D5E49"/>
    <w:rsid w:val="005D5F4D"/>
    <w:rsid w:val="005D5F6C"/>
    <w:rsid w:val="005D6295"/>
    <w:rsid w:val="005D629E"/>
    <w:rsid w:val="005D6395"/>
    <w:rsid w:val="005D64FF"/>
    <w:rsid w:val="005D6517"/>
    <w:rsid w:val="005D6534"/>
    <w:rsid w:val="005D68C2"/>
    <w:rsid w:val="005D6965"/>
    <w:rsid w:val="005D6B22"/>
    <w:rsid w:val="005D6B3C"/>
    <w:rsid w:val="005D6B62"/>
    <w:rsid w:val="005D6C25"/>
    <w:rsid w:val="005D6C6A"/>
    <w:rsid w:val="005D6CBB"/>
    <w:rsid w:val="005D6CD8"/>
    <w:rsid w:val="005D6D6D"/>
    <w:rsid w:val="005D6FA5"/>
    <w:rsid w:val="005D7368"/>
    <w:rsid w:val="005D7373"/>
    <w:rsid w:val="005D7492"/>
    <w:rsid w:val="005D74D6"/>
    <w:rsid w:val="005D760A"/>
    <w:rsid w:val="005D76D7"/>
    <w:rsid w:val="005D7734"/>
    <w:rsid w:val="005D7765"/>
    <w:rsid w:val="005D78FF"/>
    <w:rsid w:val="005D79D1"/>
    <w:rsid w:val="005D7BB2"/>
    <w:rsid w:val="005D7D84"/>
    <w:rsid w:val="005D7F89"/>
    <w:rsid w:val="005E00EE"/>
    <w:rsid w:val="005E015C"/>
    <w:rsid w:val="005E0289"/>
    <w:rsid w:val="005E037C"/>
    <w:rsid w:val="005E03C2"/>
    <w:rsid w:val="005E042D"/>
    <w:rsid w:val="005E044D"/>
    <w:rsid w:val="005E0609"/>
    <w:rsid w:val="005E0691"/>
    <w:rsid w:val="005E0815"/>
    <w:rsid w:val="005E085A"/>
    <w:rsid w:val="005E0946"/>
    <w:rsid w:val="005E0A08"/>
    <w:rsid w:val="005E0A40"/>
    <w:rsid w:val="005E0E29"/>
    <w:rsid w:val="005E0E51"/>
    <w:rsid w:val="005E0EB0"/>
    <w:rsid w:val="005E0FFE"/>
    <w:rsid w:val="005E1105"/>
    <w:rsid w:val="005E112C"/>
    <w:rsid w:val="005E1215"/>
    <w:rsid w:val="005E124C"/>
    <w:rsid w:val="005E1278"/>
    <w:rsid w:val="005E1385"/>
    <w:rsid w:val="005E1396"/>
    <w:rsid w:val="005E13C0"/>
    <w:rsid w:val="005E140F"/>
    <w:rsid w:val="005E153D"/>
    <w:rsid w:val="005E15BA"/>
    <w:rsid w:val="005E16F4"/>
    <w:rsid w:val="005E1772"/>
    <w:rsid w:val="005E1BD3"/>
    <w:rsid w:val="005E1C6D"/>
    <w:rsid w:val="005E1D5E"/>
    <w:rsid w:val="005E1D87"/>
    <w:rsid w:val="005E1D93"/>
    <w:rsid w:val="005E1F7F"/>
    <w:rsid w:val="005E201B"/>
    <w:rsid w:val="005E2140"/>
    <w:rsid w:val="005E2599"/>
    <w:rsid w:val="005E25C1"/>
    <w:rsid w:val="005E2717"/>
    <w:rsid w:val="005E27E1"/>
    <w:rsid w:val="005E280C"/>
    <w:rsid w:val="005E2A43"/>
    <w:rsid w:val="005E2C1F"/>
    <w:rsid w:val="005E2D36"/>
    <w:rsid w:val="005E2ED7"/>
    <w:rsid w:val="005E305F"/>
    <w:rsid w:val="005E30AE"/>
    <w:rsid w:val="005E3141"/>
    <w:rsid w:val="005E322B"/>
    <w:rsid w:val="005E33B8"/>
    <w:rsid w:val="005E3671"/>
    <w:rsid w:val="005E3672"/>
    <w:rsid w:val="005E3BDA"/>
    <w:rsid w:val="005E3C13"/>
    <w:rsid w:val="005E3CB0"/>
    <w:rsid w:val="005E3D0B"/>
    <w:rsid w:val="005E3D5B"/>
    <w:rsid w:val="005E41A6"/>
    <w:rsid w:val="005E4575"/>
    <w:rsid w:val="005E4641"/>
    <w:rsid w:val="005E4675"/>
    <w:rsid w:val="005E4689"/>
    <w:rsid w:val="005E495B"/>
    <w:rsid w:val="005E49A5"/>
    <w:rsid w:val="005E49C5"/>
    <w:rsid w:val="005E4A99"/>
    <w:rsid w:val="005E4AB4"/>
    <w:rsid w:val="005E4AE3"/>
    <w:rsid w:val="005E4AFE"/>
    <w:rsid w:val="005E4B3B"/>
    <w:rsid w:val="005E4B43"/>
    <w:rsid w:val="005E4C40"/>
    <w:rsid w:val="005E4DAA"/>
    <w:rsid w:val="005E506E"/>
    <w:rsid w:val="005E52FD"/>
    <w:rsid w:val="005E549A"/>
    <w:rsid w:val="005E5582"/>
    <w:rsid w:val="005E56A3"/>
    <w:rsid w:val="005E59DE"/>
    <w:rsid w:val="005E5A45"/>
    <w:rsid w:val="005E5A47"/>
    <w:rsid w:val="005E5B7C"/>
    <w:rsid w:val="005E5BF8"/>
    <w:rsid w:val="005E5EAB"/>
    <w:rsid w:val="005E5FFF"/>
    <w:rsid w:val="005E63B1"/>
    <w:rsid w:val="005E63B9"/>
    <w:rsid w:val="005E64E6"/>
    <w:rsid w:val="005E6712"/>
    <w:rsid w:val="005E6902"/>
    <w:rsid w:val="005E6978"/>
    <w:rsid w:val="005E6AAC"/>
    <w:rsid w:val="005E6AFF"/>
    <w:rsid w:val="005E6BE5"/>
    <w:rsid w:val="005E6C7B"/>
    <w:rsid w:val="005E6E15"/>
    <w:rsid w:val="005E6FAA"/>
    <w:rsid w:val="005E7041"/>
    <w:rsid w:val="005E7095"/>
    <w:rsid w:val="005E709C"/>
    <w:rsid w:val="005E7262"/>
    <w:rsid w:val="005E72A3"/>
    <w:rsid w:val="005E740F"/>
    <w:rsid w:val="005E74A9"/>
    <w:rsid w:val="005E7670"/>
    <w:rsid w:val="005E76D3"/>
    <w:rsid w:val="005E7954"/>
    <w:rsid w:val="005E7A0E"/>
    <w:rsid w:val="005E7C11"/>
    <w:rsid w:val="005E7C68"/>
    <w:rsid w:val="005E7D59"/>
    <w:rsid w:val="005E7D6C"/>
    <w:rsid w:val="005E7DA8"/>
    <w:rsid w:val="005E7F2D"/>
    <w:rsid w:val="005F0083"/>
    <w:rsid w:val="005F0191"/>
    <w:rsid w:val="005F0237"/>
    <w:rsid w:val="005F0541"/>
    <w:rsid w:val="005F06C1"/>
    <w:rsid w:val="005F06F2"/>
    <w:rsid w:val="005F070D"/>
    <w:rsid w:val="005F08FF"/>
    <w:rsid w:val="005F0BFE"/>
    <w:rsid w:val="005F0CF1"/>
    <w:rsid w:val="005F0E74"/>
    <w:rsid w:val="005F103D"/>
    <w:rsid w:val="005F1151"/>
    <w:rsid w:val="005F14A1"/>
    <w:rsid w:val="005F14E5"/>
    <w:rsid w:val="005F14F7"/>
    <w:rsid w:val="005F1697"/>
    <w:rsid w:val="005F1894"/>
    <w:rsid w:val="005F18C6"/>
    <w:rsid w:val="005F1AAE"/>
    <w:rsid w:val="005F1CBE"/>
    <w:rsid w:val="005F1F94"/>
    <w:rsid w:val="005F1FC9"/>
    <w:rsid w:val="005F2055"/>
    <w:rsid w:val="005F20FD"/>
    <w:rsid w:val="005F212F"/>
    <w:rsid w:val="005F21E8"/>
    <w:rsid w:val="005F2217"/>
    <w:rsid w:val="005F243A"/>
    <w:rsid w:val="005F25B8"/>
    <w:rsid w:val="005F2605"/>
    <w:rsid w:val="005F2958"/>
    <w:rsid w:val="005F2B73"/>
    <w:rsid w:val="005F2BC0"/>
    <w:rsid w:val="005F2E32"/>
    <w:rsid w:val="005F2F26"/>
    <w:rsid w:val="005F31E4"/>
    <w:rsid w:val="005F337D"/>
    <w:rsid w:val="005F3475"/>
    <w:rsid w:val="005F34AE"/>
    <w:rsid w:val="005F3749"/>
    <w:rsid w:val="005F3941"/>
    <w:rsid w:val="005F396C"/>
    <w:rsid w:val="005F3994"/>
    <w:rsid w:val="005F3A33"/>
    <w:rsid w:val="005F3A90"/>
    <w:rsid w:val="005F3C55"/>
    <w:rsid w:val="005F3C5D"/>
    <w:rsid w:val="005F3CC1"/>
    <w:rsid w:val="005F3E04"/>
    <w:rsid w:val="005F3FC3"/>
    <w:rsid w:val="005F4014"/>
    <w:rsid w:val="005F4018"/>
    <w:rsid w:val="005F42F5"/>
    <w:rsid w:val="005F4343"/>
    <w:rsid w:val="005F43AD"/>
    <w:rsid w:val="005F471B"/>
    <w:rsid w:val="005F4745"/>
    <w:rsid w:val="005F491A"/>
    <w:rsid w:val="005F4B33"/>
    <w:rsid w:val="005F4C0C"/>
    <w:rsid w:val="005F4C15"/>
    <w:rsid w:val="005F4DD2"/>
    <w:rsid w:val="005F4E08"/>
    <w:rsid w:val="005F4E2A"/>
    <w:rsid w:val="005F5008"/>
    <w:rsid w:val="005F501F"/>
    <w:rsid w:val="005F504F"/>
    <w:rsid w:val="005F50F7"/>
    <w:rsid w:val="005F54CD"/>
    <w:rsid w:val="005F54D0"/>
    <w:rsid w:val="005F555A"/>
    <w:rsid w:val="005F5583"/>
    <w:rsid w:val="005F55C5"/>
    <w:rsid w:val="005F563C"/>
    <w:rsid w:val="005F56C7"/>
    <w:rsid w:val="005F56D0"/>
    <w:rsid w:val="005F574B"/>
    <w:rsid w:val="005F5753"/>
    <w:rsid w:val="005F577A"/>
    <w:rsid w:val="005F593E"/>
    <w:rsid w:val="005F5A18"/>
    <w:rsid w:val="005F5AEC"/>
    <w:rsid w:val="005F5AEE"/>
    <w:rsid w:val="005F5BCE"/>
    <w:rsid w:val="005F5E3D"/>
    <w:rsid w:val="005F5F07"/>
    <w:rsid w:val="005F61F3"/>
    <w:rsid w:val="005F62D6"/>
    <w:rsid w:val="005F63BC"/>
    <w:rsid w:val="005F64C9"/>
    <w:rsid w:val="005F66E9"/>
    <w:rsid w:val="005F687C"/>
    <w:rsid w:val="005F6979"/>
    <w:rsid w:val="005F6EB8"/>
    <w:rsid w:val="005F7034"/>
    <w:rsid w:val="005F711A"/>
    <w:rsid w:val="005F717D"/>
    <w:rsid w:val="005F76A4"/>
    <w:rsid w:val="005F77D9"/>
    <w:rsid w:val="005F7818"/>
    <w:rsid w:val="005F7B33"/>
    <w:rsid w:val="005F7C3C"/>
    <w:rsid w:val="005F7D9E"/>
    <w:rsid w:val="005F7F87"/>
    <w:rsid w:val="005F7FBB"/>
    <w:rsid w:val="005F7FBF"/>
    <w:rsid w:val="00600077"/>
    <w:rsid w:val="0060058A"/>
    <w:rsid w:val="006005E3"/>
    <w:rsid w:val="006006C8"/>
    <w:rsid w:val="0060095E"/>
    <w:rsid w:val="00600A2A"/>
    <w:rsid w:val="00600A9F"/>
    <w:rsid w:val="00600AA9"/>
    <w:rsid w:val="00600AC5"/>
    <w:rsid w:val="00600ACE"/>
    <w:rsid w:val="00600CD5"/>
    <w:rsid w:val="00600D85"/>
    <w:rsid w:val="00600E34"/>
    <w:rsid w:val="00601030"/>
    <w:rsid w:val="006011BB"/>
    <w:rsid w:val="006011DA"/>
    <w:rsid w:val="006011EF"/>
    <w:rsid w:val="006012FE"/>
    <w:rsid w:val="0060146D"/>
    <w:rsid w:val="0060176A"/>
    <w:rsid w:val="00601B5F"/>
    <w:rsid w:val="00601CED"/>
    <w:rsid w:val="00601EBE"/>
    <w:rsid w:val="00601F6D"/>
    <w:rsid w:val="006020CA"/>
    <w:rsid w:val="0060215B"/>
    <w:rsid w:val="00602333"/>
    <w:rsid w:val="006023CB"/>
    <w:rsid w:val="006023EB"/>
    <w:rsid w:val="00602508"/>
    <w:rsid w:val="0060252B"/>
    <w:rsid w:val="006025F4"/>
    <w:rsid w:val="0060267D"/>
    <w:rsid w:val="00602737"/>
    <w:rsid w:val="00602738"/>
    <w:rsid w:val="00602765"/>
    <w:rsid w:val="006027D9"/>
    <w:rsid w:val="00602AAF"/>
    <w:rsid w:val="00602DD7"/>
    <w:rsid w:val="00602EA9"/>
    <w:rsid w:val="006031E9"/>
    <w:rsid w:val="0060337F"/>
    <w:rsid w:val="00603512"/>
    <w:rsid w:val="00603712"/>
    <w:rsid w:val="006037A4"/>
    <w:rsid w:val="00603869"/>
    <w:rsid w:val="006038E1"/>
    <w:rsid w:val="00603AF8"/>
    <w:rsid w:val="00603D11"/>
    <w:rsid w:val="00603D28"/>
    <w:rsid w:val="00603D81"/>
    <w:rsid w:val="006041C2"/>
    <w:rsid w:val="00604434"/>
    <w:rsid w:val="00604800"/>
    <w:rsid w:val="00604B29"/>
    <w:rsid w:val="00604B98"/>
    <w:rsid w:val="00604C05"/>
    <w:rsid w:val="00604F24"/>
    <w:rsid w:val="00604F70"/>
    <w:rsid w:val="00605034"/>
    <w:rsid w:val="00605167"/>
    <w:rsid w:val="00605313"/>
    <w:rsid w:val="006054E3"/>
    <w:rsid w:val="00605576"/>
    <w:rsid w:val="006055B2"/>
    <w:rsid w:val="006055D2"/>
    <w:rsid w:val="006055D3"/>
    <w:rsid w:val="0060563A"/>
    <w:rsid w:val="00605767"/>
    <w:rsid w:val="0060576F"/>
    <w:rsid w:val="006057E9"/>
    <w:rsid w:val="006059F7"/>
    <w:rsid w:val="00605BD0"/>
    <w:rsid w:val="00605C22"/>
    <w:rsid w:val="00605C60"/>
    <w:rsid w:val="00605CBF"/>
    <w:rsid w:val="00605E25"/>
    <w:rsid w:val="00605E61"/>
    <w:rsid w:val="006060D4"/>
    <w:rsid w:val="006060D5"/>
    <w:rsid w:val="0060615A"/>
    <w:rsid w:val="00606292"/>
    <w:rsid w:val="006062E5"/>
    <w:rsid w:val="00606427"/>
    <w:rsid w:val="00606501"/>
    <w:rsid w:val="00606544"/>
    <w:rsid w:val="00606570"/>
    <w:rsid w:val="00606614"/>
    <w:rsid w:val="00606698"/>
    <w:rsid w:val="006067A8"/>
    <w:rsid w:val="00606828"/>
    <w:rsid w:val="00606B17"/>
    <w:rsid w:val="00606B2D"/>
    <w:rsid w:val="00606D4D"/>
    <w:rsid w:val="00606DF6"/>
    <w:rsid w:val="00606E3F"/>
    <w:rsid w:val="00606EC3"/>
    <w:rsid w:val="00607011"/>
    <w:rsid w:val="006072AA"/>
    <w:rsid w:val="006073D2"/>
    <w:rsid w:val="006073DB"/>
    <w:rsid w:val="00607662"/>
    <w:rsid w:val="0060769F"/>
    <w:rsid w:val="00607858"/>
    <w:rsid w:val="00607867"/>
    <w:rsid w:val="006079F5"/>
    <w:rsid w:val="00607A1B"/>
    <w:rsid w:val="00607A77"/>
    <w:rsid w:val="00607B6D"/>
    <w:rsid w:val="00607BEE"/>
    <w:rsid w:val="00607BFA"/>
    <w:rsid w:val="00607C46"/>
    <w:rsid w:val="00607D74"/>
    <w:rsid w:val="00607E96"/>
    <w:rsid w:val="00607F58"/>
    <w:rsid w:val="00610293"/>
    <w:rsid w:val="006102C9"/>
    <w:rsid w:val="006103FA"/>
    <w:rsid w:val="006104DD"/>
    <w:rsid w:val="00610574"/>
    <w:rsid w:val="00610614"/>
    <w:rsid w:val="00610671"/>
    <w:rsid w:val="00610C0F"/>
    <w:rsid w:val="00610EBF"/>
    <w:rsid w:val="0061100E"/>
    <w:rsid w:val="0061108D"/>
    <w:rsid w:val="00611247"/>
    <w:rsid w:val="00611387"/>
    <w:rsid w:val="006113E2"/>
    <w:rsid w:val="00611466"/>
    <w:rsid w:val="00611540"/>
    <w:rsid w:val="00611541"/>
    <w:rsid w:val="006115CF"/>
    <w:rsid w:val="006117EA"/>
    <w:rsid w:val="00611954"/>
    <w:rsid w:val="00611B89"/>
    <w:rsid w:val="00611C1F"/>
    <w:rsid w:val="00611C28"/>
    <w:rsid w:val="00611DF1"/>
    <w:rsid w:val="00611F21"/>
    <w:rsid w:val="00611F3D"/>
    <w:rsid w:val="00611F59"/>
    <w:rsid w:val="00611F90"/>
    <w:rsid w:val="00611FD5"/>
    <w:rsid w:val="006123A3"/>
    <w:rsid w:val="00612504"/>
    <w:rsid w:val="00612618"/>
    <w:rsid w:val="00612659"/>
    <w:rsid w:val="00612684"/>
    <w:rsid w:val="00612692"/>
    <w:rsid w:val="00612767"/>
    <w:rsid w:val="00612796"/>
    <w:rsid w:val="006129A0"/>
    <w:rsid w:val="00612B10"/>
    <w:rsid w:val="00612C8B"/>
    <w:rsid w:val="00612CB0"/>
    <w:rsid w:val="00612D1C"/>
    <w:rsid w:val="00612D2D"/>
    <w:rsid w:val="00612D39"/>
    <w:rsid w:val="00612DBF"/>
    <w:rsid w:val="00612FFE"/>
    <w:rsid w:val="0061300A"/>
    <w:rsid w:val="00613032"/>
    <w:rsid w:val="006130FD"/>
    <w:rsid w:val="00613108"/>
    <w:rsid w:val="00613490"/>
    <w:rsid w:val="00613562"/>
    <w:rsid w:val="006135E6"/>
    <w:rsid w:val="006136A4"/>
    <w:rsid w:val="00613755"/>
    <w:rsid w:val="006138EB"/>
    <w:rsid w:val="00613909"/>
    <w:rsid w:val="00613A59"/>
    <w:rsid w:val="00613A5A"/>
    <w:rsid w:val="00613B24"/>
    <w:rsid w:val="00613C72"/>
    <w:rsid w:val="00613CD2"/>
    <w:rsid w:val="00613DB0"/>
    <w:rsid w:val="00613F61"/>
    <w:rsid w:val="00613F83"/>
    <w:rsid w:val="0061420D"/>
    <w:rsid w:val="006142C6"/>
    <w:rsid w:val="00614387"/>
    <w:rsid w:val="006143A8"/>
    <w:rsid w:val="0061461C"/>
    <w:rsid w:val="00614735"/>
    <w:rsid w:val="00614830"/>
    <w:rsid w:val="0061489E"/>
    <w:rsid w:val="00614A0A"/>
    <w:rsid w:val="00614ADD"/>
    <w:rsid w:val="00614F57"/>
    <w:rsid w:val="00614F79"/>
    <w:rsid w:val="00614F7B"/>
    <w:rsid w:val="006150E8"/>
    <w:rsid w:val="00615111"/>
    <w:rsid w:val="006151E2"/>
    <w:rsid w:val="00615281"/>
    <w:rsid w:val="0061561E"/>
    <w:rsid w:val="006157BB"/>
    <w:rsid w:val="006158EE"/>
    <w:rsid w:val="006159B3"/>
    <w:rsid w:val="00615AC1"/>
    <w:rsid w:val="00615B76"/>
    <w:rsid w:val="00615B78"/>
    <w:rsid w:val="00615C4D"/>
    <w:rsid w:val="00615D49"/>
    <w:rsid w:val="00615EB3"/>
    <w:rsid w:val="00615FDC"/>
    <w:rsid w:val="00616635"/>
    <w:rsid w:val="00616658"/>
    <w:rsid w:val="006166CE"/>
    <w:rsid w:val="00616747"/>
    <w:rsid w:val="0061688B"/>
    <w:rsid w:val="00616A00"/>
    <w:rsid w:val="00616A7D"/>
    <w:rsid w:val="00616AAC"/>
    <w:rsid w:val="00616B00"/>
    <w:rsid w:val="00616B74"/>
    <w:rsid w:val="00616E1E"/>
    <w:rsid w:val="00616E2F"/>
    <w:rsid w:val="00616F4A"/>
    <w:rsid w:val="00617062"/>
    <w:rsid w:val="006170B2"/>
    <w:rsid w:val="006170DD"/>
    <w:rsid w:val="006171D9"/>
    <w:rsid w:val="00617328"/>
    <w:rsid w:val="00617402"/>
    <w:rsid w:val="006174D7"/>
    <w:rsid w:val="006176D9"/>
    <w:rsid w:val="00617AB2"/>
    <w:rsid w:val="00617B0E"/>
    <w:rsid w:val="00617BF1"/>
    <w:rsid w:val="00617CAF"/>
    <w:rsid w:val="00617DDA"/>
    <w:rsid w:val="00617E1E"/>
    <w:rsid w:val="00620112"/>
    <w:rsid w:val="006201A5"/>
    <w:rsid w:val="006201C8"/>
    <w:rsid w:val="00620492"/>
    <w:rsid w:val="00620570"/>
    <w:rsid w:val="00620576"/>
    <w:rsid w:val="006205B7"/>
    <w:rsid w:val="006205C5"/>
    <w:rsid w:val="006206E7"/>
    <w:rsid w:val="006206F0"/>
    <w:rsid w:val="00620736"/>
    <w:rsid w:val="00620772"/>
    <w:rsid w:val="0062080D"/>
    <w:rsid w:val="00620874"/>
    <w:rsid w:val="006208EA"/>
    <w:rsid w:val="00620954"/>
    <w:rsid w:val="00620968"/>
    <w:rsid w:val="006209D4"/>
    <w:rsid w:val="006209DF"/>
    <w:rsid w:val="00620B37"/>
    <w:rsid w:val="00620D24"/>
    <w:rsid w:val="00620D46"/>
    <w:rsid w:val="00620D66"/>
    <w:rsid w:val="00620E61"/>
    <w:rsid w:val="0062116A"/>
    <w:rsid w:val="00621274"/>
    <w:rsid w:val="006213ED"/>
    <w:rsid w:val="00621406"/>
    <w:rsid w:val="006214A3"/>
    <w:rsid w:val="006215B0"/>
    <w:rsid w:val="00621882"/>
    <w:rsid w:val="00621889"/>
    <w:rsid w:val="0062190B"/>
    <w:rsid w:val="00621994"/>
    <w:rsid w:val="006219CB"/>
    <w:rsid w:val="00621A49"/>
    <w:rsid w:val="00621A8B"/>
    <w:rsid w:val="00621BF7"/>
    <w:rsid w:val="00621C0B"/>
    <w:rsid w:val="00621D3E"/>
    <w:rsid w:val="00621DAF"/>
    <w:rsid w:val="00621EBA"/>
    <w:rsid w:val="00621F87"/>
    <w:rsid w:val="00621FF2"/>
    <w:rsid w:val="006220E5"/>
    <w:rsid w:val="006220F1"/>
    <w:rsid w:val="00622160"/>
    <w:rsid w:val="006221D2"/>
    <w:rsid w:val="00622342"/>
    <w:rsid w:val="006223EA"/>
    <w:rsid w:val="006224BD"/>
    <w:rsid w:val="006225A3"/>
    <w:rsid w:val="006227E0"/>
    <w:rsid w:val="00622AC8"/>
    <w:rsid w:val="00622B69"/>
    <w:rsid w:val="00622B75"/>
    <w:rsid w:val="00622CC4"/>
    <w:rsid w:val="00622D95"/>
    <w:rsid w:val="00622DB2"/>
    <w:rsid w:val="00622DEB"/>
    <w:rsid w:val="00622E96"/>
    <w:rsid w:val="00623132"/>
    <w:rsid w:val="00623216"/>
    <w:rsid w:val="006232D4"/>
    <w:rsid w:val="00623300"/>
    <w:rsid w:val="006233CD"/>
    <w:rsid w:val="0062367A"/>
    <w:rsid w:val="00623697"/>
    <w:rsid w:val="00623741"/>
    <w:rsid w:val="00623914"/>
    <w:rsid w:val="0062398C"/>
    <w:rsid w:val="00623A18"/>
    <w:rsid w:val="00623ABF"/>
    <w:rsid w:val="00623B08"/>
    <w:rsid w:val="00623BE4"/>
    <w:rsid w:val="00623D36"/>
    <w:rsid w:val="00623E5F"/>
    <w:rsid w:val="00623F4A"/>
    <w:rsid w:val="00624022"/>
    <w:rsid w:val="0062412A"/>
    <w:rsid w:val="00624164"/>
    <w:rsid w:val="0062416E"/>
    <w:rsid w:val="0062431A"/>
    <w:rsid w:val="006243BE"/>
    <w:rsid w:val="00624545"/>
    <w:rsid w:val="006245FC"/>
    <w:rsid w:val="00624650"/>
    <w:rsid w:val="0062468C"/>
    <w:rsid w:val="006248F2"/>
    <w:rsid w:val="0062499C"/>
    <w:rsid w:val="00624E69"/>
    <w:rsid w:val="00624E7B"/>
    <w:rsid w:val="006250CD"/>
    <w:rsid w:val="00625122"/>
    <w:rsid w:val="0062522B"/>
    <w:rsid w:val="00625452"/>
    <w:rsid w:val="006256C8"/>
    <w:rsid w:val="006256E6"/>
    <w:rsid w:val="006258CC"/>
    <w:rsid w:val="00625A64"/>
    <w:rsid w:val="00625BEB"/>
    <w:rsid w:val="00625C38"/>
    <w:rsid w:val="00625E8E"/>
    <w:rsid w:val="006260B7"/>
    <w:rsid w:val="00626341"/>
    <w:rsid w:val="006263B1"/>
    <w:rsid w:val="00626551"/>
    <w:rsid w:val="00626710"/>
    <w:rsid w:val="006267C5"/>
    <w:rsid w:val="00626B21"/>
    <w:rsid w:val="00626B27"/>
    <w:rsid w:val="00626B8F"/>
    <w:rsid w:val="00626BF5"/>
    <w:rsid w:val="00626C59"/>
    <w:rsid w:val="00626CD7"/>
    <w:rsid w:val="00626ED3"/>
    <w:rsid w:val="00626EEB"/>
    <w:rsid w:val="00627047"/>
    <w:rsid w:val="006272E9"/>
    <w:rsid w:val="0062760B"/>
    <w:rsid w:val="00627639"/>
    <w:rsid w:val="00627707"/>
    <w:rsid w:val="006278B0"/>
    <w:rsid w:val="006279FC"/>
    <w:rsid w:val="00627BB4"/>
    <w:rsid w:val="00627CE4"/>
    <w:rsid w:val="00627DF6"/>
    <w:rsid w:val="00630025"/>
    <w:rsid w:val="0063008A"/>
    <w:rsid w:val="006301C8"/>
    <w:rsid w:val="00630295"/>
    <w:rsid w:val="0063045E"/>
    <w:rsid w:val="00630526"/>
    <w:rsid w:val="00630583"/>
    <w:rsid w:val="00630980"/>
    <w:rsid w:val="006309AF"/>
    <w:rsid w:val="00630A86"/>
    <w:rsid w:val="00630CC4"/>
    <w:rsid w:val="00630E6A"/>
    <w:rsid w:val="00630EDA"/>
    <w:rsid w:val="00630FF7"/>
    <w:rsid w:val="0063120C"/>
    <w:rsid w:val="006312F6"/>
    <w:rsid w:val="00631307"/>
    <w:rsid w:val="00631322"/>
    <w:rsid w:val="00631509"/>
    <w:rsid w:val="00631529"/>
    <w:rsid w:val="006316B8"/>
    <w:rsid w:val="0063184D"/>
    <w:rsid w:val="00631865"/>
    <w:rsid w:val="00631951"/>
    <w:rsid w:val="00631B4E"/>
    <w:rsid w:val="00631D0C"/>
    <w:rsid w:val="00631DE1"/>
    <w:rsid w:val="00631E46"/>
    <w:rsid w:val="0063201E"/>
    <w:rsid w:val="00632083"/>
    <w:rsid w:val="00632275"/>
    <w:rsid w:val="006324C6"/>
    <w:rsid w:val="006325A7"/>
    <w:rsid w:val="00632696"/>
    <w:rsid w:val="006327F3"/>
    <w:rsid w:val="00632AED"/>
    <w:rsid w:val="00632B4F"/>
    <w:rsid w:val="00632B9B"/>
    <w:rsid w:val="00632BD5"/>
    <w:rsid w:val="00632CA6"/>
    <w:rsid w:val="00632CAD"/>
    <w:rsid w:val="00632F24"/>
    <w:rsid w:val="00632F3D"/>
    <w:rsid w:val="00632F3E"/>
    <w:rsid w:val="00632FC5"/>
    <w:rsid w:val="00633008"/>
    <w:rsid w:val="0063302A"/>
    <w:rsid w:val="00633185"/>
    <w:rsid w:val="006333CC"/>
    <w:rsid w:val="006333FF"/>
    <w:rsid w:val="0063357D"/>
    <w:rsid w:val="006335ED"/>
    <w:rsid w:val="006336E0"/>
    <w:rsid w:val="0063372D"/>
    <w:rsid w:val="006337B1"/>
    <w:rsid w:val="006338D7"/>
    <w:rsid w:val="006339DA"/>
    <w:rsid w:val="00633A05"/>
    <w:rsid w:val="00633A27"/>
    <w:rsid w:val="00633ACD"/>
    <w:rsid w:val="00633AFA"/>
    <w:rsid w:val="00633B9C"/>
    <w:rsid w:val="00633E10"/>
    <w:rsid w:val="00633FC5"/>
    <w:rsid w:val="00634056"/>
    <w:rsid w:val="006340E7"/>
    <w:rsid w:val="0063420B"/>
    <w:rsid w:val="0063423A"/>
    <w:rsid w:val="006344FC"/>
    <w:rsid w:val="006346D8"/>
    <w:rsid w:val="00634762"/>
    <w:rsid w:val="0063478B"/>
    <w:rsid w:val="0063486C"/>
    <w:rsid w:val="006348FA"/>
    <w:rsid w:val="0063491A"/>
    <w:rsid w:val="00634BBB"/>
    <w:rsid w:val="00634E97"/>
    <w:rsid w:val="00634F28"/>
    <w:rsid w:val="00635041"/>
    <w:rsid w:val="00635157"/>
    <w:rsid w:val="0063526A"/>
    <w:rsid w:val="00635303"/>
    <w:rsid w:val="006357A8"/>
    <w:rsid w:val="00635955"/>
    <w:rsid w:val="006359B2"/>
    <w:rsid w:val="00635A68"/>
    <w:rsid w:val="00635AD9"/>
    <w:rsid w:val="00635B2C"/>
    <w:rsid w:val="00635B76"/>
    <w:rsid w:val="00635D73"/>
    <w:rsid w:val="00635D85"/>
    <w:rsid w:val="00635DA1"/>
    <w:rsid w:val="00635FDE"/>
    <w:rsid w:val="006360A8"/>
    <w:rsid w:val="00636124"/>
    <w:rsid w:val="0063626F"/>
    <w:rsid w:val="00636316"/>
    <w:rsid w:val="00636428"/>
    <w:rsid w:val="00636579"/>
    <w:rsid w:val="0063660F"/>
    <w:rsid w:val="00636747"/>
    <w:rsid w:val="006367B1"/>
    <w:rsid w:val="006369B5"/>
    <w:rsid w:val="006369B6"/>
    <w:rsid w:val="00636ACA"/>
    <w:rsid w:val="00636CA8"/>
    <w:rsid w:val="00636CB3"/>
    <w:rsid w:val="00636D43"/>
    <w:rsid w:val="00636E87"/>
    <w:rsid w:val="00636F22"/>
    <w:rsid w:val="00637223"/>
    <w:rsid w:val="00637539"/>
    <w:rsid w:val="006375AC"/>
    <w:rsid w:val="00637803"/>
    <w:rsid w:val="0063783C"/>
    <w:rsid w:val="00637866"/>
    <w:rsid w:val="00637A59"/>
    <w:rsid w:val="00637BE9"/>
    <w:rsid w:val="00637C67"/>
    <w:rsid w:val="00637CA4"/>
    <w:rsid w:val="00637CC4"/>
    <w:rsid w:val="00637D83"/>
    <w:rsid w:val="00637F1A"/>
    <w:rsid w:val="00637F2E"/>
    <w:rsid w:val="00637F63"/>
    <w:rsid w:val="0064011D"/>
    <w:rsid w:val="006401B3"/>
    <w:rsid w:val="0064024A"/>
    <w:rsid w:val="0064029A"/>
    <w:rsid w:val="00640592"/>
    <w:rsid w:val="00640634"/>
    <w:rsid w:val="0064078E"/>
    <w:rsid w:val="00640820"/>
    <w:rsid w:val="0064097D"/>
    <w:rsid w:val="00640AAF"/>
    <w:rsid w:val="00640BE4"/>
    <w:rsid w:val="00640D34"/>
    <w:rsid w:val="00640F17"/>
    <w:rsid w:val="00640F7A"/>
    <w:rsid w:val="00641061"/>
    <w:rsid w:val="0064109B"/>
    <w:rsid w:val="006410CE"/>
    <w:rsid w:val="00641296"/>
    <w:rsid w:val="00641527"/>
    <w:rsid w:val="00641661"/>
    <w:rsid w:val="00641777"/>
    <w:rsid w:val="006417F0"/>
    <w:rsid w:val="00641A20"/>
    <w:rsid w:val="00641BF2"/>
    <w:rsid w:val="00641C30"/>
    <w:rsid w:val="00641C74"/>
    <w:rsid w:val="00641CFF"/>
    <w:rsid w:val="00641DB7"/>
    <w:rsid w:val="00641DE2"/>
    <w:rsid w:val="00641FF7"/>
    <w:rsid w:val="006422E7"/>
    <w:rsid w:val="00642346"/>
    <w:rsid w:val="006423CE"/>
    <w:rsid w:val="0064262A"/>
    <w:rsid w:val="00642643"/>
    <w:rsid w:val="00642752"/>
    <w:rsid w:val="00642885"/>
    <w:rsid w:val="00642940"/>
    <w:rsid w:val="00642A55"/>
    <w:rsid w:val="00642AE1"/>
    <w:rsid w:val="00642AFE"/>
    <w:rsid w:val="00642AFF"/>
    <w:rsid w:val="00642B1B"/>
    <w:rsid w:val="00642D07"/>
    <w:rsid w:val="00643050"/>
    <w:rsid w:val="00643083"/>
    <w:rsid w:val="0064309E"/>
    <w:rsid w:val="00643179"/>
    <w:rsid w:val="0064319C"/>
    <w:rsid w:val="006432AB"/>
    <w:rsid w:val="006433A6"/>
    <w:rsid w:val="0064355E"/>
    <w:rsid w:val="0064367F"/>
    <w:rsid w:val="006437AB"/>
    <w:rsid w:val="00643C37"/>
    <w:rsid w:val="00643F93"/>
    <w:rsid w:val="006441F7"/>
    <w:rsid w:val="006442BA"/>
    <w:rsid w:val="00644A62"/>
    <w:rsid w:val="00644C68"/>
    <w:rsid w:val="00644DC6"/>
    <w:rsid w:val="00644FB0"/>
    <w:rsid w:val="006450A4"/>
    <w:rsid w:val="006450B2"/>
    <w:rsid w:val="0064520A"/>
    <w:rsid w:val="00645239"/>
    <w:rsid w:val="0064529A"/>
    <w:rsid w:val="006452E2"/>
    <w:rsid w:val="00645421"/>
    <w:rsid w:val="00645ADF"/>
    <w:rsid w:val="00645C09"/>
    <w:rsid w:val="00645FF1"/>
    <w:rsid w:val="0064605F"/>
    <w:rsid w:val="00646175"/>
    <w:rsid w:val="00646227"/>
    <w:rsid w:val="00646298"/>
    <w:rsid w:val="00646381"/>
    <w:rsid w:val="006463DE"/>
    <w:rsid w:val="006463E8"/>
    <w:rsid w:val="006464C0"/>
    <w:rsid w:val="0064650E"/>
    <w:rsid w:val="00646644"/>
    <w:rsid w:val="00646A43"/>
    <w:rsid w:val="00646A80"/>
    <w:rsid w:val="00646AE5"/>
    <w:rsid w:val="00646AFC"/>
    <w:rsid w:val="00646B4E"/>
    <w:rsid w:val="00646B57"/>
    <w:rsid w:val="00646BEE"/>
    <w:rsid w:val="00646C36"/>
    <w:rsid w:val="00646CBB"/>
    <w:rsid w:val="00646F33"/>
    <w:rsid w:val="0064707E"/>
    <w:rsid w:val="006470EB"/>
    <w:rsid w:val="006472E1"/>
    <w:rsid w:val="0064737F"/>
    <w:rsid w:val="006473E8"/>
    <w:rsid w:val="0064754B"/>
    <w:rsid w:val="006475AD"/>
    <w:rsid w:val="00647641"/>
    <w:rsid w:val="00647715"/>
    <w:rsid w:val="00647759"/>
    <w:rsid w:val="006478CA"/>
    <w:rsid w:val="00647AB3"/>
    <w:rsid w:val="00647C70"/>
    <w:rsid w:val="00647D2E"/>
    <w:rsid w:val="00647D5C"/>
    <w:rsid w:val="00647EE6"/>
    <w:rsid w:val="00647F6D"/>
    <w:rsid w:val="0065028D"/>
    <w:rsid w:val="00650290"/>
    <w:rsid w:val="0065048C"/>
    <w:rsid w:val="00650609"/>
    <w:rsid w:val="00650696"/>
    <w:rsid w:val="006506C6"/>
    <w:rsid w:val="0065073A"/>
    <w:rsid w:val="006507F6"/>
    <w:rsid w:val="006508FB"/>
    <w:rsid w:val="00650D31"/>
    <w:rsid w:val="00650DDA"/>
    <w:rsid w:val="00650F99"/>
    <w:rsid w:val="00651127"/>
    <w:rsid w:val="006515C0"/>
    <w:rsid w:val="00651606"/>
    <w:rsid w:val="0065171F"/>
    <w:rsid w:val="00651A14"/>
    <w:rsid w:val="00651A81"/>
    <w:rsid w:val="00651D15"/>
    <w:rsid w:val="00651DEE"/>
    <w:rsid w:val="006522C8"/>
    <w:rsid w:val="006522F5"/>
    <w:rsid w:val="0065232C"/>
    <w:rsid w:val="00652510"/>
    <w:rsid w:val="006527BD"/>
    <w:rsid w:val="006528F6"/>
    <w:rsid w:val="00652921"/>
    <w:rsid w:val="006529B6"/>
    <w:rsid w:val="006529B9"/>
    <w:rsid w:val="00652C84"/>
    <w:rsid w:val="00652D74"/>
    <w:rsid w:val="00652E2E"/>
    <w:rsid w:val="00652F74"/>
    <w:rsid w:val="00652FE3"/>
    <w:rsid w:val="0065310B"/>
    <w:rsid w:val="00653143"/>
    <w:rsid w:val="006532C2"/>
    <w:rsid w:val="0065331E"/>
    <w:rsid w:val="00653AC3"/>
    <w:rsid w:val="00653AF2"/>
    <w:rsid w:val="00653C5F"/>
    <w:rsid w:val="00653CB6"/>
    <w:rsid w:val="00653CFE"/>
    <w:rsid w:val="0065404B"/>
    <w:rsid w:val="00654080"/>
    <w:rsid w:val="006541F0"/>
    <w:rsid w:val="006541F2"/>
    <w:rsid w:val="006541FA"/>
    <w:rsid w:val="0065429A"/>
    <w:rsid w:val="0065432E"/>
    <w:rsid w:val="00654469"/>
    <w:rsid w:val="00654A42"/>
    <w:rsid w:val="00654AEC"/>
    <w:rsid w:val="00654C49"/>
    <w:rsid w:val="00654E4B"/>
    <w:rsid w:val="00654EBD"/>
    <w:rsid w:val="00654F84"/>
    <w:rsid w:val="00654FC9"/>
    <w:rsid w:val="0065504A"/>
    <w:rsid w:val="00655080"/>
    <w:rsid w:val="0065509A"/>
    <w:rsid w:val="006550F2"/>
    <w:rsid w:val="00655107"/>
    <w:rsid w:val="0065518C"/>
    <w:rsid w:val="006553BE"/>
    <w:rsid w:val="00655455"/>
    <w:rsid w:val="006554B7"/>
    <w:rsid w:val="006555D7"/>
    <w:rsid w:val="0065584C"/>
    <w:rsid w:val="00655AC7"/>
    <w:rsid w:val="00655BE3"/>
    <w:rsid w:val="00655C6F"/>
    <w:rsid w:val="00655D32"/>
    <w:rsid w:val="00655D64"/>
    <w:rsid w:val="00656097"/>
    <w:rsid w:val="006560BB"/>
    <w:rsid w:val="006561FF"/>
    <w:rsid w:val="00656235"/>
    <w:rsid w:val="00656262"/>
    <w:rsid w:val="006562AB"/>
    <w:rsid w:val="006564A3"/>
    <w:rsid w:val="006564A7"/>
    <w:rsid w:val="0065655E"/>
    <w:rsid w:val="0065658A"/>
    <w:rsid w:val="0065695E"/>
    <w:rsid w:val="00656A35"/>
    <w:rsid w:val="00656B47"/>
    <w:rsid w:val="00656D6C"/>
    <w:rsid w:val="00656EA4"/>
    <w:rsid w:val="00656EF4"/>
    <w:rsid w:val="00657058"/>
    <w:rsid w:val="006571FC"/>
    <w:rsid w:val="006572AD"/>
    <w:rsid w:val="006572F8"/>
    <w:rsid w:val="006573BC"/>
    <w:rsid w:val="00657463"/>
    <w:rsid w:val="00657539"/>
    <w:rsid w:val="006576ED"/>
    <w:rsid w:val="0065778A"/>
    <w:rsid w:val="0065790B"/>
    <w:rsid w:val="00657B36"/>
    <w:rsid w:val="00657B8C"/>
    <w:rsid w:val="00657E24"/>
    <w:rsid w:val="00657F27"/>
    <w:rsid w:val="00657FCE"/>
    <w:rsid w:val="0066016E"/>
    <w:rsid w:val="00660257"/>
    <w:rsid w:val="00660446"/>
    <w:rsid w:val="0066058C"/>
    <w:rsid w:val="0066068D"/>
    <w:rsid w:val="00660805"/>
    <w:rsid w:val="006608BC"/>
    <w:rsid w:val="00660927"/>
    <w:rsid w:val="00660933"/>
    <w:rsid w:val="00660A15"/>
    <w:rsid w:val="00660C8C"/>
    <w:rsid w:val="00660EE5"/>
    <w:rsid w:val="00660FEB"/>
    <w:rsid w:val="0066104A"/>
    <w:rsid w:val="00661086"/>
    <w:rsid w:val="006610B6"/>
    <w:rsid w:val="0066111B"/>
    <w:rsid w:val="006611D1"/>
    <w:rsid w:val="00661219"/>
    <w:rsid w:val="00661249"/>
    <w:rsid w:val="0066136A"/>
    <w:rsid w:val="00661465"/>
    <w:rsid w:val="00661482"/>
    <w:rsid w:val="006615EF"/>
    <w:rsid w:val="00661857"/>
    <w:rsid w:val="0066186E"/>
    <w:rsid w:val="00661886"/>
    <w:rsid w:val="00661937"/>
    <w:rsid w:val="00661BC9"/>
    <w:rsid w:val="00661BE0"/>
    <w:rsid w:val="00661C87"/>
    <w:rsid w:val="00661CB2"/>
    <w:rsid w:val="00661E7F"/>
    <w:rsid w:val="00661EA6"/>
    <w:rsid w:val="00662037"/>
    <w:rsid w:val="00662136"/>
    <w:rsid w:val="00662385"/>
    <w:rsid w:val="006623BE"/>
    <w:rsid w:val="00662879"/>
    <w:rsid w:val="006629AA"/>
    <w:rsid w:val="00662A8A"/>
    <w:rsid w:val="00662BB0"/>
    <w:rsid w:val="00662C54"/>
    <w:rsid w:val="00662C6B"/>
    <w:rsid w:val="00662CA6"/>
    <w:rsid w:val="00662ED5"/>
    <w:rsid w:val="00662EEC"/>
    <w:rsid w:val="0066329D"/>
    <w:rsid w:val="0066332E"/>
    <w:rsid w:val="006633D3"/>
    <w:rsid w:val="0066344B"/>
    <w:rsid w:val="0066361A"/>
    <w:rsid w:val="00663663"/>
    <w:rsid w:val="00663760"/>
    <w:rsid w:val="00663810"/>
    <w:rsid w:val="0066385A"/>
    <w:rsid w:val="00663903"/>
    <w:rsid w:val="0066396C"/>
    <w:rsid w:val="00663A5D"/>
    <w:rsid w:val="00663D09"/>
    <w:rsid w:val="00663FC5"/>
    <w:rsid w:val="0066400C"/>
    <w:rsid w:val="0066414D"/>
    <w:rsid w:val="0066417B"/>
    <w:rsid w:val="00664381"/>
    <w:rsid w:val="006644B7"/>
    <w:rsid w:val="0066462B"/>
    <w:rsid w:val="006646AB"/>
    <w:rsid w:val="006646B1"/>
    <w:rsid w:val="006646B5"/>
    <w:rsid w:val="006647F6"/>
    <w:rsid w:val="00664AF6"/>
    <w:rsid w:val="00664B03"/>
    <w:rsid w:val="00664B61"/>
    <w:rsid w:val="00664BF1"/>
    <w:rsid w:val="00664D2D"/>
    <w:rsid w:val="00664EE0"/>
    <w:rsid w:val="006650AB"/>
    <w:rsid w:val="006650FA"/>
    <w:rsid w:val="00665233"/>
    <w:rsid w:val="00665270"/>
    <w:rsid w:val="00665289"/>
    <w:rsid w:val="006652F2"/>
    <w:rsid w:val="0066532D"/>
    <w:rsid w:val="006653CC"/>
    <w:rsid w:val="006653F5"/>
    <w:rsid w:val="00665459"/>
    <w:rsid w:val="006655CA"/>
    <w:rsid w:val="006655CE"/>
    <w:rsid w:val="006655D7"/>
    <w:rsid w:val="006655D8"/>
    <w:rsid w:val="006656AA"/>
    <w:rsid w:val="0066571C"/>
    <w:rsid w:val="006657DD"/>
    <w:rsid w:val="006659CA"/>
    <w:rsid w:val="00665C55"/>
    <w:rsid w:val="00665C76"/>
    <w:rsid w:val="00665EA9"/>
    <w:rsid w:val="00665F31"/>
    <w:rsid w:val="00665F35"/>
    <w:rsid w:val="00665F36"/>
    <w:rsid w:val="00665F43"/>
    <w:rsid w:val="00666002"/>
    <w:rsid w:val="00666017"/>
    <w:rsid w:val="006660C0"/>
    <w:rsid w:val="006661B9"/>
    <w:rsid w:val="006662FE"/>
    <w:rsid w:val="006664A9"/>
    <w:rsid w:val="0066655B"/>
    <w:rsid w:val="006666F2"/>
    <w:rsid w:val="0066677E"/>
    <w:rsid w:val="006667D8"/>
    <w:rsid w:val="00666A29"/>
    <w:rsid w:val="00666C0C"/>
    <w:rsid w:val="00666CCC"/>
    <w:rsid w:val="00666D1C"/>
    <w:rsid w:val="00666E7B"/>
    <w:rsid w:val="006670B8"/>
    <w:rsid w:val="00667599"/>
    <w:rsid w:val="006675F2"/>
    <w:rsid w:val="00667681"/>
    <w:rsid w:val="006676A2"/>
    <w:rsid w:val="006679D6"/>
    <w:rsid w:val="00667A1C"/>
    <w:rsid w:val="00667B26"/>
    <w:rsid w:val="00667B57"/>
    <w:rsid w:val="00667D5A"/>
    <w:rsid w:val="00667DBC"/>
    <w:rsid w:val="00667DC0"/>
    <w:rsid w:val="00667F27"/>
    <w:rsid w:val="00670051"/>
    <w:rsid w:val="006701E0"/>
    <w:rsid w:val="006701F9"/>
    <w:rsid w:val="0067037D"/>
    <w:rsid w:val="006704F5"/>
    <w:rsid w:val="00670557"/>
    <w:rsid w:val="00670582"/>
    <w:rsid w:val="00670619"/>
    <w:rsid w:val="00670824"/>
    <w:rsid w:val="00670928"/>
    <w:rsid w:val="006709B9"/>
    <w:rsid w:val="00670B96"/>
    <w:rsid w:val="00670FD0"/>
    <w:rsid w:val="00671163"/>
    <w:rsid w:val="00671277"/>
    <w:rsid w:val="006713BD"/>
    <w:rsid w:val="0067152E"/>
    <w:rsid w:val="006716B3"/>
    <w:rsid w:val="006716C9"/>
    <w:rsid w:val="00671771"/>
    <w:rsid w:val="006717D0"/>
    <w:rsid w:val="00671A2C"/>
    <w:rsid w:val="00671A8C"/>
    <w:rsid w:val="00671AA7"/>
    <w:rsid w:val="00671B37"/>
    <w:rsid w:val="00671CF0"/>
    <w:rsid w:val="00671D60"/>
    <w:rsid w:val="00671E50"/>
    <w:rsid w:val="0067209C"/>
    <w:rsid w:val="00672100"/>
    <w:rsid w:val="00672198"/>
    <w:rsid w:val="00672233"/>
    <w:rsid w:val="006722B0"/>
    <w:rsid w:val="006722C5"/>
    <w:rsid w:val="00672404"/>
    <w:rsid w:val="00672486"/>
    <w:rsid w:val="00672625"/>
    <w:rsid w:val="006726BD"/>
    <w:rsid w:val="00672834"/>
    <w:rsid w:val="00672894"/>
    <w:rsid w:val="00672A6D"/>
    <w:rsid w:val="00672A9E"/>
    <w:rsid w:val="00672D51"/>
    <w:rsid w:val="006730CF"/>
    <w:rsid w:val="00673177"/>
    <w:rsid w:val="00673384"/>
    <w:rsid w:val="0067349D"/>
    <w:rsid w:val="00673517"/>
    <w:rsid w:val="00673545"/>
    <w:rsid w:val="006735B3"/>
    <w:rsid w:val="00673748"/>
    <w:rsid w:val="00673762"/>
    <w:rsid w:val="006738D5"/>
    <w:rsid w:val="006738EA"/>
    <w:rsid w:val="006739A5"/>
    <w:rsid w:val="00673AA8"/>
    <w:rsid w:val="00673FA0"/>
    <w:rsid w:val="0067402C"/>
    <w:rsid w:val="0067406B"/>
    <w:rsid w:val="00674079"/>
    <w:rsid w:val="00674086"/>
    <w:rsid w:val="0067413B"/>
    <w:rsid w:val="0067418B"/>
    <w:rsid w:val="00674270"/>
    <w:rsid w:val="006742B6"/>
    <w:rsid w:val="006745BE"/>
    <w:rsid w:val="00674959"/>
    <w:rsid w:val="00674A3A"/>
    <w:rsid w:val="00674C94"/>
    <w:rsid w:val="00674DD4"/>
    <w:rsid w:val="00675059"/>
    <w:rsid w:val="00675064"/>
    <w:rsid w:val="0067509E"/>
    <w:rsid w:val="006750FB"/>
    <w:rsid w:val="006751BB"/>
    <w:rsid w:val="0067520A"/>
    <w:rsid w:val="00675353"/>
    <w:rsid w:val="00675392"/>
    <w:rsid w:val="00675422"/>
    <w:rsid w:val="0067556B"/>
    <w:rsid w:val="00675634"/>
    <w:rsid w:val="00675836"/>
    <w:rsid w:val="0067585B"/>
    <w:rsid w:val="006758AE"/>
    <w:rsid w:val="00675C32"/>
    <w:rsid w:val="00675C68"/>
    <w:rsid w:val="00675CB2"/>
    <w:rsid w:val="00675CE4"/>
    <w:rsid w:val="00675D2F"/>
    <w:rsid w:val="00675DF2"/>
    <w:rsid w:val="00675FE3"/>
    <w:rsid w:val="006763BA"/>
    <w:rsid w:val="006765CC"/>
    <w:rsid w:val="0067660F"/>
    <w:rsid w:val="0067684E"/>
    <w:rsid w:val="006768C9"/>
    <w:rsid w:val="00676911"/>
    <w:rsid w:val="00676A1D"/>
    <w:rsid w:val="00676AE2"/>
    <w:rsid w:val="00676B4E"/>
    <w:rsid w:val="00676C06"/>
    <w:rsid w:val="00676D42"/>
    <w:rsid w:val="00676F46"/>
    <w:rsid w:val="00676FBC"/>
    <w:rsid w:val="006772C4"/>
    <w:rsid w:val="0067755D"/>
    <w:rsid w:val="006775BF"/>
    <w:rsid w:val="00677719"/>
    <w:rsid w:val="00677ABF"/>
    <w:rsid w:val="00677AF9"/>
    <w:rsid w:val="00677B64"/>
    <w:rsid w:val="00677C2D"/>
    <w:rsid w:val="00677DDE"/>
    <w:rsid w:val="00680068"/>
    <w:rsid w:val="006800B5"/>
    <w:rsid w:val="0068027B"/>
    <w:rsid w:val="0068028F"/>
    <w:rsid w:val="006804BD"/>
    <w:rsid w:val="00680556"/>
    <w:rsid w:val="00680565"/>
    <w:rsid w:val="0068056D"/>
    <w:rsid w:val="0068087E"/>
    <w:rsid w:val="0068097E"/>
    <w:rsid w:val="006809BC"/>
    <w:rsid w:val="00680D9F"/>
    <w:rsid w:val="00680E57"/>
    <w:rsid w:val="00680E69"/>
    <w:rsid w:val="00680EDE"/>
    <w:rsid w:val="00680F13"/>
    <w:rsid w:val="00681055"/>
    <w:rsid w:val="0068114E"/>
    <w:rsid w:val="00681357"/>
    <w:rsid w:val="006814E1"/>
    <w:rsid w:val="00681537"/>
    <w:rsid w:val="006816AD"/>
    <w:rsid w:val="00681760"/>
    <w:rsid w:val="00681787"/>
    <w:rsid w:val="00681826"/>
    <w:rsid w:val="00681881"/>
    <w:rsid w:val="006819B0"/>
    <w:rsid w:val="006819D5"/>
    <w:rsid w:val="006819DB"/>
    <w:rsid w:val="00681A37"/>
    <w:rsid w:val="00681C60"/>
    <w:rsid w:val="00681D0A"/>
    <w:rsid w:val="00681DD0"/>
    <w:rsid w:val="00681DF0"/>
    <w:rsid w:val="00681FCD"/>
    <w:rsid w:val="0068223F"/>
    <w:rsid w:val="0068226A"/>
    <w:rsid w:val="0068250A"/>
    <w:rsid w:val="0068258D"/>
    <w:rsid w:val="0068265C"/>
    <w:rsid w:val="00682723"/>
    <w:rsid w:val="00682838"/>
    <w:rsid w:val="006828EA"/>
    <w:rsid w:val="006828F1"/>
    <w:rsid w:val="006828F8"/>
    <w:rsid w:val="0068296E"/>
    <w:rsid w:val="00682C8C"/>
    <w:rsid w:val="00682F60"/>
    <w:rsid w:val="00683192"/>
    <w:rsid w:val="0068320A"/>
    <w:rsid w:val="00683252"/>
    <w:rsid w:val="006832C1"/>
    <w:rsid w:val="00683492"/>
    <w:rsid w:val="00683625"/>
    <w:rsid w:val="00683656"/>
    <w:rsid w:val="006836E1"/>
    <w:rsid w:val="006838BB"/>
    <w:rsid w:val="006838DE"/>
    <w:rsid w:val="00683916"/>
    <w:rsid w:val="00683994"/>
    <w:rsid w:val="006839E8"/>
    <w:rsid w:val="00683ADE"/>
    <w:rsid w:val="00683B84"/>
    <w:rsid w:val="00683BC4"/>
    <w:rsid w:val="00683DA9"/>
    <w:rsid w:val="00683DB2"/>
    <w:rsid w:val="00683EB1"/>
    <w:rsid w:val="00683EE7"/>
    <w:rsid w:val="00683F3B"/>
    <w:rsid w:val="00683F5A"/>
    <w:rsid w:val="00683F9B"/>
    <w:rsid w:val="00683FA2"/>
    <w:rsid w:val="006840BE"/>
    <w:rsid w:val="00684150"/>
    <w:rsid w:val="006841FA"/>
    <w:rsid w:val="00684395"/>
    <w:rsid w:val="006843EA"/>
    <w:rsid w:val="00684426"/>
    <w:rsid w:val="006844FB"/>
    <w:rsid w:val="00684505"/>
    <w:rsid w:val="0068456B"/>
    <w:rsid w:val="0068473F"/>
    <w:rsid w:val="006847DF"/>
    <w:rsid w:val="006848EF"/>
    <w:rsid w:val="0068492A"/>
    <w:rsid w:val="00684A87"/>
    <w:rsid w:val="00684B44"/>
    <w:rsid w:val="00684B50"/>
    <w:rsid w:val="00684B6D"/>
    <w:rsid w:val="00684BA5"/>
    <w:rsid w:val="00684BEF"/>
    <w:rsid w:val="00684D0E"/>
    <w:rsid w:val="00684E79"/>
    <w:rsid w:val="00684EAC"/>
    <w:rsid w:val="00684F56"/>
    <w:rsid w:val="00684F59"/>
    <w:rsid w:val="00684FB2"/>
    <w:rsid w:val="00684FE7"/>
    <w:rsid w:val="006850ED"/>
    <w:rsid w:val="006850FC"/>
    <w:rsid w:val="00685243"/>
    <w:rsid w:val="006857DF"/>
    <w:rsid w:val="00685921"/>
    <w:rsid w:val="00685C2F"/>
    <w:rsid w:val="00685FB9"/>
    <w:rsid w:val="00685FE9"/>
    <w:rsid w:val="00686196"/>
    <w:rsid w:val="00686214"/>
    <w:rsid w:val="00686244"/>
    <w:rsid w:val="00686272"/>
    <w:rsid w:val="0068629E"/>
    <w:rsid w:val="0068638D"/>
    <w:rsid w:val="00686421"/>
    <w:rsid w:val="006864C1"/>
    <w:rsid w:val="006864E0"/>
    <w:rsid w:val="0068650A"/>
    <w:rsid w:val="006865AD"/>
    <w:rsid w:val="006867AE"/>
    <w:rsid w:val="006869DF"/>
    <w:rsid w:val="00686B17"/>
    <w:rsid w:val="00686B5A"/>
    <w:rsid w:val="00686B80"/>
    <w:rsid w:val="00686DA3"/>
    <w:rsid w:val="00686E47"/>
    <w:rsid w:val="00686EA3"/>
    <w:rsid w:val="00686EC1"/>
    <w:rsid w:val="00686EC4"/>
    <w:rsid w:val="00686EEE"/>
    <w:rsid w:val="0068700E"/>
    <w:rsid w:val="0068705C"/>
    <w:rsid w:val="00687292"/>
    <w:rsid w:val="0068733E"/>
    <w:rsid w:val="00687470"/>
    <w:rsid w:val="0068752E"/>
    <w:rsid w:val="0068762D"/>
    <w:rsid w:val="006877E7"/>
    <w:rsid w:val="00687A57"/>
    <w:rsid w:val="00687BB7"/>
    <w:rsid w:val="00687D20"/>
    <w:rsid w:val="00687E98"/>
    <w:rsid w:val="00687ECB"/>
    <w:rsid w:val="00687FB8"/>
    <w:rsid w:val="006901B2"/>
    <w:rsid w:val="006901F7"/>
    <w:rsid w:val="00690325"/>
    <w:rsid w:val="0069058C"/>
    <w:rsid w:val="00690812"/>
    <w:rsid w:val="00690882"/>
    <w:rsid w:val="0069093F"/>
    <w:rsid w:val="006909FE"/>
    <w:rsid w:val="00690A36"/>
    <w:rsid w:val="00690AAD"/>
    <w:rsid w:val="00690AC0"/>
    <w:rsid w:val="00690B47"/>
    <w:rsid w:val="00690C38"/>
    <w:rsid w:val="00690CE3"/>
    <w:rsid w:val="00690D0C"/>
    <w:rsid w:val="00690E1F"/>
    <w:rsid w:val="00690E3D"/>
    <w:rsid w:val="00690E8C"/>
    <w:rsid w:val="00690EE9"/>
    <w:rsid w:val="00690FAA"/>
    <w:rsid w:val="0069107D"/>
    <w:rsid w:val="006911D1"/>
    <w:rsid w:val="0069122D"/>
    <w:rsid w:val="00691384"/>
    <w:rsid w:val="0069149F"/>
    <w:rsid w:val="006914D8"/>
    <w:rsid w:val="00691621"/>
    <w:rsid w:val="006917AC"/>
    <w:rsid w:val="006917CC"/>
    <w:rsid w:val="00691A0D"/>
    <w:rsid w:val="00691CB2"/>
    <w:rsid w:val="00691D6A"/>
    <w:rsid w:val="00691DFA"/>
    <w:rsid w:val="00691E75"/>
    <w:rsid w:val="00691F1A"/>
    <w:rsid w:val="00691F8F"/>
    <w:rsid w:val="00691FDD"/>
    <w:rsid w:val="00692085"/>
    <w:rsid w:val="00692167"/>
    <w:rsid w:val="00692223"/>
    <w:rsid w:val="006924E7"/>
    <w:rsid w:val="0069274A"/>
    <w:rsid w:val="00692975"/>
    <w:rsid w:val="00692BD3"/>
    <w:rsid w:val="00692D33"/>
    <w:rsid w:val="00692F50"/>
    <w:rsid w:val="00692F53"/>
    <w:rsid w:val="0069323C"/>
    <w:rsid w:val="006935C7"/>
    <w:rsid w:val="0069366F"/>
    <w:rsid w:val="006936F4"/>
    <w:rsid w:val="00693941"/>
    <w:rsid w:val="00693AF4"/>
    <w:rsid w:val="00693D3F"/>
    <w:rsid w:val="00694173"/>
    <w:rsid w:val="00694174"/>
    <w:rsid w:val="0069423E"/>
    <w:rsid w:val="0069424C"/>
    <w:rsid w:val="0069428D"/>
    <w:rsid w:val="006942A9"/>
    <w:rsid w:val="00694328"/>
    <w:rsid w:val="00694348"/>
    <w:rsid w:val="006945ED"/>
    <w:rsid w:val="0069488F"/>
    <w:rsid w:val="0069494B"/>
    <w:rsid w:val="00694B30"/>
    <w:rsid w:val="00694BE8"/>
    <w:rsid w:val="00694C8B"/>
    <w:rsid w:val="00694D21"/>
    <w:rsid w:val="00694DF3"/>
    <w:rsid w:val="00694E30"/>
    <w:rsid w:val="00694EE3"/>
    <w:rsid w:val="00695096"/>
    <w:rsid w:val="00695126"/>
    <w:rsid w:val="006954A6"/>
    <w:rsid w:val="006954D1"/>
    <w:rsid w:val="00695608"/>
    <w:rsid w:val="00695818"/>
    <w:rsid w:val="00695844"/>
    <w:rsid w:val="00695A88"/>
    <w:rsid w:val="00695B2F"/>
    <w:rsid w:val="00695D04"/>
    <w:rsid w:val="00695D56"/>
    <w:rsid w:val="00695E9F"/>
    <w:rsid w:val="00695FB4"/>
    <w:rsid w:val="00696340"/>
    <w:rsid w:val="00696402"/>
    <w:rsid w:val="006966F0"/>
    <w:rsid w:val="00696830"/>
    <w:rsid w:val="006968EB"/>
    <w:rsid w:val="00696ACA"/>
    <w:rsid w:val="00696F15"/>
    <w:rsid w:val="0069708B"/>
    <w:rsid w:val="00697163"/>
    <w:rsid w:val="00697202"/>
    <w:rsid w:val="006972C2"/>
    <w:rsid w:val="0069773D"/>
    <w:rsid w:val="006977A1"/>
    <w:rsid w:val="00697877"/>
    <w:rsid w:val="00697903"/>
    <w:rsid w:val="00697940"/>
    <w:rsid w:val="00697981"/>
    <w:rsid w:val="00697B27"/>
    <w:rsid w:val="00697B29"/>
    <w:rsid w:val="00697C52"/>
    <w:rsid w:val="00697C8D"/>
    <w:rsid w:val="00697CC1"/>
    <w:rsid w:val="006A000B"/>
    <w:rsid w:val="006A00B1"/>
    <w:rsid w:val="006A01B7"/>
    <w:rsid w:val="006A01E9"/>
    <w:rsid w:val="006A0588"/>
    <w:rsid w:val="006A05C6"/>
    <w:rsid w:val="006A06D5"/>
    <w:rsid w:val="006A0813"/>
    <w:rsid w:val="006A0893"/>
    <w:rsid w:val="006A09E7"/>
    <w:rsid w:val="006A0A20"/>
    <w:rsid w:val="006A0A4E"/>
    <w:rsid w:val="006A0BB1"/>
    <w:rsid w:val="006A0FDC"/>
    <w:rsid w:val="006A100B"/>
    <w:rsid w:val="006A1110"/>
    <w:rsid w:val="006A14BC"/>
    <w:rsid w:val="006A14E5"/>
    <w:rsid w:val="006A14F8"/>
    <w:rsid w:val="006A15CF"/>
    <w:rsid w:val="006A15FA"/>
    <w:rsid w:val="006A169C"/>
    <w:rsid w:val="006A1770"/>
    <w:rsid w:val="006A18E1"/>
    <w:rsid w:val="006A1CC4"/>
    <w:rsid w:val="006A1DE3"/>
    <w:rsid w:val="006A1FED"/>
    <w:rsid w:val="006A20E1"/>
    <w:rsid w:val="006A210D"/>
    <w:rsid w:val="006A2123"/>
    <w:rsid w:val="006A21AD"/>
    <w:rsid w:val="006A22CE"/>
    <w:rsid w:val="006A2362"/>
    <w:rsid w:val="006A24F2"/>
    <w:rsid w:val="006A25E8"/>
    <w:rsid w:val="006A27BC"/>
    <w:rsid w:val="006A288F"/>
    <w:rsid w:val="006A29A7"/>
    <w:rsid w:val="006A2AE0"/>
    <w:rsid w:val="006A2AEE"/>
    <w:rsid w:val="006A2B1A"/>
    <w:rsid w:val="006A2B20"/>
    <w:rsid w:val="006A2CA1"/>
    <w:rsid w:val="006A2D02"/>
    <w:rsid w:val="006A2FFA"/>
    <w:rsid w:val="006A3065"/>
    <w:rsid w:val="006A31D0"/>
    <w:rsid w:val="006A3227"/>
    <w:rsid w:val="006A326F"/>
    <w:rsid w:val="006A32C6"/>
    <w:rsid w:val="006A32DF"/>
    <w:rsid w:val="006A3804"/>
    <w:rsid w:val="006A3A2E"/>
    <w:rsid w:val="006A3B13"/>
    <w:rsid w:val="006A3B9C"/>
    <w:rsid w:val="006A3BB8"/>
    <w:rsid w:val="006A3C59"/>
    <w:rsid w:val="006A3C73"/>
    <w:rsid w:val="006A3CEA"/>
    <w:rsid w:val="006A3E04"/>
    <w:rsid w:val="006A3E72"/>
    <w:rsid w:val="006A3E8E"/>
    <w:rsid w:val="006A3FB8"/>
    <w:rsid w:val="006A40DE"/>
    <w:rsid w:val="006A40F7"/>
    <w:rsid w:val="006A414D"/>
    <w:rsid w:val="006A443B"/>
    <w:rsid w:val="006A45C2"/>
    <w:rsid w:val="006A461D"/>
    <w:rsid w:val="006A46B4"/>
    <w:rsid w:val="006A48A8"/>
    <w:rsid w:val="006A4A3C"/>
    <w:rsid w:val="006A4A8F"/>
    <w:rsid w:val="006A4B9E"/>
    <w:rsid w:val="006A4D86"/>
    <w:rsid w:val="006A521F"/>
    <w:rsid w:val="006A53FF"/>
    <w:rsid w:val="006A5435"/>
    <w:rsid w:val="006A552A"/>
    <w:rsid w:val="006A5615"/>
    <w:rsid w:val="006A5661"/>
    <w:rsid w:val="006A568D"/>
    <w:rsid w:val="006A5783"/>
    <w:rsid w:val="006A57A0"/>
    <w:rsid w:val="006A5A1E"/>
    <w:rsid w:val="006A5BC9"/>
    <w:rsid w:val="006A5CA0"/>
    <w:rsid w:val="006A5CC7"/>
    <w:rsid w:val="006A5D14"/>
    <w:rsid w:val="006A5E71"/>
    <w:rsid w:val="006A5EF3"/>
    <w:rsid w:val="006A6010"/>
    <w:rsid w:val="006A610C"/>
    <w:rsid w:val="006A613D"/>
    <w:rsid w:val="006A6161"/>
    <w:rsid w:val="006A6276"/>
    <w:rsid w:val="006A63BA"/>
    <w:rsid w:val="006A64A8"/>
    <w:rsid w:val="006A6613"/>
    <w:rsid w:val="006A664D"/>
    <w:rsid w:val="006A67BE"/>
    <w:rsid w:val="006A6824"/>
    <w:rsid w:val="006A698F"/>
    <w:rsid w:val="006A6A51"/>
    <w:rsid w:val="006A6A92"/>
    <w:rsid w:val="006A6AA8"/>
    <w:rsid w:val="006A6BF1"/>
    <w:rsid w:val="006A6C00"/>
    <w:rsid w:val="006A6D7D"/>
    <w:rsid w:val="006A6DAC"/>
    <w:rsid w:val="006A6E6B"/>
    <w:rsid w:val="006A7073"/>
    <w:rsid w:val="006A70A5"/>
    <w:rsid w:val="006A70FC"/>
    <w:rsid w:val="006A7213"/>
    <w:rsid w:val="006A7233"/>
    <w:rsid w:val="006A726C"/>
    <w:rsid w:val="006A72B4"/>
    <w:rsid w:val="006A72D2"/>
    <w:rsid w:val="006A72EC"/>
    <w:rsid w:val="006A738A"/>
    <w:rsid w:val="006A7516"/>
    <w:rsid w:val="006A77A8"/>
    <w:rsid w:val="006A7985"/>
    <w:rsid w:val="006A79C9"/>
    <w:rsid w:val="006A7AD2"/>
    <w:rsid w:val="006A7B68"/>
    <w:rsid w:val="006A7C19"/>
    <w:rsid w:val="006A7C30"/>
    <w:rsid w:val="006A7CCB"/>
    <w:rsid w:val="006A7DC6"/>
    <w:rsid w:val="006A7DCB"/>
    <w:rsid w:val="006A7EA3"/>
    <w:rsid w:val="006A7F3C"/>
    <w:rsid w:val="006B00DF"/>
    <w:rsid w:val="006B019E"/>
    <w:rsid w:val="006B03BB"/>
    <w:rsid w:val="006B0604"/>
    <w:rsid w:val="006B0649"/>
    <w:rsid w:val="006B0664"/>
    <w:rsid w:val="006B069A"/>
    <w:rsid w:val="006B0720"/>
    <w:rsid w:val="006B0897"/>
    <w:rsid w:val="006B08F6"/>
    <w:rsid w:val="006B0953"/>
    <w:rsid w:val="006B09A3"/>
    <w:rsid w:val="006B0A3F"/>
    <w:rsid w:val="006B0A48"/>
    <w:rsid w:val="006B0B70"/>
    <w:rsid w:val="006B0CBE"/>
    <w:rsid w:val="006B0D8D"/>
    <w:rsid w:val="006B0DD6"/>
    <w:rsid w:val="006B0F1E"/>
    <w:rsid w:val="006B1317"/>
    <w:rsid w:val="006B1457"/>
    <w:rsid w:val="006B148F"/>
    <w:rsid w:val="006B14A5"/>
    <w:rsid w:val="006B1541"/>
    <w:rsid w:val="006B178E"/>
    <w:rsid w:val="006B182D"/>
    <w:rsid w:val="006B194D"/>
    <w:rsid w:val="006B19EF"/>
    <w:rsid w:val="006B1A54"/>
    <w:rsid w:val="006B1A99"/>
    <w:rsid w:val="006B1B3D"/>
    <w:rsid w:val="006B1C11"/>
    <w:rsid w:val="006B1C20"/>
    <w:rsid w:val="006B1CD4"/>
    <w:rsid w:val="006B20FB"/>
    <w:rsid w:val="006B21DB"/>
    <w:rsid w:val="006B21F4"/>
    <w:rsid w:val="006B2344"/>
    <w:rsid w:val="006B238E"/>
    <w:rsid w:val="006B2700"/>
    <w:rsid w:val="006B2AE8"/>
    <w:rsid w:val="006B2D64"/>
    <w:rsid w:val="006B2DF5"/>
    <w:rsid w:val="006B3067"/>
    <w:rsid w:val="006B3157"/>
    <w:rsid w:val="006B3196"/>
    <w:rsid w:val="006B3469"/>
    <w:rsid w:val="006B34EE"/>
    <w:rsid w:val="006B36B1"/>
    <w:rsid w:val="006B3855"/>
    <w:rsid w:val="006B3877"/>
    <w:rsid w:val="006B394D"/>
    <w:rsid w:val="006B39D8"/>
    <w:rsid w:val="006B3A38"/>
    <w:rsid w:val="006B3A5F"/>
    <w:rsid w:val="006B3D7F"/>
    <w:rsid w:val="006B3E8B"/>
    <w:rsid w:val="006B4073"/>
    <w:rsid w:val="006B4371"/>
    <w:rsid w:val="006B43E1"/>
    <w:rsid w:val="006B440B"/>
    <w:rsid w:val="006B4420"/>
    <w:rsid w:val="006B474A"/>
    <w:rsid w:val="006B4865"/>
    <w:rsid w:val="006B4AFC"/>
    <w:rsid w:val="006B4E60"/>
    <w:rsid w:val="006B4FCE"/>
    <w:rsid w:val="006B508A"/>
    <w:rsid w:val="006B528E"/>
    <w:rsid w:val="006B57CC"/>
    <w:rsid w:val="006B5826"/>
    <w:rsid w:val="006B5981"/>
    <w:rsid w:val="006B5A80"/>
    <w:rsid w:val="006B5CE4"/>
    <w:rsid w:val="006B5D32"/>
    <w:rsid w:val="006B5DB1"/>
    <w:rsid w:val="006B5E04"/>
    <w:rsid w:val="006B5EAE"/>
    <w:rsid w:val="006B5FB9"/>
    <w:rsid w:val="006B60E6"/>
    <w:rsid w:val="006B6219"/>
    <w:rsid w:val="006B6636"/>
    <w:rsid w:val="006B66D9"/>
    <w:rsid w:val="006B677F"/>
    <w:rsid w:val="006B679B"/>
    <w:rsid w:val="006B67F3"/>
    <w:rsid w:val="006B6A97"/>
    <w:rsid w:val="006B6C52"/>
    <w:rsid w:val="006B6E8B"/>
    <w:rsid w:val="006B6ED8"/>
    <w:rsid w:val="006B70EF"/>
    <w:rsid w:val="006B721C"/>
    <w:rsid w:val="006B7369"/>
    <w:rsid w:val="006B74DA"/>
    <w:rsid w:val="006B74E9"/>
    <w:rsid w:val="006B76A0"/>
    <w:rsid w:val="006B77B6"/>
    <w:rsid w:val="006B7846"/>
    <w:rsid w:val="006B7851"/>
    <w:rsid w:val="006B7B87"/>
    <w:rsid w:val="006B7D26"/>
    <w:rsid w:val="006B7DA9"/>
    <w:rsid w:val="006B7DC0"/>
    <w:rsid w:val="006C020E"/>
    <w:rsid w:val="006C0387"/>
    <w:rsid w:val="006C050B"/>
    <w:rsid w:val="006C0582"/>
    <w:rsid w:val="006C0632"/>
    <w:rsid w:val="006C0950"/>
    <w:rsid w:val="006C0B4A"/>
    <w:rsid w:val="006C0BB6"/>
    <w:rsid w:val="006C0C0F"/>
    <w:rsid w:val="006C0E71"/>
    <w:rsid w:val="006C0EE8"/>
    <w:rsid w:val="006C0FCB"/>
    <w:rsid w:val="006C1108"/>
    <w:rsid w:val="006C11D0"/>
    <w:rsid w:val="006C12B0"/>
    <w:rsid w:val="006C12C3"/>
    <w:rsid w:val="006C1890"/>
    <w:rsid w:val="006C1A61"/>
    <w:rsid w:val="006C1B42"/>
    <w:rsid w:val="006C1BE0"/>
    <w:rsid w:val="006C1E17"/>
    <w:rsid w:val="006C2017"/>
    <w:rsid w:val="006C2395"/>
    <w:rsid w:val="006C2484"/>
    <w:rsid w:val="006C27A2"/>
    <w:rsid w:val="006C286A"/>
    <w:rsid w:val="006C297B"/>
    <w:rsid w:val="006C29D0"/>
    <w:rsid w:val="006C2A48"/>
    <w:rsid w:val="006C2F30"/>
    <w:rsid w:val="006C2F62"/>
    <w:rsid w:val="006C3081"/>
    <w:rsid w:val="006C3106"/>
    <w:rsid w:val="006C3448"/>
    <w:rsid w:val="006C3676"/>
    <w:rsid w:val="006C36A3"/>
    <w:rsid w:val="006C38D9"/>
    <w:rsid w:val="006C391C"/>
    <w:rsid w:val="006C39DA"/>
    <w:rsid w:val="006C3A03"/>
    <w:rsid w:val="006C3A33"/>
    <w:rsid w:val="006C3B8E"/>
    <w:rsid w:val="006C3E24"/>
    <w:rsid w:val="006C3F42"/>
    <w:rsid w:val="006C41C0"/>
    <w:rsid w:val="006C4224"/>
    <w:rsid w:val="006C4558"/>
    <w:rsid w:val="006C4606"/>
    <w:rsid w:val="006C464B"/>
    <w:rsid w:val="006C4A22"/>
    <w:rsid w:val="006C4AB0"/>
    <w:rsid w:val="006C4B03"/>
    <w:rsid w:val="006C4B36"/>
    <w:rsid w:val="006C4B4C"/>
    <w:rsid w:val="006C4EB7"/>
    <w:rsid w:val="006C4F9C"/>
    <w:rsid w:val="006C4FD1"/>
    <w:rsid w:val="006C4FE0"/>
    <w:rsid w:val="006C5151"/>
    <w:rsid w:val="006C52E8"/>
    <w:rsid w:val="006C538C"/>
    <w:rsid w:val="006C5436"/>
    <w:rsid w:val="006C571C"/>
    <w:rsid w:val="006C5754"/>
    <w:rsid w:val="006C57A5"/>
    <w:rsid w:val="006C57AF"/>
    <w:rsid w:val="006C59DF"/>
    <w:rsid w:val="006C5A6C"/>
    <w:rsid w:val="006C5CB4"/>
    <w:rsid w:val="006C5D7A"/>
    <w:rsid w:val="006C5D7C"/>
    <w:rsid w:val="006C5E5E"/>
    <w:rsid w:val="006C6030"/>
    <w:rsid w:val="006C61AB"/>
    <w:rsid w:val="006C6288"/>
    <w:rsid w:val="006C62B3"/>
    <w:rsid w:val="006C6389"/>
    <w:rsid w:val="006C63BC"/>
    <w:rsid w:val="006C63D0"/>
    <w:rsid w:val="006C6474"/>
    <w:rsid w:val="006C64EB"/>
    <w:rsid w:val="006C661E"/>
    <w:rsid w:val="006C6789"/>
    <w:rsid w:val="006C67E7"/>
    <w:rsid w:val="006C6843"/>
    <w:rsid w:val="006C6912"/>
    <w:rsid w:val="006C6AF3"/>
    <w:rsid w:val="006C6B3D"/>
    <w:rsid w:val="006C6BCF"/>
    <w:rsid w:val="006C6D58"/>
    <w:rsid w:val="006C6EFA"/>
    <w:rsid w:val="006C6F3E"/>
    <w:rsid w:val="006C7047"/>
    <w:rsid w:val="006C70DD"/>
    <w:rsid w:val="006C7148"/>
    <w:rsid w:val="006C714E"/>
    <w:rsid w:val="006C7265"/>
    <w:rsid w:val="006C76C3"/>
    <w:rsid w:val="006C76ED"/>
    <w:rsid w:val="006C771B"/>
    <w:rsid w:val="006C783E"/>
    <w:rsid w:val="006C788F"/>
    <w:rsid w:val="006C78B5"/>
    <w:rsid w:val="006D001C"/>
    <w:rsid w:val="006D0131"/>
    <w:rsid w:val="006D013B"/>
    <w:rsid w:val="006D0235"/>
    <w:rsid w:val="006D0420"/>
    <w:rsid w:val="006D04F7"/>
    <w:rsid w:val="006D068D"/>
    <w:rsid w:val="006D08CF"/>
    <w:rsid w:val="006D0A26"/>
    <w:rsid w:val="006D0A3C"/>
    <w:rsid w:val="006D0B6E"/>
    <w:rsid w:val="006D0CAE"/>
    <w:rsid w:val="006D0F80"/>
    <w:rsid w:val="006D119A"/>
    <w:rsid w:val="006D11BF"/>
    <w:rsid w:val="006D11E2"/>
    <w:rsid w:val="006D1386"/>
    <w:rsid w:val="006D13F9"/>
    <w:rsid w:val="006D1562"/>
    <w:rsid w:val="006D1581"/>
    <w:rsid w:val="006D15D0"/>
    <w:rsid w:val="006D189B"/>
    <w:rsid w:val="006D19FF"/>
    <w:rsid w:val="006D1A40"/>
    <w:rsid w:val="006D1B28"/>
    <w:rsid w:val="006D1C83"/>
    <w:rsid w:val="006D1EEC"/>
    <w:rsid w:val="006D1F35"/>
    <w:rsid w:val="006D206D"/>
    <w:rsid w:val="006D20E2"/>
    <w:rsid w:val="006D21FF"/>
    <w:rsid w:val="006D2374"/>
    <w:rsid w:val="006D2490"/>
    <w:rsid w:val="006D2742"/>
    <w:rsid w:val="006D297D"/>
    <w:rsid w:val="006D2980"/>
    <w:rsid w:val="006D2A39"/>
    <w:rsid w:val="006D2A60"/>
    <w:rsid w:val="006D2AFC"/>
    <w:rsid w:val="006D2C28"/>
    <w:rsid w:val="006D2EA9"/>
    <w:rsid w:val="006D2EB6"/>
    <w:rsid w:val="006D327A"/>
    <w:rsid w:val="006D3281"/>
    <w:rsid w:val="006D332C"/>
    <w:rsid w:val="006D33D3"/>
    <w:rsid w:val="006D33E2"/>
    <w:rsid w:val="006D340F"/>
    <w:rsid w:val="006D34B9"/>
    <w:rsid w:val="006D375A"/>
    <w:rsid w:val="006D380D"/>
    <w:rsid w:val="006D386A"/>
    <w:rsid w:val="006D3B91"/>
    <w:rsid w:val="006D3C7E"/>
    <w:rsid w:val="006D3CEA"/>
    <w:rsid w:val="006D3F4F"/>
    <w:rsid w:val="006D3FE9"/>
    <w:rsid w:val="006D4199"/>
    <w:rsid w:val="006D41D7"/>
    <w:rsid w:val="006D4387"/>
    <w:rsid w:val="006D446A"/>
    <w:rsid w:val="006D458F"/>
    <w:rsid w:val="006D466E"/>
    <w:rsid w:val="006D4930"/>
    <w:rsid w:val="006D49D3"/>
    <w:rsid w:val="006D49D6"/>
    <w:rsid w:val="006D4AED"/>
    <w:rsid w:val="006D4AF7"/>
    <w:rsid w:val="006D4C0B"/>
    <w:rsid w:val="006D4C33"/>
    <w:rsid w:val="006D4E88"/>
    <w:rsid w:val="006D4ECE"/>
    <w:rsid w:val="006D4FB8"/>
    <w:rsid w:val="006D507A"/>
    <w:rsid w:val="006D53E3"/>
    <w:rsid w:val="006D53E9"/>
    <w:rsid w:val="006D5433"/>
    <w:rsid w:val="006D5439"/>
    <w:rsid w:val="006D553F"/>
    <w:rsid w:val="006D564F"/>
    <w:rsid w:val="006D5AE8"/>
    <w:rsid w:val="006D5AF0"/>
    <w:rsid w:val="006D5DA0"/>
    <w:rsid w:val="006D5DBA"/>
    <w:rsid w:val="006D5FBF"/>
    <w:rsid w:val="006D6031"/>
    <w:rsid w:val="006D60CA"/>
    <w:rsid w:val="006D6384"/>
    <w:rsid w:val="006D6566"/>
    <w:rsid w:val="006D6607"/>
    <w:rsid w:val="006D677E"/>
    <w:rsid w:val="006D6859"/>
    <w:rsid w:val="006D68A7"/>
    <w:rsid w:val="006D6925"/>
    <w:rsid w:val="006D6A5C"/>
    <w:rsid w:val="006D6A8E"/>
    <w:rsid w:val="006D6B8C"/>
    <w:rsid w:val="006D6BD6"/>
    <w:rsid w:val="006D6E38"/>
    <w:rsid w:val="006D6F90"/>
    <w:rsid w:val="006D6FF4"/>
    <w:rsid w:val="006D702B"/>
    <w:rsid w:val="006D7095"/>
    <w:rsid w:val="006D7239"/>
    <w:rsid w:val="006D725E"/>
    <w:rsid w:val="006D733D"/>
    <w:rsid w:val="006D73C7"/>
    <w:rsid w:val="006D73E4"/>
    <w:rsid w:val="006D760D"/>
    <w:rsid w:val="006D7614"/>
    <w:rsid w:val="006D77D3"/>
    <w:rsid w:val="006D7946"/>
    <w:rsid w:val="006D794F"/>
    <w:rsid w:val="006D7B91"/>
    <w:rsid w:val="006D7D14"/>
    <w:rsid w:val="006D7DD9"/>
    <w:rsid w:val="006D7FD1"/>
    <w:rsid w:val="006D7FDA"/>
    <w:rsid w:val="006E02A7"/>
    <w:rsid w:val="006E044F"/>
    <w:rsid w:val="006E0450"/>
    <w:rsid w:val="006E0483"/>
    <w:rsid w:val="006E0568"/>
    <w:rsid w:val="006E05D4"/>
    <w:rsid w:val="006E0853"/>
    <w:rsid w:val="006E086B"/>
    <w:rsid w:val="006E092D"/>
    <w:rsid w:val="006E0A53"/>
    <w:rsid w:val="006E0A61"/>
    <w:rsid w:val="006E0A7F"/>
    <w:rsid w:val="006E0D0E"/>
    <w:rsid w:val="006E0DCF"/>
    <w:rsid w:val="006E0E71"/>
    <w:rsid w:val="006E0FF0"/>
    <w:rsid w:val="006E0FF7"/>
    <w:rsid w:val="006E10F8"/>
    <w:rsid w:val="006E1104"/>
    <w:rsid w:val="006E1146"/>
    <w:rsid w:val="006E1288"/>
    <w:rsid w:val="006E1291"/>
    <w:rsid w:val="006E139A"/>
    <w:rsid w:val="006E1439"/>
    <w:rsid w:val="006E145B"/>
    <w:rsid w:val="006E1656"/>
    <w:rsid w:val="006E16AE"/>
    <w:rsid w:val="006E16D4"/>
    <w:rsid w:val="006E183A"/>
    <w:rsid w:val="006E1AF2"/>
    <w:rsid w:val="006E1B20"/>
    <w:rsid w:val="006E1B28"/>
    <w:rsid w:val="006E1C64"/>
    <w:rsid w:val="006E1C6F"/>
    <w:rsid w:val="006E1D1F"/>
    <w:rsid w:val="006E1D3C"/>
    <w:rsid w:val="006E1DCD"/>
    <w:rsid w:val="006E1F2E"/>
    <w:rsid w:val="006E2119"/>
    <w:rsid w:val="006E2179"/>
    <w:rsid w:val="006E2398"/>
    <w:rsid w:val="006E2731"/>
    <w:rsid w:val="006E2926"/>
    <w:rsid w:val="006E29B8"/>
    <w:rsid w:val="006E29FF"/>
    <w:rsid w:val="006E2A04"/>
    <w:rsid w:val="006E2A48"/>
    <w:rsid w:val="006E2D15"/>
    <w:rsid w:val="006E2D28"/>
    <w:rsid w:val="006E2F3E"/>
    <w:rsid w:val="006E3150"/>
    <w:rsid w:val="006E33C6"/>
    <w:rsid w:val="006E3534"/>
    <w:rsid w:val="006E3565"/>
    <w:rsid w:val="006E3577"/>
    <w:rsid w:val="006E3665"/>
    <w:rsid w:val="006E3745"/>
    <w:rsid w:val="006E3872"/>
    <w:rsid w:val="006E38CF"/>
    <w:rsid w:val="006E3A8F"/>
    <w:rsid w:val="006E3C7B"/>
    <w:rsid w:val="006E3D40"/>
    <w:rsid w:val="006E3DD0"/>
    <w:rsid w:val="006E3F53"/>
    <w:rsid w:val="006E3FCD"/>
    <w:rsid w:val="006E40B3"/>
    <w:rsid w:val="006E418F"/>
    <w:rsid w:val="006E41C3"/>
    <w:rsid w:val="006E41F1"/>
    <w:rsid w:val="006E449C"/>
    <w:rsid w:val="006E44BE"/>
    <w:rsid w:val="006E46A8"/>
    <w:rsid w:val="006E4732"/>
    <w:rsid w:val="006E47BC"/>
    <w:rsid w:val="006E4920"/>
    <w:rsid w:val="006E499C"/>
    <w:rsid w:val="006E4E99"/>
    <w:rsid w:val="006E4F32"/>
    <w:rsid w:val="006E4F5D"/>
    <w:rsid w:val="006E50F8"/>
    <w:rsid w:val="006E539A"/>
    <w:rsid w:val="006E53DC"/>
    <w:rsid w:val="006E5403"/>
    <w:rsid w:val="006E559F"/>
    <w:rsid w:val="006E55F8"/>
    <w:rsid w:val="006E5625"/>
    <w:rsid w:val="006E57FB"/>
    <w:rsid w:val="006E58A5"/>
    <w:rsid w:val="006E59C8"/>
    <w:rsid w:val="006E5B00"/>
    <w:rsid w:val="006E5B72"/>
    <w:rsid w:val="006E5C12"/>
    <w:rsid w:val="006E5D2B"/>
    <w:rsid w:val="006E5DBA"/>
    <w:rsid w:val="006E5FF4"/>
    <w:rsid w:val="006E613F"/>
    <w:rsid w:val="006E6486"/>
    <w:rsid w:val="006E656C"/>
    <w:rsid w:val="006E65BE"/>
    <w:rsid w:val="006E6A59"/>
    <w:rsid w:val="006E6AE9"/>
    <w:rsid w:val="006E6B15"/>
    <w:rsid w:val="006E6B16"/>
    <w:rsid w:val="006E6B83"/>
    <w:rsid w:val="006E6D1D"/>
    <w:rsid w:val="006E6D8C"/>
    <w:rsid w:val="006E6DEE"/>
    <w:rsid w:val="006E6F1D"/>
    <w:rsid w:val="006E71A9"/>
    <w:rsid w:val="006E7270"/>
    <w:rsid w:val="006E732C"/>
    <w:rsid w:val="006E7523"/>
    <w:rsid w:val="006E7616"/>
    <w:rsid w:val="006E762D"/>
    <w:rsid w:val="006E775F"/>
    <w:rsid w:val="006E7809"/>
    <w:rsid w:val="006E786A"/>
    <w:rsid w:val="006E78B0"/>
    <w:rsid w:val="006E79CB"/>
    <w:rsid w:val="006E7A19"/>
    <w:rsid w:val="006E7AA5"/>
    <w:rsid w:val="006E7C02"/>
    <w:rsid w:val="006E7D54"/>
    <w:rsid w:val="006E7E77"/>
    <w:rsid w:val="006E7EAD"/>
    <w:rsid w:val="006E7EDB"/>
    <w:rsid w:val="006E7FEE"/>
    <w:rsid w:val="006F0436"/>
    <w:rsid w:val="006F067B"/>
    <w:rsid w:val="006F0A9D"/>
    <w:rsid w:val="006F0B3F"/>
    <w:rsid w:val="006F0C02"/>
    <w:rsid w:val="006F0C21"/>
    <w:rsid w:val="006F0D5B"/>
    <w:rsid w:val="006F1382"/>
    <w:rsid w:val="006F13BA"/>
    <w:rsid w:val="006F16F0"/>
    <w:rsid w:val="006F1724"/>
    <w:rsid w:val="006F1731"/>
    <w:rsid w:val="006F17DF"/>
    <w:rsid w:val="006F1973"/>
    <w:rsid w:val="006F19A6"/>
    <w:rsid w:val="006F1A0E"/>
    <w:rsid w:val="006F1AD9"/>
    <w:rsid w:val="006F1E93"/>
    <w:rsid w:val="006F1EAC"/>
    <w:rsid w:val="006F1F5D"/>
    <w:rsid w:val="006F2031"/>
    <w:rsid w:val="006F2159"/>
    <w:rsid w:val="006F2358"/>
    <w:rsid w:val="006F2370"/>
    <w:rsid w:val="006F23FA"/>
    <w:rsid w:val="006F241F"/>
    <w:rsid w:val="006F2641"/>
    <w:rsid w:val="006F2712"/>
    <w:rsid w:val="006F27FD"/>
    <w:rsid w:val="006F298E"/>
    <w:rsid w:val="006F2995"/>
    <w:rsid w:val="006F2A2C"/>
    <w:rsid w:val="006F2B0B"/>
    <w:rsid w:val="006F2B12"/>
    <w:rsid w:val="006F2E41"/>
    <w:rsid w:val="006F2E6B"/>
    <w:rsid w:val="006F2F8E"/>
    <w:rsid w:val="006F3025"/>
    <w:rsid w:val="006F3320"/>
    <w:rsid w:val="006F36F5"/>
    <w:rsid w:val="006F390D"/>
    <w:rsid w:val="006F395F"/>
    <w:rsid w:val="006F3A28"/>
    <w:rsid w:val="006F3BD6"/>
    <w:rsid w:val="006F3C1B"/>
    <w:rsid w:val="006F3C2B"/>
    <w:rsid w:val="006F3C30"/>
    <w:rsid w:val="006F409F"/>
    <w:rsid w:val="006F40DF"/>
    <w:rsid w:val="006F4104"/>
    <w:rsid w:val="006F42CF"/>
    <w:rsid w:val="006F43C9"/>
    <w:rsid w:val="006F452F"/>
    <w:rsid w:val="006F467A"/>
    <w:rsid w:val="006F4A19"/>
    <w:rsid w:val="006F4BBA"/>
    <w:rsid w:val="006F4DE9"/>
    <w:rsid w:val="006F4F60"/>
    <w:rsid w:val="006F4FD9"/>
    <w:rsid w:val="006F4FED"/>
    <w:rsid w:val="006F5197"/>
    <w:rsid w:val="006F53D2"/>
    <w:rsid w:val="006F54E9"/>
    <w:rsid w:val="006F54EA"/>
    <w:rsid w:val="006F5510"/>
    <w:rsid w:val="006F55F5"/>
    <w:rsid w:val="006F5673"/>
    <w:rsid w:val="006F5976"/>
    <w:rsid w:val="006F5BF2"/>
    <w:rsid w:val="006F5BF6"/>
    <w:rsid w:val="006F5D60"/>
    <w:rsid w:val="006F5E5E"/>
    <w:rsid w:val="006F603F"/>
    <w:rsid w:val="006F604E"/>
    <w:rsid w:val="006F6064"/>
    <w:rsid w:val="006F60D9"/>
    <w:rsid w:val="006F6155"/>
    <w:rsid w:val="006F61F3"/>
    <w:rsid w:val="006F63B6"/>
    <w:rsid w:val="006F63E9"/>
    <w:rsid w:val="006F6521"/>
    <w:rsid w:val="006F65F8"/>
    <w:rsid w:val="006F66C7"/>
    <w:rsid w:val="006F6B30"/>
    <w:rsid w:val="006F6DC1"/>
    <w:rsid w:val="006F6E1D"/>
    <w:rsid w:val="006F6E75"/>
    <w:rsid w:val="006F6ED7"/>
    <w:rsid w:val="006F6F17"/>
    <w:rsid w:val="006F6F22"/>
    <w:rsid w:val="006F6FC1"/>
    <w:rsid w:val="006F6FD2"/>
    <w:rsid w:val="006F709D"/>
    <w:rsid w:val="006F7320"/>
    <w:rsid w:val="006F75A5"/>
    <w:rsid w:val="006F77BB"/>
    <w:rsid w:val="006F7941"/>
    <w:rsid w:val="006F7B76"/>
    <w:rsid w:val="006F7B8E"/>
    <w:rsid w:val="006F7BA7"/>
    <w:rsid w:val="006F7DC2"/>
    <w:rsid w:val="006F7E9F"/>
    <w:rsid w:val="006F7F2F"/>
    <w:rsid w:val="006F7FE5"/>
    <w:rsid w:val="0070013A"/>
    <w:rsid w:val="007001A7"/>
    <w:rsid w:val="00700369"/>
    <w:rsid w:val="007003FC"/>
    <w:rsid w:val="00700624"/>
    <w:rsid w:val="007008BF"/>
    <w:rsid w:val="007009E5"/>
    <w:rsid w:val="00700A58"/>
    <w:rsid w:val="00700B85"/>
    <w:rsid w:val="00700C97"/>
    <w:rsid w:val="00700D30"/>
    <w:rsid w:val="00701028"/>
    <w:rsid w:val="007010FB"/>
    <w:rsid w:val="00701182"/>
    <w:rsid w:val="007011F8"/>
    <w:rsid w:val="007012F5"/>
    <w:rsid w:val="00701527"/>
    <w:rsid w:val="0070172C"/>
    <w:rsid w:val="0070179C"/>
    <w:rsid w:val="007017D2"/>
    <w:rsid w:val="007017E2"/>
    <w:rsid w:val="007017F5"/>
    <w:rsid w:val="00701808"/>
    <w:rsid w:val="007018FB"/>
    <w:rsid w:val="00701999"/>
    <w:rsid w:val="00701B8B"/>
    <w:rsid w:val="00701C41"/>
    <w:rsid w:val="00701E2B"/>
    <w:rsid w:val="00701F18"/>
    <w:rsid w:val="00701F65"/>
    <w:rsid w:val="00701FCB"/>
    <w:rsid w:val="0070200C"/>
    <w:rsid w:val="0070212F"/>
    <w:rsid w:val="00702149"/>
    <w:rsid w:val="00702556"/>
    <w:rsid w:val="00702580"/>
    <w:rsid w:val="007027C1"/>
    <w:rsid w:val="007027F0"/>
    <w:rsid w:val="007028AB"/>
    <w:rsid w:val="007028E9"/>
    <w:rsid w:val="007028F4"/>
    <w:rsid w:val="00702A19"/>
    <w:rsid w:val="00702A54"/>
    <w:rsid w:val="00702ADE"/>
    <w:rsid w:val="00702B6B"/>
    <w:rsid w:val="00702C8B"/>
    <w:rsid w:val="00702C94"/>
    <w:rsid w:val="00702DB1"/>
    <w:rsid w:val="00702F22"/>
    <w:rsid w:val="00702F3B"/>
    <w:rsid w:val="00702FBC"/>
    <w:rsid w:val="0070305E"/>
    <w:rsid w:val="00703062"/>
    <w:rsid w:val="0070324C"/>
    <w:rsid w:val="00703424"/>
    <w:rsid w:val="00703496"/>
    <w:rsid w:val="007036D1"/>
    <w:rsid w:val="00703715"/>
    <w:rsid w:val="00703835"/>
    <w:rsid w:val="0070393A"/>
    <w:rsid w:val="00703EAA"/>
    <w:rsid w:val="007040D1"/>
    <w:rsid w:val="00704386"/>
    <w:rsid w:val="007044DC"/>
    <w:rsid w:val="0070452B"/>
    <w:rsid w:val="00704549"/>
    <w:rsid w:val="007045F6"/>
    <w:rsid w:val="0070494F"/>
    <w:rsid w:val="007049AE"/>
    <w:rsid w:val="007049D9"/>
    <w:rsid w:val="00704A1E"/>
    <w:rsid w:val="00704AF2"/>
    <w:rsid w:val="00704D75"/>
    <w:rsid w:val="00704D83"/>
    <w:rsid w:val="00704D91"/>
    <w:rsid w:val="00705193"/>
    <w:rsid w:val="007051A9"/>
    <w:rsid w:val="007051ED"/>
    <w:rsid w:val="007052AD"/>
    <w:rsid w:val="007054BF"/>
    <w:rsid w:val="0070553A"/>
    <w:rsid w:val="007055AD"/>
    <w:rsid w:val="00705637"/>
    <w:rsid w:val="007057B1"/>
    <w:rsid w:val="00705888"/>
    <w:rsid w:val="00705A0C"/>
    <w:rsid w:val="00705A3B"/>
    <w:rsid w:val="00705AE0"/>
    <w:rsid w:val="00705B99"/>
    <w:rsid w:val="00705BBA"/>
    <w:rsid w:val="00705C04"/>
    <w:rsid w:val="00705D33"/>
    <w:rsid w:val="00706086"/>
    <w:rsid w:val="007061B5"/>
    <w:rsid w:val="007061BE"/>
    <w:rsid w:val="0070645B"/>
    <w:rsid w:val="0070670F"/>
    <w:rsid w:val="007067C8"/>
    <w:rsid w:val="00706901"/>
    <w:rsid w:val="00706BC4"/>
    <w:rsid w:val="00706C81"/>
    <w:rsid w:val="00706D5B"/>
    <w:rsid w:val="00706DB0"/>
    <w:rsid w:val="00706E23"/>
    <w:rsid w:val="007070D3"/>
    <w:rsid w:val="00707241"/>
    <w:rsid w:val="007073C0"/>
    <w:rsid w:val="007073CE"/>
    <w:rsid w:val="00707415"/>
    <w:rsid w:val="0070741C"/>
    <w:rsid w:val="00707579"/>
    <w:rsid w:val="00707598"/>
    <w:rsid w:val="007075DE"/>
    <w:rsid w:val="0070762E"/>
    <w:rsid w:val="00707692"/>
    <w:rsid w:val="0070773F"/>
    <w:rsid w:val="0070774C"/>
    <w:rsid w:val="0070786F"/>
    <w:rsid w:val="0070790B"/>
    <w:rsid w:val="00707A1E"/>
    <w:rsid w:val="00707ADA"/>
    <w:rsid w:val="00707B86"/>
    <w:rsid w:val="00707D26"/>
    <w:rsid w:val="00707D80"/>
    <w:rsid w:val="00707EB3"/>
    <w:rsid w:val="00707F47"/>
    <w:rsid w:val="00707FF5"/>
    <w:rsid w:val="0071001F"/>
    <w:rsid w:val="00710103"/>
    <w:rsid w:val="0071024A"/>
    <w:rsid w:val="00710265"/>
    <w:rsid w:val="00710474"/>
    <w:rsid w:val="0071050B"/>
    <w:rsid w:val="007106A3"/>
    <w:rsid w:val="007106DE"/>
    <w:rsid w:val="007107E6"/>
    <w:rsid w:val="00710821"/>
    <w:rsid w:val="0071091B"/>
    <w:rsid w:val="00710EB0"/>
    <w:rsid w:val="00710F2F"/>
    <w:rsid w:val="00710FB2"/>
    <w:rsid w:val="00711220"/>
    <w:rsid w:val="00711371"/>
    <w:rsid w:val="0071142B"/>
    <w:rsid w:val="007114E0"/>
    <w:rsid w:val="00711697"/>
    <w:rsid w:val="007116B1"/>
    <w:rsid w:val="00711791"/>
    <w:rsid w:val="007117CD"/>
    <w:rsid w:val="00711824"/>
    <w:rsid w:val="0071184A"/>
    <w:rsid w:val="007118C0"/>
    <w:rsid w:val="007119AC"/>
    <w:rsid w:val="00711B0F"/>
    <w:rsid w:val="00711E5E"/>
    <w:rsid w:val="0071234E"/>
    <w:rsid w:val="00712470"/>
    <w:rsid w:val="007124B3"/>
    <w:rsid w:val="0071251F"/>
    <w:rsid w:val="0071254D"/>
    <w:rsid w:val="0071278A"/>
    <w:rsid w:val="007127AD"/>
    <w:rsid w:val="007127F7"/>
    <w:rsid w:val="0071281B"/>
    <w:rsid w:val="0071290E"/>
    <w:rsid w:val="00712B4B"/>
    <w:rsid w:val="00712E0A"/>
    <w:rsid w:val="00712E57"/>
    <w:rsid w:val="00712E7C"/>
    <w:rsid w:val="00712EDA"/>
    <w:rsid w:val="00712F9D"/>
    <w:rsid w:val="00713166"/>
    <w:rsid w:val="007131A0"/>
    <w:rsid w:val="0071322D"/>
    <w:rsid w:val="0071335B"/>
    <w:rsid w:val="007133A4"/>
    <w:rsid w:val="00713505"/>
    <w:rsid w:val="0071363A"/>
    <w:rsid w:val="00713716"/>
    <w:rsid w:val="00713B67"/>
    <w:rsid w:val="00713B6C"/>
    <w:rsid w:val="00713BD1"/>
    <w:rsid w:val="00713CA6"/>
    <w:rsid w:val="00713D2B"/>
    <w:rsid w:val="00713D4B"/>
    <w:rsid w:val="00713D70"/>
    <w:rsid w:val="00713E85"/>
    <w:rsid w:val="00713F3D"/>
    <w:rsid w:val="00714180"/>
    <w:rsid w:val="007141D9"/>
    <w:rsid w:val="00714262"/>
    <w:rsid w:val="00714351"/>
    <w:rsid w:val="007143DC"/>
    <w:rsid w:val="0071456A"/>
    <w:rsid w:val="0071477B"/>
    <w:rsid w:val="00714809"/>
    <w:rsid w:val="00714D1B"/>
    <w:rsid w:val="00714E62"/>
    <w:rsid w:val="00715045"/>
    <w:rsid w:val="00715161"/>
    <w:rsid w:val="00715234"/>
    <w:rsid w:val="00715295"/>
    <w:rsid w:val="00715667"/>
    <w:rsid w:val="00715773"/>
    <w:rsid w:val="0071595F"/>
    <w:rsid w:val="00715A31"/>
    <w:rsid w:val="00715A91"/>
    <w:rsid w:val="00715B72"/>
    <w:rsid w:val="00715BDC"/>
    <w:rsid w:val="00715D8D"/>
    <w:rsid w:val="00715EF2"/>
    <w:rsid w:val="00715F66"/>
    <w:rsid w:val="00716058"/>
    <w:rsid w:val="00716235"/>
    <w:rsid w:val="00716247"/>
    <w:rsid w:val="00716326"/>
    <w:rsid w:val="007163A7"/>
    <w:rsid w:val="007163DB"/>
    <w:rsid w:val="007163F6"/>
    <w:rsid w:val="007164FA"/>
    <w:rsid w:val="00716593"/>
    <w:rsid w:val="00716637"/>
    <w:rsid w:val="007167B7"/>
    <w:rsid w:val="0071686A"/>
    <w:rsid w:val="00716884"/>
    <w:rsid w:val="007168AF"/>
    <w:rsid w:val="007169ED"/>
    <w:rsid w:val="00716B3D"/>
    <w:rsid w:val="00716CF7"/>
    <w:rsid w:val="00716E13"/>
    <w:rsid w:val="00716E5F"/>
    <w:rsid w:val="00716EA2"/>
    <w:rsid w:val="00716EFE"/>
    <w:rsid w:val="00717029"/>
    <w:rsid w:val="00717056"/>
    <w:rsid w:val="007170EE"/>
    <w:rsid w:val="007170FF"/>
    <w:rsid w:val="0071711B"/>
    <w:rsid w:val="007173CE"/>
    <w:rsid w:val="007174D6"/>
    <w:rsid w:val="00717758"/>
    <w:rsid w:val="007177E7"/>
    <w:rsid w:val="00717B1E"/>
    <w:rsid w:val="00717B83"/>
    <w:rsid w:val="00717B8D"/>
    <w:rsid w:val="00717D2D"/>
    <w:rsid w:val="00717D6F"/>
    <w:rsid w:val="00717E26"/>
    <w:rsid w:val="007200E9"/>
    <w:rsid w:val="00720420"/>
    <w:rsid w:val="00720484"/>
    <w:rsid w:val="0072068B"/>
    <w:rsid w:val="007206E9"/>
    <w:rsid w:val="0072079D"/>
    <w:rsid w:val="00720A29"/>
    <w:rsid w:val="00720A4E"/>
    <w:rsid w:val="00720A8F"/>
    <w:rsid w:val="00720B53"/>
    <w:rsid w:val="00720B80"/>
    <w:rsid w:val="00720C5C"/>
    <w:rsid w:val="00720D00"/>
    <w:rsid w:val="00720E3E"/>
    <w:rsid w:val="00720ECF"/>
    <w:rsid w:val="00720F0B"/>
    <w:rsid w:val="00720FEB"/>
    <w:rsid w:val="00721006"/>
    <w:rsid w:val="0072127C"/>
    <w:rsid w:val="0072135C"/>
    <w:rsid w:val="00721570"/>
    <w:rsid w:val="007215A8"/>
    <w:rsid w:val="007215E1"/>
    <w:rsid w:val="00721612"/>
    <w:rsid w:val="007216F8"/>
    <w:rsid w:val="0072173D"/>
    <w:rsid w:val="007217C6"/>
    <w:rsid w:val="007218D4"/>
    <w:rsid w:val="0072190D"/>
    <w:rsid w:val="0072197F"/>
    <w:rsid w:val="00721B61"/>
    <w:rsid w:val="00721DBB"/>
    <w:rsid w:val="00721FC5"/>
    <w:rsid w:val="007220B8"/>
    <w:rsid w:val="007220E0"/>
    <w:rsid w:val="0072216D"/>
    <w:rsid w:val="007222B2"/>
    <w:rsid w:val="007224DE"/>
    <w:rsid w:val="00722660"/>
    <w:rsid w:val="00722681"/>
    <w:rsid w:val="007227AD"/>
    <w:rsid w:val="00722946"/>
    <w:rsid w:val="00722ABE"/>
    <w:rsid w:val="00722AEA"/>
    <w:rsid w:val="00722AFD"/>
    <w:rsid w:val="00722F48"/>
    <w:rsid w:val="007231C7"/>
    <w:rsid w:val="007231D2"/>
    <w:rsid w:val="00723285"/>
    <w:rsid w:val="007232D8"/>
    <w:rsid w:val="007233F8"/>
    <w:rsid w:val="007234B4"/>
    <w:rsid w:val="007234EC"/>
    <w:rsid w:val="00723522"/>
    <w:rsid w:val="007235B8"/>
    <w:rsid w:val="007237B8"/>
    <w:rsid w:val="007237E2"/>
    <w:rsid w:val="0072382C"/>
    <w:rsid w:val="00723A35"/>
    <w:rsid w:val="00723D87"/>
    <w:rsid w:val="00723D9C"/>
    <w:rsid w:val="00723DFA"/>
    <w:rsid w:val="00723FAA"/>
    <w:rsid w:val="007240BB"/>
    <w:rsid w:val="00724157"/>
    <w:rsid w:val="00724170"/>
    <w:rsid w:val="00724184"/>
    <w:rsid w:val="0072424F"/>
    <w:rsid w:val="00724309"/>
    <w:rsid w:val="0072446C"/>
    <w:rsid w:val="007245E4"/>
    <w:rsid w:val="00724778"/>
    <w:rsid w:val="00724917"/>
    <w:rsid w:val="007249AE"/>
    <w:rsid w:val="00724A6B"/>
    <w:rsid w:val="00724B61"/>
    <w:rsid w:val="00724CCC"/>
    <w:rsid w:val="00724CE5"/>
    <w:rsid w:val="00724DF7"/>
    <w:rsid w:val="00725062"/>
    <w:rsid w:val="007250B9"/>
    <w:rsid w:val="007251CF"/>
    <w:rsid w:val="00725325"/>
    <w:rsid w:val="007253E6"/>
    <w:rsid w:val="0072542C"/>
    <w:rsid w:val="0072544C"/>
    <w:rsid w:val="007254AD"/>
    <w:rsid w:val="0072552F"/>
    <w:rsid w:val="00725653"/>
    <w:rsid w:val="0072567B"/>
    <w:rsid w:val="00725683"/>
    <w:rsid w:val="0072575C"/>
    <w:rsid w:val="007257DE"/>
    <w:rsid w:val="007258A6"/>
    <w:rsid w:val="007258AC"/>
    <w:rsid w:val="00725A9C"/>
    <w:rsid w:val="00725AC3"/>
    <w:rsid w:val="00725DF4"/>
    <w:rsid w:val="007261C2"/>
    <w:rsid w:val="00726469"/>
    <w:rsid w:val="00726483"/>
    <w:rsid w:val="007264F2"/>
    <w:rsid w:val="0072666C"/>
    <w:rsid w:val="007266E9"/>
    <w:rsid w:val="007269E6"/>
    <w:rsid w:val="00726BAB"/>
    <w:rsid w:val="00726D75"/>
    <w:rsid w:val="00726D87"/>
    <w:rsid w:val="00726DDA"/>
    <w:rsid w:val="00726EA0"/>
    <w:rsid w:val="00726F5A"/>
    <w:rsid w:val="00726FAA"/>
    <w:rsid w:val="007271BC"/>
    <w:rsid w:val="007272D2"/>
    <w:rsid w:val="0072737A"/>
    <w:rsid w:val="0072767E"/>
    <w:rsid w:val="007276A9"/>
    <w:rsid w:val="00727759"/>
    <w:rsid w:val="00727B11"/>
    <w:rsid w:val="00727D29"/>
    <w:rsid w:val="00727D45"/>
    <w:rsid w:val="00727E2E"/>
    <w:rsid w:val="00727EDE"/>
    <w:rsid w:val="00727F00"/>
    <w:rsid w:val="0073007F"/>
    <w:rsid w:val="0073028F"/>
    <w:rsid w:val="007303C6"/>
    <w:rsid w:val="007304DE"/>
    <w:rsid w:val="007306C8"/>
    <w:rsid w:val="00730739"/>
    <w:rsid w:val="007307E0"/>
    <w:rsid w:val="007307FA"/>
    <w:rsid w:val="00730A32"/>
    <w:rsid w:val="00730A6B"/>
    <w:rsid w:val="00730B38"/>
    <w:rsid w:val="00730F21"/>
    <w:rsid w:val="007310C8"/>
    <w:rsid w:val="00731146"/>
    <w:rsid w:val="007312B1"/>
    <w:rsid w:val="007313BC"/>
    <w:rsid w:val="00731403"/>
    <w:rsid w:val="007314B6"/>
    <w:rsid w:val="007314EA"/>
    <w:rsid w:val="007315F3"/>
    <w:rsid w:val="00731720"/>
    <w:rsid w:val="007318C4"/>
    <w:rsid w:val="00731A07"/>
    <w:rsid w:val="00731B94"/>
    <w:rsid w:val="00731E0D"/>
    <w:rsid w:val="0073214A"/>
    <w:rsid w:val="0073218E"/>
    <w:rsid w:val="00732308"/>
    <w:rsid w:val="00732328"/>
    <w:rsid w:val="0073268C"/>
    <w:rsid w:val="007328AC"/>
    <w:rsid w:val="00732A2E"/>
    <w:rsid w:val="00732A48"/>
    <w:rsid w:val="00732AA7"/>
    <w:rsid w:val="00732D03"/>
    <w:rsid w:val="00732D35"/>
    <w:rsid w:val="00732D64"/>
    <w:rsid w:val="0073314D"/>
    <w:rsid w:val="007331D8"/>
    <w:rsid w:val="00733494"/>
    <w:rsid w:val="007334AF"/>
    <w:rsid w:val="00733746"/>
    <w:rsid w:val="007337A8"/>
    <w:rsid w:val="007337FB"/>
    <w:rsid w:val="00733926"/>
    <w:rsid w:val="00733986"/>
    <w:rsid w:val="00733A46"/>
    <w:rsid w:val="00733AE4"/>
    <w:rsid w:val="00733B79"/>
    <w:rsid w:val="00733BC7"/>
    <w:rsid w:val="00733CE8"/>
    <w:rsid w:val="00733E6D"/>
    <w:rsid w:val="007340BB"/>
    <w:rsid w:val="0073422B"/>
    <w:rsid w:val="0073423E"/>
    <w:rsid w:val="0073427F"/>
    <w:rsid w:val="0073438E"/>
    <w:rsid w:val="00734390"/>
    <w:rsid w:val="007343B8"/>
    <w:rsid w:val="007344E9"/>
    <w:rsid w:val="007345E8"/>
    <w:rsid w:val="0073463C"/>
    <w:rsid w:val="007347A2"/>
    <w:rsid w:val="0073486B"/>
    <w:rsid w:val="0073490E"/>
    <w:rsid w:val="00734AD2"/>
    <w:rsid w:val="00734C05"/>
    <w:rsid w:val="00734D16"/>
    <w:rsid w:val="00734DCC"/>
    <w:rsid w:val="00735056"/>
    <w:rsid w:val="0073570B"/>
    <w:rsid w:val="00735773"/>
    <w:rsid w:val="00735866"/>
    <w:rsid w:val="007358AF"/>
    <w:rsid w:val="007358B3"/>
    <w:rsid w:val="007358E0"/>
    <w:rsid w:val="0073592E"/>
    <w:rsid w:val="00735BA2"/>
    <w:rsid w:val="00735F21"/>
    <w:rsid w:val="00736035"/>
    <w:rsid w:val="0073616E"/>
    <w:rsid w:val="00736179"/>
    <w:rsid w:val="00736521"/>
    <w:rsid w:val="0073652A"/>
    <w:rsid w:val="007365E5"/>
    <w:rsid w:val="0073672C"/>
    <w:rsid w:val="007367AA"/>
    <w:rsid w:val="007368AC"/>
    <w:rsid w:val="007368C7"/>
    <w:rsid w:val="00736C2B"/>
    <w:rsid w:val="00736CED"/>
    <w:rsid w:val="00736E4E"/>
    <w:rsid w:val="00736F2C"/>
    <w:rsid w:val="007370C0"/>
    <w:rsid w:val="0073718B"/>
    <w:rsid w:val="007372B3"/>
    <w:rsid w:val="00737372"/>
    <w:rsid w:val="007373EF"/>
    <w:rsid w:val="0073750A"/>
    <w:rsid w:val="007375B7"/>
    <w:rsid w:val="00737736"/>
    <w:rsid w:val="00737779"/>
    <w:rsid w:val="00737782"/>
    <w:rsid w:val="00737946"/>
    <w:rsid w:val="00737ACF"/>
    <w:rsid w:val="00737B54"/>
    <w:rsid w:val="00737BDA"/>
    <w:rsid w:val="00737C73"/>
    <w:rsid w:val="00737DE0"/>
    <w:rsid w:val="00737EF7"/>
    <w:rsid w:val="00737F69"/>
    <w:rsid w:val="007402FA"/>
    <w:rsid w:val="0074068F"/>
    <w:rsid w:val="00740A84"/>
    <w:rsid w:val="00740A9B"/>
    <w:rsid w:val="00740BA8"/>
    <w:rsid w:val="00740BD7"/>
    <w:rsid w:val="00740D8A"/>
    <w:rsid w:val="00740E45"/>
    <w:rsid w:val="00740E6A"/>
    <w:rsid w:val="007410E6"/>
    <w:rsid w:val="0074119B"/>
    <w:rsid w:val="007411DE"/>
    <w:rsid w:val="00741217"/>
    <w:rsid w:val="00741720"/>
    <w:rsid w:val="0074187A"/>
    <w:rsid w:val="007418E9"/>
    <w:rsid w:val="007419FE"/>
    <w:rsid w:val="00741AD0"/>
    <w:rsid w:val="00741C06"/>
    <w:rsid w:val="00741D5A"/>
    <w:rsid w:val="00741D5C"/>
    <w:rsid w:val="00741E30"/>
    <w:rsid w:val="00741E6C"/>
    <w:rsid w:val="00741F52"/>
    <w:rsid w:val="00742017"/>
    <w:rsid w:val="0074217D"/>
    <w:rsid w:val="007421B5"/>
    <w:rsid w:val="0074236D"/>
    <w:rsid w:val="007423B2"/>
    <w:rsid w:val="00742481"/>
    <w:rsid w:val="007424AA"/>
    <w:rsid w:val="00742557"/>
    <w:rsid w:val="007427C9"/>
    <w:rsid w:val="0074283E"/>
    <w:rsid w:val="007428BA"/>
    <w:rsid w:val="0074294A"/>
    <w:rsid w:val="00742C3D"/>
    <w:rsid w:val="00742E0C"/>
    <w:rsid w:val="00742F17"/>
    <w:rsid w:val="007430D9"/>
    <w:rsid w:val="00743143"/>
    <w:rsid w:val="00743163"/>
    <w:rsid w:val="007431B4"/>
    <w:rsid w:val="00743215"/>
    <w:rsid w:val="0074332C"/>
    <w:rsid w:val="0074341C"/>
    <w:rsid w:val="0074356A"/>
    <w:rsid w:val="007435E5"/>
    <w:rsid w:val="007438EF"/>
    <w:rsid w:val="00743939"/>
    <w:rsid w:val="00743971"/>
    <w:rsid w:val="007439B7"/>
    <w:rsid w:val="007439C9"/>
    <w:rsid w:val="00743C08"/>
    <w:rsid w:val="00743C1D"/>
    <w:rsid w:val="00743CEC"/>
    <w:rsid w:val="00743D69"/>
    <w:rsid w:val="00743D79"/>
    <w:rsid w:val="00743D7A"/>
    <w:rsid w:val="00743EC6"/>
    <w:rsid w:val="00743F19"/>
    <w:rsid w:val="00744026"/>
    <w:rsid w:val="00744032"/>
    <w:rsid w:val="007440BC"/>
    <w:rsid w:val="007440D5"/>
    <w:rsid w:val="007441A8"/>
    <w:rsid w:val="00744496"/>
    <w:rsid w:val="007445F1"/>
    <w:rsid w:val="007445F3"/>
    <w:rsid w:val="007446FC"/>
    <w:rsid w:val="007448A4"/>
    <w:rsid w:val="0074491E"/>
    <w:rsid w:val="00744934"/>
    <w:rsid w:val="00744AAA"/>
    <w:rsid w:val="00744D78"/>
    <w:rsid w:val="00745102"/>
    <w:rsid w:val="0074557E"/>
    <w:rsid w:val="00745588"/>
    <w:rsid w:val="007456D8"/>
    <w:rsid w:val="007456FE"/>
    <w:rsid w:val="00745714"/>
    <w:rsid w:val="00745874"/>
    <w:rsid w:val="0074596D"/>
    <w:rsid w:val="007459C6"/>
    <w:rsid w:val="00745B1B"/>
    <w:rsid w:val="00745BF7"/>
    <w:rsid w:val="00745C48"/>
    <w:rsid w:val="00745D69"/>
    <w:rsid w:val="00745DEF"/>
    <w:rsid w:val="007460A7"/>
    <w:rsid w:val="007460A8"/>
    <w:rsid w:val="007460DF"/>
    <w:rsid w:val="00746498"/>
    <w:rsid w:val="007464A4"/>
    <w:rsid w:val="007464E4"/>
    <w:rsid w:val="007468E7"/>
    <w:rsid w:val="00746C44"/>
    <w:rsid w:val="00746C7E"/>
    <w:rsid w:val="00746DB2"/>
    <w:rsid w:val="00746E00"/>
    <w:rsid w:val="00746EC8"/>
    <w:rsid w:val="00746ED2"/>
    <w:rsid w:val="00747056"/>
    <w:rsid w:val="0074710C"/>
    <w:rsid w:val="007472BA"/>
    <w:rsid w:val="007472BC"/>
    <w:rsid w:val="00747323"/>
    <w:rsid w:val="00747396"/>
    <w:rsid w:val="00747881"/>
    <w:rsid w:val="00747998"/>
    <w:rsid w:val="00747B62"/>
    <w:rsid w:val="00747CFC"/>
    <w:rsid w:val="00747D0C"/>
    <w:rsid w:val="00747D0D"/>
    <w:rsid w:val="00747D6A"/>
    <w:rsid w:val="00747F5A"/>
    <w:rsid w:val="007500AD"/>
    <w:rsid w:val="0075014D"/>
    <w:rsid w:val="00750202"/>
    <w:rsid w:val="0075022E"/>
    <w:rsid w:val="00750280"/>
    <w:rsid w:val="007502B7"/>
    <w:rsid w:val="007503B0"/>
    <w:rsid w:val="00750509"/>
    <w:rsid w:val="00750537"/>
    <w:rsid w:val="00750986"/>
    <w:rsid w:val="00750988"/>
    <w:rsid w:val="007509B0"/>
    <w:rsid w:val="007509DC"/>
    <w:rsid w:val="00750B8C"/>
    <w:rsid w:val="00750BC6"/>
    <w:rsid w:val="00750CB8"/>
    <w:rsid w:val="00750D40"/>
    <w:rsid w:val="00750E72"/>
    <w:rsid w:val="00750F11"/>
    <w:rsid w:val="00750F64"/>
    <w:rsid w:val="00750FD4"/>
    <w:rsid w:val="007510E5"/>
    <w:rsid w:val="007511A0"/>
    <w:rsid w:val="00751524"/>
    <w:rsid w:val="007515AD"/>
    <w:rsid w:val="007515CB"/>
    <w:rsid w:val="00751764"/>
    <w:rsid w:val="007517EE"/>
    <w:rsid w:val="007519B0"/>
    <w:rsid w:val="00751A6C"/>
    <w:rsid w:val="00751C3E"/>
    <w:rsid w:val="00751CB4"/>
    <w:rsid w:val="00751EC1"/>
    <w:rsid w:val="00751FC2"/>
    <w:rsid w:val="00752117"/>
    <w:rsid w:val="00752318"/>
    <w:rsid w:val="007523DC"/>
    <w:rsid w:val="00752585"/>
    <w:rsid w:val="00752686"/>
    <w:rsid w:val="00752AB0"/>
    <w:rsid w:val="00752EFD"/>
    <w:rsid w:val="00752F4D"/>
    <w:rsid w:val="0075306D"/>
    <w:rsid w:val="00753138"/>
    <w:rsid w:val="00753273"/>
    <w:rsid w:val="00753429"/>
    <w:rsid w:val="00753489"/>
    <w:rsid w:val="007534AA"/>
    <w:rsid w:val="007536E5"/>
    <w:rsid w:val="007536EE"/>
    <w:rsid w:val="00753A83"/>
    <w:rsid w:val="00753B93"/>
    <w:rsid w:val="00753C57"/>
    <w:rsid w:val="00753CFD"/>
    <w:rsid w:val="00753D0D"/>
    <w:rsid w:val="00753EB0"/>
    <w:rsid w:val="0075409E"/>
    <w:rsid w:val="00754147"/>
    <w:rsid w:val="0075420A"/>
    <w:rsid w:val="00754221"/>
    <w:rsid w:val="007542E4"/>
    <w:rsid w:val="00754426"/>
    <w:rsid w:val="00754D5A"/>
    <w:rsid w:val="00754E04"/>
    <w:rsid w:val="00754EAC"/>
    <w:rsid w:val="00755139"/>
    <w:rsid w:val="0075524D"/>
    <w:rsid w:val="007552EF"/>
    <w:rsid w:val="007554AA"/>
    <w:rsid w:val="007554B0"/>
    <w:rsid w:val="007554EC"/>
    <w:rsid w:val="00755569"/>
    <w:rsid w:val="007555A5"/>
    <w:rsid w:val="00755635"/>
    <w:rsid w:val="0075565B"/>
    <w:rsid w:val="00755840"/>
    <w:rsid w:val="00755890"/>
    <w:rsid w:val="00755E7D"/>
    <w:rsid w:val="00755FA7"/>
    <w:rsid w:val="00756156"/>
    <w:rsid w:val="007561C8"/>
    <w:rsid w:val="00756256"/>
    <w:rsid w:val="00756331"/>
    <w:rsid w:val="00756531"/>
    <w:rsid w:val="00756611"/>
    <w:rsid w:val="00756806"/>
    <w:rsid w:val="00756A06"/>
    <w:rsid w:val="00756A84"/>
    <w:rsid w:val="00756B5C"/>
    <w:rsid w:val="00756E52"/>
    <w:rsid w:val="00756F84"/>
    <w:rsid w:val="00757054"/>
    <w:rsid w:val="00757092"/>
    <w:rsid w:val="007571EB"/>
    <w:rsid w:val="00757282"/>
    <w:rsid w:val="007572BD"/>
    <w:rsid w:val="007572CC"/>
    <w:rsid w:val="00757427"/>
    <w:rsid w:val="00757433"/>
    <w:rsid w:val="00757436"/>
    <w:rsid w:val="007574D4"/>
    <w:rsid w:val="00757661"/>
    <w:rsid w:val="007577FE"/>
    <w:rsid w:val="007578BC"/>
    <w:rsid w:val="00757A77"/>
    <w:rsid w:val="00757B9D"/>
    <w:rsid w:val="00757D78"/>
    <w:rsid w:val="00757E36"/>
    <w:rsid w:val="007600F9"/>
    <w:rsid w:val="0076022F"/>
    <w:rsid w:val="00760304"/>
    <w:rsid w:val="007603D7"/>
    <w:rsid w:val="00760419"/>
    <w:rsid w:val="0076062A"/>
    <w:rsid w:val="0076073B"/>
    <w:rsid w:val="0076085F"/>
    <w:rsid w:val="0076086E"/>
    <w:rsid w:val="007608F1"/>
    <w:rsid w:val="00760B40"/>
    <w:rsid w:val="00760BE0"/>
    <w:rsid w:val="00760ECD"/>
    <w:rsid w:val="00760F3E"/>
    <w:rsid w:val="007612F1"/>
    <w:rsid w:val="00761355"/>
    <w:rsid w:val="007614EB"/>
    <w:rsid w:val="007615C9"/>
    <w:rsid w:val="00761631"/>
    <w:rsid w:val="0076166F"/>
    <w:rsid w:val="00761AA9"/>
    <w:rsid w:val="00761CBC"/>
    <w:rsid w:val="00761CE7"/>
    <w:rsid w:val="00761D67"/>
    <w:rsid w:val="00761E31"/>
    <w:rsid w:val="00761E3E"/>
    <w:rsid w:val="00761E73"/>
    <w:rsid w:val="00761EDF"/>
    <w:rsid w:val="00761EEE"/>
    <w:rsid w:val="00761F9B"/>
    <w:rsid w:val="007620B9"/>
    <w:rsid w:val="007623B8"/>
    <w:rsid w:val="00762497"/>
    <w:rsid w:val="007625A5"/>
    <w:rsid w:val="00762614"/>
    <w:rsid w:val="00762648"/>
    <w:rsid w:val="00762696"/>
    <w:rsid w:val="007626C8"/>
    <w:rsid w:val="0076280F"/>
    <w:rsid w:val="007628C3"/>
    <w:rsid w:val="007628F7"/>
    <w:rsid w:val="007629B2"/>
    <w:rsid w:val="00762A25"/>
    <w:rsid w:val="00762A63"/>
    <w:rsid w:val="00762B37"/>
    <w:rsid w:val="00762D35"/>
    <w:rsid w:val="00762D3E"/>
    <w:rsid w:val="00762DED"/>
    <w:rsid w:val="00762E3D"/>
    <w:rsid w:val="00762EDF"/>
    <w:rsid w:val="00762F2F"/>
    <w:rsid w:val="00763256"/>
    <w:rsid w:val="00763387"/>
    <w:rsid w:val="00763487"/>
    <w:rsid w:val="007634F3"/>
    <w:rsid w:val="007635CE"/>
    <w:rsid w:val="007635D5"/>
    <w:rsid w:val="007638A8"/>
    <w:rsid w:val="00763A73"/>
    <w:rsid w:val="00763B72"/>
    <w:rsid w:val="00763C4F"/>
    <w:rsid w:val="00763D31"/>
    <w:rsid w:val="00763EED"/>
    <w:rsid w:val="00763F54"/>
    <w:rsid w:val="00763FBA"/>
    <w:rsid w:val="007641EF"/>
    <w:rsid w:val="007641FC"/>
    <w:rsid w:val="007643B3"/>
    <w:rsid w:val="007643D2"/>
    <w:rsid w:val="00764522"/>
    <w:rsid w:val="007645E5"/>
    <w:rsid w:val="007646CA"/>
    <w:rsid w:val="007647F5"/>
    <w:rsid w:val="00764948"/>
    <w:rsid w:val="00764975"/>
    <w:rsid w:val="007649D3"/>
    <w:rsid w:val="007649F4"/>
    <w:rsid w:val="00764A75"/>
    <w:rsid w:val="00764A94"/>
    <w:rsid w:val="00764C2E"/>
    <w:rsid w:val="00764F04"/>
    <w:rsid w:val="00764FA1"/>
    <w:rsid w:val="00765091"/>
    <w:rsid w:val="007650E8"/>
    <w:rsid w:val="007650F6"/>
    <w:rsid w:val="00765442"/>
    <w:rsid w:val="0076544D"/>
    <w:rsid w:val="007654BB"/>
    <w:rsid w:val="00765505"/>
    <w:rsid w:val="0076556E"/>
    <w:rsid w:val="0076568A"/>
    <w:rsid w:val="00765BEE"/>
    <w:rsid w:val="00765D9D"/>
    <w:rsid w:val="00765FE1"/>
    <w:rsid w:val="00766056"/>
    <w:rsid w:val="0076607A"/>
    <w:rsid w:val="00766135"/>
    <w:rsid w:val="0076627A"/>
    <w:rsid w:val="00766462"/>
    <w:rsid w:val="007664C6"/>
    <w:rsid w:val="0076678F"/>
    <w:rsid w:val="00766797"/>
    <w:rsid w:val="00766F31"/>
    <w:rsid w:val="00766F35"/>
    <w:rsid w:val="00766F91"/>
    <w:rsid w:val="00766FEA"/>
    <w:rsid w:val="00767066"/>
    <w:rsid w:val="007671B5"/>
    <w:rsid w:val="007671CA"/>
    <w:rsid w:val="007673ED"/>
    <w:rsid w:val="007674CA"/>
    <w:rsid w:val="0076762B"/>
    <w:rsid w:val="0076766D"/>
    <w:rsid w:val="007676B2"/>
    <w:rsid w:val="007677D5"/>
    <w:rsid w:val="007679E5"/>
    <w:rsid w:val="00767B6B"/>
    <w:rsid w:val="00767C64"/>
    <w:rsid w:val="00767D8B"/>
    <w:rsid w:val="00767E0D"/>
    <w:rsid w:val="00767E90"/>
    <w:rsid w:val="00767F2A"/>
    <w:rsid w:val="00767F4A"/>
    <w:rsid w:val="00767FE6"/>
    <w:rsid w:val="0077005E"/>
    <w:rsid w:val="007700DA"/>
    <w:rsid w:val="00770147"/>
    <w:rsid w:val="007701C3"/>
    <w:rsid w:val="00770296"/>
    <w:rsid w:val="0077029B"/>
    <w:rsid w:val="0077040B"/>
    <w:rsid w:val="007704D4"/>
    <w:rsid w:val="00770526"/>
    <w:rsid w:val="00770605"/>
    <w:rsid w:val="00770909"/>
    <w:rsid w:val="0077096B"/>
    <w:rsid w:val="00770B33"/>
    <w:rsid w:val="00770C56"/>
    <w:rsid w:val="00770E6B"/>
    <w:rsid w:val="00770E73"/>
    <w:rsid w:val="00770EAA"/>
    <w:rsid w:val="00770EF2"/>
    <w:rsid w:val="007710B8"/>
    <w:rsid w:val="007711A2"/>
    <w:rsid w:val="007711A6"/>
    <w:rsid w:val="007712A8"/>
    <w:rsid w:val="007713FE"/>
    <w:rsid w:val="0077152B"/>
    <w:rsid w:val="00771697"/>
    <w:rsid w:val="00771707"/>
    <w:rsid w:val="00771941"/>
    <w:rsid w:val="00771977"/>
    <w:rsid w:val="00771ACF"/>
    <w:rsid w:val="00771AE7"/>
    <w:rsid w:val="00771B30"/>
    <w:rsid w:val="00771B60"/>
    <w:rsid w:val="00771B7C"/>
    <w:rsid w:val="00771BD3"/>
    <w:rsid w:val="00771CFF"/>
    <w:rsid w:val="00771D3E"/>
    <w:rsid w:val="00772001"/>
    <w:rsid w:val="0077204D"/>
    <w:rsid w:val="007720C7"/>
    <w:rsid w:val="007720E2"/>
    <w:rsid w:val="007724A8"/>
    <w:rsid w:val="007725CB"/>
    <w:rsid w:val="00772663"/>
    <w:rsid w:val="007726AA"/>
    <w:rsid w:val="0077276B"/>
    <w:rsid w:val="0077284F"/>
    <w:rsid w:val="00772951"/>
    <w:rsid w:val="007729A7"/>
    <w:rsid w:val="00772A44"/>
    <w:rsid w:val="00772AB5"/>
    <w:rsid w:val="00772B2B"/>
    <w:rsid w:val="00772BFD"/>
    <w:rsid w:val="00772DE7"/>
    <w:rsid w:val="00772E8B"/>
    <w:rsid w:val="00772F21"/>
    <w:rsid w:val="00772F6F"/>
    <w:rsid w:val="00772FA7"/>
    <w:rsid w:val="0077350A"/>
    <w:rsid w:val="007738E0"/>
    <w:rsid w:val="00773A9A"/>
    <w:rsid w:val="00773ACE"/>
    <w:rsid w:val="00773B45"/>
    <w:rsid w:val="00773B80"/>
    <w:rsid w:val="00773D43"/>
    <w:rsid w:val="00773D7D"/>
    <w:rsid w:val="0077439A"/>
    <w:rsid w:val="00774461"/>
    <w:rsid w:val="007744B9"/>
    <w:rsid w:val="00774673"/>
    <w:rsid w:val="007747A7"/>
    <w:rsid w:val="007747DF"/>
    <w:rsid w:val="007747F6"/>
    <w:rsid w:val="00774852"/>
    <w:rsid w:val="00774879"/>
    <w:rsid w:val="007748D3"/>
    <w:rsid w:val="0077490C"/>
    <w:rsid w:val="00774A3C"/>
    <w:rsid w:val="00774B33"/>
    <w:rsid w:val="00774C0E"/>
    <w:rsid w:val="00774C91"/>
    <w:rsid w:val="00774D2F"/>
    <w:rsid w:val="00774E2A"/>
    <w:rsid w:val="00774EA6"/>
    <w:rsid w:val="00774F88"/>
    <w:rsid w:val="00774FDD"/>
    <w:rsid w:val="00775209"/>
    <w:rsid w:val="0077558D"/>
    <w:rsid w:val="007755D0"/>
    <w:rsid w:val="007755F4"/>
    <w:rsid w:val="00775655"/>
    <w:rsid w:val="00775801"/>
    <w:rsid w:val="00775926"/>
    <w:rsid w:val="0077598F"/>
    <w:rsid w:val="007759BC"/>
    <w:rsid w:val="00775A78"/>
    <w:rsid w:val="00775AC5"/>
    <w:rsid w:val="00775AE4"/>
    <w:rsid w:val="00775C88"/>
    <w:rsid w:val="00775DD4"/>
    <w:rsid w:val="00775E04"/>
    <w:rsid w:val="0077606D"/>
    <w:rsid w:val="0077616E"/>
    <w:rsid w:val="00776420"/>
    <w:rsid w:val="00776440"/>
    <w:rsid w:val="00776499"/>
    <w:rsid w:val="00776514"/>
    <w:rsid w:val="00776545"/>
    <w:rsid w:val="0077654F"/>
    <w:rsid w:val="00776783"/>
    <w:rsid w:val="007767FD"/>
    <w:rsid w:val="00776A0A"/>
    <w:rsid w:val="00776AF1"/>
    <w:rsid w:val="00776CD1"/>
    <w:rsid w:val="00776E37"/>
    <w:rsid w:val="00776E55"/>
    <w:rsid w:val="00776ED7"/>
    <w:rsid w:val="00777090"/>
    <w:rsid w:val="00777099"/>
    <w:rsid w:val="007770AA"/>
    <w:rsid w:val="00777381"/>
    <w:rsid w:val="00777466"/>
    <w:rsid w:val="00777474"/>
    <w:rsid w:val="0077754A"/>
    <w:rsid w:val="00777824"/>
    <w:rsid w:val="00777860"/>
    <w:rsid w:val="00777878"/>
    <w:rsid w:val="007778D4"/>
    <w:rsid w:val="007778DF"/>
    <w:rsid w:val="00777A6D"/>
    <w:rsid w:val="00777A74"/>
    <w:rsid w:val="00777B12"/>
    <w:rsid w:val="00777C6C"/>
    <w:rsid w:val="00777D3D"/>
    <w:rsid w:val="00777D65"/>
    <w:rsid w:val="00777D76"/>
    <w:rsid w:val="00777F5A"/>
    <w:rsid w:val="00777FAD"/>
    <w:rsid w:val="00780161"/>
    <w:rsid w:val="0078021B"/>
    <w:rsid w:val="0078059E"/>
    <w:rsid w:val="007808AA"/>
    <w:rsid w:val="007808E2"/>
    <w:rsid w:val="00780A03"/>
    <w:rsid w:val="00780B5C"/>
    <w:rsid w:val="00780B91"/>
    <w:rsid w:val="00780D7F"/>
    <w:rsid w:val="00780DF8"/>
    <w:rsid w:val="00780E36"/>
    <w:rsid w:val="00780E96"/>
    <w:rsid w:val="00780FC0"/>
    <w:rsid w:val="00780FC3"/>
    <w:rsid w:val="00781069"/>
    <w:rsid w:val="0078125C"/>
    <w:rsid w:val="007812D5"/>
    <w:rsid w:val="00781691"/>
    <w:rsid w:val="007816CB"/>
    <w:rsid w:val="00781952"/>
    <w:rsid w:val="0078198A"/>
    <w:rsid w:val="007819C6"/>
    <w:rsid w:val="00781B0D"/>
    <w:rsid w:val="00781CE7"/>
    <w:rsid w:val="00781D2D"/>
    <w:rsid w:val="00781D49"/>
    <w:rsid w:val="00781D70"/>
    <w:rsid w:val="00781E0D"/>
    <w:rsid w:val="00781F9B"/>
    <w:rsid w:val="00782124"/>
    <w:rsid w:val="00782297"/>
    <w:rsid w:val="007822DA"/>
    <w:rsid w:val="00782369"/>
    <w:rsid w:val="007824C2"/>
    <w:rsid w:val="00782539"/>
    <w:rsid w:val="00782543"/>
    <w:rsid w:val="00782679"/>
    <w:rsid w:val="007827BE"/>
    <w:rsid w:val="0078285E"/>
    <w:rsid w:val="00782990"/>
    <w:rsid w:val="00782AF6"/>
    <w:rsid w:val="00782B39"/>
    <w:rsid w:val="00782B96"/>
    <w:rsid w:val="00782C0C"/>
    <w:rsid w:val="00782E8D"/>
    <w:rsid w:val="00782EF5"/>
    <w:rsid w:val="00782F4C"/>
    <w:rsid w:val="00782F74"/>
    <w:rsid w:val="00782F75"/>
    <w:rsid w:val="00782F83"/>
    <w:rsid w:val="00782FCC"/>
    <w:rsid w:val="00783111"/>
    <w:rsid w:val="0078333E"/>
    <w:rsid w:val="00783441"/>
    <w:rsid w:val="00783561"/>
    <w:rsid w:val="0078356E"/>
    <w:rsid w:val="007836A0"/>
    <w:rsid w:val="007836A1"/>
    <w:rsid w:val="007836B9"/>
    <w:rsid w:val="0078396D"/>
    <w:rsid w:val="00783982"/>
    <w:rsid w:val="00783A03"/>
    <w:rsid w:val="00783AB5"/>
    <w:rsid w:val="00783B58"/>
    <w:rsid w:val="00783C9D"/>
    <w:rsid w:val="00783C9F"/>
    <w:rsid w:val="007842A8"/>
    <w:rsid w:val="00784361"/>
    <w:rsid w:val="00784387"/>
    <w:rsid w:val="00784493"/>
    <w:rsid w:val="00784557"/>
    <w:rsid w:val="00784630"/>
    <w:rsid w:val="007846C5"/>
    <w:rsid w:val="0078476C"/>
    <w:rsid w:val="0078481D"/>
    <w:rsid w:val="00784902"/>
    <w:rsid w:val="00784DB7"/>
    <w:rsid w:val="00784DC1"/>
    <w:rsid w:val="00784E7D"/>
    <w:rsid w:val="00784EC6"/>
    <w:rsid w:val="00784F4F"/>
    <w:rsid w:val="00784F64"/>
    <w:rsid w:val="007853D0"/>
    <w:rsid w:val="007853E1"/>
    <w:rsid w:val="0078557B"/>
    <w:rsid w:val="0078584C"/>
    <w:rsid w:val="00785BDE"/>
    <w:rsid w:val="00785C65"/>
    <w:rsid w:val="00785CCC"/>
    <w:rsid w:val="00785D21"/>
    <w:rsid w:val="00785D2E"/>
    <w:rsid w:val="00785D5D"/>
    <w:rsid w:val="00785DD6"/>
    <w:rsid w:val="00785F1B"/>
    <w:rsid w:val="0078603C"/>
    <w:rsid w:val="00786064"/>
    <w:rsid w:val="00786140"/>
    <w:rsid w:val="0078624E"/>
    <w:rsid w:val="00786365"/>
    <w:rsid w:val="007865EE"/>
    <w:rsid w:val="00786791"/>
    <w:rsid w:val="00786906"/>
    <w:rsid w:val="00786B0A"/>
    <w:rsid w:val="00786B7C"/>
    <w:rsid w:val="00786D71"/>
    <w:rsid w:val="00786E01"/>
    <w:rsid w:val="00786E16"/>
    <w:rsid w:val="00786F2E"/>
    <w:rsid w:val="00786F33"/>
    <w:rsid w:val="00786FB8"/>
    <w:rsid w:val="007871E4"/>
    <w:rsid w:val="00787211"/>
    <w:rsid w:val="00787366"/>
    <w:rsid w:val="00787443"/>
    <w:rsid w:val="007874CB"/>
    <w:rsid w:val="007876B7"/>
    <w:rsid w:val="007876BF"/>
    <w:rsid w:val="00787707"/>
    <w:rsid w:val="007877C7"/>
    <w:rsid w:val="00787B6C"/>
    <w:rsid w:val="00787D7B"/>
    <w:rsid w:val="00787DA8"/>
    <w:rsid w:val="007900F2"/>
    <w:rsid w:val="007900FE"/>
    <w:rsid w:val="0079020B"/>
    <w:rsid w:val="007902A3"/>
    <w:rsid w:val="0079040E"/>
    <w:rsid w:val="0079048F"/>
    <w:rsid w:val="0079062B"/>
    <w:rsid w:val="0079065E"/>
    <w:rsid w:val="00790B5C"/>
    <w:rsid w:val="00790B92"/>
    <w:rsid w:val="00790EEE"/>
    <w:rsid w:val="00791072"/>
    <w:rsid w:val="0079134D"/>
    <w:rsid w:val="00791658"/>
    <w:rsid w:val="00791757"/>
    <w:rsid w:val="00791CAF"/>
    <w:rsid w:val="00791F3C"/>
    <w:rsid w:val="00791F52"/>
    <w:rsid w:val="00791F88"/>
    <w:rsid w:val="00792008"/>
    <w:rsid w:val="007922E6"/>
    <w:rsid w:val="00792442"/>
    <w:rsid w:val="00792470"/>
    <w:rsid w:val="007926CB"/>
    <w:rsid w:val="007927D8"/>
    <w:rsid w:val="00792AA1"/>
    <w:rsid w:val="00792B27"/>
    <w:rsid w:val="00792BAE"/>
    <w:rsid w:val="00792BCA"/>
    <w:rsid w:val="00792EFF"/>
    <w:rsid w:val="007930FD"/>
    <w:rsid w:val="007930FE"/>
    <w:rsid w:val="007931B5"/>
    <w:rsid w:val="007931F1"/>
    <w:rsid w:val="00793365"/>
    <w:rsid w:val="007933F0"/>
    <w:rsid w:val="007935D7"/>
    <w:rsid w:val="00793645"/>
    <w:rsid w:val="007939DD"/>
    <w:rsid w:val="00793A12"/>
    <w:rsid w:val="00793B02"/>
    <w:rsid w:val="00793B94"/>
    <w:rsid w:val="00793C13"/>
    <w:rsid w:val="00793C20"/>
    <w:rsid w:val="00793CCB"/>
    <w:rsid w:val="00793D98"/>
    <w:rsid w:val="00793E80"/>
    <w:rsid w:val="00793F47"/>
    <w:rsid w:val="00793FAF"/>
    <w:rsid w:val="00793FF4"/>
    <w:rsid w:val="007940FE"/>
    <w:rsid w:val="00794142"/>
    <w:rsid w:val="007943B0"/>
    <w:rsid w:val="0079444A"/>
    <w:rsid w:val="007944AC"/>
    <w:rsid w:val="00794531"/>
    <w:rsid w:val="00794688"/>
    <w:rsid w:val="007947B8"/>
    <w:rsid w:val="007948E0"/>
    <w:rsid w:val="0079492D"/>
    <w:rsid w:val="00794AF4"/>
    <w:rsid w:val="00794AF5"/>
    <w:rsid w:val="00794B7B"/>
    <w:rsid w:val="00794B9C"/>
    <w:rsid w:val="00794D76"/>
    <w:rsid w:val="0079502B"/>
    <w:rsid w:val="0079547A"/>
    <w:rsid w:val="00795565"/>
    <w:rsid w:val="0079563F"/>
    <w:rsid w:val="0079569F"/>
    <w:rsid w:val="0079584F"/>
    <w:rsid w:val="007958EC"/>
    <w:rsid w:val="00795B50"/>
    <w:rsid w:val="00795D09"/>
    <w:rsid w:val="00795D63"/>
    <w:rsid w:val="0079608A"/>
    <w:rsid w:val="0079624F"/>
    <w:rsid w:val="00796377"/>
    <w:rsid w:val="007963B7"/>
    <w:rsid w:val="00796575"/>
    <w:rsid w:val="00796601"/>
    <w:rsid w:val="0079661F"/>
    <w:rsid w:val="007966B0"/>
    <w:rsid w:val="00796707"/>
    <w:rsid w:val="0079674F"/>
    <w:rsid w:val="00796927"/>
    <w:rsid w:val="00796E08"/>
    <w:rsid w:val="00796F9C"/>
    <w:rsid w:val="0079717E"/>
    <w:rsid w:val="00797819"/>
    <w:rsid w:val="00797860"/>
    <w:rsid w:val="007978DE"/>
    <w:rsid w:val="00797937"/>
    <w:rsid w:val="00797DDC"/>
    <w:rsid w:val="00797DFF"/>
    <w:rsid w:val="00797FB4"/>
    <w:rsid w:val="007A0084"/>
    <w:rsid w:val="007A0098"/>
    <w:rsid w:val="007A0217"/>
    <w:rsid w:val="007A02BC"/>
    <w:rsid w:val="007A042A"/>
    <w:rsid w:val="007A0765"/>
    <w:rsid w:val="007A0777"/>
    <w:rsid w:val="007A0782"/>
    <w:rsid w:val="007A0A10"/>
    <w:rsid w:val="007A0D4E"/>
    <w:rsid w:val="007A0DBE"/>
    <w:rsid w:val="007A14AD"/>
    <w:rsid w:val="007A15D1"/>
    <w:rsid w:val="007A18A0"/>
    <w:rsid w:val="007A1AC3"/>
    <w:rsid w:val="007A1BD3"/>
    <w:rsid w:val="007A1C29"/>
    <w:rsid w:val="007A1C65"/>
    <w:rsid w:val="007A1C8E"/>
    <w:rsid w:val="007A1DC7"/>
    <w:rsid w:val="007A1DF2"/>
    <w:rsid w:val="007A1E71"/>
    <w:rsid w:val="007A1F12"/>
    <w:rsid w:val="007A22DA"/>
    <w:rsid w:val="007A22FD"/>
    <w:rsid w:val="007A2410"/>
    <w:rsid w:val="007A244A"/>
    <w:rsid w:val="007A25A4"/>
    <w:rsid w:val="007A265B"/>
    <w:rsid w:val="007A26DA"/>
    <w:rsid w:val="007A2741"/>
    <w:rsid w:val="007A2759"/>
    <w:rsid w:val="007A2892"/>
    <w:rsid w:val="007A28DA"/>
    <w:rsid w:val="007A29CB"/>
    <w:rsid w:val="007A2DD8"/>
    <w:rsid w:val="007A2F15"/>
    <w:rsid w:val="007A3154"/>
    <w:rsid w:val="007A31BA"/>
    <w:rsid w:val="007A3300"/>
    <w:rsid w:val="007A33C1"/>
    <w:rsid w:val="007A3430"/>
    <w:rsid w:val="007A35E5"/>
    <w:rsid w:val="007A379D"/>
    <w:rsid w:val="007A37AD"/>
    <w:rsid w:val="007A386B"/>
    <w:rsid w:val="007A39F3"/>
    <w:rsid w:val="007A3A1B"/>
    <w:rsid w:val="007A3A20"/>
    <w:rsid w:val="007A3AD6"/>
    <w:rsid w:val="007A3BF7"/>
    <w:rsid w:val="007A3BFF"/>
    <w:rsid w:val="007A3EBF"/>
    <w:rsid w:val="007A3ED8"/>
    <w:rsid w:val="007A3FB9"/>
    <w:rsid w:val="007A4243"/>
    <w:rsid w:val="007A42F5"/>
    <w:rsid w:val="007A43E3"/>
    <w:rsid w:val="007A460C"/>
    <w:rsid w:val="007A46EF"/>
    <w:rsid w:val="007A492F"/>
    <w:rsid w:val="007A495D"/>
    <w:rsid w:val="007A4AA8"/>
    <w:rsid w:val="007A4BFD"/>
    <w:rsid w:val="007A4C02"/>
    <w:rsid w:val="007A4CD0"/>
    <w:rsid w:val="007A4E3E"/>
    <w:rsid w:val="007A4ED7"/>
    <w:rsid w:val="007A4F65"/>
    <w:rsid w:val="007A51D8"/>
    <w:rsid w:val="007A52DF"/>
    <w:rsid w:val="007A531B"/>
    <w:rsid w:val="007A5413"/>
    <w:rsid w:val="007A54FC"/>
    <w:rsid w:val="007A552A"/>
    <w:rsid w:val="007A5632"/>
    <w:rsid w:val="007A5664"/>
    <w:rsid w:val="007A5ABB"/>
    <w:rsid w:val="007A5CC3"/>
    <w:rsid w:val="007A5E2D"/>
    <w:rsid w:val="007A5E61"/>
    <w:rsid w:val="007A5EC8"/>
    <w:rsid w:val="007A5F45"/>
    <w:rsid w:val="007A5F7E"/>
    <w:rsid w:val="007A5FC7"/>
    <w:rsid w:val="007A6001"/>
    <w:rsid w:val="007A6069"/>
    <w:rsid w:val="007A60A8"/>
    <w:rsid w:val="007A619C"/>
    <w:rsid w:val="007A62CF"/>
    <w:rsid w:val="007A6569"/>
    <w:rsid w:val="007A6582"/>
    <w:rsid w:val="007A65EF"/>
    <w:rsid w:val="007A668F"/>
    <w:rsid w:val="007A6743"/>
    <w:rsid w:val="007A6A45"/>
    <w:rsid w:val="007A6B1C"/>
    <w:rsid w:val="007A6B7D"/>
    <w:rsid w:val="007A6E29"/>
    <w:rsid w:val="007A6F0D"/>
    <w:rsid w:val="007A6FCB"/>
    <w:rsid w:val="007A70AD"/>
    <w:rsid w:val="007A70E4"/>
    <w:rsid w:val="007A736E"/>
    <w:rsid w:val="007A74FC"/>
    <w:rsid w:val="007A75B9"/>
    <w:rsid w:val="007A763E"/>
    <w:rsid w:val="007A764B"/>
    <w:rsid w:val="007A770B"/>
    <w:rsid w:val="007A77EE"/>
    <w:rsid w:val="007A77F8"/>
    <w:rsid w:val="007A781D"/>
    <w:rsid w:val="007A7A90"/>
    <w:rsid w:val="007A7CE9"/>
    <w:rsid w:val="007A7EBB"/>
    <w:rsid w:val="007A7F2E"/>
    <w:rsid w:val="007B0088"/>
    <w:rsid w:val="007B0156"/>
    <w:rsid w:val="007B0438"/>
    <w:rsid w:val="007B04DC"/>
    <w:rsid w:val="007B0708"/>
    <w:rsid w:val="007B0914"/>
    <w:rsid w:val="007B09C1"/>
    <w:rsid w:val="007B0BF6"/>
    <w:rsid w:val="007B0C16"/>
    <w:rsid w:val="007B0CB6"/>
    <w:rsid w:val="007B0D16"/>
    <w:rsid w:val="007B0DEB"/>
    <w:rsid w:val="007B0E0E"/>
    <w:rsid w:val="007B10E9"/>
    <w:rsid w:val="007B1204"/>
    <w:rsid w:val="007B1218"/>
    <w:rsid w:val="007B12DF"/>
    <w:rsid w:val="007B1670"/>
    <w:rsid w:val="007B168F"/>
    <w:rsid w:val="007B1B26"/>
    <w:rsid w:val="007B1D0C"/>
    <w:rsid w:val="007B1EAC"/>
    <w:rsid w:val="007B1EE5"/>
    <w:rsid w:val="007B2108"/>
    <w:rsid w:val="007B21BC"/>
    <w:rsid w:val="007B221E"/>
    <w:rsid w:val="007B2277"/>
    <w:rsid w:val="007B2393"/>
    <w:rsid w:val="007B263F"/>
    <w:rsid w:val="007B2762"/>
    <w:rsid w:val="007B287F"/>
    <w:rsid w:val="007B2BAC"/>
    <w:rsid w:val="007B2C39"/>
    <w:rsid w:val="007B2C8E"/>
    <w:rsid w:val="007B2EA6"/>
    <w:rsid w:val="007B2EEC"/>
    <w:rsid w:val="007B3098"/>
    <w:rsid w:val="007B313A"/>
    <w:rsid w:val="007B33AA"/>
    <w:rsid w:val="007B3482"/>
    <w:rsid w:val="007B35C9"/>
    <w:rsid w:val="007B365C"/>
    <w:rsid w:val="007B3710"/>
    <w:rsid w:val="007B371A"/>
    <w:rsid w:val="007B37A2"/>
    <w:rsid w:val="007B391C"/>
    <w:rsid w:val="007B3AAF"/>
    <w:rsid w:val="007B3C77"/>
    <w:rsid w:val="007B3CFB"/>
    <w:rsid w:val="007B3DAF"/>
    <w:rsid w:val="007B3E7A"/>
    <w:rsid w:val="007B3F5F"/>
    <w:rsid w:val="007B420E"/>
    <w:rsid w:val="007B442E"/>
    <w:rsid w:val="007B448D"/>
    <w:rsid w:val="007B45EC"/>
    <w:rsid w:val="007B469C"/>
    <w:rsid w:val="007B4888"/>
    <w:rsid w:val="007B49D5"/>
    <w:rsid w:val="007B49DA"/>
    <w:rsid w:val="007B4B2B"/>
    <w:rsid w:val="007B4BA1"/>
    <w:rsid w:val="007B4C24"/>
    <w:rsid w:val="007B4D0E"/>
    <w:rsid w:val="007B4ED8"/>
    <w:rsid w:val="007B50CA"/>
    <w:rsid w:val="007B50E0"/>
    <w:rsid w:val="007B5119"/>
    <w:rsid w:val="007B5198"/>
    <w:rsid w:val="007B52A9"/>
    <w:rsid w:val="007B52EB"/>
    <w:rsid w:val="007B5489"/>
    <w:rsid w:val="007B5500"/>
    <w:rsid w:val="007B56CD"/>
    <w:rsid w:val="007B57E4"/>
    <w:rsid w:val="007B57FE"/>
    <w:rsid w:val="007B59A3"/>
    <w:rsid w:val="007B59F2"/>
    <w:rsid w:val="007B5A70"/>
    <w:rsid w:val="007B5D99"/>
    <w:rsid w:val="007B600E"/>
    <w:rsid w:val="007B6020"/>
    <w:rsid w:val="007B6039"/>
    <w:rsid w:val="007B606A"/>
    <w:rsid w:val="007B61D7"/>
    <w:rsid w:val="007B629D"/>
    <w:rsid w:val="007B639B"/>
    <w:rsid w:val="007B645B"/>
    <w:rsid w:val="007B652F"/>
    <w:rsid w:val="007B676F"/>
    <w:rsid w:val="007B68E6"/>
    <w:rsid w:val="007B691E"/>
    <w:rsid w:val="007B6A52"/>
    <w:rsid w:val="007B6CF9"/>
    <w:rsid w:val="007B6D19"/>
    <w:rsid w:val="007B6D2F"/>
    <w:rsid w:val="007B6D51"/>
    <w:rsid w:val="007B6E04"/>
    <w:rsid w:val="007B6E9E"/>
    <w:rsid w:val="007B701D"/>
    <w:rsid w:val="007B7208"/>
    <w:rsid w:val="007B725C"/>
    <w:rsid w:val="007B7363"/>
    <w:rsid w:val="007B73BB"/>
    <w:rsid w:val="007B73FF"/>
    <w:rsid w:val="007B7453"/>
    <w:rsid w:val="007B75CC"/>
    <w:rsid w:val="007B761D"/>
    <w:rsid w:val="007B7716"/>
    <w:rsid w:val="007B77DD"/>
    <w:rsid w:val="007B79D5"/>
    <w:rsid w:val="007B7BA4"/>
    <w:rsid w:val="007C01D2"/>
    <w:rsid w:val="007C0334"/>
    <w:rsid w:val="007C038D"/>
    <w:rsid w:val="007C03FC"/>
    <w:rsid w:val="007C048D"/>
    <w:rsid w:val="007C04A1"/>
    <w:rsid w:val="007C0538"/>
    <w:rsid w:val="007C0566"/>
    <w:rsid w:val="007C0659"/>
    <w:rsid w:val="007C0816"/>
    <w:rsid w:val="007C0A93"/>
    <w:rsid w:val="007C0ACA"/>
    <w:rsid w:val="007C0B26"/>
    <w:rsid w:val="007C0B85"/>
    <w:rsid w:val="007C0BBD"/>
    <w:rsid w:val="007C0C2B"/>
    <w:rsid w:val="007C0DD4"/>
    <w:rsid w:val="007C0E44"/>
    <w:rsid w:val="007C113A"/>
    <w:rsid w:val="007C119C"/>
    <w:rsid w:val="007C1268"/>
    <w:rsid w:val="007C156F"/>
    <w:rsid w:val="007C16C4"/>
    <w:rsid w:val="007C1702"/>
    <w:rsid w:val="007C1752"/>
    <w:rsid w:val="007C178F"/>
    <w:rsid w:val="007C18C4"/>
    <w:rsid w:val="007C1B16"/>
    <w:rsid w:val="007C1CE5"/>
    <w:rsid w:val="007C1DD6"/>
    <w:rsid w:val="007C1E63"/>
    <w:rsid w:val="007C21F5"/>
    <w:rsid w:val="007C2220"/>
    <w:rsid w:val="007C22DD"/>
    <w:rsid w:val="007C2419"/>
    <w:rsid w:val="007C2515"/>
    <w:rsid w:val="007C2595"/>
    <w:rsid w:val="007C25B3"/>
    <w:rsid w:val="007C25C0"/>
    <w:rsid w:val="007C2718"/>
    <w:rsid w:val="007C287E"/>
    <w:rsid w:val="007C28F1"/>
    <w:rsid w:val="007C2B77"/>
    <w:rsid w:val="007C2D07"/>
    <w:rsid w:val="007C2D95"/>
    <w:rsid w:val="007C2F4F"/>
    <w:rsid w:val="007C2FD0"/>
    <w:rsid w:val="007C3038"/>
    <w:rsid w:val="007C31C2"/>
    <w:rsid w:val="007C3304"/>
    <w:rsid w:val="007C3452"/>
    <w:rsid w:val="007C347F"/>
    <w:rsid w:val="007C34DA"/>
    <w:rsid w:val="007C35E7"/>
    <w:rsid w:val="007C35FB"/>
    <w:rsid w:val="007C3661"/>
    <w:rsid w:val="007C3683"/>
    <w:rsid w:val="007C36D8"/>
    <w:rsid w:val="007C380C"/>
    <w:rsid w:val="007C38CA"/>
    <w:rsid w:val="007C3963"/>
    <w:rsid w:val="007C3B46"/>
    <w:rsid w:val="007C3C77"/>
    <w:rsid w:val="007C3DB8"/>
    <w:rsid w:val="007C3E3C"/>
    <w:rsid w:val="007C3F2C"/>
    <w:rsid w:val="007C40F9"/>
    <w:rsid w:val="007C4128"/>
    <w:rsid w:val="007C412D"/>
    <w:rsid w:val="007C41AE"/>
    <w:rsid w:val="007C42AD"/>
    <w:rsid w:val="007C4306"/>
    <w:rsid w:val="007C4344"/>
    <w:rsid w:val="007C444D"/>
    <w:rsid w:val="007C447C"/>
    <w:rsid w:val="007C44A1"/>
    <w:rsid w:val="007C455B"/>
    <w:rsid w:val="007C471F"/>
    <w:rsid w:val="007C489A"/>
    <w:rsid w:val="007C48E7"/>
    <w:rsid w:val="007C4911"/>
    <w:rsid w:val="007C4935"/>
    <w:rsid w:val="007C49BB"/>
    <w:rsid w:val="007C49C2"/>
    <w:rsid w:val="007C4A11"/>
    <w:rsid w:val="007C4A95"/>
    <w:rsid w:val="007C4B0F"/>
    <w:rsid w:val="007C4B3F"/>
    <w:rsid w:val="007C4BB9"/>
    <w:rsid w:val="007C4BD1"/>
    <w:rsid w:val="007C4BE3"/>
    <w:rsid w:val="007C4CF2"/>
    <w:rsid w:val="007C4EAE"/>
    <w:rsid w:val="007C50CE"/>
    <w:rsid w:val="007C5101"/>
    <w:rsid w:val="007C539D"/>
    <w:rsid w:val="007C552D"/>
    <w:rsid w:val="007C5582"/>
    <w:rsid w:val="007C5696"/>
    <w:rsid w:val="007C598B"/>
    <w:rsid w:val="007C5AE5"/>
    <w:rsid w:val="007C5B6F"/>
    <w:rsid w:val="007C5BA3"/>
    <w:rsid w:val="007C5CB1"/>
    <w:rsid w:val="007C60E2"/>
    <w:rsid w:val="007C60F6"/>
    <w:rsid w:val="007C612A"/>
    <w:rsid w:val="007C6153"/>
    <w:rsid w:val="007C6337"/>
    <w:rsid w:val="007C63E8"/>
    <w:rsid w:val="007C6473"/>
    <w:rsid w:val="007C6632"/>
    <w:rsid w:val="007C66CE"/>
    <w:rsid w:val="007C6769"/>
    <w:rsid w:val="007C687C"/>
    <w:rsid w:val="007C68FA"/>
    <w:rsid w:val="007C6945"/>
    <w:rsid w:val="007C6C34"/>
    <w:rsid w:val="007C6E50"/>
    <w:rsid w:val="007C6E94"/>
    <w:rsid w:val="007C72BD"/>
    <w:rsid w:val="007C7382"/>
    <w:rsid w:val="007C746B"/>
    <w:rsid w:val="007C763B"/>
    <w:rsid w:val="007C77CC"/>
    <w:rsid w:val="007C7875"/>
    <w:rsid w:val="007C7992"/>
    <w:rsid w:val="007C7A4D"/>
    <w:rsid w:val="007C7AF3"/>
    <w:rsid w:val="007C7B3F"/>
    <w:rsid w:val="007C7C78"/>
    <w:rsid w:val="007C7E3D"/>
    <w:rsid w:val="007C7F00"/>
    <w:rsid w:val="007C7FDF"/>
    <w:rsid w:val="007D014A"/>
    <w:rsid w:val="007D03DF"/>
    <w:rsid w:val="007D0413"/>
    <w:rsid w:val="007D0424"/>
    <w:rsid w:val="007D043E"/>
    <w:rsid w:val="007D04CF"/>
    <w:rsid w:val="007D0715"/>
    <w:rsid w:val="007D0960"/>
    <w:rsid w:val="007D09D3"/>
    <w:rsid w:val="007D0A3A"/>
    <w:rsid w:val="007D0E29"/>
    <w:rsid w:val="007D0F51"/>
    <w:rsid w:val="007D0FEB"/>
    <w:rsid w:val="007D10D1"/>
    <w:rsid w:val="007D1128"/>
    <w:rsid w:val="007D1253"/>
    <w:rsid w:val="007D1367"/>
    <w:rsid w:val="007D1538"/>
    <w:rsid w:val="007D15D8"/>
    <w:rsid w:val="007D160C"/>
    <w:rsid w:val="007D17A4"/>
    <w:rsid w:val="007D17CA"/>
    <w:rsid w:val="007D1888"/>
    <w:rsid w:val="007D18B1"/>
    <w:rsid w:val="007D19A9"/>
    <w:rsid w:val="007D19BC"/>
    <w:rsid w:val="007D1E44"/>
    <w:rsid w:val="007D1EB5"/>
    <w:rsid w:val="007D2098"/>
    <w:rsid w:val="007D23C8"/>
    <w:rsid w:val="007D26F5"/>
    <w:rsid w:val="007D27B3"/>
    <w:rsid w:val="007D2973"/>
    <w:rsid w:val="007D2983"/>
    <w:rsid w:val="007D2B36"/>
    <w:rsid w:val="007D2BE6"/>
    <w:rsid w:val="007D2C21"/>
    <w:rsid w:val="007D2C9D"/>
    <w:rsid w:val="007D2F7E"/>
    <w:rsid w:val="007D2FD3"/>
    <w:rsid w:val="007D300E"/>
    <w:rsid w:val="007D3075"/>
    <w:rsid w:val="007D30B2"/>
    <w:rsid w:val="007D344F"/>
    <w:rsid w:val="007D3600"/>
    <w:rsid w:val="007D36A0"/>
    <w:rsid w:val="007D36D4"/>
    <w:rsid w:val="007D372F"/>
    <w:rsid w:val="007D37C3"/>
    <w:rsid w:val="007D37E1"/>
    <w:rsid w:val="007D3826"/>
    <w:rsid w:val="007D3889"/>
    <w:rsid w:val="007D3B14"/>
    <w:rsid w:val="007D3B43"/>
    <w:rsid w:val="007D3D5E"/>
    <w:rsid w:val="007D3DDC"/>
    <w:rsid w:val="007D3E4B"/>
    <w:rsid w:val="007D3E63"/>
    <w:rsid w:val="007D3F18"/>
    <w:rsid w:val="007D3F5C"/>
    <w:rsid w:val="007D3FCB"/>
    <w:rsid w:val="007D42A6"/>
    <w:rsid w:val="007D42AC"/>
    <w:rsid w:val="007D43D7"/>
    <w:rsid w:val="007D4485"/>
    <w:rsid w:val="007D458A"/>
    <w:rsid w:val="007D46CF"/>
    <w:rsid w:val="007D46FD"/>
    <w:rsid w:val="007D48A3"/>
    <w:rsid w:val="007D48BA"/>
    <w:rsid w:val="007D48D4"/>
    <w:rsid w:val="007D4979"/>
    <w:rsid w:val="007D49EC"/>
    <w:rsid w:val="007D4AC7"/>
    <w:rsid w:val="007D4AF0"/>
    <w:rsid w:val="007D4BFA"/>
    <w:rsid w:val="007D4C78"/>
    <w:rsid w:val="007D4CAF"/>
    <w:rsid w:val="007D4CFF"/>
    <w:rsid w:val="007D4D67"/>
    <w:rsid w:val="007D52E9"/>
    <w:rsid w:val="007D539A"/>
    <w:rsid w:val="007D540A"/>
    <w:rsid w:val="007D5A20"/>
    <w:rsid w:val="007D5A63"/>
    <w:rsid w:val="007D5AB1"/>
    <w:rsid w:val="007D5C01"/>
    <w:rsid w:val="007D5C93"/>
    <w:rsid w:val="007D5CB3"/>
    <w:rsid w:val="007D5CDE"/>
    <w:rsid w:val="007D5DC9"/>
    <w:rsid w:val="007D5DEB"/>
    <w:rsid w:val="007D5E0C"/>
    <w:rsid w:val="007D5E24"/>
    <w:rsid w:val="007D5EB8"/>
    <w:rsid w:val="007D5EE9"/>
    <w:rsid w:val="007D5EF0"/>
    <w:rsid w:val="007D5FCC"/>
    <w:rsid w:val="007D607B"/>
    <w:rsid w:val="007D6112"/>
    <w:rsid w:val="007D62CB"/>
    <w:rsid w:val="007D62DF"/>
    <w:rsid w:val="007D62FC"/>
    <w:rsid w:val="007D647E"/>
    <w:rsid w:val="007D66D9"/>
    <w:rsid w:val="007D66F9"/>
    <w:rsid w:val="007D6712"/>
    <w:rsid w:val="007D6774"/>
    <w:rsid w:val="007D6785"/>
    <w:rsid w:val="007D67C6"/>
    <w:rsid w:val="007D686F"/>
    <w:rsid w:val="007D69BC"/>
    <w:rsid w:val="007D6AFF"/>
    <w:rsid w:val="007D6C65"/>
    <w:rsid w:val="007D6CE2"/>
    <w:rsid w:val="007D6CE9"/>
    <w:rsid w:val="007D6D46"/>
    <w:rsid w:val="007D6E63"/>
    <w:rsid w:val="007D6E66"/>
    <w:rsid w:val="007D6E6A"/>
    <w:rsid w:val="007D6FA4"/>
    <w:rsid w:val="007D6FD3"/>
    <w:rsid w:val="007D6FE4"/>
    <w:rsid w:val="007D71D9"/>
    <w:rsid w:val="007D720E"/>
    <w:rsid w:val="007D72A4"/>
    <w:rsid w:val="007D72C8"/>
    <w:rsid w:val="007D7377"/>
    <w:rsid w:val="007D768B"/>
    <w:rsid w:val="007D76C4"/>
    <w:rsid w:val="007D7857"/>
    <w:rsid w:val="007D7896"/>
    <w:rsid w:val="007D78FE"/>
    <w:rsid w:val="007D7990"/>
    <w:rsid w:val="007D79D9"/>
    <w:rsid w:val="007D7A7C"/>
    <w:rsid w:val="007D7ABF"/>
    <w:rsid w:val="007D7DED"/>
    <w:rsid w:val="007D7E05"/>
    <w:rsid w:val="007D7EE9"/>
    <w:rsid w:val="007D7FA8"/>
    <w:rsid w:val="007E0019"/>
    <w:rsid w:val="007E0422"/>
    <w:rsid w:val="007E060A"/>
    <w:rsid w:val="007E06CE"/>
    <w:rsid w:val="007E079A"/>
    <w:rsid w:val="007E0AFC"/>
    <w:rsid w:val="007E0C89"/>
    <w:rsid w:val="007E0CA0"/>
    <w:rsid w:val="007E0CDF"/>
    <w:rsid w:val="007E0CEF"/>
    <w:rsid w:val="007E0D8A"/>
    <w:rsid w:val="007E0DC4"/>
    <w:rsid w:val="007E0DF6"/>
    <w:rsid w:val="007E0E6A"/>
    <w:rsid w:val="007E0F2A"/>
    <w:rsid w:val="007E0FCF"/>
    <w:rsid w:val="007E1022"/>
    <w:rsid w:val="007E119E"/>
    <w:rsid w:val="007E11EC"/>
    <w:rsid w:val="007E12FB"/>
    <w:rsid w:val="007E1496"/>
    <w:rsid w:val="007E15A9"/>
    <w:rsid w:val="007E17F6"/>
    <w:rsid w:val="007E188D"/>
    <w:rsid w:val="007E18FF"/>
    <w:rsid w:val="007E1A8A"/>
    <w:rsid w:val="007E1DFD"/>
    <w:rsid w:val="007E1F17"/>
    <w:rsid w:val="007E1F8F"/>
    <w:rsid w:val="007E1FB8"/>
    <w:rsid w:val="007E2000"/>
    <w:rsid w:val="007E2052"/>
    <w:rsid w:val="007E2358"/>
    <w:rsid w:val="007E2394"/>
    <w:rsid w:val="007E2427"/>
    <w:rsid w:val="007E247B"/>
    <w:rsid w:val="007E2811"/>
    <w:rsid w:val="007E28B9"/>
    <w:rsid w:val="007E2A4E"/>
    <w:rsid w:val="007E2AB0"/>
    <w:rsid w:val="007E2C34"/>
    <w:rsid w:val="007E2E40"/>
    <w:rsid w:val="007E2F8C"/>
    <w:rsid w:val="007E2FD9"/>
    <w:rsid w:val="007E3018"/>
    <w:rsid w:val="007E302D"/>
    <w:rsid w:val="007E3198"/>
    <w:rsid w:val="007E31D7"/>
    <w:rsid w:val="007E3233"/>
    <w:rsid w:val="007E3346"/>
    <w:rsid w:val="007E3400"/>
    <w:rsid w:val="007E3437"/>
    <w:rsid w:val="007E34E4"/>
    <w:rsid w:val="007E353E"/>
    <w:rsid w:val="007E3562"/>
    <w:rsid w:val="007E362E"/>
    <w:rsid w:val="007E3734"/>
    <w:rsid w:val="007E37EA"/>
    <w:rsid w:val="007E37F1"/>
    <w:rsid w:val="007E3A1C"/>
    <w:rsid w:val="007E3BBF"/>
    <w:rsid w:val="007E3CB8"/>
    <w:rsid w:val="007E3F02"/>
    <w:rsid w:val="007E3FA0"/>
    <w:rsid w:val="007E4038"/>
    <w:rsid w:val="007E4135"/>
    <w:rsid w:val="007E4145"/>
    <w:rsid w:val="007E414F"/>
    <w:rsid w:val="007E415E"/>
    <w:rsid w:val="007E4338"/>
    <w:rsid w:val="007E44D3"/>
    <w:rsid w:val="007E4942"/>
    <w:rsid w:val="007E4975"/>
    <w:rsid w:val="007E49A3"/>
    <w:rsid w:val="007E4A9C"/>
    <w:rsid w:val="007E4B0F"/>
    <w:rsid w:val="007E4B1F"/>
    <w:rsid w:val="007E4CDF"/>
    <w:rsid w:val="007E4D56"/>
    <w:rsid w:val="007E4F00"/>
    <w:rsid w:val="007E500E"/>
    <w:rsid w:val="007E50EA"/>
    <w:rsid w:val="007E50FD"/>
    <w:rsid w:val="007E540F"/>
    <w:rsid w:val="007E5411"/>
    <w:rsid w:val="007E5741"/>
    <w:rsid w:val="007E58F9"/>
    <w:rsid w:val="007E5CF8"/>
    <w:rsid w:val="007E5E2C"/>
    <w:rsid w:val="007E6568"/>
    <w:rsid w:val="007E65B3"/>
    <w:rsid w:val="007E66CA"/>
    <w:rsid w:val="007E677B"/>
    <w:rsid w:val="007E6819"/>
    <w:rsid w:val="007E6B6D"/>
    <w:rsid w:val="007E6B98"/>
    <w:rsid w:val="007E6C27"/>
    <w:rsid w:val="007E6D2C"/>
    <w:rsid w:val="007E6E65"/>
    <w:rsid w:val="007E6FC4"/>
    <w:rsid w:val="007E70A2"/>
    <w:rsid w:val="007E70E3"/>
    <w:rsid w:val="007E71C2"/>
    <w:rsid w:val="007E729B"/>
    <w:rsid w:val="007E7437"/>
    <w:rsid w:val="007E758A"/>
    <w:rsid w:val="007E77AE"/>
    <w:rsid w:val="007E79A0"/>
    <w:rsid w:val="007E7AC8"/>
    <w:rsid w:val="007E7B97"/>
    <w:rsid w:val="007E7C01"/>
    <w:rsid w:val="007E7CF6"/>
    <w:rsid w:val="007E7DAE"/>
    <w:rsid w:val="007E7DDC"/>
    <w:rsid w:val="007E7E3E"/>
    <w:rsid w:val="007E7E43"/>
    <w:rsid w:val="007E7ED8"/>
    <w:rsid w:val="007F014F"/>
    <w:rsid w:val="007F01A6"/>
    <w:rsid w:val="007F0317"/>
    <w:rsid w:val="007F0362"/>
    <w:rsid w:val="007F0555"/>
    <w:rsid w:val="007F06C0"/>
    <w:rsid w:val="007F0732"/>
    <w:rsid w:val="007F0823"/>
    <w:rsid w:val="007F09D1"/>
    <w:rsid w:val="007F0A4B"/>
    <w:rsid w:val="007F0D4D"/>
    <w:rsid w:val="007F0DAB"/>
    <w:rsid w:val="007F0F71"/>
    <w:rsid w:val="007F0F77"/>
    <w:rsid w:val="007F1144"/>
    <w:rsid w:val="007F1218"/>
    <w:rsid w:val="007F142B"/>
    <w:rsid w:val="007F142E"/>
    <w:rsid w:val="007F1535"/>
    <w:rsid w:val="007F17F0"/>
    <w:rsid w:val="007F1836"/>
    <w:rsid w:val="007F1A7E"/>
    <w:rsid w:val="007F1C19"/>
    <w:rsid w:val="007F1C74"/>
    <w:rsid w:val="007F1DC1"/>
    <w:rsid w:val="007F22B8"/>
    <w:rsid w:val="007F24A1"/>
    <w:rsid w:val="007F2552"/>
    <w:rsid w:val="007F2576"/>
    <w:rsid w:val="007F25E2"/>
    <w:rsid w:val="007F266B"/>
    <w:rsid w:val="007F2893"/>
    <w:rsid w:val="007F2B73"/>
    <w:rsid w:val="007F2C77"/>
    <w:rsid w:val="007F2C81"/>
    <w:rsid w:val="007F2C90"/>
    <w:rsid w:val="007F2D0C"/>
    <w:rsid w:val="007F2D47"/>
    <w:rsid w:val="007F2F06"/>
    <w:rsid w:val="007F302B"/>
    <w:rsid w:val="007F3052"/>
    <w:rsid w:val="007F317F"/>
    <w:rsid w:val="007F3285"/>
    <w:rsid w:val="007F343D"/>
    <w:rsid w:val="007F34B4"/>
    <w:rsid w:val="007F3721"/>
    <w:rsid w:val="007F3736"/>
    <w:rsid w:val="007F37A3"/>
    <w:rsid w:val="007F38B2"/>
    <w:rsid w:val="007F3907"/>
    <w:rsid w:val="007F391A"/>
    <w:rsid w:val="007F39AC"/>
    <w:rsid w:val="007F3B8E"/>
    <w:rsid w:val="007F3BAD"/>
    <w:rsid w:val="007F3BC1"/>
    <w:rsid w:val="007F3C7B"/>
    <w:rsid w:val="007F3C7F"/>
    <w:rsid w:val="007F3CDD"/>
    <w:rsid w:val="007F3DD2"/>
    <w:rsid w:val="007F3E5B"/>
    <w:rsid w:val="007F41A7"/>
    <w:rsid w:val="007F425E"/>
    <w:rsid w:val="007F44AC"/>
    <w:rsid w:val="007F451B"/>
    <w:rsid w:val="007F454C"/>
    <w:rsid w:val="007F4884"/>
    <w:rsid w:val="007F48F2"/>
    <w:rsid w:val="007F4917"/>
    <w:rsid w:val="007F49C3"/>
    <w:rsid w:val="007F4A28"/>
    <w:rsid w:val="007F4B3A"/>
    <w:rsid w:val="007F4D11"/>
    <w:rsid w:val="007F4D89"/>
    <w:rsid w:val="007F4DA9"/>
    <w:rsid w:val="007F4E15"/>
    <w:rsid w:val="007F4E6A"/>
    <w:rsid w:val="007F4EAB"/>
    <w:rsid w:val="007F4F14"/>
    <w:rsid w:val="007F4FDA"/>
    <w:rsid w:val="007F5038"/>
    <w:rsid w:val="007F50DB"/>
    <w:rsid w:val="007F51B5"/>
    <w:rsid w:val="007F53BA"/>
    <w:rsid w:val="007F5A44"/>
    <w:rsid w:val="007F5A6E"/>
    <w:rsid w:val="007F5FFC"/>
    <w:rsid w:val="007F6051"/>
    <w:rsid w:val="007F6058"/>
    <w:rsid w:val="007F60DE"/>
    <w:rsid w:val="007F6378"/>
    <w:rsid w:val="007F6445"/>
    <w:rsid w:val="007F6537"/>
    <w:rsid w:val="007F6614"/>
    <w:rsid w:val="007F6666"/>
    <w:rsid w:val="007F6818"/>
    <w:rsid w:val="007F6892"/>
    <w:rsid w:val="007F6A80"/>
    <w:rsid w:val="007F6C26"/>
    <w:rsid w:val="007F6C95"/>
    <w:rsid w:val="007F6CE4"/>
    <w:rsid w:val="007F6D3D"/>
    <w:rsid w:val="007F6D8A"/>
    <w:rsid w:val="007F6E4F"/>
    <w:rsid w:val="007F6EC7"/>
    <w:rsid w:val="007F71B9"/>
    <w:rsid w:val="007F72F6"/>
    <w:rsid w:val="007F7310"/>
    <w:rsid w:val="007F732B"/>
    <w:rsid w:val="007F7420"/>
    <w:rsid w:val="007F747E"/>
    <w:rsid w:val="007F75E2"/>
    <w:rsid w:val="007F76D6"/>
    <w:rsid w:val="007F785C"/>
    <w:rsid w:val="007F797B"/>
    <w:rsid w:val="007F79E5"/>
    <w:rsid w:val="007F7B58"/>
    <w:rsid w:val="007F7BF4"/>
    <w:rsid w:val="00800075"/>
    <w:rsid w:val="008000B7"/>
    <w:rsid w:val="008000EC"/>
    <w:rsid w:val="0080015A"/>
    <w:rsid w:val="008001B3"/>
    <w:rsid w:val="00800393"/>
    <w:rsid w:val="008003C4"/>
    <w:rsid w:val="008004C9"/>
    <w:rsid w:val="008005A4"/>
    <w:rsid w:val="008006B7"/>
    <w:rsid w:val="0080075F"/>
    <w:rsid w:val="008007C0"/>
    <w:rsid w:val="008008E9"/>
    <w:rsid w:val="00800B3B"/>
    <w:rsid w:val="00800F3E"/>
    <w:rsid w:val="00800FD2"/>
    <w:rsid w:val="00800FF2"/>
    <w:rsid w:val="00801194"/>
    <w:rsid w:val="0080125B"/>
    <w:rsid w:val="00801340"/>
    <w:rsid w:val="008013F5"/>
    <w:rsid w:val="00801750"/>
    <w:rsid w:val="00801763"/>
    <w:rsid w:val="00801884"/>
    <w:rsid w:val="008018C2"/>
    <w:rsid w:val="008018F8"/>
    <w:rsid w:val="00801A29"/>
    <w:rsid w:val="00801ABA"/>
    <w:rsid w:val="00801B42"/>
    <w:rsid w:val="00801B50"/>
    <w:rsid w:val="00801D05"/>
    <w:rsid w:val="00801FE5"/>
    <w:rsid w:val="0080202A"/>
    <w:rsid w:val="00802249"/>
    <w:rsid w:val="008023DB"/>
    <w:rsid w:val="008026DF"/>
    <w:rsid w:val="008027D4"/>
    <w:rsid w:val="0080285A"/>
    <w:rsid w:val="0080288C"/>
    <w:rsid w:val="008029EA"/>
    <w:rsid w:val="00802A21"/>
    <w:rsid w:val="00802A3F"/>
    <w:rsid w:val="00802B09"/>
    <w:rsid w:val="00802D57"/>
    <w:rsid w:val="00802F3E"/>
    <w:rsid w:val="008030E7"/>
    <w:rsid w:val="008036F3"/>
    <w:rsid w:val="00803812"/>
    <w:rsid w:val="008039A3"/>
    <w:rsid w:val="00803A8C"/>
    <w:rsid w:val="00803B51"/>
    <w:rsid w:val="00803E8D"/>
    <w:rsid w:val="00804358"/>
    <w:rsid w:val="008043DB"/>
    <w:rsid w:val="0080453A"/>
    <w:rsid w:val="00804727"/>
    <w:rsid w:val="00804780"/>
    <w:rsid w:val="00804787"/>
    <w:rsid w:val="008048EB"/>
    <w:rsid w:val="00804972"/>
    <w:rsid w:val="008049E4"/>
    <w:rsid w:val="008049FB"/>
    <w:rsid w:val="00804C07"/>
    <w:rsid w:val="00804D9D"/>
    <w:rsid w:val="0080510F"/>
    <w:rsid w:val="008052CE"/>
    <w:rsid w:val="0080537C"/>
    <w:rsid w:val="00805459"/>
    <w:rsid w:val="008054B5"/>
    <w:rsid w:val="008055BF"/>
    <w:rsid w:val="00805712"/>
    <w:rsid w:val="0080589E"/>
    <w:rsid w:val="00805BC4"/>
    <w:rsid w:val="00805C79"/>
    <w:rsid w:val="00805CEA"/>
    <w:rsid w:val="00805E68"/>
    <w:rsid w:val="00805EB9"/>
    <w:rsid w:val="00805F1E"/>
    <w:rsid w:val="00806031"/>
    <w:rsid w:val="008060EF"/>
    <w:rsid w:val="00806140"/>
    <w:rsid w:val="0080616D"/>
    <w:rsid w:val="008062AE"/>
    <w:rsid w:val="008062E9"/>
    <w:rsid w:val="00806411"/>
    <w:rsid w:val="00806482"/>
    <w:rsid w:val="008065FB"/>
    <w:rsid w:val="00806716"/>
    <w:rsid w:val="008067D1"/>
    <w:rsid w:val="00806A1D"/>
    <w:rsid w:val="00806B88"/>
    <w:rsid w:val="00806C6D"/>
    <w:rsid w:val="00807060"/>
    <w:rsid w:val="008071F3"/>
    <w:rsid w:val="0080726F"/>
    <w:rsid w:val="00807416"/>
    <w:rsid w:val="008075C7"/>
    <w:rsid w:val="0080765F"/>
    <w:rsid w:val="008076F7"/>
    <w:rsid w:val="00807867"/>
    <w:rsid w:val="00807973"/>
    <w:rsid w:val="00807BE5"/>
    <w:rsid w:val="00807C79"/>
    <w:rsid w:val="00807CB8"/>
    <w:rsid w:val="00807CE9"/>
    <w:rsid w:val="00807F60"/>
    <w:rsid w:val="00810026"/>
    <w:rsid w:val="00810260"/>
    <w:rsid w:val="00810325"/>
    <w:rsid w:val="008104B8"/>
    <w:rsid w:val="008104E6"/>
    <w:rsid w:val="00810552"/>
    <w:rsid w:val="00810553"/>
    <w:rsid w:val="0081078D"/>
    <w:rsid w:val="00810A27"/>
    <w:rsid w:val="00810A54"/>
    <w:rsid w:val="00810BBE"/>
    <w:rsid w:val="00810C4D"/>
    <w:rsid w:val="00810D10"/>
    <w:rsid w:val="00810DB6"/>
    <w:rsid w:val="00810F76"/>
    <w:rsid w:val="00811396"/>
    <w:rsid w:val="008113D6"/>
    <w:rsid w:val="0081151F"/>
    <w:rsid w:val="00811520"/>
    <w:rsid w:val="0081154A"/>
    <w:rsid w:val="00811666"/>
    <w:rsid w:val="00811694"/>
    <w:rsid w:val="008116D7"/>
    <w:rsid w:val="0081188F"/>
    <w:rsid w:val="008118B6"/>
    <w:rsid w:val="00811B92"/>
    <w:rsid w:val="00811D2E"/>
    <w:rsid w:val="00811D8E"/>
    <w:rsid w:val="00811EBE"/>
    <w:rsid w:val="00811EFE"/>
    <w:rsid w:val="008120D2"/>
    <w:rsid w:val="008120EB"/>
    <w:rsid w:val="008123F7"/>
    <w:rsid w:val="00812406"/>
    <w:rsid w:val="0081248E"/>
    <w:rsid w:val="008124F8"/>
    <w:rsid w:val="008125C6"/>
    <w:rsid w:val="00812654"/>
    <w:rsid w:val="008128DB"/>
    <w:rsid w:val="008128F0"/>
    <w:rsid w:val="00812918"/>
    <w:rsid w:val="00812AA2"/>
    <w:rsid w:val="00812B35"/>
    <w:rsid w:val="00812CD1"/>
    <w:rsid w:val="00812E58"/>
    <w:rsid w:val="0081300E"/>
    <w:rsid w:val="008132A9"/>
    <w:rsid w:val="008132AB"/>
    <w:rsid w:val="008132AF"/>
    <w:rsid w:val="00813871"/>
    <w:rsid w:val="00813AB5"/>
    <w:rsid w:val="00813AEA"/>
    <w:rsid w:val="00813B3E"/>
    <w:rsid w:val="00813C52"/>
    <w:rsid w:val="00813C87"/>
    <w:rsid w:val="00813F21"/>
    <w:rsid w:val="00814279"/>
    <w:rsid w:val="00814333"/>
    <w:rsid w:val="00814343"/>
    <w:rsid w:val="00814348"/>
    <w:rsid w:val="00814AEC"/>
    <w:rsid w:val="00814BC2"/>
    <w:rsid w:val="00814EC6"/>
    <w:rsid w:val="0081506C"/>
    <w:rsid w:val="008150A7"/>
    <w:rsid w:val="008150BD"/>
    <w:rsid w:val="0081521A"/>
    <w:rsid w:val="00815310"/>
    <w:rsid w:val="008153ED"/>
    <w:rsid w:val="0081549C"/>
    <w:rsid w:val="0081561D"/>
    <w:rsid w:val="00815760"/>
    <w:rsid w:val="0081578A"/>
    <w:rsid w:val="0081578E"/>
    <w:rsid w:val="008158BB"/>
    <w:rsid w:val="00815939"/>
    <w:rsid w:val="008159A1"/>
    <w:rsid w:val="00815B70"/>
    <w:rsid w:val="00815BCD"/>
    <w:rsid w:val="00815CA8"/>
    <w:rsid w:val="00815CC5"/>
    <w:rsid w:val="00815D1B"/>
    <w:rsid w:val="00815D28"/>
    <w:rsid w:val="00815D81"/>
    <w:rsid w:val="00815DA2"/>
    <w:rsid w:val="00815F31"/>
    <w:rsid w:val="00815F73"/>
    <w:rsid w:val="00815FD0"/>
    <w:rsid w:val="00815FFD"/>
    <w:rsid w:val="00816005"/>
    <w:rsid w:val="00816304"/>
    <w:rsid w:val="00816429"/>
    <w:rsid w:val="008164D7"/>
    <w:rsid w:val="00816550"/>
    <w:rsid w:val="008165BB"/>
    <w:rsid w:val="00816633"/>
    <w:rsid w:val="008166F2"/>
    <w:rsid w:val="0081698C"/>
    <w:rsid w:val="008169AD"/>
    <w:rsid w:val="00816A89"/>
    <w:rsid w:val="00816B03"/>
    <w:rsid w:val="00816BC6"/>
    <w:rsid w:val="00816DED"/>
    <w:rsid w:val="00816FDD"/>
    <w:rsid w:val="00817009"/>
    <w:rsid w:val="008170C5"/>
    <w:rsid w:val="008170EA"/>
    <w:rsid w:val="008172F3"/>
    <w:rsid w:val="008174C9"/>
    <w:rsid w:val="008177AF"/>
    <w:rsid w:val="008177D7"/>
    <w:rsid w:val="008177EB"/>
    <w:rsid w:val="0081781B"/>
    <w:rsid w:val="0081788F"/>
    <w:rsid w:val="00817933"/>
    <w:rsid w:val="00817C79"/>
    <w:rsid w:val="00817E17"/>
    <w:rsid w:val="00817E90"/>
    <w:rsid w:val="008200FE"/>
    <w:rsid w:val="00820758"/>
    <w:rsid w:val="008207A7"/>
    <w:rsid w:val="0082099A"/>
    <w:rsid w:val="00820A95"/>
    <w:rsid w:val="00820CB6"/>
    <w:rsid w:val="00820CC3"/>
    <w:rsid w:val="00820D37"/>
    <w:rsid w:val="00820DC0"/>
    <w:rsid w:val="008210C3"/>
    <w:rsid w:val="00821203"/>
    <w:rsid w:val="0082120B"/>
    <w:rsid w:val="00821244"/>
    <w:rsid w:val="0082155E"/>
    <w:rsid w:val="0082165D"/>
    <w:rsid w:val="00821905"/>
    <w:rsid w:val="00821965"/>
    <w:rsid w:val="0082198E"/>
    <w:rsid w:val="00821B24"/>
    <w:rsid w:val="00821BAA"/>
    <w:rsid w:val="00822367"/>
    <w:rsid w:val="0082246A"/>
    <w:rsid w:val="0082255C"/>
    <w:rsid w:val="00822C6E"/>
    <w:rsid w:val="00822CD8"/>
    <w:rsid w:val="00823056"/>
    <w:rsid w:val="00823170"/>
    <w:rsid w:val="008232E5"/>
    <w:rsid w:val="0082333F"/>
    <w:rsid w:val="008234BB"/>
    <w:rsid w:val="00823509"/>
    <w:rsid w:val="00823559"/>
    <w:rsid w:val="00823764"/>
    <w:rsid w:val="00823AF4"/>
    <w:rsid w:val="00823CCC"/>
    <w:rsid w:val="00823CF1"/>
    <w:rsid w:val="00823D0B"/>
    <w:rsid w:val="00823D4C"/>
    <w:rsid w:val="008241D9"/>
    <w:rsid w:val="00824395"/>
    <w:rsid w:val="008243D6"/>
    <w:rsid w:val="00824422"/>
    <w:rsid w:val="008244C4"/>
    <w:rsid w:val="008244D3"/>
    <w:rsid w:val="0082460A"/>
    <w:rsid w:val="0082467F"/>
    <w:rsid w:val="008246E3"/>
    <w:rsid w:val="00824902"/>
    <w:rsid w:val="00824996"/>
    <w:rsid w:val="00824A7F"/>
    <w:rsid w:val="00824B80"/>
    <w:rsid w:val="00824BE8"/>
    <w:rsid w:val="00824BEF"/>
    <w:rsid w:val="00824D4D"/>
    <w:rsid w:val="00824E77"/>
    <w:rsid w:val="00824F91"/>
    <w:rsid w:val="00825384"/>
    <w:rsid w:val="008253F7"/>
    <w:rsid w:val="00825546"/>
    <w:rsid w:val="00825715"/>
    <w:rsid w:val="0082574F"/>
    <w:rsid w:val="008257C9"/>
    <w:rsid w:val="008257CD"/>
    <w:rsid w:val="0082589F"/>
    <w:rsid w:val="008258CB"/>
    <w:rsid w:val="008259E5"/>
    <w:rsid w:val="00825AAC"/>
    <w:rsid w:val="00825ACB"/>
    <w:rsid w:val="00825AEA"/>
    <w:rsid w:val="00825BCE"/>
    <w:rsid w:val="00825DDC"/>
    <w:rsid w:val="00825DF8"/>
    <w:rsid w:val="008262DF"/>
    <w:rsid w:val="008262E8"/>
    <w:rsid w:val="008265F2"/>
    <w:rsid w:val="008266AC"/>
    <w:rsid w:val="008266D3"/>
    <w:rsid w:val="0082676E"/>
    <w:rsid w:val="00826869"/>
    <w:rsid w:val="0082693A"/>
    <w:rsid w:val="0082693D"/>
    <w:rsid w:val="00826949"/>
    <w:rsid w:val="00826970"/>
    <w:rsid w:val="00826B2C"/>
    <w:rsid w:val="00826C33"/>
    <w:rsid w:val="00826DBF"/>
    <w:rsid w:val="00826E6F"/>
    <w:rsid w:val="00827051"/>
    <w:rsid w:val="00827147"/>
    <w:rsid w:val="00827401"/>
    <w:rsid w:val="00827404"/>
    <w:rsid w:val="008274E3"/>
    <w:rsid w:val="008274E5"/>
    <w:rsid w:val="00827560"/>
    <w:rsid w:val="008275B8"/>
    <w:rsid w:val="0082761C"/>
    <w:rsid w:val="00827687"/>
    <w:rsid w:val="0082792C"/>
    <w:rsid w:val="0082793C"/>
    <w:rsid w:val="0082795D"/>
    <w:rsid w:val="00827AAD"/>
    <w:rsid w:val="00827AC4"/>
    <w:rsid w:val="00827D2C"/>
    <w:rsid w:val="00827E86"/>
    <w:rsid w:val="00827E8F"/>
    <w:rsid w:val="00827F38"/>
    <w:rsid w:val="00830327"/>
    <w:rsid w:val="00830372"/>
    <w:rsid w:val="008304E4"/>
    <w:rsid w:val="0083068C"/>
    <w:rsid w:val="0083068F"/>
    <w:rsid w:val="00830797"/>
    <w:rsid w:val="008308FB"/>
    <w:rsid w:val="008309B4"/>
    <w:rsid w:val="00830A22"/>
    <w:rsid w:val="00830DA1"/>
    <w:rsid w:val="008310E3"/>
    <w:rsid w:val="008310EE"/>
    <w:rsid w:val="008310FE"/>
    <w:rsid w:val="00831126"/>
    <w:rsid w:val="00831152"/>
    <w:rsid w:val="00831332"/>
    <w:rsid w:val="00831AC7"/>
    <w:rsid w:val="00831BAC"/>
    <w:rsid w:val="00831C47"/>
    <w:rsid w:val="00831DD9"/>
    <w:rsid w:val="00831DE7"/>
    <w:rsid w:val="00831E12"/>
    <w:rsid w:val="00831F21"/>
    <w:rsid w:val="00831F30"/>
    <w:rsid w:val="00831F73"/>
    <w:rsid w:val="00832281"/>
    <w:rsid w:val="008323E6"/>
    <w:rsid w:val="008323EA"/>
    <w:rsid w:val="008325A3"/>
    <w:rsid w:val="00832660"/>
    <w:rsid w:val="008326FD"/>
    <w:rsid w:val="0083279C"/>
    <w:rsid w:val="0083281C"/>
    <w:rsid w:val="00832909"/>
    <w:rsid w:val="0083297E"/>
    <w:rsid w:val="008329B6"/>
    <w:rsid w:val="00832A0F"/>
    <w:rsid w:val="00832A12"/>
    <w:rsid w:val="00832A67"/>
    <w:rsid w:val="00832A74"/>
    <w:rsid w:val="00832B37"/>
    <w:rsid w:val="00832BE5"/>
    <w:rsid w:val="00832E04"/>
    <w:rsid w:val="00832E32"/>
    <w:rsid w:val="00832E7B"/>
    <w:rsid w:val="00832EB9"/>
    <w:rsid w:val="00832F3E"/>
    <w:rsid w:val="00833033"/>
    <w:rsid w:val="008332F7"/>
    <w:rsid w:val="0083366E"/>
    <w:rsid w:val="00833683"/>
    <w:rsid w:val="00833740"/>
    <w:rsid w:val="00833CC3"/>
    <w:rsid w:val="008340DB"/>
    <w:rsid w:val="0083419E"/>
    <w:rsid w:val="008341A1"/>
    <w:rsid w:val="008342EB"/>
    <w:rsid w:val="00834443"/>
    <w:rsid w:val="00834459"/>
    <w:rsid w:val="00834CAF"/>
    <w:rsid w:val="00834E9D"/>
    <w:rsid w:val="00835081"/>
    <w:rsid w:val="008350E7"/>
    <w:rsid w:val="00835115"/>
    <w:rsid w:val="008351E4"/>
    <w:rsid w:val="00835521"/>
    <w:rsid w:val="00835590"/>
    <w:rsid w:val="0083564D"/>
    <w:rsid w:val="008357C7"/>
    <w:rsid w:val="00835808"/>
    <w:rsid w:val="008359BA"/>
    <w:rsid w:val="008359D9"/>
    <w:rsid w:val="00835AFD"/>
    <w:rsid w:val="00835C57"/>
    <w:rsid w:val="00835D13"/>
    <w:rsid w:val="00835FC5"/>
    <w:rsid w:val="0083611A"/>
    <w:rsid w:val="0083617D"/>
    <w:rsid w:val="00836399"/>
    <w:rsid w:val="008365ED"/>
    <w:rsid w:val="008366E9"/>
    <w:rsid w:val="0083673C"/>
    <w:rsid w:val="0083678E"/>
    <w:rsid w:val="0083680C"/>
    <w:rsid w:val="00836884"/>
    <w:rsid w:val="00836AC2"/>
    <w:rsid w:val="00836C35"/>
    <w:rsid w:val="00836CE8"/>
    <w:rsid w:val="00836D53"/>
    <w:rsid w:val="00836D66"/>
    <w:rsid w:val="00836F76"/>
    <w:rsid w:val="00836FF8"/>
    <w:rsid w:val="008370AA"/>
    <w:rsid w:val="00837133"/>
    <w:rsid w:val="0083724D"/>
    <w:rsid w:val="0083741A"/>
    <w:rsid w:val="0083757E"/>
    <w:rsid w:val="0083758F"/>
    <w:rsid w:val="00837804"/>
    <w:rsid w:val="00837901"/>
    <w:rsid w:val="00837B99"/>
    <w:rsid w:val="00837EB3"/>
    <w:rsid w:val="00837EC9"/>
    <w:rsid w:val="00837F72"/>
    <w:rsid w:val="00837F7D"/>
    <w:rsid w:val="00840083"/>
    <w:rsid w:val="00840096"/>
    <w:rsid w:val="008400F7"/>
    <w:rsid w:val="0084011F"/>
    <w:rsid w:val="00840252"/>
    <w:rsid w:val="00840398"/>
    <w:rsid w:val="008405E3"/>
    <w:rsid w:val="00840609"/>
    <w:rsid w:val="0084061E"/>
    <w:rsid w:val="008406D2"/>
    <w:rsid w:val="008407A1"/>
    <w:rsid w:val="008407F7"/>
    <w:rsid w:val="00840A6D"/>
    <w:rsid w:val="00840B4C"/>
    <w:rsid w:val="00840E8C"/>
    <w:rsid w:val="00840FB3"/>
    <w:rsid w:val="00840FD1"/>
    <w:rsid w:val="00841030"/>
    <w:rsid w:val="00841405"/>
    <w:rsid w:val="00841459"/>
    <w:rsid w:val="008414DE"/>
    <w:rsid w:val="008416D2"/>
    <w:rsid w:val="008416D6"/>
    <w:rsid w:val="0084170E"/>
    <w:rsid w:val="0084172D"/>
    <w:rsid w:val="0084196D"/>
    <w:rsid w:val="008419D2"/>
    <w:rsid w:val="00841A12"/>
    <w:rsid w:val="00841A47"/>
    <w:rsid w:val="00841B53"/>
    <w:rsid w:val="00841C30"/>
    <w:rsid w:val="00841CDF"/>
    <w:rsid w:val="00841DCE"/>
    <w:rsid w:val="00841F45"/>
    <w:rsid w:val="00841F4D"/>
    <w:rsid w:val="008420BB"/>
    <w:rsid w:val="00842470"/>
    <w:rsid w:val="008424AB"/>
    <w:rsid w:val="008425DC"/>
    <w:rsid w:val="00842665"/>
    <w:rsid w:val="00842758"/>
    <w:rsid w:val="00842AE2"/>
    <w:rsid w:val="00842B7F"/>
    <w:rsid w:val="00842C90"/>
    <w:rsid w:val="00842C95"/>
    <w:rsid w:val="00842D4C"/>
    <w:rsid w:val="00842F8B"/>
    <w:rsid w:val="008430B3"/>
    <w:rsid w:val="00843241"/>
    <w:rsid w:val="008432CB"/>
    <w:rsid w:val="0084342B"/>
    <w:rsid w:val="0084353F"/>
    <w:rsid w:val="008435D0"/>
    <w:rsid w:val="008435D9"/>
    <w:rsid w:val="008435EC"/>
    <w:rsid w:val="0084372A"/>
    <w:rsid w:val="0084386C"/>
    <w:rsid w:val="00843A9F"/>
    <w:rsid w:val="00843FE8"/>
    <w:rsid w:val="008443EF"/>
    <w:rsid w:val="0084440D"/>
    <w:rsid w:val="008444B9"/>
    <w:rsid w:val="00844560"/>
    <w:rsid w:val="008446E7"/>
    <w:rsid w:val="00844729"/>
    <w:rsid w:val="00844857"/>
    <w:rsid w:val="00844AA6"/>
    <w:rsid w:val="00844B60"/>
    <w:rsid w:val="00844BCF"/>
    <w:rsid w:val="00844C3A"/>
    <w:rsid w:val="00844D1A"/>
    <w:rsid w:val="00844D8A"/>
    <w:rsid w:val="00844EAA"/>
    <w:rsid w:val="00844EFF"/>
    <w:rsid w:val="00844FD3"/>
    <w:rsid w:val="00845188"/>
    <w:rsid w:val="008454D1"/>
    <w:rsid w:val="00845702"/>
    <w:rsid w:val="00845CE2"/>
    <w:rsid w:val="00845DF7"/>
    <w:rsid w:val="00845FE4"/>
    <w:rsid w:val="008463D4"/>
    <w:rsid w:val="008464FC"/>
    <w:rsid w:val="00846614"/>
    <w:rsid w:val="00846641"/>
    <w:rsid w:val="008467D0"/>
    <w:rsid w:val="0084683F"/>
    <w:rsid w:val="00846842"/>
    <w:rsid w:val="008469E6"/>
    <w:rsid w:val="00846B5E"/>
    <w:rsid w:val="00846F85"/>
    <w:rsid w:val="0084717C"/>
    <w:rsid w:val="008471A0"/>
    <w:rsid w:val="00847247"/>
    <w:rsid w:val="008472CA"/>
    <w:rsid w:val="008473F1"/>
    <w:rsid w:val="00847504"/>
    <w:rsid w:val="0084751B"/>
    <w:rsid w:val="008475EA"/>
    <w:rsid w:val="00847820"/>
    <w:rsid w:val="008478C7"/>
    <w:rsid w:val="00847959"/>
    <w:rsid w:val="0084798D"/>
    <w:rsid w:val="00847A55"/>
    <w:rsid w:val="00847B0E"/>
    <w:rsid w:val="00847B32"/>
    <w:rsid w:val="00847D14"/>
    <w:rsid w:val="00847D6E"/>
    <w:rsid w:val="00847F7E"/>
    <w:rsid w:val="00850131"/>
    <w:rsid w:val="008502E0"/>
    <w:rsid w:val="008503C4"/>
    <w:rsid w:val="00850426"/>
    <w:rsid w:val="008504FC"/>
    <w:rsid w:val="0085076D"/>
    <w:rsid w:val="00850798"/>
    <w:rsid w:val="008507C1"/>
    <w:rsid w:val="00850833"/>
    <w:rsid w:val="008508E4"/>
    <w:rsid w:val="008509D8"/>
    <w:rsid w:val="00850CE7"/>
    <w:rsid w:val="00850CF2"/>
    <w:rsid w:val="00851040"/>
    <w:rsid w:val="0085105A"/>
    <w:rsid w:val="00851063"/>
    <w:rsid w:val="00851512"/>
    <w:rsid w:val="00851589"/>
    <w:rsid w:val="00851594"/>
    <w:rsid w:val="008515C2"/>
    <w:rsid w:val="00851621"/>
    <w:rsid w:val="008516AF"/>
    <w:rsid w:val="0085179A"/>
    <w:rsid w:val="008517FC"/>
    <w:rsid w:val="00851809"/>
    <w:rsid w:val="0085199A"/>
    <w:rsid w:val="00851AE4"/>
    <w:rsid w:val="00851C24"/>
    <w:rsid w:val="00851C38"/>
    <w:rsid w:val="00851C4E"/>
    <w:rsid w:val="00851EF5"/>
    <w:rsid w:val="00852043"/>
    <w:rsid w:val="00852122"/>
    <w:rsid w:val="008522B2"/>
    <w:rsid w:val="008522BE"/>
    <w:rsid w:val="008523C2"/>
    <w:rsid w:val="00852532"/>
    <w:rsid w:val="008525EF"/>
    <w:rsid w:val="008526A4"/>
    <w:rsid w:val="00852806"/>
    <w:rsid w:val="00852937"/>
    <w:rsid w:val="0085295C"/>
    <w:rsid w:val="008529F6"/>
    <w:rsid w:val="00852B30"/>
    <w:rsid w:val="00852B9A"/>
    <w:rsid w:val="00852E49"/>
    <w:rsid w:val="00852F0A"/>
    <w:rsid w:val="00852F91"/>
    <w:rsid w:val="008531B0"/>
    <w:rsid w:val="00853213"/>
    <w:rsid w:val="0085337C"/>
    <w:rsid w:val="00853384"/>
    <w:rsid w:val="00853497"/>
    <w:rsid w:val="008536BE"/>
    <w:rsid w:val="00853744"/>
    <w:rsid w:val="008538C7"/>
    <w:rsid w:val="00853B09"/>
    <w:rsid w:val="00853B8D"/>
    <w:rsid w:val="00853C14"/>
    <w:rsid w:val="00853C3A"/>
    <w:rsid w:val="00853E6D"/>
    <w:rsid w:val="0085413E"/>
    <w:rsid w:val="00854149"/>
    <w:rsid w:val="0085427E"/>
    <w:rsid w:val="0085434F"/>
    <w:rsid w:val="00854445"/>
    <w:rsid w:val="00854617"/>
    <w:rsid w:val="0085461C"/>
    <w:rsid w:val="0085465E"/>
    <w:rsid w:val="008546D2"/>
    <w:rsid w:val="00854E9A"/>
    <w:rsid w:val="00854EA4"/>
    <w:rsid w:val="00854F26"/>
    <w:rsid w:val="00855034"/>
    <w:rsid w:val="008550CD"/>
    <w:rsid w:val="008550D3"/>
    <w:rsid w:val="00855138"/>
    <w:rsid w:val="00855233"/>
    <w:rsid w:val="00855349"/>
    <w:rsid w:val="00855459"/>
    <w:rsid w:val="00855515"/>
    <w:rsid w:val="0085551F"/>
    <w:rsid w:val="00855521"/>
    <w:rsid w:val="00855575"/>
    <w:rsid w:val="008555FA"/>
    <w:rsid w:val="0085560B"/>
    <w:rsid w:val="00855758"/>
    <w:rsid w:val="00855891"/>
    <w:rsid w:val="008558B9"/>
    <w:rsid w:val="008558EC"/>
    <w:rsid w:val="00855AE6"/>
    <w:rsid w:val="00855B11"/>
    <w:rsid w:val="00855B63"/>
    <w:rsid w:val="00855CFD"/>
    <w:rsid w:val="00855F8D"/>
    <w:rsid w:val="0085610C"/>
    <w:rsid w:val="00856127"/>
    <w:rsid w:val="008561AA"/>
    <w:rsid w:val="00856654"/>
    <w:rsid w:val="008566DB"/>
    <w:rsid w:val="00856756"/>
    <w:rsid w:val="008569E4"/>
    <w:rsid w:val="00856AF7"/>
    <w:rsid w:val="00856B69"/>
    <w:rsid w:val="00856C22"/>
    <w:rsid w:val="00856C89"/>
    <w:rsid w:val="00856CCD"/>
    <w:rsid w:val="00856D54"/>
    <w:rsid w:val="00856E68"/>
    <w:rsid w:val="00857061"/>
    <w:rsid w:val="00857133"/>
    <w:rsid w:val="0085714B"/>
    <w:rsid w:val="008571F9"/>
    <w:rsid w:val="00857251"/>
    <w:rsid w:val="00857282"/>
    <w:rsid w:val="00857388"/>
    <w:rsid w:val="0085748C"/>
    <w:rsid w:val="008574DC"/>
    <w:rsid w:val="00857538"/>
    <w:rsid w:val="0085755D"/>
    <w:rsid w:val="00857937"/>
    <w:rsid w:val="00857B0A"/>
    <w:rsid w:val="00857D17"/>
    <w:rsid w:val="00857D79"/>
    <w:rsid w:val="00857D8B"/>
    <w:rsid w:val="00857DC6"/>
    <w:rsid w:val="00857FBC"/>
    <w:rsid w:val="0086012B"/>
    <w:rsid w:val="008602CF"/>
    <w:rsid w:val="0086036F"/>
    <w:rsid w:val="008603C2"/>
    <w:rsid w:val="00860435"/>
    <w:rsid w:val="00860444"/>
    <w:rsid w:val="00860579"/>
    <w:rsid w:val="008606D8"/>
    <w:rsid w:val="00860766"/>
    <w:rsid w:val="00860AE4"/>
    <w:rsid w:val="00860BD2"/>
    <w:rsid w:val="008612D8"/>
    <w:rsid w:val="008612E7"/>
    <w:rsid w:val="008614AE"/>
    <w:rsid w:val="008614B4"/>
    <w:rsid w:val="00861610"/>
    <w:rsid w:val="008616D1"/>
    <w:rsid w:val="008619A4"/>
    <w:rsid w:val="008619D3"/>
    <w:rsid w:val="00861B50"/>
    <w:rsid w:val="00861BBE"/>
    <w:rsid w:val="00861BFB"/>
    <w:rsid w:val="00861C50"/>
    <w:rsid w:val="00861CA9"/>
    <w:rsid w:val="00861FD6"/>
    <w:rsid w:val="008620DE"/>
    <w:rsid w:val="008622FA"/>
    <w:rsid w:val="008623D9"/>
    <w:rsid w:val="0086251F"/>
    <w:rsid w:val="0086263B"/>
    <w:rsid w:val="008628A0"/>
    <w:rsid w:val="00862958"/>
    <w:rsid w:val="008629C9"/>
    <w:rsid w:val="00862A24"/>
    <w:rsid w:val="00862AEE"/>
    <w:rsid w:val="00862D27"/>
    <w:rsid w:val="00862D4B"/>
    <w:rsid w:val="00862DC0"/>
    <w:rsid w:val="00862F25"/>
    <w:rsid w:val="00862FC4"/>
    <w:rsid w:val="00863049"/>
    <w:rsid w:val="008630F8"/>
    <w:rsid w:val="0086345C"/>
    <w:rsid w:val="00863570"/>
    <w:rsid w:val="0086368B"/>
    <w:rsid w:val="008636DB"/>
    <w:rsid w:val="0086371B"/>
    <w:rsid w:val="008637D4"/>
    <w:rsid w:val="008637F6"/>
    <w:rsid w:val="00863878"/>
    <w:rsid w:val="00863993"/>
    <w:rsid w:val="008639D1"/>
    <w:rsid w:val="00863B6C"/>
    <w:rsid w:val="00863BB2"/>
    <w:rsid w:val="00863D29"/>
    <w:rsid w:val="00863D6B"/>
    <w:rsid w:val="00863D94"/>
    <w:rsid w:val="00863EF6"/>
    <w:rsid w:val="008640A4"/>
    <w:rsid w:val="008641D8"/>
    <w:rsid w:val="008643F4"/>
    <w:rsid w:val="00864443"/>
    <w:rsid w:val="008644BD"/>
    <w:rsid w:val="008645E9"/>
    <w:rsid w:val="008647C3"/>
    <w:rsid w:val="0086482F"/>
    <w:rsid w:val="00864839"/>
    <w:rsid w:val="00864890"/>
    <w:rsid w:val="008648BA"/>
    <w:rsid w:val="0086491B"/>
    <w:rsid w:val="0086496B"/>
    <w:rsid w:val="00864985"/>
    <w:rsid w:val="00864AA2"/>
    <w:rsid w:val="00864D3D"/>
    <w:rsid w:val="00864E00"/>
    <w:rsid w:val="00864E41"/>
    <w:rsid w:val="0086504F"/>
    <w:rsid w:val="0086510F"/>
    <w:rsid w:val="00865133"/>
    <w:rsid w:val="0086514C"/>
    <w:rsid w:val="0086517E"/>
    <w:rsid w:val="008651AE"/>
    <w:rsid w:val="00865335"/>
    <w:rsid w:val="00865417"/>
    <w:rsid w:val="008657BC"/>
    <w:rsid w:val="00865936"/>
    <w:rsid w:val="00865959"/>
    <w:rsid w:val="008659C2"/>
    <w:rsid w:val="008659CC"/>
    <w:rsid w:val="00865A0A"/>
    <w:rsid w:val="00865C18"/>
    <w:rsid w:val="00865D9A"/>
    <w:rsid w:val="00865DAA"/>
    <w:rsid w:val="00865DB2"/>
    <w:rsid w:val="00865E0C"/>
    <w:rsid w:val="00865E74"/>
    <w:rsid w:val="0086605B"/>
    <w:rsid w:val="00866193"/>
    <w:rsid w:val="008663AB"/>
    <w:rsid w:val="00866516"/>
    <w:rsid w:val="00866620"/>
    <w:rsid w:val="0086672B"/>
    <w:rsid w:val="008668E5"/>
    <w:rsid w:val="00866937"/>
    <w:rsid w:val="00866B6E"/>
    <w:rsid w:val="00866CE6"/>
    <w:rsid w:val="00866D0F"/>
    <w:rsid w:val="00866D2F"/>
    <w:rsid w:val="00866DFC"/>
    <w:rsid w:val="00866E25"/>
    <w:rsid w:val="00866FA2"/>
    <w:rsid w:val="00866FFE"/>
    <w:rsid w:val="00867219"/>
    <w:rsid w:val="00867429"/>
    <w:rsid w:val="0086767C"/>
    <w:rsid w:val="0086771E"/>
    <w:rsid w:val="0086777F"/>
    <w:rsid w:val="00867835"/>
    <w:rsid w:val="00867880"/>
    <w:rsid w:val="008678BD"/>
    <w:rsid w:val="00867927"/>
    <w:rsid w:val="00867933"/>
    <w:rsid w:val="00867B07"/>
    <w:rsid w:val="00867B65"/>
    <w:rsid w:val="00867E56"/>
    <w:rsid w:val="00867EE4"/>
    <w:rsid w:val="0087008E"/>
    <w:rsid w:val="008700AB"/>
    <w:rsid w:val="0087039D"/>
    <w:rsid w:val="00870431"/>
    <w:rsid w:val="008704DD"/>
    <w:rsid w:val="008705D8"/>
    <w:rsid w:val="008705F2"/>
    <w:rsid w:val="008706BA"/>
    <w:rsid w:val="00870741"/>
    <w:rsid w:val="00870760"/>
    <w:rsid w:val="008707DF"/>
    <w:rsid w:val="00870930"/>
    <w:rsid w:val="00870CB6"/>
    <w:rsid w:val="00870D73"/>
    <w:rsid w:val="00870DF1"/>
    <w:rsid w:val="00870E92"/>
    <w:rsid w:val="008710E3"/>
    <w:rsid w:val="00871198"/>
    <w:rsid w:val="00871251"/>
    <w:rsid w:val="008712C9"/>
    <w:rsid w:val="00871351"/>
    <w:rsid w:val="008713EB"/>
    <w:rsid w:val="00871648"/>
    <w:rsid w:val="00871764"/>
    <w:rsid w:val="008718AD"/>
    <w:rsid w:val="0087195D"/>
    <w:rsid w:val="00871993"/>
    <w:rsid w:val="00871BA5"/>
    <w:rsid w:val="00871BD5"/>
    <w:rsid w:val="00871F29"/>
    <w:rsid w:val="008720A6"/>
    <w:rsid w:val="008720CD"/>
    <w:rsid w:val="008721E2"/>
    <w:rsid w:val="0087226B"/>
    <w:rsid w:val="00872360"/>
    <w:rsid w:val="00872378"/>
    <w:rsid w:val="0087238B"/>
    <w:rsid w:val="0087250D"/>
    <w:rsid w:val="008725CE"/>
    <w:rsid w:val="008728EA"/>
    <w:rsid w:val="008728F5"/>
    <w:rsid w:val="00872964"/>
    <w:rsid w:val="008729EC"/>
    <w:rsid w:val="00872A59"/>
    <w:rsid w:val="00872BE2"/>
    <w:rsid w:val="00872C73"/>
    <w:rsid w:val="00872F55"/>
    <w:rsid w:val="0087300F"/>
    <w:rsid w:val="0087339A"/>
    <w:rsid w:val="00873426"/>
    <w:rsid w:val="0087342D"/>
    <w:rsid w:val="00873441"/>
    <w:rsid w:val="00873789"/>
    <w:rsid w:val="008737D0"/>
    <w:rsid w:val="00873866"/>
    <w:rsid w:val="00873A6B"/>
    <w:rsid w:val="00873B86"/>
    <w:rsid w:val="008740A6"/>
    <w:rsid w:val="0087422B"/>
    <w:rsid w:val="008743A4"/>
    <w:rsid w:val="008745BF"/>
    <w:rsid w:val="00874715"/>
    <w:rsid w:val="008747D7"/>
    <w:rsid w:val="00874836"/>
    <w:rsid w:val="0087495B"/>
    <w:rsid w:val="008749BE"/>
    <w:rsid w:val="00874BA0"/>
    <w:rsid w:val="00874BA8"/>
    <w:rsid w:val="00874BE1"/>
    <w:rsid w:val="00874D37"/>
    <w:rsid w:val="00874D53"/>
    <w:rsid w:val="00874E22"/>
    <w:rsid w:val="00874E67"/>
    <w:rsid w:val="00874F7F"/>
    <w:rsid w:val="008750E0"/>
    <w:rsid w:val="008752B1"/>
    <w:rsid w:val="008752E0"/>
    <w:rsid w:val="008753DA"/>
    <w:rsid w:val="00875594"/>
    <w:rsid w:val="00875654"/>
    <w:rsid w:val="008756BE"/>
    <w:rsid w:val="008757EB"/>
    <w:rsid w:val="0087585F"/>
    <w:rsid w:val="00875958"/>
    <w:rsid w:val="0087597D"/>
    <w:rsid w:val="0087597E"/>
    <w:rsid w:val="00875B17"/>
    <w:rsid w:val="00875BB1"/>
    <w:rsid w:val="00875D57"/>
    <w:rsid w:val="00875E56"/>
    <w:rsid w:val="00875E63"/>
    <w:rsid w:val="00875F60"/>
    <w:rsid w:val="00875FEE"/>
    <w:rsid w:val="00876167"/>
    <w:rsid w:val="00876198"/>
    <w:rsid w:val="008761E8"/>
    <w:rsid w:val="0087636C"/>
    <w:rsid w:val="00876468"/>
    <w:rsid w:val="008769D9"/>
    <w:rsid w:val="00876C0B"/>
    <w:rsid w:val="00876DDD"/>
    <w:rsid w:val="00876E19"/>
    <w:rsid w:val="00876ED8"/>
    <w:rsid w:val="00877186"/>
    <w:rsid w:val="0087718E"/>
    <w:rsid w:val="00877278"/>
    <w:rsid w:val="00877403"/>
    <w:rsid w:val="0087746A"/>
    <w:rsid w:val="008775AD"/>
    <w:rsid w:val="008775CD"/>
    <w:rsid w:val="0087785F"/>
    <w:rsid w:val="008778FF"/>
    <w:rsid w:val="00877927"/>
    <w:rsid w:val="008779C1"/>
    <w:rsid w:val="008779E5"/>
    <w:rsid w:val="00877A89"/>
    <w:rsid w:val="00877BE7"/>
    <w:rsid w:val="00877C45"/>
    <w:rsid w:val="00877FAD"/>
    <w:rsid w:val="00880111"/>
    <w:rsid w:val="00880182"/>
    <w:rsid w:val="008802FA"/>
    <w:rsid w:val="0088037A"/>
    <w:rsid w:val="00880390"/>
    <w:rsid w:val="008803AC"/>
    <w:rsid w:val="008803D2"/>
    <w:rsid w:val="0088049B"/>
    <w:rsid w:val="008805AA"/>
    <w:rsid w:val="00880622"/>
    <w:rsid w:val="00880748"/>
    <w:rsid w:val="00880829"/>
    <w:rsid w:val="0088087E"/>
    <w:rsid w:val="00880883"/>
    <w:rsid w:val="008808F8"/>
    <w:rsid w:val="008809B0"/>
    <w:rsid w:val="008809B5"/>
    <w:rsid w:val="00880AE5"/>
    <w:rsid w:val="00880BB0"/>
    <w:rsid w:val="00880C74"/>
    <w:rsid w:val="00880CA8"/>
    <w:rsid w:val="00880CDF"/>
    <w:rsid w:val="00880D33"/>
    <w:rsid w:val="00880E00"/>
    <w:rsid w:val="00880E98"/>
    <w:rsid w:val="00880F35"/>
    <w:rsid w:val="008810B1"/>
    <w:rsid w:val="0088114F"/>
    <w:rsid w:val="008811C7"/>
    <w:rsid w:val="008811EE"/>
    <w:rsid w:val="00881202"/>
    <w:rsid w:val="0088131C"/>
    <w:rsid w:val="0088137F"/>
    <w:rsid w:val="00881447"/>
    <w:rsid w:val="00881460"/>
    <w:rsid w:val="0088150A"/>
    <w:rsid w:val="00881527"/>
    <w:rsid w:val="0088154D"/>
    <w:rsid w:val="0088155A"/>
    <w:rsid w:val="008815CB"/>
    <w:rsid w:val="00881691"/>
    <w:rsid w:val="00881715"/>
    <w:rsid w:val="008817ED"/>
    <w:rsid w:val="008818E5"/>
    <w:rsid w:val="00881976"/>
    <w:rsid w:val="008819DE"/>
    <w:rsid w:val="00881A2C"/>
    <w:rsid w:val="00881ACD"/>
    <w:rsid w:val="00881B40"/>
    <w:rsid w:val="00881BA2"/>
    <w:rsid w:val="00881BD7"/>
    <w:rsid w:val="00881BF1"/>
    <w:rsid w:val="00881CEC"/>
    <w:rsid w:val="00881D0C"/>
    <w:rsid w:val="00881F6F"/>
    <w:rsid w:val="0088202A"/>
    <w:rsid w:val="008820CF"/>
    <w:rsid w:val="00882111"/>
    <w:rsid w:val="00882316"/>
    <w:rsid w:val="008823F7"/>
    <w:rsid w:val="00882471"/>
    <w:rsid w:val="008825F2"/>
    <w:rsid w:val="00882668"/>
    <w:rsid w:val="008826F7"/>
    <w:rsid w:val="00882746"/>
    <w:rsid w:val="00882756"/>
    <w:rsid w:val="00882759"/>
    <w:rsid w:val="00882935"/>
    <w:rsid w:val="00882984"/>
    <w:rsid w:val="00882AA8"/>
    <w:rsid w:val="00882B96"/>
    <w:rsid w:val="00882D09"/>
    <w:rsid w:val="00882ECF"/>
    <w:rsid w:val="00882F8C"/>
    <w:rsid w:val="00882FDC"/>
    <w:rsid w:val="008831CE"/>
    <w:rsid w:val="00883321"/>
    <w:rsid w:val="00883569"/>
    <w:rsid w:val="0088374F"/>
    <w:rsid w:val="0088382F"/>
    <w:rsid w:val="00883AB0"/>
    <w:rsid w:val="00883AD0"/>
    <w:rsid w:val="00883B48"/>
    <w:rsid w:val="00883F43"/>
    <w:rsid w:val="00884125"/>
    <w:rsid w:val="00884163"/>
    <w:rsid w:val="008842C9"/>
    <w:rsid w:val="008842FB"/>
    <w:rsid w:val="00884427"/>
    <w:rsid w:val="00884463"/>
    <w:rsid w:val="008844F4"/>
    <w:rsid w:val="00884552"/>
    <w:rsid w:val="00884694"/>
    <w:rsid w:val="00884846"/>
    <w:rsid w:val="00884969"/>
    <w:rsid w:val="008849C7"/>
    <w:rsid w:val="00884A99"/>
    <w:rsid w:val="00884AD3"/>
    <w:rsid w:val="00884D3A"/>
    <w:rsid w:val="00884DB3"/>
    <w:rsid w:val="00884E0D"/>
    <w:rsid w:val="00884E24"/>
    <w:rsid w:val="00884E25"/>
    <w:rsid w:val="00884E55"/>
    <w:rsid w:val="00884E7A"/>
    <w:rsid w:val="00884FA4"/>
    <w:rsid w:val="008850D5"/>
    <w:rsid w:val="008851A7"/>
    <w:rsid w:val="008852D5"/>
    <w:rsid w:val="0088540C"/>
    <w:rsid w:val="0088562B"/>
    <w:rsid w:val="00885661"/>
    <w:rsid w:val="008856C1"/>
    <w:rsid w:val="008857F2"/>
    <w:rsid w:val="0088584B"/>
    <w:rsid w:val="0088584D"/>
    <w:rsid w:val="00885A2D"/>
    <w:rsid w:val="00885B4C"/>
    <w:rsid w:val="00885E5D"/>
    <w:rsid w:val="00885E9D"/>
    <w:rsid w:val="00885F7A"/>
    <w:rsid w:val="00886067"/>
    <w:rsid w:val="00886111"/>
    <w:rsid w:val="00886228"/>
    <w:rsid w:val="0088649D"/>
    <w:rsid w:val="0088671F"/>
    <w:rsid w:val="0088678D"/>
    <w:rsid w:val="00886AAE"/>
    <w:rsid w:val="00886B44"/>
    <w:rsid w:val="00886CEA"/>
    <w:rsid w:val="00886D56"/>
    <w:rsid w:val="00886E5D"/>
    <w:rsid w:val="00886F04"/>
    <w:rsid w:val="00886F36"/>
    <w:rsid w:val="00886FAD"/>
    <w:rsid w:val="00886FF9"/>
    <w:rsid w:val="00886FFB"/>
    <w:rsid w:val="008870EB"/>
    <w:rsid w:val="00887105"/>
    <w:rsid w:val="0088724D"/>
    <w:rsid w:val="00887308"/>
    <w:rsid w:val="00887357"/>
    <w:rsid w:val="00887438"/>
    <w:rsid w:val="0088748C"/>
    <w:rsid w:val="008874BB"/>
    <w:rsid w:val="00887583"/>
    <w:rsid w:val="008875C7"/>
    <w:rsid w:val="0088764A"/>
    <w:rsid w:val="00887651"/>
    <w:rsid w:val="008876F7"/>
    <w:rsid w:val="0088787D"/>
    <w:rsid w:val="0088788C"/>
    <w:rsid w:val="00887934"/>
    <w:rsid w:val="008879FA"/>
    <w:rsid w:val="00887A3C"/>
    <w:rsid w:val="00887C40"/>
    <w:rsid w:val="00887C93"/>
    <w:rsid w:val="00887EEE"/>
    <w:rsid w:val="00887F69"/>
    <w:rsid w:val="00887FCA"/>
    <w:rsid w:val="00890160"/>
    <w:rsid w:val="0089023D"/>
    <w:rsid w:val="00890609"/>
    <w:rsid w:val="00890697"/>
    <w:rsid w:val="00890709"/>
    <w:rsid w:val="00890BE9"/>
    <w:rsid w:val="00890C1A"/>
    <w:rsid w:val="00890C55"/>
    <w:rsid w:val="00890DBB"/>
    <w:rsid w:val="00890FF5"/>
    <w:rsid w:val="00891108"/>
    <w:rsid w:val="00891196"/>
    <w:rsid w:val="008911B7"/>
    <w:rsid w:val="00891230"/>
    <w:rsid w:val="00891292"/>
    <w:rsid w:val="008915E8"/>
    <w:rsid w:val="0089162B"/>
    <w:rsid w:val="008916A7"/>
    <w:rsid w:val="00891787"/>
    <w:rsid w:val="00891926"/>
    <w:rsid w:val="00891ACF"/>
    <w:rsid w:val="00891C32"/>
    <w:rsid w:val="00891D19"/>
    <w:rsid w:val="00891F66"/>
    <w:rsid w:val="00891F98"/>
    <w:rsid w:val="0089221A"/>
    <w:rsid w:val="0089228A"/>
    <w:rsid w:val="008922A3"/>
    <w:rsid w:val="0089234D"/>
    <w:rsid w:val="0089269D"/>
    <w:rsid w:val="008926D9"/>
    <w:rsid w:val="008928D9"/>
    <w:rsid w:val="008929E5"/>
    <w:rsid w:val="00892A62"/>
    <w:rsid w:val="00892A9C"/>
    <w:rsid w:val="00892B2F"/>
    <w:rsid w:val="00892B3E"/>
    <w:rsid w:val="00892E86"/>
    <w:rsid w:val="00892F68"/>
    <w:rsid w:val="00892FD3"/>
    <w:rsid w:val="00893093"/>
    <w:rsid w:val="00893107"/>
    <w:rsid w:val="0089317B"/>
    <w:rsid w:val="0089338C"/>
    <w:rsid w:val="00893470"/>
    <w:rsid w:val="008934BE"/>
    <w:rsid w:val="00893727"/>
    <w:rsid w:val="008937BB"/>
    <w:rsid w:val="008937D2"/>
    <w:rsid w:val="00893860"/>
    <w:rsid w:val="00893977"/>
    <w:rsid w:val="00893A2B"/>
    <w:rsid w:val="00893A51"/>
    <w:rsid w:val="00893A6E"/>
    <w:rsid w:val="00893A77"/>
    <w:rsid w:val="00893BAC"/>
    <w:rsid w:val="00893D42"/>
    <w:rsid w:val="00893D4C"/>
    <w:rsid w:val="00893D5D"/>
    <w:rsid w:val="00893E70"/>
    <w:rsid w:val="00893E89"/>
    <w:rsid w:val="00893E97"/>
    <w:rsid w:val="00893F7B"/>
    <w:rsid w:val="00893F9E"/>
    <w:rsid w:val="00894149"/>
    <w:rsid w:val="008941FD"/>
    <w:rsid w:val="00894292"/>
    <w:rsid w:val="008942C6"/>
    <w:rsid w:val="0089459E"/>
    <w:rsid w:val="008945F5"/>
    <w:rsid w:val="0089483B"/>
    <w:rsid w:val="0089497A"/>
    <w:rsid w:val="00894A0A"/>
    <w:rsid w:val="00894B98"/>
    <w:rsid w:val="00894C17"/>
    <w:rsid w:val="00894DEF"/>
    <w:rsid w:val="00894EB0"/>
    <w:rsid w:val="00894F14"/>
    <w:rsid w:val="00894F2A"/>
    <w:rsid w:val="00895096"/>
    <w:rsid w:val="008950B3"/>
    <w:rsid w:val="008950D1"/>
    <w:rsid w:val="00895100"/>
    <w:rsid w:val="008951BD"/>
    <w:rsid w:val="008954F7"/>
    <w:rsid w:val="0089553F"/>
    <w:rsid w:val="00895610"/>
    <w:rsid w:val="00895887"/>
    <w:rsid w:val="00895923"/>
    <w:rsid w:val="00895B59"/>
    <w:rsid w:val="00895D8E"/>
    <w:rsid w:val="00895E3A"/>
    <w:rsid w:val="00895EE2"/>
    <w:rsid w:val="0089604F"/>
    <w:rsid w:val="00896293"/>
    <w:rsid w:val="0089631D"/>
    <w:rsid w:val="00896363"/>
    <w:rsid w:val="008963E0"/>
    <w:rsid w:val="008964E2"/>
    <w:rsid w:val="008966A2"/>
    <w:rsid w:val="00896940"/>
    <w:rsid w:val="00896969"/>
    <w:rsid w:val="008969B6"/>
    <w:rsid w:val="008969C8"/>
    <w:rsid w:val="00896ADD"/>
    <w:rsid w:val="00896C59"/>
    <w:rsid w:val="00896D07"/>
    <w:rsid w:val="00896D09"/>
    <w:rsid w:val="00896EF0"/>
    <w:rsid w:val="00896F84"/>
    <w:rsid w:val="00897255"/>
    <w:rsid w:val="008972DE"/>
    <w:rsid w:val="00897644"/>
    <w:rsid w:val="00897874"/>
    <w:rsid w:val="008979BA"/>
    <w:rsid w:val="00897A30"/>
    <w:rsid w:val="00897A3A"/>
    <w:rsid w:val="00897A3F"/>
    <w:rsid w:val="00897E4C"/>
    <w:rsid w:val="00897F5A"/>
    <w:rsid w:val="008A00E1"/>
    <w:rsid w:val="008A0122"/>
    <w:rsid w:val="008A017E"/>
    <w:rsid w:val="008A0262"/>
    <w:rsid w:val="008A03F0"/>
    <w:rsid w:val="008A0576"/>
    <w:rsid w:val="008A065E"/>
    <w:rsid w:val="008A08B4"/>
    <w:rsid w:val="008A0934"/>
    <w:rsid w:val="008A0B10"/>
    <w:rsid w:val="008A0D42"/>
    <w:rsid w:val="008A0E13"/>
    <w:rsid w:val="008A1202"/>
    <w:rsid w:val="008A1457"/>
    <w:rsid w:val="008A14F0"/>
    <w:rsid w:val="008A1544"/>
    <w:rsid w:val="008A167C"/>
    <w:rsid w:val="008A184A"/>
    <w:rsid w:val="008A1988"/>
    <w:rsid w:val="008A19BB"/>
    <w:rsid w:val="008A19DB"/>
    <w:rsid w:val="008A1A4E"/>
    <w:rsid w:val="008A1B53"/>
    <w:rsid w:val="008A1BB3"/>
    <w:rsid w:val="008A1BF9"/>
    <w:rsid w:val="008A1DA2"/>
    <w:rsid w:val="008A1DDA"/>
    <w:rsid w:val="008A1E1C"/>
    <w:rsid w:val="008A1EA9"/>
    <w:rsid w:val="008A1ED6"/>
    <w:rsid w:val="008A2107"/>
    <w:rsid w:val="008A22AA"/>
    <w:rsid w:val="008A2300"/>
    <w:rsid w:val="008A246E"/>
    <w:rsid w:val="008A262C"/>
    <w:rsid w:val="008A27D8"/>
    <w:rsid w:val="008A28C4"/>
    <w:rsid w:val="008A294B"/>
    <w:rsid w:val="008A2980"/>
    <w:rsid w:val="008A2A0B"/>
    <w:rsid w:val="008A2A9D"/>
    <w:rsid w:val="008A2B6D"/>
    <w:rsid w:val="008A2B7A"/>
    <w:rsid w:val="008A2B83"/>
    <w:rsid w:val="008A2B98"/>
    <w:rsid w:val="008A2BEE"/>
    <w:rsid w:val="008A2C78"/>
    <w:rsid w:val="008A2DC4"/>
    <w:rsid w:val="008A2E69"/>
    <w:rsid w:val="008A3225"/>
    <w:rsid w:val="008A3274"/>
    <w:rsid w:val="008A3622"/>
    <w:rsid w:val="008A3AE1"/>
    <w:rsid w:val="008A3EF9"/>
    <w:rsid w:val="008A3EFD"/>
    <w:rsid w:val="008A3F30"/>
    <w:rsid w:val="008A3F3C"/>
    <w:rsid w:val="008A4168"/>
    <w:rsid w:val="008A4185"/>
    <w:rsid w:val="008A41CC"/>
    <w:rsid w:val="008A4464"/>
    <w:rsid w:val="008A44A7"/>
    <w:rsid w:val="008A4514"/>
    <w:rsid w:val="008A4536"/>
    <w:rsid w:val="008A453E"/>
    <w:rsid w:val="008A4545"/>
    <w:rsid w:val="008A4620"/>
    <w:rsid w:val="008A4800"/>
    <w:rsid w:val="008A480E"/>
    <w:rsid w:val="008A49A8"/>
    <w:rsid w:val="008A4B47"/>
    <w:rsid w:val="008A4E45"/>
    <w:rsid w:val="008A4FBD"/>
    <w:rsid w:val="008A5003"/>
    <w:rsid w:val="008A522A"/>
    <w:rsid w:val="008A52D1"/>
    <w:rsid w:val="008A541D"/>
    <w:rsid w:val="008A5576"/>
    <w:rsid w:val="008A567F"/>
    <w:rsid w:val="008A56BC"/>
    <w:rsid w:val="008A5803"/>
    <w:rsid w:val="008A587D"/>
    <w:rsid w:val="008A5A67"/>
    <w:rsid w:val="008A5A9D"/>
    <w:rsid w:val="008A5B9F"/>
    <w:rsid w:val="008A5D09"/>
    <w:rsid w:val="008A616C"/>
    <w:rsid w:val="008A61C4"/>
    <w:rsid w:val="008A61EE"/>
    <w:rsid w:val="008A640B"/>
    <w:rsid w:val="008A64CE"/>
    <w:rsid w:val="008A64D1"/>
    <w:rsid w:val="008A64EE"/>
    <w:rsid w:val="008A6590"/>
    <w:rsid w:val="008A65B8"/>
    <w:rsid w:val="008A6681"/>
    <w:rsid w:val="008A680F"/>
    <w:rsid w:val="008A68A9"/>
    <w:rsid w:val="008A69E4"/>
    <w:rsid w:val="008A6CE1"/>
    <w:rsid w:val="008A6F24"/>
    <w:rsid w:val="008A6F2B"/>
    <w:rsid w:val="008A70AD"/>
    <w:rsid w:val="008A7144"/>
    <w:rsid w:val="008A732B"/>
    <w:rsid w:val="008A73E4"/>
    <w:rsid w:val="008A740F"/>
    <w:rsid w:val="008A7557"/>
    <w:rsid w:val="008A7673"/>
    <w:rsid w:val="008A770B"/>
    <w:rsid w:val="008A778A"/>
    <w:rsid w:val="008A78CB"/>
    <w:rsid w:val="008A78E6"/>
    <w:rsid w:val="008A7A06"/>
    <w:rsid w:val="008A7CF5"/>
    <w:rsid w:val="008A7E81"/>
    <w:rsid w:val="008A7EBC"/>
    <w:rsid w:val="008A7F2F"/>
    <w:rsid w:val="008B0179"/>
    <w:rsid w:val="008B0239"/>
    <w:rsid w:val="008B0274"/>
    <w:rsid w:val="008B0354"/>
    <w:rsid w:val="008B03F1"/>
    <w:rsid w:val="008B04D2"/>
    <w:rsid w:val="008B06C0"/>
    <w:rsid w:val="008B0842"/>
    <w:rsid w:val="008B0B63"/>
    <w:rsid w:val="008B0BA3"/>
    <w:rsid w:val="008B0E0F"/>
    <w:rsid w:val="008B13D8"/>
    <w:rsid w:val="008B1405"/>
    <w:rsid w:val="008B14CF"/>
    <w:rsid w:val="008B14D3"/>
    <w:rsid w:val="008B151D"/>
    <w:rsid w:val="008B159E"/>
    <w:rsid w:val="008B1756"/>
    <w:rsid w:val="008B17DC"/>
    <w:rsid w:val="008B192C"/>
    <w:rsid w:val="008B19CB"/>
    <w:rsid w:val="008B1AB6"/>
    <w:rsid w:val="008B1AE8"/>
    <w:rsid w:val="008B1AF5"/>
    <w:rsid w:val="008B1CD7"/>
    <w:rsid w:val="008B1CF5"/>
    <w:rsid w:val="008B1E6D"/>
    <w:rsid w:val="008B1E8C"/>
    <w:rsid w:val="008B209E"/>
    <w:rsid w:val="008B22E9"/>
    <w:rsid w:val="008B2422"/>
    <w:rsid w:val="008B24D4"/>
    <w:rsid w:val="008B277F"/>
    <w:rsid w:val="008B2850"/>
    <w:rsid w:val="008B28E4"/>
    <w:rsid w:val="008B2A0A"/>
    <w:rsid w:val="008B2AA0"/>
    <w:rsid w:val="008B2B23"/>
    <w:rsid w:val="008B2D69"/>
    <w:rsid w:val="008B2D76"/>
    <w:rsid w:val="008B2DBF"/>
    <w:rsid w:val="008B2DD9"/>
    <w:rsid w:val="008B350C"/>
    <w:rsid w:val="008B3575"/>
    <w:rsid w:val="008B364D"/>
    <w:rsid w:val="008B3657"/>
    <w:rsid w:val="008B3869"/>
    <w:rsid w:val="008B3B00"/>
    <w:rsid w:val="008B3B08"/>
    <w:rsid w:val="008B3CF5"/>
    <w:rsid w:val="008B3ECC"/>
    <w:rsid w:val="008B3F1D"/>
    <w:rsid w:val="008B3F38"/>
    <w:rsid w:val="008B3F44"/>
    <w:rsid w:val="008B4099"/>
    <w:rsid w:val="008B40EB"/>
    <w:rsid w:val="008B453F"/>
    <w:rsid w:val="008B4721"/>
    <w:rsid w:val="008B4727"/>
    <w:rsid w:val="008B4845"/>
    <w:rsid w:val="008B48B3"/>
    <w:rsid w:val="008B4C38"/>
    <w:rsid w:val="008B4C88"/>
    <w:rsid w:val="008B4DF8"/>
    <w:rsid w:val="008B4F45"/>
    <w:rsid w:val="008B50BE"/>
    <w:rsid w:val="008B528F"/>
    <w:rsid w:val="008B52A8"/>
    <w:rsid w:val="008B53DB"/>
    <w:rsid w:val="008B53F5"/>
    <w:rsid w:val="008B54D0"/>
    <w:rsid w:val="008B55B6"/>
    <w:rsid w:val="008B5865"/>
    <w:rsid w:val="008B58D8"/>
    <w:rsid w:val="008B5B4B"/>
    <w:rsid w:val="008B5B59"/>
    <w:rsid w:val="008B5BE1"/>
    <w:rsid w:val="008B5D7A"/>
    <w:rsid w:val="008B5DDD"/>
    <w:rsid w:val="008B5DEC"/>
    <w:rsid w:val="008B5DFB"/>
    <w:rsid w:val="008B5E66"/>
    <w:rsid w:val="008B5ECE"/>
    <w:rsid w:val="008B5EFF"/>
    <w:rsid w:val="008B5FFE"/>
    <w:rsid w:val="008B60B1"/>
    <w:rsid w:val="008B6272"/>
    <w:rsid w:val="008B63D7"/>
    <w:rsid w:val="008B6433"/>
    <w:rsid w:val="008B663D"/>
    <w:rsid w:val="008B6672"/>
    <w:rsid w:val="008B6719"/>
    <w:rsid w:val="008B6895"/>
    <w:rsid w:val="008B6A3C"/>
    <w:rsid w:val="008B6BA0"/>
    <w:rsid w:val="008B6D50"/>
    <w:rsid w:val="008B6DF9"/>
    <w:rsid w:val="008B6ED8"/>
    <w:rsid w:val="008B6FCC"/>
    <w:rsid w:val="008B711D"/>
    <w:rsid w:val="008B7190"/>
    <w:rsid w:val="008B71BE"/>
    <w:rsid w:val="008B71F9"/>
    <w:rsid w:val="008B73C0"/>
    <w:rsid w:val="008B74A5"/>
    <w:rsid w:val="008B74E9"/>
    <w:rsid w:val="008B750D"/>
    <w:rsid w:val="008B77C1"/>
    <w:rsid w:val="008B7841"/>
    <w:rsid w:val="008B790D"/>
    <w:rsid w:val="008B79BA"/>
    <w:rsid w:val="008B7B4D"/>
    <w:rsid w:val="008B7C20"/>
    <w:rsid w:val="008B7CBC"/>
    <w:rsid w:val="008B7E5C"/>
    <w:rsid w:val="008B7E82"/>
    <w:rsid w:val="008C01DE"/>
    <w:rsid w:val="008C01FE"/>
    <w:rsid w:val="008C034D"/>
    <w:rsid w:val="008C05E9"/>
    <w:rsid w:val="008C0608"/>
    <w:rsid w:val="008C0658"/>
    <w:rsid w:val="008C0731"/>
    <w:rsid w:val="008C07B3"/>
    <w:rsid w:val="008C0A26"/>
    <w:rsid w:val="008C0D66"/>
    <w:rsid w:val="008C0E56"/>
    <w:rsid w:val="008C10A7"/>
    <w:rsid w:val="008C1110"/>
    <w:rsid w:val="008C12C4"/>
    <w:rsid w:val="008C14AF"/>
    <w:rsid w:val="008C174F"/>
    <w:rsid w:val="008C17DD"/>
    <w:rsid w:val="008C184C"/>
    <w:rsid w:val="008C1978"/>
    <w:rsid w:val="008C1A29"/>
    <w:rsid w:val="008C1AC0"/>
    <w:rsid w:val="008C1AF1"/>
    <w:rsid w:val="008C1B3D"/>
    <w:rsid w:val="008C1D7C"/>
    <w:rsid w:val="008C1EDA"/>
    <w:rsid w:val="008C200B"/>
    <w:rsid w:val="008C2093"/>
    <w:rsid w:val="008C23C2"/>
    <w:rsid w:val="008C2866"/>
    <w:rsid w:val="008C2AA3"/>
    <w:rsid w:val="008C2C63"/>
    <w:rsid w:val="008C2EFE"/>
    <w:rsid w:val="008C2F4B"/>
    <w:rsid w:val="008C3168"/>
    <w:rsid w:val="008C317C"/>
    <w:rsid w:val="008C32BA"/>
    <w:rsid w:val="008C3304"/>
    <w:rsid w:val="008C337A"/>
    <w:rsid w:val="008C33FF"/>
    <w:rsid w:val="008C341D"/>
    <w:rsid w:val="008C3705"/>
    <w:rsid w:val="008C379F"/>
    <w:rsid w:val="008C3818"/>
    <w:rsid w:val="008C395E"/>
    <w:rsid w:val="008C3AB2"/>
    <w:rsid w:val="008C3AD1"/>
    <w:rsid w:val="008C3AD4"/>
    <w:rsid w:val="008C3D3A"/>
    <w:rsid w:val="008C3D84"/>
    <w:rsid w:val="008C3DE7"/>
    <w:rsid w:val="008C3E2B"/>
    <w:rsid w:val="008C3EDC"/>
    <w:rsid w:val="008C3EEB"/>
    <w:rsid w:val="008C42E8"/>
    <w:rsid w:val="008C4759"/>
    <w:rsid w:val="008C4943"/>
    <w:rsid w:val="008C4A41"/>
    <w:rsid w:val="008C4A75"/>
    <w:rsid w:val="008C4B25"/>
    <w:rsid w:val="008C4CBC"/>
    <w:rsid w:val="008C4CEA"/>
    <w:rsid w:val="008C4E48"/>
    <w:rsid w:val="008C530B"/>
    <w:rsid w:val="008C5392"/>
    <w:rsid w:val="008C557A"/>
    <w:rsid w:val="008C5843"/>
    <w:rsid w:val="008C5AC8"/>
    <w:rsid w:val="008C5B77"/>
    <w:rsid w:val="008C5B9B"/>
    <w:rsid w:val="008C5C1A"/>
    <w:rsid w:val="008C5C60"/>
    <w:rsid w:val="008C5E34"/>
    <w:rsid w:val="008C5EBE"/>
    <w:rsid w:val="008C5EC2"/>
    <w:rsid w:val="008C601A"/>
    <w:rsid w:val="008C6374"/>
    <w:rsid w:val="008C63F2"/>
    <w:rsid w:val="008C65F7"/>
    <w:rsid w:val="008C670E"/>
    <w:rsid w:val="008C678F"/>
    <w:rsid w:val="008C68C2"/>
    <w:rsid w:val="008C6A84"/>
    <w:rsid w:val="008C6B32"/>
    <w:rsid w:val="008C6E49"/>
    <w:rsid w:val="008C6E95"/>
    <w:rsid w:val="008C6FBE"/>
    <w:rsid w:val="008C7177"/>
    <w:rsid w:val="008C74ED"/>
    <w:rsid w:val="008C7512"/>
    <w:rsid w:val="008C76F1"/>
    <w:rsid w:val="008C7736"/>
    <w:rsid w:val="008C7842"/>
    <w:rsid w:val="008C789A"/>
    <w:rsid w:val="008C79E4"/>
    <w:rsid w:val="008C7A6B"/>
    <w:rsid w:val="008C7AFD"/>
    <w:rsid w:val="008C7F3E"/>
    <w:rsid w:val="008C7F77"/>
    <w:rsid w:val="008C7FF4"/>
    <w:rsid w:val="008D00CD"/>
    <w:rsid w:val="008D0163"/>
    <w:rsid w:val="008D0222"/>
    <w:rsid w:val="008D0345"/>
    <w:rsid w:val="008D0359"/>
    <w:rsid w:val="008D0678"/>
    <w:rsid w:val="008D0715"/>
    <w:rsid w:val="008D071F"/>
    <w:rsid w:val="008D07FE"/>
    <w:rsid w:val="008D0A21"/>
    <w:rsid w:val="008D0A62"/>
    <w:rsid w:val="008D0B20"/>
    <w:rsid w:val="008D0B46"/>
    <w:rsid w:val="008D0B87"/>
    <w:rsid w:val="008D0CB9"/>
    <w:rsid w:val="008D0CD6"/>
    <w:rsid w:val="008D0ECC"/>
    <w:rsid w:val="008D0F09"/>
    <w:rsid w:val="008D0FCF"/>
    <w:rsid w:val="008D10B0"/>
    <w:rsid w:val="008D10D6"/>
    <w:rsid w:val="008D113C"/>
    <w:rsid w:val="008D1191"/>
    <w:rsid w:val="008D11CB"/>
    <w:rsid w:val="008D1378"/>
    <w:rsid w:val="008D13E0"/>
    <w:rsid w:val="008D157A"/>
    <w:rsid w:val="008D1592"/>
    <w:rsid w:val="008D15B8"/>
    <w:rsid w:val="008D1603"/>
    <w:rsid w:val="008D1669"/>
    <w:rsid w:val="008D167E"/>
    <w:rsid w:val="008D16B5"/>
    <w:rsid w:val="008D17B3"/>
    <w:rsid w:val="008D18EB"/>
    <w:rsid w:val="008D195C"/>
    <w:rsid w:val="008D1988"/>
    <w:rsid w:val="008D19B8"/>
    <w:rsid w:val="008D1A63"/>
    <w:rsid w:val="008D1AB0"/>
    <w:rsid w:val="008D1B8E"/>
    <w:rsid w:val="008D1C1B"/>
    <w:rsid w:val="008D1D9B"/>
    <w:rsid w:val="008D1F5F"/>
    <w:rsid w:val="008D2150"/>
    <w:rsid w:val="008D223B"/>
    <w:rsid w:val="008D2355"/>
    <w:rsid w:val="008D2425"/>
    <w:rsid w:val="008D25C0"/>
    <w:rsid w:val="008D2695"/>
    <w:rsid w:val="008D285D"/>
    <w:rsid w:val="008D2878"/>
    <w:rsid w:val="008D293C"/>
    <w:rsid w:val="008D29D6"/>
    <w:rsid w:val="008D2DA0"/>
    <w:rsid w:val="008D2E46"/>
    <w:rsid w:val="008D2F0D"/>
    <w:rsid w:val="008D3063"/>
    <w:rsid w:val="008D3104"/>
    <w:rsid w:val="008D338A"/>
    <w:rsid w:val="008D338B"/>
    <w:rsid w:val="008D33EC"/>
    <w:rsid w:val="008D35BE"/>
    <w:rsid w:val="008D3789"/>
    <w:rsid w:val="008D3822"/>
    <w:rsid w:val="008D3828"/>
    <w:rsid w:val="008D3830"/>
    <w:rsid w:val="008D390C"/>
    <w:rsid w:val="008D3931"/>
    <w:rsid w:val="008D39FC"/>
    <w:rsid w:val="008D3A00"/>
    <w:rsid w:val="008D3A8F"/>
    <w:rsid w:val="008D3BDC"/>
    <w:rsid w:val="008D3CBF"/>
    <w:rsid w:val="008D3EAE"/>
    <w:rsid w:val="008D3FD3"/>
    <w:rsid w:val="008D4020"/>
    <w:rsid w:val="008D4096"/>
    <w:rsid w:val="008D412E"/>
    <w:rsid w:val="008D4227"/>
    <w:rsid w:val="008D4383"/>
    <w:rsid w:val="008D4646"/>
    <w:rsid w:val="008D49B2"/>
    <w:rsid w:val="008D4B56"/>
    <w:rsid w:val="008D4C43"/>
    <w:rsid w:val="008D4D34"/>
    <w:rsid w:val="008D4DDF"/>
    <w:rsid w:val="008D4DF5"/>
    <w:rsid w:val="008D4DF9"/>
    <w:rsid w:val="008D4E28"/>
    <w:rsid w:val="008D4E96"/>
    <w:rsid w:val="008D4FAA"/>
    <w:rsid w:val="008D5010"/>
    <w:rsid w:val="008D51AE"/>
    <w:rsid w:val="008D51EA"/>
    <w:rsid w:val="008D51EC"/>
    <w:rsid w:val="008D529D"/>
    <w:rsid w:val="008D52C9"/>
    <w:rsid w:val="008D52FD"/>
    <w:rsid w:val="008D53BD"/>
    <w:rsid w:val="008D53D1"/>
    <w:rsid w:val="008D54C3"/>
    <w:rsid w:val="008D54C9"/>
    <w:rsid w:val="008D55FE"/>
    <w:rsid w:val="008D58B3"/>
    <w:rsid w:val="008D5A02"/>
    <w:rsid w:val="008D5C64"/>
    <w:rsid w:val="008D5CB4"/>
    <w:rsid w:val="008D5D45"/>
    <w:rsid w:val="008D5D4A"/>
    <w:rsid w:val="008D5ED1"/>
    <w:rsid w:val="008D5F5F"/>
    <w:rsid w:val="008D5FFD"/>
    <w:rsid w:val="008D6096"/>
    <w:rsid w:val="008D61DB"/>
    <w:rsid w:val="008D62AE"/>
    <w:rsid w:val="008D6667"/>
    <w:rsid w:val="008D6751"/>
    <w:rsid w:val="008D6CB7"/>
    <w:rsid w:val="008D7074"/>
    <w:rsid w:val="008D7197"/>
    <w:rsid w:val="008D71BD"/>
    <w:rsid w:val="008D7442"/>
    <w:rsid w:val="008D744B"/>
    <w:rsid w:val="008D7659"/>
    <w:rsid w:val="008D7901"/>
    <w:rsid w:val="008D79A1"/>
    <w:rsid w:val="008D79E3"/>
    <w:rsid w:val="008D7BCE"/>
    <w:rsid w:val="008D7BD6"/>
    <w:rsid w:val="008D7FE7"/>
    <w:rsid w:val="008D7FF4"/>
    <w:rsid w:val="008E0003"/>
    <w:rsid w:val="008E0019"/>
    <w:rsid w:val="008E0069"/>
    <w:rsid w:val="008E01DD"/>
    <w:rsid w:val="008E0460"/>
    <w:rsid w:val="008E04E3"/>
    <w:rsid w:val="008E0546"/>
    <w:rsid w:val="008E05CB"/>
    <w:rsid w:val="008E061E"/>
    <w:rsid w:val="008E0794"/>
    <w:rsid w:val="008E0803"/>
    <w:rsid w:val="008E0846"/>
    <w:rsid w:val="008E0938"/>
    <w:rsid w:val="008E0975"/>
    <w:rsid w:val="008E09EE"/>
    <w:rsid w:val="008E0A54"/>
    <w:rsid w:val="008E0D42"/>
    <w:rsid w:val="008E0D67"/>
    <w:rsid w:val="008E0D6B"/>
    <w:rsid w:val="008E0F45"/>
    <w:rsid w:val="008E1355"/>
    <w:rsid w:val="008E15D1"/>
    <w:rsid w:val="008E1739"/>
    <w:rsid w:val="008E1AE2"/>
    <w:rsid w:val="008E1B82"/>
    <w:rsid w:val="008E1C05"/>
    <w:rsid w:val="008E2034"/>
    <w:rsid w:val="008E210A"/>
    <w:rsid w:val="008E2133"/>
    <w:rsid w:val="008E2148"/>
    <w:rsid w:val="008E219F"/>
    <w:rsid w:val="008E22F1"/>
    <w:rsid w:val="008E2447"/>
    <w:rsid w:val="008E247F"/>
    <w:rsid w:val="008E2492"/>
    <w:rsid w:val="008E24F0"/>
    <w:rsid w:val="008E2702"/>
    <w:rsid w:val="008E271C"/>
    <w:rsid w:val="008E27AB"/>
    <w:rsid w:val="008E27EF"/>
    <w:rsid w:val="008E28AB"/>
    <w:rsid w:val="008E2AFF"/>
    <w:rsid w:val="008E2B98"/>
    <w:rsid w:val="008E2C35"/>
    <w:rsid w:val="008E2D12"/>
    <w:rsid w:val="008E3133"/>
    <w:rsid w:val="008E31C3"/>
    <w:rsid w:val="008E32CB"/>
    <w:rsid w:val="008E342F"/>
    <w:rsid w:val="008E3499"/>
    <w:rsid w:val="008E36DA"/>
    <w:rsid w:val="008E372A"/>
    <w:rsid w:val="008E3747"/>
    <w:rsid w:val="008E37AE"/>
    <w:rsid w:val="008E37B3"/>
    <w:rsid w:val="008E37F9"/>
    <w:rsid w:val="008E3897"/>
    <w:rsid w:val="008E38C4"/>
    <w:rsid w:val="008E398C"/>
    <w:rsid w:val="008E3BDB"/>
    <w:rsid w:val="008E3BED"/>
    <w:rsid w:val="008E3C68"/>
    <w:rsid w:val="008E3DF9"/>
    <w:rsid w:val="008E3F0A"/>
    <w:rsid w:val="008E409B"/>
    <w:rsid w:val="008E40A4"/>
    <w:rsid w:val="008E4249"/>
    <w:rsid w:val="008E44F4"/>
    <w:rsid w:val="008E461A"/>
    <w:rsid w:val="008E463F"/>
    <w:rsid w:val="008E4679"/>
    <w:rsid w:val="008E4788"/>
    <w:rsid w:val="008E4A60"/>
    <w:rsid w:val="008E4B80"/>
    <w:rsid w:val="008E4DA2"/>
    <w:rsid w:val="008E4EF3"/>
    <w:rsid w:val="008E4F4B"/>
    <w:rsid w:val="008E4F56"/>
    <w:rsid w:val="008E4F91"/>
    <w:rsid w:val="008E5063"/>
    <w:rsid w:val="008E52C0"/>
    <w:rsid w:val="008E539D"/>
    <w:rsid w:val="008E540C"/>
    <w:rsid w:val="008E5690"/>
    <w:rsid w:val="008E573B"/>
    <w:rsid w:val="008E5793"/>
    <w:rsid w:val="008E57D3"/>
    <w:rsid w:val="008E5847"/>
    <w:rsid w:val="008E5A27"/>
    <w:rsid w:val="008E5AB3"/>
    <w:rsid w:val="008E5B1B"/>
    <w:rsid w:val="008E5BC7"/>
    <w:rsid w:val="008E5C63"/>
    <w:rsid w:val="008E5D36"/>
    <w:rsid w:val="008E5F42"/>
    <w:rsid w:val="008E5F7B"/>
    <w:rsid w:val="008E5F99"/>
    <w:rsid w:val="008E6088"/>
    <w:rsid w:val="008E619D"/>
    <w:rsid w:val="008E6200"/>
    <w:rsid w:val="008E6363"/>
    <w:rsid w:val="008E63CE"/>
    <w:rsid w:val="008E6570"/>
    <w:rsid w:val="008E672F"/>
    <w:rsid w:val="008E68A9"/>
    <w:rsid w:val="008E6930"/>
    <w:rsid w:val="008E69F5"/>
    <w:rsid w:val="008E6B53"/>
    <w:rsid w:val="008E6BA8"/>
    <w:rsid w:val="008E6BC0"/>
    <w:rsid w:val="008E6CE8"/>
    <w:rsid w:val="008E6E8C"/>
    <w:rsid w:val="008E6EA1"/>
    <w:rsid w:val="008E6EF3"/>
    <w:rsid w:val="008E6F51"/>
    <w:rsid w:val="008E6F9F"/>
    <w:rsid w:val="008E70B9"/>
    <w:rsid w:val="008E70D2"/>
    <w:rsid w:val="008E7183"/>
    <w:rsid w:val="008E71FB"/>
    <w:rsid w:val="008E7437"/>
    <w:rsid w:val="008E7446"/>
    <w:rsid w:val="008E7547"/>
    <w:rsid w:val="008E75E7"/>
    <w:rsid w:val="008E769F"/>
    <w:rsid w:val="008E7789"/>
    <w:rsid w:val="008E786A"/>
    <w:rsid w:val="008E7963"/>
    <w:rsid w:val="008E7AC9"/>
    <w:rsid w:val="008E7B5B"/>
    <w:rsid w:val="008E7C6E"/>
    <w:rsid w:val="008E7D2B"/>
    <w:rsid w:val="008E7DBC"/>
    <w:rsid w:val="008E7E56"/>
    <w:rsid w:val="008F009D"/>
    <w:rsid w:val="008F0120"/>
    <w:rsid w:val="008F018F"/>
    <w:rsid w:val="008F03FD"/>
    <w:rsid w:val="008F05B5"/>
    <w:rsid w:val="008F0A2C"/>
    <w:rsid w:val="008F0B82"/>
    <w:rsid w:val="008F0B88"/>
    <w:rsid w:val="008F0D1F"/>
    <w:rsid w:val="008F0FE7"/>
    <w:rsid w:val="008F1052"/>
    <w:rsid w:val="008F1139"/>
    <w:rsid w:val="008F13F9"/>
    <w:rsid w:val="008F1451"/>
    <w:rsid w:val="008F1559"/>
    <w:rsid w:val="008F1560"/>
    <w:rsid w:val="008F17B7"/>
    <w:rsid w:val="008F1967"/>
    <w:rsid w:val="008F19A0"/>
    <w:rsid w:val="008F1B0E"/>
    <w:rsid w:val="008F1B2C"/>
    <w:rsid w:val="008F1B7B"/>
    <w:rsid w:val="008F1C99"/>
    <w:rsid w:val="008F1DC5"/>
    <w:rsid w:val="008F1EF3"/>
    <w:rsid w:val="008F211F"/>
    <w:rsid w:val="008F23CB"/>
    <w:rsid w:val="008F23FE"/>
    <w:rsid w:val="008F2476"/>
    <w:rsid w:val="008F2678"/>
    <w:rsid w:val="008F26A1"/>
    <w:rsid w:val="008F2718"/>
    <w:rsid w:val="008F2736"/>
    <w:rsid w:val="008F273F"/>
    <w:rsid w:val="008F2883"/>
    <w:rsid w:val="008F292F"/>
    <w:rsid w:val="008F2985"/>
    <w:rsid w:val="008F2A06"/>
    <w:rsid w:val="008F2C9B"/>
    <w:rsid w:val="008F2EEC"/>
    <w:rsid w:val="008F2F7E"/>
    <w:rsid w:val="008F307C"/>
    <w:rsid w:val="008F3084"/>
    <w:rsid w:val="008F30E7"/>
    <w:rsid w:val="008F313D"/>
    <w:rsid w:val="008F3197"/>
    <w:rsid w:val="008F327F"/>
    <w:rsid w:val="008F33DD"/>
    <w:rsid w:val="008F33FB"/>
    <w:rsid w:val="008F3519"/>
    <w:rsid w:val="008F359E"/>
    <w:rsid w:val="008F35A1"/>
    <w:rsid w:val="008F3693"/>
    <w:rsid w:val="008F36DB"/>
    <w:rsid w:val="008F38A7"/>
    <w:rsid w:val="008F3BA3"/>
    <w:rsid w:val="008F3DAA"/>
    <w:rsid w:val="008F3DDB"/>
    <w:rsid w:val="008F3E21"/>
    <w:rsid w:val="008F3E66"/>
    <w:rsid w:val="008F3F17"/>
    <w:rsid w:val="008F3F65"/>
    <w:rsid w:val="008F405E"/>
    <w:rsid w:val="008F4072"/>
    <w:rsid w:val="008F4205"/>
    <w:rsid w:val="008F422C"/>
    <w:rsid w:val="008F428F"/>
    <w:rsid w:val="008F42B7"/>
    <w:rsid w:val="008F459F"/>
    <w:rsid w:val="008F4620"/>
    <w:rsid w:val="008F47F2"/>
    <w:rsid w:val="008F48C3"/>
    <w:rsid w:val="008F48CF"/>
    <w:rsid w:val="008F4AE2"/>
    <w:rsid w:val="008F4B4E"/>
    <w:rsid w:val="008F4B67"/>
    <w:rsid w:val="008F4D42"/>
    <w:rsid w:val="008F51EB"/>
    <w:rsid w:val="008F5389"/>
    <w:rsid w:val="008F53A9"/>
    <w:rsid w:val="008F53C8"/>
    <w:rsid w:val="008F5651"/>
    <w:rsid w:val="008F566B"/>
    <w:rsid w:val="008F56D9"/>
    <w:rsid w:val="008F5716"/>
    <w:rsid w:val="008F5AF5"/>
    <w:rsid w:val="008F5BD0"/>
    <w:rsid w:val="008F5DEE"/>
    <w:rsid w:val="008F5E23"/>
    <w:rsid w:val="008F5EC4"/>
    <w:rsid w:val="008F5ED4"/>
    <w:rsid w:val="008F5EF7"/>
    <w:rsid w:val="008F5F2C"/>
    <w:rsid w:val="008F6039"/>
    <w:rsid w:val="008F60C7"/>
    <w:rsid w:val="008F62BF"/>
    <w:rsid w:val="008F63B4"/>
    <w:rsid w:val="008F63CF"/>
    <w:rsid w:val="008F6580"/>
    <w:rsid w:val="008F65B2"/>
    <w:rsid w:val="008F65B7"/>
    <w:rsid w:val="008F65BB"/>
    <w:rsid w:val="008F6628"/>
    <w:rsid w:val="008F6631"/>
    <w:rsid w:val="008F6636"/>
    <w:rsid w:val="008F667E"/>
    <w:rsid w:val="008F6747"/>
    <w:rsid w:val="008F68A9"/>
    <w:rsid w:val="008F6BA6"/>
    <w:rsid w:val="008F6C61"/>
    <w:rsid w:val="008F6F22"/>
    <w:rsid w:val="008F71D3"/>
    <w:rsid w:val="008F757D"/>
    <w:rsid w:val="008F7B3D"/>
    <w:rsid w:val="008F7C20"/>
    <w:rsid w:val="008F7E09"/>
    <w:rsid w:val="008F7E44"/>
    <w:rsid w:val="008F7E4C"/>
    <w:rsid w:val="008F7F24"/>
    <w:rsid w:val="00900030"/>
    <w:rsid w:val="0090022A"/>
    <w:rsid w:val="00900345"/>
    <w:rsid w:val="009003CB"/>
    <w:rsid w:val="009005D7"/>
    <w:rsid w:val="009007B0"/>
    <w:rsid w:val="00900ACB"/>
    <w:rsid w:val="00900C3D"/>
    <w:rsid w:val="00900C5A"/>
    <w:rsid w:val="00900CFB"/>
    <w:rsid w:val="00900D83"/>
    <w:rsid w:val="00900E1D"/>
    <w:rsid w:val="00900FAC"/>
    <w:rsid w:val="0090104C"/>
    <w:rsid w:val="00901106"/>
    <w:rsid w:val="00901170"/>
    <w:rsid w:val="0090134A"/>
    <w:rsid w:val="00901497"/>
    <w:rsid w:val="009014FE"/>
    <w:rsid w:val="00901627"/>
    <w:rsid w:val="009019FC"/>
    <w:rsid w:val="00901A82"/>
    <w:rsid w:val="00901BEF"/>
    <w:rsid w:val="00901D60"/>
    <w:rsid w:val="00902195"/>
    <w:rsid w:val="0090229E"/>
    <w:rsid w:val="0090236D"/>
    <w:rsid w:val="00902431"/>
    <w:rsid w:val="00902452"/>
    <w:rsid w:val="009026AC"/>
    <w:rsid w:val="009027D2"/>
    <w:rsid w:val="00902817"/>
    <w:rsid w:val="00902891"/>
    <w:rsid w:val="009029E0"/>
    <w:rsid w:val="00902A10"/>
    <w:rsid w:val="00902A8B"/>
    <w:rsid w:val="00902B96"/>
    <w:rsid w:val="00902BEB"/>
    <w:rsid w:val="00902C16"/>
    <w:rsid w:val="00902C54"/>
    <w:rsid w:val="00902C76"/>
    <w:rsid w:val="00902DDB"/>
    <w:rsid w:val="00902DE3"/>
    <w:rsid w:val="00902EC1"/>
    <w:rsid w:val="00902F82"/>
    <w:rsid w:val="00902FA6"/>
    <w:rsid w:val="009032A9"/>
    <w:rsid w:val="00903407"/>
    <w:rsid w:val="009035C8"/>
    <w:rsid w:val="00903756"/>
    <w:rsid w:val="00903A0C"/>
    <w:rsid w:val="00903AF7"/>
    <w:rsid w:val="00903B99"/>
    <w:rsid w:val="00903C84"/>
    <w:rsid w:val="00903D5F"/>
    <w:rsid w:val="00903E20"/>
    <w:rsid w:val="00903EA2"/>
    <w:rsid w:val="009040BF"/>
    <w:rsid w:val="00904135"/>
    <w:rsid w:val="009043FB"/>
    <w:rsid w:val="00904504"/>
    <w:rsid w:val="00904763"/>
    <w:rsid w:val="00904792"/>
    <w:rsid w:val="00904825"/>
    <w:rsid w:val="00904B0F"/>
    <w:rsid w:val="00904B10"/>
    <w:rsid w:val="00904B9D"/>
    <w:rsid w:val="00904CB8"/>
    <w:rsid w:val="00904D10"/>
    <w:rsid w:val="00904EEC"/>
    <w:rsid w:val="0090504A"/>
    <w:rsid w:val="009050FD"/>
    <w:rsid w:val="0090526E"/>
    <w:rsid w:val="0090536D"/>
    <w:rsid w:val="00905396"/>
    <w:rsid w:val="00905789"/>
    <w:rsid w:val="0090596D"/>
    <w:rsid w:val="009059BF"/>
    <w:rsid w:val="009059E5"/>
    <w:rsid w:val="009059E7"/>
    <w:rsid w:val="00905B1C"/>
    <w:rsid w:val="00905C7E"/>
    <w:rsid w:val="00905E49"/>
    <w:rsid w:val="00905EDB"/>
    <w:rsid w:val="00905F18"/>
    <w:rsid w:val="00905F35"/>
    <w:rsid w:val="009060CA"/>
    <w:rsid w:val="0090618E"/>
    <w:rsid w:val="0090643E"/>
    <w:rsid w:val="009064C4"/>
    <w:rsid w:val="00906533"/>
    <w:rsid w:val="009066DA"/>
    <w:rsid w:val="0090675C"/>
    <w:rsid w:val="009067DF"/>
    <w:rsid w:val="009068D3"/>
    <w:rsid w:val="009068E9"/>
    <w:rsid w:val="00906C27"/>
    <w:rsid w:val="00906C5C"/>
    <w:rsid w:val="00906CC5"/>
    <w:rsid w:val="00906D3B"/>
    <w:rsid w:val="00906EB9"/>
    <w:rsid w:val="009070C2"/>
    <w:rsid w:val="0090727C"/>
    <w:rsid w:val="0090748F"/>
    <w:rsid w:val="00907989"/>
    <w:rsid w:val="00907BBC"/>
    <w:rsid w:val="00907CB5"/>
    <w:rsid w:val="00907DF2"/>
    <w:rsid w:val="00907EA2"/>
    <w:rsid w:val="00910161"/>
    <w:rsid w:val="00910170"/>
    <w:rsid w:val="009101D6"/>
    <w:rsid w:val="0091020F"/>
    <w:rsid w:val="00910220"/>
    <w:rsid w:val="009102D0"/>
    <w:rsid w:val="00910587"/>
    <w:rsid w:val="009105D2"/>
    <w:rsid w:val="009105FF"/>
    <w:rsid w:val="0091066D"/>
    <w:rsid w:val="0091079A"/>
    <w:rsid w:val="00910868"/>
    <w:rsid w:val="009108D1"/>
    <w:rsid w:val="00910AB7"/>
    <w:rsid w:val="00910D20"/>
    <w:rsid w:val="00910E3C"/>
    <w:rsid w:val="00910F13"/>
    <w:rsid w:val="00911049"/>
    <w:rsid w:val="009116E2"/>
    <w:rsid w:val="009116FF"/>
    <w:rsid w:val="00911A47"/>
    <w:rsid w:val="00911BBF"/>
    <w:rsid w:val="00911DD3"/>
    <w:rsid w:val="00911E22"/>
    <w:rsid w:val="00911F6E"/>
    <w:rsid w:val="00911FC5"/>
    <w:rsid w:val="00912387"/>
    <w:rsid w:val="009123BF"/>
    <w:rsid w:val="009124BD"/>
    <w:rsid w:val="0091250A"/>
    <w:rsid w:val="00912619"/>
    <w:rsid w:val="0091269B"/>
    <w:rsid w:val="009127C8"/>
    <w:rsid w:val="00912A28"/>
    <w:rsid w:val="00912A70"/>
    <w:rsid w:val="00912AEE"/>
    <w:rsid w:val="00912B9A"/>
    <w:rsid w:val="00912F07"/>
    <w:rsid w:val="00912F79"/>
    <w:rsid w:val="00912FD5"/>
    <w:rsid w:val="0091323C"/>
    <w:rsid w:val="009132C8"/>
    <w:rsid w:val="00913392"/>
    <w:rsid w:val="009133B9"/>
    <w:rsid w:val="00913621"/>
    <w:rsid w:val="009136F0"/>
    <w:rsid w:val="009136FA"/>
    <w:rsid w:val="009137D9"/>
    <w:rsid w:val="0091383F"/>
    <w:rsid w:val="00913861"/>
    <w:rsid w:val="00913958"/>
    <w:rsid w:val="0091398A"/>
    <w:rsid w:val="00913A22"/>
    <w:rsid w:val="00913B3A"/>
    <w:rsid w:val="00913BB1"/>
    <w:rsid w:val="00913D6E"/>
    <w:rsid w:val="00913DCF"/>
    <w:rsid w:val="00913E4A"/>
    <w:rsid w:val="00913FBF"/>
    <w:rsid w:val="00914112"/>
    <w:rsid w:val="0091423B"/>
    <w:rsid w:val="0091425D"/>
    <w:rsid w:val="00914268"/>
    <w:rsid w:val="0091433C"/>
    <w:rsid w:val="00914547"/>
    <w:rsid w:val="00914880"/>
    <w:rsid w:val="00914996"/>
    <w:rsid w:val="00914A1B"/>
    <w:rsid w:val="00914AC1"/>
    <w:rsid w:val="00914D22"/>
    <w:rsid w:val="00914E6C"/>
    <w:rsid w:val="009150A7"/>
    <w:rsid w:val="009150F5"/>
    <w:rsid w:val="0091517F"/>
    <w:rsid w:val="00915397"/>
    <w:rsid w:val="00915412"/>
    <w:rsid w:val="00915464"/>
    <w:rsid w:val="0091552E"/>
    <w:rsid w:val="00915934"/>
    <w:rsid w:val="009159B9"/>
    <w:rsid w:val="009159E2"/>
    <w:rsid w:val="00915AAF"/>
    <w:rsid w:val="00915C0E"/>
    <w:rsid w:val="00915D85"/>
    <w:rsid w:val="00915F45"/>
    <w:rsid w:val="00915F80"/>
    <w:rsid w:val="00916090"/>
    <w:rsid w:val="009162E7"/>
    <w:rsid w:val="009162FB"/>
    <w:rsid w:val="009163CE"/>
    <w:rsid w:val="00916551"/>
    <w:rsid w:val="0091661C"/>
    <w:rsid w:val="00916633"/>
    <w:rsid w:val="0091663F"/>
    <w:rsid w:val="00916661"/>
    <w:rsid w:val="00916729"/>
    <w:rsid w:val="00916850"/>
    <w:rsid w:val="00916924"/>
    <w:rsid w:val="009169B7"/>
    <w:rsid w:val="00916A6D"/>
    <w:rsid w:val="00916BA9"/>
    <w:rsid w:val="00916D57"/>
    <w:rsid w:val="00916E8B"/>
    <w:rsid w:val="00916F22"/>
    <w:rsid w:val="00916F42"/>
    <w:rsid w:val="00916F62"/>
    <w:rsid w:val="00916F86"/>
    <w:rsid w:val="00916FDB"/>
    <w:rsid w:val="0091704C"/>
    <w:rsid w:val="009170D2"/>
    <w:rsid w:val="00917184"/>
    <w:rsid w:val="009171A2"/>
    <w:rsid w:val="0091722F"/>
    <w:rsid w:val="00917286"/>
    <w:rsid w:val="009172A3"/>
    <w:rsid w:val="009172CC"/>
    <w:rsid w:val="00917534"/>
    <w:rsid w:val="00917554"/>
    <w:rsid w:val="0091779D"/>
    <w:rsid w:val="009177D3"/>
    <w:rsid w:val="009179F9"/>
    <w:rsid w:val="009179FF"/>
    <w:rsid w:val="00917AF9"/>
    <w:rsid w:val="00917BFF"/>
    <w:rsid w:val="00917C65"/>
    <w:rsid w:val="00917CA3"/>
    <w:rsid w:val="00917D97"/>
    <w:rsid w:val="00917E9C"/>
    <w:rsid w:val="0092002E"/>
    <w:rsid w:val="0092021B"/>
    <w:rsid w:val="00920244"/>
    <w:rsid w:val="00920352"/>
    <w:rsid w:val="00920368"/>
    <w:rsid w:val="009204FD"/>
    <w:rsid w:val="0092075F"/>
    <w:rsid w:val="009207CC"/>
    <w:rsid w:val="00920A42"/>
    <w:rsid w:val="00920A45"/>
    <w:rsid w:val="00920AB3"/>
    <w:rsid w:val="00920DF0"/>
    <w:rsid w:val="00920DFC"/>
    <w:rsid w:val="00920E39"/>
    <w:rsid w:val="009210CF"/>
    <w:rsid w:val="0092112E"/>
    <w:rsid w:val="0092139C"/>
    <w:rsid w:val="009215A3"/>
    <w:rsid w:val="00921740"/>
    <w:rsid w:val="00921744"/>
    <w:rsid w:val="00921D78"/>
    <w:rsid w:val="00921EDD"/>
    <w:rsid w:val="00921F33"/>
    <w:rsid w:val="00921FC5"/>
    <w:rsid w:val="00921FD8"/>
    <w:rsid w:val="0092209A"/>
    <w:rsid w:val="009220D6"/>
    <w:rsid w:val="00922276"/>
    <w:rsid w:val="009222CB"/>
    <w:rsid w:val="00922624"/>
    <w:rsid w:val="00922761"/>
    <w:rsid w:val="00922797"/>
    <w:rsid w:val="009227E5"/>
    <w:rsid w:val="009228AE"/>
    <w:rsid w:val="00922945"/>
    <w:rsid w:val="009229EA"/>
    <w:rsid w:val="00922A27"/>
    <w:rsid w:val="00922C5A"/>
    <w:rsid w:val="00922C9A"/>
    <w:rsid w:val="00922CC0"/>
    <w:rsid w:val="00922F46"/>
    <w:rsid w:val="00922F69"/>
    <w:rsid w:val="0092311D"/>
    <w:rsid w:val="0092314D"/>
    <w:rsid w:val="0092331A"/>
    <w:rsid w:val="00923447"/>
    <w:rsid w:val="00923523"/>
    <w:rsid w:val="00923590"/>
    <w:rsid w:val="0092365F"/>
    <w:rsid w:val="00923860"/>
    <w:rsid w:val="009239AD"/>
    <w:rsid w:val="00923A21"/>
    <w:rsid w:val="00923C88"/>
    <w:rsid w:val="00923CC2"/>
    <w:rsid w:val="00923D0E"/>
    <w:rsid w:val="00923E8B"/>
    <w:rsid w:val="00924195"/>
    <w:rsid w:val="00924257"/>
    <w:rsid w:val="00924362"/>
    <w:rsid w:val="009243EF"/>
    <w:rsid w:val="00924409"/>
    <w:rsid w:val="0092443A"/>
    <w:rsid w:val="00924450"/>
    <w:rsid w:val="009244F0"/>
    <w:rsid w:val="009245C8"/>
    <w:rsid w:val="0092460A"/>
    <w:rsid w:val="0092467F"/>
    <w:rsid w:val="00924938"/>
    <w:rsid w:val="00924943"/>
    <w:rsid w:val="00924AD5"/>
    <w:rsid w:val="00924DA8"/>
    <w:rsid w:val="00924ECA"/>
    <w:rsid w:val="0092520A"/>
    <w:rsid w:val="00925287"/>
    <w:rsid w:val="0092531E"/>
    <w:rsid w:val="00925380"/>
    <w:rsid w:val="00925472"/>
    <w:rsid w:val="009254B5"/>
    <w:rsid w:val="009254EE"/>
    <w:rsid w:val="009255AD"/>
    <w:rsid w:val="0092574F"/>
    <w:rsid w:val="00925784"/>
    <w:rsid w:val="0092593A"/>
    <w:rsid w:val="00925984"/>
    <w:rsid w:val="00925A36"/>
    <w:rsid w:val="00925D31"/>
    <w:rsid w:val="00925D64"/>
    <w:rsid w:val="00925DAC"/>
    <w:rsid w:val="00925E34"/>
    <w:rsid w:val="009260BB"/>
    <w:rsid w:val="009263AB"/>
    <w:rsid w:val="0092649E"/>
    <w:rsid w:val="009265AD"/>
    <w:rsid w:val="009267B3"/>
    <w:rsid w:val="00926820"/>
    <w:rsid w:val="00926929"/>
    <w:rsid w:val="0092699B"/>
    <w:rsid w:val="00926BB8"/>
    <w:rsid w:val="00926D95"/>
    <w:rsid w:val="00926DCF"/>
    <w:rsid w:val="00926DF5"/>
    <w:rsid w:val="00927034"/>
    <w:rsid w:val="009270E4"/>
    <w:rsid w:val="009270F0"/>
    <w:rsid w:val="0092713C"/>
    <w:rsid w:val="009271B1"/>
    <w:rsid w:val="00927208"/>
    <w:rsid w:val="009275D6"/>
    <w:rsid w:val="009275D7"/>
    <w:rsid w:val="0092766B"/>
    <w:rsid w:val="0092770F"/>
    <w:rsid w:val="009277A8"/>
    <w:rsid w:val="0092785E"/>
    <w:rsid w:val="00927AC7"/>
    <w:rsid w:val="00927BA9"/>
    <w:rsid w:val="00927CFB"/>
    <w:rsid w:val="00927EC0"/>
    <w:rsid w:val="00927F5A"/>
    <w:rsid w:val="009301DA"/>
    <w:rsid w:val="009302CD"/>
    <w:rsid w:val="0093070F"/>
    <w:rsid w:val="0093077F"/>
    <w:rsid w:val="009308A6"/>
    <w:rsid w:val="0093097F"/>
    <w:rsid w:val="009309D8"/>
    <w:rsid w:val="009309D9"/>
    <w:rsid w:val="00930A14"/>
    <w:rsid w:val="00930AC2"/>
    <w:rsid w:val="00930BEC"/>
    <w:rsid w:val="00930C2D"/>
    <w:rsid w:val="00930CE2"/>
    <w:rsid w:val="0093113D"/>
    <w:rsid w:val="00931497"/>
    <w:rsid w:val="00931540"/>
    <w:rsid w:val="0093159E"/>
    <w:rsid w:val="0093191F"/>
    <w:rsid w:val="009319B6"/>
    <w:rsid w:val="00931BE2"/>
    <w:rsid w:val="00931C3D"/>
    <w:rsid w:val="00931D66"/>
    <w:rsid w:val="00931DCD"/>
    <w:rsid w:val="00931F3D"/>
    <w:rsid w:val="00932082"/>
    <w:rsid w:val="009320B3"/>
    <w:rsid w:val="00932118"/>
    <w:rsid w:val="0093213F"/>
    <w:rsid w:val="00932171"/>
    <w:rsid w:val="009322E4"/>
    <w:rsid w:val="00932529"/>
    <w:rsid w:val="00932564"/>
    <w:rsid w:val="00932653"/>
    <w:rsid w:val="00932731"/>
    <w:rsid w:val="0093288B"/>
    <w:rsid w:val="0093293A"/>
    <w:rsid w:val="00932AA6"/>
    <w:rsid w:val="00932B34"/>
    <w:rsid w:val="00932E33"/>
    <w:rsid w:val="00932EDD"/>
    <w:rsid w:val="00932F2A"/>
    <w:rsid w:val="00932FC2"/>
    <w:rsid w:val="0093313C"/>
    <w:rsid w:val="009331FF"/>
    <w:rsid w:val="00933404"/>
    <w:rsid w:val="0093361D"/>
    <w:rsid w:val="00933699"/>
    <w:rsid w:val="00933798"/>
    <w:rsid w:val="00933817"/>
    <w:rsid w:val="00933855"/>
    <w:rsid w:val="009338DC"/>
    <w:rsid w:val="009339A3"/>
    <w:rsid w:val="00933B41"/>
    <w:rsid w:val="00933C17"/>
    <w:rsid w:val="00933C9A"/>
    <w:rsid w:val="009340E3"/>
    <w:rsid w:val="0093414B"/>
    <w:rsid w:val="0093455C"/>
    <w:rsid w:val="0093475D"/>
    <w:rsid w:val="009347D8"/>
    <w:rsid w:val="0093485E"/>
    <w:rsid w:val="00934930"/>
    <w:rsid w:val="00934C7B"/>
    <w:rsid w:val="00934C97"/>
    <w:rsid w:val="00934D5E"/>
    <w:rsid w:val="00934E7A"/>
    <w:rsid w:val="00934FB1"/>
    <w:rsid w:val="0093506E"/>
    <w:rsid w:val="009352A3"/>
    <w:rsid w:val="009352D5"/>
    <w:rsid w:val="009354EF"/>
    <w:rsid w:val="00935580"/>
    <w:rsid w:val="0093575E"/>
    <w:rsid w:val="009358A3"/>
    <w:rsid w:val="00935976"/>
    <w:rsid w:val="009359A9"/>
    <w:rsid w:val="00935A06"/>
    <w:rsid w:val="00935A50"/>
    <w:rsid w:val="00935BAA"/>
    <w:rsid w:val="00935E84"/>
    <w:rsid w:val="00935E87"/>
    <w:rsid w:val="00935FAA"/>
    <w:rsid w:val="0093603D"/>
    <w:rsid w:val="0093655C"/>
    <w:rsid w:val="009365A0"/>
    <w:rsid w:val="00936943"/>
    <w:rsid w:val="00936A37"/>
    <w:rsid w:val="00936C88"/>
    <w:rsid w:val="00936D07"/>
    <w:rsid w:val="00936D9D"/>
    <w:rsid w:val="00936DC9"/>
    <w:rsid w:val="00936F53"/>
    <w:rsid w:val="00937055"/>
    <w:rsid w:val="0093725A"/>
    <w:rsid w:val="00937426"/>
    <w:rsid w:val="009374AA"/>
    <w:rsid w:val="0093763B"/>
    <w:rsid w:val="009378EA"/>
    <w:rsid w:val="0093799E"/>
    <w:rsid w:val="00937CAD"/>
    <w:rsid w:val="00937D12"/>
    <w:rsid w:val="00937E2C"/>
    <w:rsid w:val="00937FA8"/>
    <w:rsid w:val="0094007F"/>
    <w:rsid w:val="00940112"/>
    <w:rsid w:val="009401B8"/>
    <w:rsid w:val="009401C6"/>
    <w:rsid w:val="00940271"/>
    <w:rsid w:val="0094045C"/>
    <w:rsid w:val="009404CD"/>
    <w:rsid w:val="00940525"/>
    <w:rsid w:val="009405AB"/>
    <w:rsid w:val="0094066F"/>
    <w:rsid w:val="009407D2"/>
    <w:rsid w:val="009407D8"/>
    <w:rsid w:val="009408CB"/>
    <w:rsid w:val="009408EB"/>
    <w:rsid w:val="009409CB"/>
    <w:rsid w:val="00940A7C"/>
    <w:rsid w:val="00940C99"/>
    <w:rsid w:val="00940C9B"/>
    <w:rsid w:val="00940CD5"/>
    <w:rsid w:val="00940DBC"/>
    <w:rsid w:val="00940E3D"/>
    <w:rsid w:val="00941004"/>
    <w:rsid w:val="0094112B"/>
    <w:rsid w:val="00941364"/>
    <w:rsid w:val="009414BE"/>
    <w:rsid w:val="009414D2"/>
    <w:rsid w:val="009414F2"/>
    <w:rsid w:val="00941529"/>
    <w:rsid w:val="0094152D"/>
    <w:rsid w:val="009415C0"/>
    <w:rsid w:val="0094165A"/>
    <w:rsid w:val="009417B1"/>
    <w:rsid w:val="009418D2"/>
    <w:rsid w:val="00941C1F"/>
    <w:rsid w:val="00941D3A"/>
    <w:rsid w:val="00941F7C"/>
    <w:rsid w:val="009420ED"/>
    <w:rsid w:val="00942129"/>
    <w:rsid w:val="00942201"/>
    <w:rsid w:val="0094223C"/>
    <w:rsid w:val="009422E1"/>
    <w:rsid w:val="00942364"/>
    <w:rsid w:val="00942375"/>
    <w:rsid w:val="00942467"/>
    <w:rsid w:val="00942470"/>
    <w:rsid w:val="00942745"/>
    <w:rsid w:val="00942907"/>
    <w:rsid w:val="009429B9"/>
    <w:rsid w:val="00942A67"/>
    <w:rsid w:val="00942AF9"/>
    <w:rsid w:val="00942BA4"/>
    <w:rsid w:val="00942D63"/>
    <w:rsid w:val="00942DD1"/>
    <w:rsid w:val="00942E9C"/>
    <w:rsid w:val="00942F5F"/>
    <w:rsid w:val="009430B8"/>
    <w:rsid w:val="0094335A"/>
    <w:rsid w:val="0094346E"/>
    <w:rsid w:val="009436AB"/>
    <w:rsid w:val="0094374B"/>
    <w:rsid w:val="009437BD"/>
    <w:rsid w:val="00943977"/>
    <w:rsid w:val="00943AD2"/>
    <w:rsid w:val="00943C25"/>
    <w:rsid w:val="00943D2E"/>
    <w:rsid w:val="00943E9D"/>
    <w:rsid w:val="00943E9E"/>
    <w:rsid w:val="00944116"/>
    <w:rsid w:val="00944216"/>
    <w:rsid w:val="009442EB"/>
    <w:rsid w:val="00944333"/>
    <w:rsid w:val="00944568"/>
    <w:rsid w:val="00944599"/>
    <w:rsid w:val="00944781"/>
    <w:rsid w:val="009447CD"/>
    <w:rsid w:val="0094489F"/>
    <w:rsid w:val="009448BA"/>
    <w:rsid w:val="00944A9B"/>
    <w:rsid w:val="00944ADF"/>
    <w:rsid w:val="00944C86"/>
    <w:rsid w:val="0094527A"/>
    <w:rsid w:val="009452D6"/>
    <w:rsid w:val="00945339"/>
    <w:rsid w:val="0094546F"/>
    <w:rsid w:val="00945491"/>
    <w:rsid w:val="009454B3"/>
    <w:rsid w:val="009454D7"/>
    <w:rsid w:val="009454EF"/>
    <w:rsid w:val="009455F4"/>
    <w:rsid w:val="009456BE"/>
    <w:rsid w:val="009456DC"/>
    <w:rsid w:val="0094572F"/>
    <w:rsid w:val="00945735"/>
    <w:rsid w:val="009457B7"/>
    <w:rsid w:val="00945869"/>
    <w:rsid w:val="00945A4E"/>
    <w:rsid w:val="00945B00"/>
    <w:rsid w:val="00945D06"/>
    <w:rsid w:val="00945DE3"/>
    <w:rsid w:val="00945DF2"/>
    <w:rsid w:val="0094605E"/>
    <w:rsid w:val="00946251"/>
    <w:rsid w:val="0094646C"/>
    <w:rsid w:val="0094648E"/>
    <w:rsid w:val="009466B1"/>
    <w:rsid w:val="009466E0"/>
    <w:rsid w:val="00946739"/>
    <w:rsid w:val="009469B7"/>
    <w:rsid w:val="00946A34"/>
    <w:rsid w:val="00946BF3"/>
    <w:rsid w:val="00947008"/>
    <w:rsid w:val="00947082"/>
    <w:rsid w:val="00947162"/>
    <w:rsid w:val="00947271"/>
    <w:rsid w:val="009472E5"/>
    <w:rsid w:val="00947509"/>
    <w:rsid w:val="00947652"/>
    <w:rsid w:val="00947681"/>
    <w:rsid w:val="00947B50"/>
    <w:rsid w:val="00947B64"/>
    <w:rsid w:val="00947B9B"/>
    <w:rsid w:val="00947CAB"/>
    <w:rsid w:val="00947D33"/>
    <w:rsid w:val="00947E6C"/>
    <w:rsid w:val="00947FF0"/>
    <w:rsid w:val="009502AF"/>
    <w:rsid w:val="0095041B"/>
    <w:rsid w:val="009504DA"/>
    <w:rsid w:val="00950506"/>
    <w:rsid w:val="00950903"/>
    <w:rsid w:val="0095098A"/>
    <w:rsid w:val="00950A01"/>
    <w:rsid w:val="00950B75"/>
    <w:rsid w:val="00950C31"/>
    <w:rsid w:val="00950C6B"/>
    <w:rsid w:val="00950ED0"/>
    <w:rsid w:val="00950F37"/>
    <w:rsid w:val="00950F46"/>
    <w:rsid w:val="00950FA7"/>
    <w:rsid w:val="0095101D"/>
    <w:rsid w:val="0095113F"/>
    <w:rsid w:val="00951393"/>
    <w:rsid w:val="009513E5"/>
    <w:rsid w:val="00951548"/>
    <w:rsid w:val="009515FD"/>
    <w:rsid w:val="00951667"/>
    <w:rsid w:val="00951A21"/>
    <w:rsid w:val="00951AE6"/>
    <w:rsid w:val="00951B45"/>
    <w:rsid w:val="00951DA7"/>
    <w:rsid w:val="00951EDF"/>
    <w:rsid w:val="0095200C"/>
    <w:rsid w:val="00952091"/>
    <w:rsid w:val="009521DA"/>
    <w:rsid w:val="00952325"/>
    <w:rsid w:val="00952449"/>
    <w:rsid w:val="00952459"/>
    <w:rsid w:val="0095253E"/>
    <w:rsid w:val="0095273F"/>
    <w:rsid w:val="00952833"/>
    <w:rsid w:val="00952960"/>
    <w:rsid w:val="00952B36"/>
    <w:rsid w:val="00952BE4"/>
    <w:rsid w:val="00952BEA"/>
    <w:rsid w:val="00952C5B"/>
    <w:rsid w:val="00953112"/>
    <w:rsid w:val="00953148"/>
    <w:rsid w:val="0095320F"/>
    <w:rsid w:val="00953363"/>
    <w:rsid w:val="009533A3"/>
    <w:rsid w:val="0095340E"/>
    <w:rsid w:val="0095345B"/>
    <w:rsid w:val="00953467"/>
    <w:rsid w:val="009535AF"/>
    <w:rsid w:val="0095363B"/>
    <w:rsid w:val="009537DC"/>
    <w:rsid w:val="00953833"/>
    <w:rsid w:val="009539A4"/>
    <w:rsid w:val="00953AC8"/>
    <w:rsid w:val="00953B36"/>
    <w:rsid w:val="00953CA0"/>
    <w:rsid w:val="00953E09"/>
    <w:rsid w:val="00953F6C"/>
    <w:rsid w:val="00953FB2"/>
    <w:rsid w:val="00953FB7"/>
    <w:rsid w:val="00954029"/>
    <w:rsid w:val="00954098"/>
    <w:rsid w:val="009540CB"/>
    <w:rsid w:val="00954195"/>
    <w:rsid w:val="0095427D"/>
    <w:rsid w:val="009542FF"/>
    <w:rsid w:val="00954317"/>
    <w:rsid w:val="009543FD"/>
    <w:rsid w:val="00954544"/>
    <w:rsid w:val="00954655"/>
    <w:rsid w:val="0095492C"/>
    <w:rsid w:val="00954B99"/>
    <w:rsid w:val="00954CF7"/>
    <w:rsid w:val="00954F24"/>
    <w:rsid w:val="00954F8C"/>
    <w:rsid w:val="009552A4"/>
    <w:rsid w:val="009552EC"/>
    <w:rsid w:val="009556DD"/>
    <w:rsid w:val="009556FB"/>
    <w:rsid w:val="00955821"/>
    <w:rsid w:val="00955B60"/>
    <w:rsid w:val="00955CCD"/>
    <w:rsid w:val="00955D45"/>
    <w:rsid w:val="00955F11"/>
    <w:rsid w:val="00955F29"/>
    <w:rsid w:val="009560D2"/>
    <w:rsid w:val="00956554"/>
    <w:rsid w:val="00956584"/>
    <w:rsid w:val="009565ED"/>
    <w:rsid w:val="00956811"/>
    <w:rsid w:val="00956C08"/>
    <w:rsid w:val="009572A8"/>
    <w:rsid w:val="00957735"/>
    <w:rsid w:val="009579FA"/>
    <w:rsid w:val="00957C0E"/>
    <w:rsid w:val="00957C27"/>
    <w:rsid w:val="00957E07"/>
    <w:rsid w:val="00957F23"/>
    <w:rsid w:val="00957F55"/>
    <w:rsid w:val="009600F8"/>
    <w:rsid w:val="009601C6"/>
    <w:rsid w:val="00960283"/>
    <w:rsid w:val="009603A7"/>
    <w:rsid w:val="0096050F"/>
    <w:rsid w:val="00960989"/>
    <w:rsid w:val="0096099E"/>
    <w:rsid w:val="00960A7C"/>
    <w:rsid w:val="00960B5D"/>
    <w:rsid w:val="00960C52"/>
    <w:rsid w:val="00960D05"/>
    <w:rsid w:val="00960E3B"/>
    <w:rsid w:val="00960EB5"/>
    <w:rsid w:val="00960FC0"/>
    <w:rsid w:val="00961109"/>
    <w:rsid w:val="0096112F"/>
    <w:rsid w:val="00961346"/>
    <w:rsid w:val="00961375"/>
    <w:rsid w:val="00961393"/>
    <w:rsid w:val="00961697"/>
    <w:rsid w:val="009616C5"/>
    <w:rsid w:val="009616E8"/>
    <w:rsid w:val="009618D8"/>
    <w:rsid w:val="00961960"/>
    <w:rsid w:val="00961B09"/>
    <w:rsid w:val="00961BB1"/>
    <w:rsid w:val="00961CEC"/>
    <w:rsid w:val="00961D59"/>
    <w:rsid w:val="00961DCD"/>
    <w:rsid w:val="00961DE0"/>
    <w:rsid w:val="00961F85"/>
    <w:rsid w:val="00962004"/>
    <w:rsid w:val="00962077"/>
    <w:rsid w:val="00962170"/>
    <w:rsid w:val="00962292"/>
    <w:rsid w:val="00962312"/>
    <w:rsid w:val="00962348"/>
    <w:rsid w:val="0096264B"/>
    <w:rsid w:val="0096275D"/>
    <w:rsid w:val="009627B9"/>
    <w:rsid w:val="00962868"/>
    <w:rsid w:val="009628A5"/>
    <w:rsid w:val="00962D89"/>
    <w:rsid w:val="00962EB2"/>
    <w:rsid w:val="00962F14"/>
    <w:rsid w:val="00962F4F"/>
    <w:rsid w:val="00963189"/>
    <w:rsid w:val="00963388"/>
    <w:rsid w:val="00963596"/>
    <w:rsid w:val="009635E7"/>
    <w:rsid w:val="00963628"/>
    <w:rsid w:val="00963652"/>
    <w:rsid w:val="009636CE"/>
    <w:rsid w:val="00963760"/>
    <w:rsid w:val="00963784"/>
    <w:rsid w:val="00963792"/>
    <w:rsid w:val="009637AD"/>
    <w:rsid w:val="00963845"/>
    <w:rsid w:val="009638C2"/>
    <w:rsid w:val="0096392A"/>
    <w:rsid w:val="00963A9A"/>
    <w:rsid w:val="00963AE2"/>
    <w:rsid w:val="00963AF5"/>
    <w:rsid w:val="00963CFE"/>
    <w:rsid w:val="00963DCE"/>
    <w:rsid w:val="00963F20"/>
    <w:rsid w:val="009640A5"/>
    <w:rsid w:val="00964108"/>
    <w:rsid w:val="0096411F"/>
    <w:rsid w:val="009642DC"/>
    <w:rsid w:val="009643C7"/>
    <w:rsid w:val="009645B4"/>
    <w:rsid w:val="009646AD"/>
    <w:rsid w:val="009646DE"/>
    <w:rsid w:val="00964B2D"/>
    <w:rsid w:val="00964D8C"/>
    <w:rsid w:val="00964DD8"/>
    <w:rsid w:val="00964E36"/>
    <w:rsid w:val="00964F51"/>
    <w:rsid w:val="00964F91"/>
    <w:rsid w:val="0096515A"/>
    <w:rsid w:val="00965169"/>
    <w:rsid w:val="009651DA"/>
    <w:rsid w:val="0096520E"/>
    <w:rsid w:val="009652F9"/>
    <w:rsid w:val="0096540D"/>
    <w:rsid w:val="0096548B"/>
    <w:rsid w:val="009654DE"/>
    <w:rsid w:val="00965591"/>
    <w:rsid w:val="009658C1"/>
    <w:rsid w:val="00965959"/>
    <w:rsid w:val="00965B76"/>
    <w:rsid w:val="00965C31"/>
    <w:rsid w:val="00965E87"/>
    <w:rsid w:val="00965FEA"/>
    <w:rsid w:val="0096602C"/>
    <w:rsid w:val="009661C2"/>
    <w:rsid w:val="009663E7"/>
    <w:rsid w:val="00966413"/>
    <w:rsid w:val="00966467"/>
    <w:rsid w:val="00966732"/>
    <w:rsid w:val="0096676F"/>
    <w:rsid w:val="009668C3"/>
    <w:rsid w:val="009668D2"/>
    <w:rsid w:val="0096697F"/>
    <w:rsid w:val="00966C03"/>
    <w:rsid w:val="00966C20"/>
    <w:rsid w:val="00966C57"/>
    <w:rsid w:val="00966FBB"/>
    <w:rsid w:val="0096700C"/>
    <w:rsid w:val="0096730E"/>
    <w:rsid w:val="009674B0"/>
    <w:rsid w:val="00967726"/>
    <w:rsid w:val="009678C3"/>
    <w:rsid w:val="00967AD4"/>
    <w:rsid w:val="00967BAA"/>
    <w:rsid w:val="00967E69"/>
    <w:rsid w:val="00970057"/>
    <w:rsid w:val="009700B1"/>
    <w:rsid w:val="009703FC"/>
    <w:rsid w:val="00970479"/>
    <w:rsid w:val="00970545"/>
    <w:rsid w:val="00970692"/>
    <w:rsid w:val="009706EC"/>
    <w:rsid w:val="00970782"/>
    <w:rsid w:val="009707D0"/>
    <w:rsid w:val="00970854"/>
    <w:rsid w:val="00970917"/>
    <w:rsid w:val="00970A29"/>
    <w:rsid w:val="00970B78"/>
    <w:rsid w:val="00970B89"/>
    <w:rsid w:val="00970B8D"/>
    <w:rsid w:val="00970DB4"/>
    <w:rsid w:val="00970DD2"/>
    <w:rsid w:val="00970E8F"/>
    <w:rsid w:val="00970FC5"/>
    <w:rsid w:val="00970FCE"/>
    <w:rsid w:val="00970FF8"/>
    <w:rsid w:val="00971167"/>
    <w:rsid w:val="00971454"/>
    <w:rsid w:val="00971ABF"/>
    <w:rsid w:val="00971B39"/>
    <w:rsid w:val="00971BB6"/>
    <w:rsid w:val="00971EF4"/>
    <w:rsid w:val="00971FE2"/>
    <w:rsid w:val="009721DF"/>
    <w:rsid w:val="00972216"/>
    <w:rsid w:val="0097222F"/>
    <w:rsid w:val="0097239C"/>
    <w:rsid w:val="00972571"/>
    <w:rsid w:val="009725E0"/>
    <w:rsid w:val="009726C7"/>
    <w:rsid w:val="0097270F"/>
    <w:rsid w:val="0097288D"/>
    <w:rsid w:val="009728FB"/>
    <w:rsid w:val="00972945"/>
    <w:rsid w:val="00972A41"/>
    <w:rsid w:val="00972AAE"/>
    <w:rsid w:val="00972CB2"/>
    <w:rsid w:val="00972D36"/>
    <w:rsid w:val="00972EB9"/>
    <w:rsid w:val="00972F3D"/>
    <w:rsid w:val="0097304E"/>
    <w:rsid w:val="0097309D"/>
    <w:rsid w:val="009730E8"/>
    <w:rsid w:val="0097324E"/>
    <w:rsid w:val="009734D9"/>
    <w:rsid w:val="00973BC6"/>
    <w:rsid w:val="00973E34"/>
    <w:rsid w:val="00973E6C"/>
    <w:rsid w:val="00973EDF"/>
    <w:rsid w:val="00973F35"/>
    <w:rsid w:val="00973FCB"/>
    <w:rsid w:val="00973FDA"/>
    <w:rsid w:val="00974014"/>
    <w:rsid w:val="0097403A"/>
    <w:rsid w:val="0097404A"/>
    <w:rsid w:val="009741C4"/>
    <w:rsid w:val="00974204"/>
    <w:rsid w:val="00974308"/>
    <w:rsid w:val="00974506"/>
    <w:rsid w:val="00974508"/>
    <w:rsid w:val="00974558"/>
    <w:rsid w:val="009745B1"/>
    <w:rsid w:val="0097464E"/>
    <w:rsid w:val="0097485D"/>
    <w:rsid w:val="00974938"/>
    <w:rsid w:val="0097493A"/>
    <w:rsid w:val="00974A99"/>
    <w:rsid w:val="00974F1E"/>
    <w:rsid w:val="00974F55"/>
    <w:rsid w:val="00974F5B"/>
    <w:rsid w:val="00974FC5"/>
    <w:rsid w:val="009750EE"/>
    <w:rsid w:val="00975189"/>
    <w:rsid w:val="00975215"/>
    <w:rsid w:val="00975337"/>
    <w:rsid w:val="0097537D"/>
    <w:rsid w:val="00975427"/>
    <w:rsid w:val="00975461"/>
    <w:rsid w:val="00975612"/>
    <w:rsid w:val="00975631"/>
    <w:rsid w:val="00975661"/>
    <w:rsid w:val="0097574C"/>
    <w:rsid w:val="0097574F"/>
    <w:rsid w:val="00975844"/>
    <w:rsid w:val="00975850"/>
    <w:rsid w:val="009759CE"/>
    <w:rsid w:val="00975A09"/>
    <w:rsid w:val="00975B71"/>
    <w:rsid w:val="00975B90"/>
    <w:rsid w:val="00975BEC"/>
    <w:rsid w:val="00975CF6"/>
    <w:rsid w:val="00975E5F"/>
    <w:rsid w:val="0097608B"/>
    <w:rsid w:val="0097621C"/>
    <w:rsid w:val="00976221"/>
    <w:rsid w:val="00976254"/>
    <w:rsid w:val="00976442"/>
    <w:rsid w:val="00976463"/>
    <w:rsid w:val="0097675E"/>
    <w:rsid w:val="00976896"/>
    <w:rsid w:val="0097692F"/>
    <w:rsid w:val="00976A9C"/>
    <w:rsid w:val="00976AF8"/>
    <w:rsid w:val="00976C0C"/>
    <w:rsid w:val="00976D5B"/>
    <w:rsid w:val="00977060"/>
    <w:rsid w:val="009770E9"/>
    <w:rsid w:val="00977125"/>
    <w:rsid w:val="00977181"/>
    <w:rsid w:val="00977265"/>
    <w:rsid w:val="0097731C"/>
    <w:rsid w:val="0097756D"/>
    <w:rsid w:val="009775E8"/>
    <w:rsid w:val="009775FE"/>
    <w:rsid w:val="00977642"/>
    <w:rsid w:val="009776D1"/>
    <w:rsid w:val="009777CE"/>
    <w:rsid w:val="00977927"/>
    <w:rsid w:val="00977982"/>
    <w:rsid w:val="00977B1E"/>
    <w:rsid w:val="00977B97"/>
    <w:rsid w:val="00977C97"/>
    <w:rsid w:val="00977CBA"/>
    <w:rsid w:val="00977D37"/>
    <w:rsid w:val="00977D5B"/>
    <w:rsid w:val="00977D8E"/>
    <w:rsid w:val="0098000D"/>
    <w:rsid w:val="00980012"/>
    <w:rsid w:val="0098023D"/>
    <w:rsid w:val="0098037C"/>
    <w:rsid w:val="00980409"/>
    <w:rsid w:val="0098044A"/>
    <w:rsid w:val="00980525"/>
    <w:rsid w:val="00980822"/>
    <w:rsid w:val="0098087B"/>
    <w:rsid w:val="00980A2E"/>
    <w:rsid w:val="00980A74"/>
    <w:rsid w:val="00980AA2"/>
    <w:rsid w:val="00980B8B"/>
    <w:rsid w:val="00980C36"/>
    <w:rsid w:val="00980D7E"/>
    <w:rsid w:val="0098113B"/>
    <w:rsid w:val="009811E0"/>
    <w:rsid w:val="00981302"/>
    <w:rsid w:val="00981310"/>
    <w:rsid w:val="00981323"/>
    <w:rsid w:val="0098137D"/>
    <w:rsid w:val="009814CA"/>
    <w:rsid w:val="009818CF"/>
    <w:rsid w:val="00981A07"/>
    <w:rsid w:val="00981A36"/>
    <w:rsid w:val="00981C0E"/>
    <w:rsid w:val="00981D4E"/>
    <w:rsid w:val="00981EA9"/>
    <w:rsid w:val="00981F5E"/>
    <w:rsid w:val="0098200D"/>
    <w:rsid w:val="0098217D"/>
    <w:rsid w:val="00982247"/>
    <w:rsid w:val="00982530"/>
    <w:rsid w:val="0098259D"/>
    <w:rsid w:val="009826C9"/>
    <w:rsid w:val="00982767"/>
    <w:rsid w:val="00982979"/>
    <w:rsid w:val="009829FC"/>
    <w:rsid w:val="00982B58"/>
    <w:rsid w:val="00982EE3"/>
    <w:rsid w:val="009830C2"/>
    <w:rsid w:val="00983400"/>
    <w:rsid w:val="009836E8"/>
    <w:rsid w:val="00983757"/>
    <w:rsid w:val="009837D3"/>
    <w:rsid w:val="0098387B"/>
    <w:rsid w:val="00983893"/>
    <w:rsid w:val="009838C8"/>
    <w:rsid w:val="00983A86"/>
    <w:rsid w:val="00983B77"/>
    <w:rsid w:val="00983C04"/>
    <w:rsid w:val="00983C7D"/>
    <w:rsid w:val="00983E42"/>
    <w:rsid w:val="00983E55"/>
    <w:rsid w:val="00983F5E"/>
    <w:rsid w:val="0098406F"/>
    <w:rsid w:val="009842F5"/>
    <w:rsid w:val="009843E5"/>
    <w:rsid w:val="009844D2"/>
    <w:rsid w:val="00984516"/>
    <w:rsid w:val="0098453D"/>
    <w:rsid w:val="009846BF"/>
    <w:rsid w:val="009847F1"/>
    <w:rsid w:val="00984975"/>
    <w:rsid w:val="00984C9D"/>
    <w:rsid w:val="00984ED1"/>
    <w:rsid w:val="00984EFC"/>
    <w:rsid w:val="00984F22"/>
    <w:rsid w:val="00985027"/>
    <w:rsid w:val="0098503C"/>
    <w:rsid w:val="009850E8"/>
    <w:rsid w:val="00985286"/>
    <w:rsid w:val="0098536D"/>
    <w:rsid w:val="00985447"/>
    <w:rsid w:val="00985726"/>
    <w:rsid w:val="009857B5"/>
    <w:rsid w:val="0098587E"/>
    <w:rsid w:val="009859B2"/>
    <w:rsid w:val="00985A28"/>
    <w:rsid w:val="00985A48"/>
    <w:rsid w:val="00985AE1"/>
    <w:rsid w:val="00985C1A"/>
    <w:rsid w:val="00985C3D"/>
    <w:rsid w:val="00985E25"/>
    <w:rsid w:val="00985E8A"/>
    <w:rsid w:val="009860D0"/>
    <w:rsid w:val="009860E9"/>
    <w:rsid w:val="009861C4"/>
    <w:rsid w:val="0098622C"/>
    <w:rsid w:val="009864CF"/>
    <w:rsid w:val="0098650B"/>
    <w:rsid w:val="0098686F"/>
    <w:rsid w:val="009868EF"/>
    <w:rsid w:val="00986D2E"/>
    <w:rsid w:val="00986ECC"/>
    <w:rsid w:val="00987028"/>
    <w:rsid w:val="009871CC"/>
    <w:rsid w:val="0098732C"/>
    <w:rsid w:val="00987467"/>
    <w:rsid w:val="009874FC"/>
    <w:rsid w:val="00987657"/>
    <w:rsid w:val="0098769A"/>
    <w:rsid w:val="009876C1"/>
    <w:rsid w:val="009878D4"/>
    <w:rsid w:val="00987A2D"/>
    <w:rsid w:val="00987A89"/>
    <w:rsid w:val="00987B0C"/>
    <w:rsid w:val="00987B0E"/>
    <w:rsid w:val="00987DC2"/>
    <w:rsid w:val="00987E4A"/>
    <w:rsid w:val="00987F15"/>
    <w:rsid w:val="00990127"/>
    <w:rsid w:val="0099018B"/>
    <w:rsid w:val="00990199"/>
    <w:rsid w:val="0099024C"/>
    <w:rsid w:val="00990643"/>
    <w:rsid w:val="00990839"/>
    <w:rsid w:val="00990975"/>
    <w:rsid w:val="00990C0F"/>
    <w:rsid w:val="00990E7E"/>
    <w:rsid w:val="00991002"/>
    <w:rsid w:val="00991463"/>
    <w:rsid w:val="00991484"/>
    <w:rsid w:val="009915D3"/>
    <w:rsid w:val="00991716"/>
    <w:rsid w:val="009917B1"/>
    <w:rsid w:val="00991813"/>
    <w:rsid w:val="0099181C"/>
    <w:rsid w:val="0099198A"/>
    <w:rsid w:val="00991B1C"/>
    <w:rsid w:val="00991BDE"/>
    <w:rsid w:val="00991D07"/>
    <w:rsid w:val="00991D39"/>
    <w:rsid w:val="009920DF"/>
    <w:rsid w:val="0099212D"/>
    <w:rsid w:val="009922AA"/>
    <w:rsid w:val="00992436"/>
    <w:rsid w:val="00992460"/>
    <w:rsid w:val="00992586"/>
    <w:rsid w:val="009926F0"/>
    <w:rsid w:val="009927A8"/>
    <w:rsid w:val="009927EE"/>
    <w:rsid w:val="00992841"/>
    <w:rsid w:val="00992CEF"/>
    <w:rsid w:val="00992D46"/>
    <w:rsid w:val="00992E6E"/>
    <w:rsid w:val="00992E79"/>
    <w:rsid w:val="00992F44"/>
    <w:rsid w:val="00993080"/>
    <w:rsid w:val="00993262"/>
    <w:rsid w:val="009932F2"/>
    <w:rsid w:val="0099354B"/>
    <w:rsid w:val="0099363D"/>
    <w:rsid w:val="0099369F"/>
    <w:rsid w:val="00993917"/>
    <w:rsid w:val="009939E3"/>
    <w:rsid w:val="00993A54"/>
    <w:rsid w:val="00993B03"/>
    <w:rsid w:val="00993B89"/>
    <w:rsid w:val="00993C0A"/>
    <w:rsid w:val="00993C18"/>
    <w:rsid w:val="00993C3D"/>
    <w:rsid w:val="00993C48"/>
    <w:rsid w:val="00993D16"/>
    <w:rsid w:val="00993DF4"/>
    <w:rsid w:val="00993E84"/>
    <w:rsid w:val="00994016"/>
    <w:rsid w:val="009941E0"/>
    <w:rsid w:val="009943AC"/>
    <w:rsid w:val="0099448B"/>
    <w:rsid w:val="0099458E"/>
    <w:rsid w:val="0099461F"/>
    <w:rsid w:val="00994A3C"/>
    <w:rsid w:val="00994AE5"/>
    <w:rsid w:val="00994AED"/>
    <w:rsid w:val="00994CD7"/>
    <w:rsid w:val="00994EA7"/>
    <w:rsid w:val="00994FDF"/>
    <w:rsid w:val="0099505F"/>
    <w:rsid w:val="0099511D"/>
    <w:rsid w:val="00995263"/>
    <w:rsid w:val="00995381"/>
    <w:rsid w:val="009954A6"/>
    <w:rsid w:val="009955D9"/>
    <w:rsid w:val="00995651"/>
    <w:rsid w:val="009956D1"/>
    <w:rsid w:val="00995853"/>
    <w:rsid w:val="0099587E"/>
    <w:rsid w:val="009958C0"/>
    <w:rsid w:val="009959D4"/>
    <w:rsid w:val="00995A65"/>
    <w:rsid w:val="00995AE7"/>
    <w:rsid w:val="00995B7D"/>
    <w:rsid w:val="00995BA2"/>
    <w:rsid w:val="00995BFD"/>
    <w:rsid w:val="00995C4B"/>
    <w:rsid w:val="00995C92"/>
    <w:rsid w:val="00995D44"/>
    <w:rsid w:val="00995DE6"/>
    <w:rsid w:val="00995E53"/>
    <w:rsid w:val="00995F8F"/>
    <w:rsid w:val="00995FF6"/>
    <w:rsid w:val="00996070"/>
    <w:rsid w:val="00996073"/>
    <w:rsid w:val="00996264"/>
    <w:rsid w:val="009964AF"/>
    <w:rsid w:val="009965E5"/>
    <w:rsid w:val="009967CE"/>
    <w:rsid w:val="009968F3"/>
    <w:rsid w:val="00996929"/>
    <w:rsid w:val="00996979"/>
    <w:rsid w:val="00996981"/>
    <w:rsid w:val="009969AF"/>
    <w:rsid w:val="00996A07"/>
    <w:rsid w:val="00996A0C"/>
    <w:rsid w:val="00996B9F"/>
    <w:rsid w:val="00996D8D"/>
    <w:rsid w:val="00996E2B"/>
    <w:rsid w:val="00996FB0"/>
    <w:rsid w:val="0099708C"/>
    <w:rsid w:val="0099711D"/>
    <w:rsid w:val="009973DD"/>
    <w:rsid w:val="0099768A"/>
    <w:rsid w:val="0099791D"/>
    <w:rsid w:val="009979BB"/>
    <w:rsid w:val="009979D0"/>
    <w:rsid w:val="00997A22"/>
    <w:rsid w:val="00997A42"/>
    <w:rsid w:val="00997B47"/>
    <w:rsid w:val="00997CA5"/>
    <w:rsid w:val="00997DBA"/>
    <w:rsid w:val="009A0049"/>
    <w:rsid w:val="009A00EB"/>
    <w:rsid w:val="009A017A"/>
    <w:rsid w:val="009A01D6"/>
    <w:rsid w:val="009A026D"/>
    <w:rsid w:val="009A02A2"/>
    <w:rsid w:val="009A0354"/>
    <w:rsid w:val="009A038F"/>
    <w:rsid w:val="009A042F"/>
    <w:rsid w:val="009A062C"/>
    <w:rsid w:val="009A065D"/>
    <w:rsid w:val="009A0712"/>
    <w:rsid w:val="009A0771"/>
    <w:rsid w:val="009A0869"/>
    <w:rsid w:val="009A091E"/>
    <w:rsid w:val="009A0968"/>
    <w:rsid w:val="009A097A"/>
    <w:rsid w:val="009A0B4A"/>
    <w:rsid w:val="009A0B5F"/>
    <w:rsid w:val="009A0D49"/>
    <w:rsid w:val="009A0EE6"/>
    <w:rsid w:val="009A14E4"/>
    <w:rsid w:val="009A151B"/>
    <w:rsid w:val="009A1536"/>
    <w:rsid w:val="009A1548"/>
    <w:rsid w:val="009A15B2"/>
    <w:rsid w:val="009A166F"/>
    <w:rsid w:val="009A1703"/>
    <w:rsid w:val="009A1B85"/>
    <w:rsid w:val="009A1BCA"/>
    <w:rsid w:val="009A1C2F"/>
    <w:rsid w:val="009A1CBB"/>
    <w:rsid w:val="009A1E2A"/>
    <w:rsid w:val="009A1EC8"/>
    <w:rsid w:val="009A201F"/>
    <w:rsid w:val="009A20DB"/>
    <w:rsid w:val="009A2200"/>
    <w:rsid w:val="009A2203"/>
    <w:rsid w:val="009A226A"/>
    <w:rsid w:val="009A2400"/>
    <w:rsid w:val="009A286A"/>
    <w:rsid w:val="009A293D"/>
    <w:rsid w:val="009A2991"/>
    <w:rsid w:val="009A2A7A"/>
    <w:rsid w:val="009A2A85"/>
    <w:rsid w:val="009A2B20"/>
    <w:rsid w:val="009A2B65"/>
    <w:rsid w:val="009A2DD1"/>
    <w:rsid w:val="009A2E08"/>
    <w:rsid w:val="009A3064"/>
    <w:rsid w:val="009A30A7"/>
    <w:rsid w:val="009A318E"/>
    <w:rsid w:val="009A32FB"/>
    <w:rsid w:val="009A33F5"/>
    <w:rsid w:val="009A347C"/>
    <w:rsid w:val="009A35C0"/>
    <w:rsid w:val="009A368E"/>
    <w:rsid w:val="009A38B7"/>
    <w:rsid w:val="009A3B35"/>
    <w:rsid w:val="009A3B5C"/>
    <w:rsid w:val="009A3CBE"/>
    <w:rsid w:val="009A3CD7"/>
    <w:rsid w:val="009A3D64"/>
    <w:rsid w:val="009A3E09"/>
    <w:rsid w:val="009A3EC8"/>
    <w:rsid w:val="009A412C"/>
    <w:rsid w:val="009A41B9"/>
    <w:rsid w:val="009A41BE"/>
    <w:rsid w:val="009A4208"/>
    <w:rsid w:val="009A421D"/>
    <w:rsid w:val="009A4323"/>
    <w:rsid w:val="009A46B6"/>
    <w:rsid w:val="009A46DD"/>
    <w:rsid w:val="009A4964"/>
    <w:rsid w:val="009A4E9F"/>
    <w:rsid w:val="009A4F80"/>
    <w:rsid w:val="009A4FF6"/>
    <w:rsid w:val="009A500B"/>
    <w:rsid w:val="009A501C"/>
    <w:rsid w:val="009A5039"/>
    <w:rsid w:val="009A5152"/>
    <w:rsid w:val="009A5326"/>
    <w:rsid w:val="009A55A6"/>
    <w:rsid w:val="009A591F"/>
    <w:rsid w:val="009A5933"/>
    <w:rsid w:val="009A59AE"/>
    <w:rsid w:val="009A59C6"/>
    <w:rsid w:val="009A5B08"/>
    <w:rsid w:val="009A5C5A"/>
    <w:rsid w:val="009A5D32"/>
    <w:rsid w:val="009A5DAE"/>
    <w:rsid w:val="009A5E23"/>
    <w:rsid w:val="009A5EB9"/>
    <w:rsid w:val="009A5F51"/>
    <w:rsid w:val="009A60FA"/>
    <w:rsid w:val="009A624F"/>
    <w:rsid w:val="009A630B"/>
    <w:rsid w:val="009A662B"/>
    <w:rsid w:val="009A66E0"/>
    <w:rsid w:val="009A6753"/>
    <w:rsid w:val="009A678A"/>
    <w:rsid w:val="009A6835"/>
    <w:rsid w:val="009A684B"/>
    <w:rsid w:val="009A68E3"/>
    <w:rsid w:val="009A68E5"/>
    <w:rsid w:val="009A6949"/>
    <w:rsid w:val="009A6992"/>
    <w:rsid w:val="009A6A5C"/>
    <w:rsid w:val="009A6AE1"/>
    <w:rsid w:val="009A6C13"/>
    <w:rsid w:val="009A6C99"/>
    <w:rsid w:val="009A6DAC"/>
    <w:rsid w:val="009A6E03"/>
    <w:rsid w:val="009A6F54"/>
    <w:rsid w:val="009A70B1"/>
    <w:rsid w:val="009A7230"/>
    <w:rsid w:val="009A7478"/>
    <w:rsid w:val="009A757B"/>
    <w:rsid w:val="009A768C"/>
    <w:rsid w:val="009A78C7"/>
    <w:rsid w:val="009A7916"/>
    <w:rsid w:val="009A796A"/>
    <w:rsid w:val="009A7BB3"/>
    <w:rsid w:val="009A7C1F"/>
    <w:rsid w:val="009A7C3F"/>
    <w:rsid w:val="009A7C62"/>
    <w:rsid w:val="009A7D62"/>
    <w:rsid w:val="009A7DF0"/>
    <w:rsid w:val="009A7E29"/>
    <w:rsid w:val="009A7E3B"/>
    <w:rsid w:val="009A7F3B"/>
    <w:rsid w:val="009A7FEA"/>
    <w:rsid w:val="009B00C3"/>
    <w:rsid w:val="009B012B"/>
    <w:rsid w:val="009B0136"/>
    <w:rsid w:val="009B0169"/>
    <w:rsid w:val="009B01F2"/>
    <w:rsid w:val="009B0344"/>
    <w:rsid w:val="009B071A"/>
    <w:rsid w:val="009B0E05"/>
    <w:rsid w:val="009B0EA2"/>
    <w:rsid w:val="009B0EF3"/>
    <w:rsid w:val="009B0F37"/>
    <w:rsid w:val="009B0F5B"/>
    <w:rsid w:val="009B1192"/>
    <w:rsid w:val="009B11A6"/>
    <w:rsid w:val="009B11D2"/>
    <w:rsid w:val="009B12A6"/>
    <w:rsid w:val="009B145A"/>
    <w:rsid w:val="009B1484"/>
    <w:rsid w:val="009B156B"/>
    <w:rsid w:val="009B1753"/>
    <w:rsid w:val="009B17A6"/>
    <w:rsid w:val="009B1806"/>
    <w:rsid w:val="009B181F"/>
    <w:rsid w:val="009B1839"/>
    <w:rsid w:val="009B1973"/>
    <w:rsid w:val="009B1A57"/>
    <w:rsid w:val="009B1F1F"/>
    <w:rsid w:val="009B1FD1"/>
    <w:rsid w:val="009B2011"/>
    <w:rsid w:val="009B206B"/>
    <w:rsid w:val="009B20AE"/>
    <w:rsid w:val="009B20BC"/>
    <w:rsid w:val="009B2156"/>
    <w:rsid w:val="009B2588"/>
    <w:rsid w:val="009B258D"/>
    <w:rsid w:val="009B2730"/>
    <w:rsid w:val="009B2A40"/>
    <w:rsid w:val="009B2B72"/>
    <w:rsid w:val="009B2F5D"/>
    <w:rsid w:val="009B325F"/>
    <w:rsid w:val="009B3317"/>
    <w:rsid w:val="009B339A"/>
    <w:rsid w:val="009B357C"/>
    <w:rsid w:val="009B35E2"/>
    <w:rsid w:val="009B3603"/>
    <w:rsid w:val="009B3654"/>
    <w:rsid w:val="009B3671"/>
    <w:rsid w:val="009B36F5"/>
    <w:rsid w:val="009B38EF"/>
    <w:rsid w:val="009B39AA"/>
    <w:rsid w:val="009B3B2C"/>
    <w:rsid w:val="009B3BD1"/>
    <w:rsid w:val="009B3CE6"/>
    <w:rsid w:val="009B3E1D"/>
    <w:rsid w:val="009B421E"/>
    <w:rsid w:val="009B42CB"/>
    <w:rsid w:val="009B4454"/>
    <w:rsid w:val="009B44E7"/>
    <w:rsid w:val="009B47D6"/>
    <w:rsid w:val="009B47DD"/>
    <w:rsid w:val="009B4B8D"/>
    <w:rsid w:val="009B4BEA"/>
    <w:rsid w:val="009B4BF7"/>
    <w:rsid w:val="009B4F3C"/>
    <w:rsid w:val="009B4F5A"/>
    <w:rsid w:val="009B509E"/>
    <w:rsid w:val="009B50EF"/>
    <w:rsid w:val="009B51A2"/>
    <w:rsid w:val="009B51ED"/>
    <w:rsid w:val="009B53A6"/>
    <w:rsid w:val="009B5546"/>
    <w:rsid w:val="009B5628"/>
    <w:rsid w:val="009B569C"/>
    <w:rsid w:val="009B5941"/>
    <w:rsid w:val="009B5A3E"/>
    <w:rsid w:val="009B5A45"/>
    <w:rsid w:val="009B5AAB"/>
    <w:rsid w:val="009B5B11"/>
    <w:rsid w:val="009B5C3E"/>
    <w:rsid w:val="009B5C67"/>
    <w:rsid w:val="009B5DFA"/>
    <w:rsid w:val="009B5E89"/>
    <w:rsid w:val="009B5F55"/>
    <w:rsid w:val="009B5FD3"/>
    <w:rsid w:val="009B6152"/>
    <w:rsid w:val="009B6326"/>
    <w:rsid w:val="009B636F"/>
    <w:rsid w:val="009B6512"/>
    <w:rsid w:val="009B6533"/>
    <w:rsid w:val="009B6622"/>
    <w:rsid w:val="009B6649"/>
    <w:rsid w:val="009B668A"/>
    <w:rsid w:val="009B6812"/>
    <w:rsid w:val="009B687A"/>
    <w:rsid w:val="009B68E6"/>
    <w:rsid w:val="009B690A"/>
    <w:rsid w:val="009B69C6"/>
    <w:rsid w:val="009B6A51"/>
    <w:rsid w:val="009B6AFC"/>
    <w:rsid w:val="009B6B1E"/>
    <w:rsid w:val="009B6B97"/>
    <w:rsid w:val="009B6C16"/>
    <w:rsid w:val="009B6DA9"/>
    <w:rsid w:val="009B6E46"/>
    <w:rsid w:val="009B6FAC"/>
    <w:rsid w:val="009B7040"/>
    <w:rsid w:val="009B7122"/>
    <w:rsid w:val="009B7193"/>
    <w:rsid w:val="009B725B"/>
    <w:rsid w:val="009B7289"/>
    <w:rsid w:val="009B7507"/>
    <w:rsid w:val="009B7702"/>
    <w:rsid w:val="009B7890"/>
    <w:rsid w:val="009B78C9"/>
    <w:rsid w:val="009B78D4"/>
    <w:rsid w:val="009B7BBB"/>
    <w:rsid w:val="009B7C12"/>
    <w:rsid w:val="009B7E62"/>
    <w:rsid w:val="009C03A8"/>
    <w:rsid w:val="009C03C6"/>
    <w:rsid w:val="009C0441"/>
    <w:rsid w:val="009C04A6"/>
    <w:rsid w:val="009C0526"/>
    <w:rsid w:val="009C064A"/>
    <w:rsid w:val="009C0666"/>
    <w:rsid w:val="009C06DC"/>
    <w:rsid w:val="009C076B"/>
    <w:rsid w:val="009C084A"/>
    <w:rsid w:val="009C08C6"/>
    <w:rsid w:val="009C0959"/>
    <w:rsid w:val="009C095F"/>
    <w:rsid w:val="009C099F"/>
    <w:rsid w:val="009C0A1C"/>
    <w:rsid w:val="009C0AB4"/>
    <w:rsid w:val="009C0B25"/>
    <w:rsid w:val="009C0B36"/>
    <w:rsid w:val="009C0C8D"/>
    <w:rsid w:val="009C0D71"/>
    <w:rsid w:val="009C0DC0"/>
    <w:rsid w:val="009C0EAF"/>
    <w:rsid w:val="009C0F1F"/>
    <w:rsid w:val="009C0F44"/>
    <w:rsid w:val="009C0F4D"/>
    <w:rsid w:val="009C1035"/>
    <w:rsid w:val="009C110F"/>
    <w:rsid w:val="009C12E1"/>
    <w:rsid w:val="009C1319"/>
    <w:rsid w:val="009C1460"/>
    <w:rsid w:val="009C175F"/>
    <w:rsid w:val="009C17F6"/>
    <w:rsid w:val="009C19E6"/>
    <w:rsid w:val="009C1A1E"/>
    <w:rsid w:val="009C1A36"/>
    <w:rsid w:val="009C1CC9"/>
    <w:rsid w:val="009C1D9D"/>
    <w:rsid w:val="009C1F3B"/>
    <w:rsid w:val="009C20BB"/>
    <w:rsid w:val="009C22AC"/>
    <w:rsid w:val="009C243B"/>
    <w:rsid w:val="009C24FA"/>
    <w:rsid w:val="009C25B8"/>
    <w:rsid w:val="009C2600"/>
    <w:rsid w:val="009C2619"/>
    <w:rsid w:val="009C26DF"/>
    <w:rsid w:val="009C2888"/>
    <w:rsid w:val="009C2B60"/>
    <w:rsid w:val="009C2C13"/>
    <w:rsid w:val="009C2C9D"/>
    <w:rsid w:val="009C2D53"/>
    <w:rsid w:val="009C2DE1"/>
    <w:rsid w:val="009C2DF1"/>
    <w:rsid w:val="009C2F7F"/>
    <w:rsid w:val="009C318F"/>
    <w:rsid w:val="009C362E"/>
    <w:rsid w:val="009C36C0"/>
    <w:rsid w:val="009C37E2"/>
    <w:rsid w:val="009C3A11"/>
    <w:rsid w:val="009C3AB1"/>
    <w:rsid w:val="009C3B1B"/>
    <w:rsid w:val="009C3B9F"/>
    <w:rsid w:val="009C3CD6"/>
    <w:rsid w:val="009C3D5E"/>
    <w:rsid w:val="009C3E01"/>
    <w:rsid w:val="009C3F1C"/>
    <w:rsid w:val="009C41CF"/>
    <w:rsid w:val="009C42C9"/>
    <w:rsid w:val="009C434C"/>
    <w:rsid w:val="009C43ED"/>
    <w:rsid w:val="009C44A5"/>
    <w:rsid w:val="009C468D"/>
    <w:rsid w:val="009C48CA"/>
    <w:rsid w:val="009C49A2"/>
    <w:rsid w:val="009C49FC"/>
    <w:rsid w:val="009C4B56"/>
    <w:rsid w:val="009C4CAF"/>
    <w:rsid w:val="009C4E72"/>
    <w:rsid w:val="009C5043"/>
    <w:rsid w:val="009C51E5"/>
    <w:rsid w:val="009C5455"/>
    <w:rsid w:val="009C5464"/>
    <w:rsid w:val="009C5483"/>
    <w:rsid w:val="009C5496"/>
    <w:rsid w:val="009C5551"/>
    <w:rsid w:val="009C563F"/>
    <w:rsid w:val="009C567B"/>
    <w:rsid w:val="009C5968"/>
    <w:rsid w:val="009C5BED"/>
    <w:rsid w:val="009C5DAD"/>
    <w:rsid w:val="009C5E10"/>
    <w:rsid w:val="009C5E62"/>
    <w:rsid w:val="009C5F2F"/>
    <w:rsid w:val="009C605A"/>
    <w:rsid w:val="009C628A"/>
    <w:rsid w:val="009C6328"/>
    <w:rsid w:val="009C6505"/>
    <w:rsid w:val="009C6819"/>
    <w:rsid w:val="009C6A71"/>
    <w:rsid w:val="009C6AB2"/>
    <w:rsid w:val="009C6B30"/>
    <w:rsid w:val="009C6C3B"/>
    <w:rsid w:val="009C6D2A"/>
    <w:rsid w:val="009C6DB6"/>
    <w:rsid w:val="009C6DF1"/>
    <w:rsid w:val="009C6F62"/>
    <w:rsid w:val="009C70EE"/>
    <w:rsid w:val="009C73F2"/>
    <w:rsid w:val="009C76FF"/>
    <w:rsid w:val="009C7703"/>
    <w:rsid w:val="009C7715"/>
    <w:rsid w:val="009C77AB"/>
    <w:rsid w:val="009C7B95"/>
    <w:rsid w:val="009C7BFC"/>
    <w:rsid w:val="009C7C7C"/>
    <w:rsid w:val="009C7CF4"/>
    <w:rsid w:val="009C7E63"/>
    <w:rsid w:val="009C7E88"/>
    <w:rsid w:val="009C7EA2"/>
    <w:rsid w:val="009C7EF7"/>
    <w:rsid w:val="009D0021"/>
    <w:rsid w:val="009D00F6"/>
    <w:rsid w:val="009D0301"/>
    <w:rsid w:val="009D073F"/>
    <w:rsid w:val="009D09F1"/>
    <w:rsid w:val="009D0A1C"/>
    <w:rsid w:val="009D0BDF"/>
    <w:rsid w:val="009D0C0A"/>
    <w:rsid w:val="009D0F33"/>
    <w:rsid w:val="009D0F4C"/>
    <w:rsid w:val="009D1005"/>
    <w:rsid w:val="009D100A"/>
    <w:rsid w:val="009D1099"/>
    <w:rsid w:val="009D12C0"/>
    <w:rsid w:val="009D137A"/>
    <w:rsid w:val="009D159B"/>
    <w:rsid w:val="009D176C"/>
    <w:rsid w:val="009D179B"/>
    <w:rsid w:val="009D186D"/>
    <w:rsid w:val="009D18AE"/>
    <w:rsid w:val="009D1992"/>
    <w:rsid w:val="009D1CD7"/>
    <w:rsid w:val="009D1F1C"/>
    <w:rsid w:val="009D1F51"/>
    <w:rsid w:val="009D1F71"/>
    <w:rsid w:val="009D1FF1"/>
    <w:rsid w:val="009D202C"/>
    <w:rsid w:val="009D20D5"/>
    <w:rsid w:val="009D222F"/>
    <w:rsid w:val="009D2476"/>
    <w:rsid w:val="009D257A"/>
    <w:rsid w:val="009D25DC"/>
    <w:rsid w:val="009D262C"/>
    <w:rsid w:val="009D268E"/>
    <w:rsid w:val="009D268F"/>
    <w:rsid w:val="009D26A1"/>
    <w:rsid w:val="009D2775"/>
    <w:rsid w:val="009D2992"/>
    <w:rsid w:val="009D2A83"/>
    <w:rsid w:val="009D2A95"/>
    <w:rsid w:val="009D2CC4"/>
    <w:rsid w:val="009D2DA2"/>
    <w:rsid w:val="009D2EF4"/>
    <w:rsid w:val="009D3002"/>
    <w:rsid w:val="009D3159"/>
    <w:rsid w:val="009D34B9"/>
    <w:rsid w:val="009D35EA"/>
    <w:rsid w:val="009D3AAB"/>
    <w:rsid w:val="009D3AEA"/>
    <w:rsid w:val="009D3CD1"/>
    <w:rsid w:val="009D3CF3"/>
    <w:rsid w:val="009D3D5E"/>
    <w:rsid w:val="009D415D"/>
    <w:rsid w:val="009D41B5"/>
    <w:rsid w:val="009D41BE"/>
    <w:rsid w:val="009D43E8"/>
    <w:rsid w:val="009D4742"/>
    <w:rsid w:val="009D48FF"/>
    <w:rsid w:val="009D4ABB"/>
    <w:rsid w:val="009D4B58"/>
    <w:rsid w:val="009D4C32"/>
    <w:rsid w:val="009D4CAC"/>
    <w:rsid w:val="009D4D49"/>
    <w:rsid w:val="009D5173"/>
    <w:rsid w:val="009D5331"/>
    <w:rsid w:val="009D540F"/>
    <w:rsid w:val="009D5833"/>
    <w:rsid w:val="009D5863"/>
    <w:rsid w:val="009D5A8B"/>
    <w:rsid w:val="009D5E3D"/>
    <w:rsid w:val="009D5F6B"/>
    <w:rsid w:val="009D6111"/>
    <w:rsid w:val="009D6231"/>
    <w:rsid w:val="009D6238"/>
    <w:rsid w:val="009D62A1"/>
    <w:rsid w:val="009D63CB"/>
    <w:rsid w:val="009D63F6"/>
    <w:rsid w:val="009D64B8"/>
    <w:rsid w:val="009D6560"/>
    <w:rsid w:val="009D67D9"/>
    <w:rsid w:val="009D687B"/>
    <w:rsid w:val="009D68E7"/>
    <w:rsid w:val="009D6B6A"/>
    <w:rsid w:val="009D6C16"/>
    <w:rsid w:val="009D6D15"/>
    <w:rsid w:val="009D6DAC"/>
    <w:rsid w:val="009D6EB2"/>
    <w:rsid w:val="009D6F5F"/>
    <w:rsid w:val="009D6F61"/>
    <w:rsid w:val="009D70B4"/>
    <w:rsid w:val="009D70B9"/>
    <w:rsid w:val="009D7285"/>
    <w:rsid w:val="009D729D"/>
    <w:rsid w:val="009D7324"/>
    <w:rsid w:val="009D7400"/>
    <w:rsid w:val="009D763B"/>
    <w:rsid w:val="009D763F"/>
    <w:rsid w:val="009D77FF"/>
    <w:rsid w:val="009D79A3"/>
    <w:rsid w:val="009D79CC"/>
    <w:rsid w:val="009D7B95"/>
    <w:rsid w:val="009D7CE5"/>
    <w:rsid w:val="009D7DC4"/>
    <w:rsid w:val="009D7E1A"/>
    <w:rsid w:val="009E011C"/>
    <w:rsid w:val="009E0223"/>
    <w:rsid w:val="009E0256"/>
    <w:rsid w:val="009E02A0"/>
    <w:rsid w:val="009E050B"/>
    <w:rsid w:val="009E0511"/>
    <w:rsid w:val="009E0755"/>
    <w:rsid w:val="009E0797"/>
    <w:rsid w:val="009E0A01"/>
    <w:rsid w:val="009E0A4E"/>
    <w:rsid w:val="009E0AFA"/>
    <w:rsid w:val="009E0BC9"/>
    <w:rsid w:val="009E0F7C"/>
    <w:rsid w:val="009E106D"/>
    <w:rsid w:val="009E11AC"/>
    <w:rsid w:val="009E12E8"/>
    <w:rsid w:val="009E1303"/>
    <w:rsid w:val="009E14CA"/>
    <w:rsid w:val="009E1666"/>
    <w:rsid w:val="009E172A"/>
    <w:rsid w:val="009E17D6"/>
    <w:rsid w:val="009E18D0"/>
    <w:rsid w:val="009E19C7"/>
    <w:rsid w:val="009E1AE0"/>
    <w:rsid w:val="009E1B90"/>
    <w:rsid w:val="009E1ED5"/>
    <w:rsid w:val="009E1ED8"/>
    <w:rsid w:val="009E1EDD"/>
    <w:rsid w:val="009E1F0D"/>
    <w:rsid w:val="009E201E"/>
    <w:rsid w:val="009E20DA"/>
    <w:rsid w:val="009E2142"/>
    <w:rsid w:val="009E218E"/>
    <w:rsid w:val="009E21D2"/>
    <w:rsid w:val="009E22D7"/>
    <w:rsid w:val="009E22D9"/>
    <w:rsid w:val="009E22E6"/>
    <w:rsid w:val="009E22F1"/>
    <w:rsid w:val="009E2708"/>
    <w:rsid w:val="009E2A8C"/>
    <w:rsid w:val="009E2BBD"/>
    <w:rsid w:val="009E2C69"/>
    <w:rsid w:val="009E2DAB"/>
    <w:rsid w:val="009E2FD9"/>
    <w:rsid w:val="009E34C0"/>
    <w:rsid w:val="009E35A6"/>
    <w:rsid w:val="009E3906"/>
    <w:rsid w:val="009E3915"/>
    <w:rsid w:val="009E3A17"/>
    <w:rsid w:val="009E3AEA"/>
    <w:rsid w:val="009E3FAB"/>
    <w:rsid w:val="009E4030"/>
    <w:rsid w:val="009E416E"/>
    <w:rsid w:val="009E422C"/>
    <w:rsid w:val="009E4269"/>
    <w:rsid w:val="009E43A2"/>
    <w:rsid w:val="009E4416"/>
    <w:rsid w:val="009E4423"/>
    <w:rsid w:val="009E44A5"/>
    <w:rsid w:val="009E463A"/>
    <w:rsid w:val="009E47D6"/>
    <w:rsid w:val="009E49C2"/>
    <w:rsid w:val="009E4B70"/>
    <w:rsid w:val="009E4C03"/>
    <w:rsid w:val="009E4C08"/>
    <w:rsid w:val="009E4CFB"/>
    <w:rsid w:val="009E4DD2"/>
    <w:rsid w:val="009E51D8"/>
    <w:rsid w:val="009E51E2"/>
    <w:rsid w:val="009E5396"/>
    <w:rsid w:val="009E5423"/>
    <w:rsid w:val="009E5594"/>
    <w:rsid w:val="009E5804"/>
    <w:rsid w:val="009E581D"/>
    <w:rsid w:val="009E584D"/>
    <w:rsid w:val="009E5AFE"/>
    <w:rsid w:val="009E5C8F"/>
    <w:rsid w:val="009E5D5C"/>
    <w:rsid w:val="009E5E9E"/>
    <w:rsid w:val="009E5EA9"/>
    <w:rsid w:val="009E5F6B"/>
    <w:rsid w:val="009E60A0"/>
    <w:rsid w:val="009E6179"/>
    <w:rsid w:val="009E623A"/>
    <w:rsid w:val="009E624C"/>
    <w:rsid w:val="009E626A"/>
    <w:rsid w:val="009E62F7"/>
    <w:rsid w:val="009E6318"/>
    <w:rsid w:val="009E63DB"/>
    <w:rsid w:val="009E64FC"/>
    <w:rsid w:val="009E6560"/>
    <w:rsid w:val="009E6745"/>
    <w:rsid w:val="009E67BC"/>
    <w:rsid w:val="009E6827"/>
    <w:rsid w:val="009E68B0"/>
    <w:rsid w:val="009E6924"/>
    <w:rsid w:val="009E6941"/>
    <w:rsid w:val="009E6DD4"/>
    <w:rsid w:val="009E6E4F"/>
    <w:rsid w:val="009E6E73"/>
    <w:rsid w:val="009E6E81"/>
    <w:rsid w:val="009E6F35"/>
    <w:rsid w:val="009E6F74"/>
    <w:rsid w:val="009E7123"/>
    <w:rsid w:val="009E7311"/>
    <w:rsid w:val="009E73EB"/>
    <w:rsid w:val="009E75A0"/>
    <w:rsid w:val="009E7637"/>
    <w:rsid w:val="009E78A1"/>
    <w:rsid w:val="009E7994"/>
    <w:rsid w:val="009E7AD5"/>
    <w:rsid w:val="009E7BAF"/>
    <w:rsid w:val="009E7CD2"/>
    <w:rsid w:val="009E7F22"/>
    <w:rsid w:val="009F03AC"/>
    <w:rsid w:val="009F041C"/>
    <w:rsid w:val="009F05E3"/>
    <w:rsid w:val="009F07E0"/>
    <w:rsid w:val="009F0937"/>
    <w:rsid w:val="009F095B"/>
    <w:rsid w:val="009F096E"/>
    <w:rsid w:val="009F0BB0"/>
    <w:rsid w:val="009F0C48"/>
    <w:rsid w:val="009F0D0D"/>
    <w:rsid w:val="009F0D3D"/>
    <w:rsid w:val="009F0F17"/>
    <w:rsid w:val="009F1020"/>
    <w:rsid w:val="009F1119"/>
    <w:rsid w:val="009F136D"/>
    <w:rsid w:val="009F13B3"/>
    <w:rsid w:val="009F146A"/>
    <w:rsid w:val="009F1833"/>
    <w:rsid w:val="009F1954"/>
    <w:rsid w:val="009F1F71"/>
    <w:rsid w:val="009F1F72"/>
    <w:rsid w:val="009F2123"/>
    <w:rsid w:val="009F2210"/>
    <w:rsid w:val="009F22CA"/>
    <w:rsid w:val="009F247D"/>
    <w:rsid w:val="009F2535"/>
    <w:rsid w:val="009F2655"/>
    <w:rsid w:val="009F2C7D"/>
    <w:rsid w:val="009F2CA1"/>
    <w:rsid w:val="009F2F23"/>
    <w:rsid w:val="009F311D"/>
    <w:rsid w:val="009F3200"/>
    <w:rsid w:val="009F3326"/>
    <w:rsid w:val="009F34E6"/>
    <w:rsid w:val="009F37DA"/>
    <w:rsid w:val="009F3877"/>
    <w:rsid w:val="009F3878"/>
    <w:rsid w:val="009F38B5"/>
    <w:rsid w:val="009F3941"/>
    <w:rsid w:val="009F3A88"/>
    <w:rsid w:val="009F3B18"/>
    <w:rsid w:val="009F3E7B"/>
    <w:rsid w:val="009F407A"/>
    <w:rsid w:val="009F4330"/>
    <w:rsid w:val="009F43DF"/>
    <w:rsid w:val="009F43ED"/>
    <w:rsid w:val="009F4432"/>
    <w:rsid w:val="009F44A1"/>
    <w:rsid w:val="009F44B3"/>
    <w:rsid w:val="009F44F2"/>
    <w:rsid w:val="009F4506"/>
    <w:rsid w:val="009F47B2"/>
    <w:rsid w:val="009F482F"/>
    <w:rsid w:val="009F4F75"/>
    <w:rsid w:val="009F5132"/>
    <w:rsid w:val="009F524F"/>
    <w:rsid w:val="009F5345"/>
    <w:rsid w:val="009F556E"/>
    <w:rsid w:val="009F570C"/>
    <w:rsid w:val="009F5732"/>
    <w:rsid w:val="009F57C0"/>
    <w:rsid w:val="009F591F"/>
    <w:rsid w:val="009F59D3"/>
    <w:rsid w:val="009F5A06"/>
    <w:rsid w:val="009F5D91"/>
    <w:rsid w:val="009F5F25"/>
    <w:rsid w:val="009F60D5"/>
    <w:rsid w:val="009F6133"/>
    <w:rsid w:val="009F6194"/>
    <w:rsid w:val="009F6313"/>
    <w:rsid w:val="009F639F"/>
    <w:rsid w:val="009F64FD"/>
    <w:rsid w:val="009F6548"/>
    <w:rsid w:val="009F65CC"/>
    <w:rsid w:val="009F69D2"/>
    <w:rsid w:val="009F69E5"/>
    <w:rsid w:val="009F6BAB"/>
    <w:rsid w:val="009F6C27"/>
    <w:rsid w:val="009F6C47"/>
    <w:rsid w:val="009F6D58"/>
    <w:rsid w:val="009F6E43"/>
    <w:rsid w:val="009F6EE9"/>
    <w:rsid w:val="009F6F06"/>
    <w:rsid w:val="009F7046"/>
    <w:rsid w:val="009F70CA"/>
    <w:rsid w:val="009F7138"/>
    <w:rsid w:val="009F73C4"/>
    <w:rsid w:val="009F75DB"/>
    <w:rsid w:val="009F75F5"/>
    <w:rsid w:val="009F767D"/>
    <w:rsid w:val="009F7682"/>
    <w:rsid w:val="009F768A"/>
    <w:rsid w:val="009F76AF"/>
    <w:rsid w:val="009F7781"/>
    <w:rsid w:val="009F78C8"/>
    <w:rsid w:val="009F7A6B"/>
    <w:rsid w:val="009F7A6E"/>
    <w:rsid w:val="009F7AE8"/>
    <w:rsid w:val="009F7D94"/>
    <w:rsid w:val="00A00127"/>
    <w:rsid w:val="00A003CA"/>
    <w:rsid w:val="00A008E4"/>
    <w:rsid w:val="00A0090F"/>
    <w:rsid w:val="00A0091F"/>
    <w:rsid w:val="00A009C4"/>
    <w:rsid w:val="00A00A44"/>
    <w:rsid w:val="00A00AEA"/>
    <w:rsid w:val="00A00C2D"/>
    <w:rsid w:val="00A00C6D"/>
    <w:rsid w:val="00A00CA7"/>
    <w:rsid w:val="00A00D68"/>
    <w:rsid w:val="00A00E11"/>
    <w:rsid w:val="00A00F4F"/>
    <w:rsid w:val="00A0125C"/>
    <w:rsid w:val="00A012CA"/>
    <w:rsid w:val="00A0134D"/>
    <w:rsid w:val="00A01406"/>
    <w:rsid w:val="00A01475"/>
    <w:rsid w:val="00A014BA"/>
    <w:rsid w:val="00A01565"/>
    <w:rsid w:val="00A015DA"/>
    <w:rsid w:val="00A016E8"/>
    <w:rsid w:val="00A0179B"/>
    <w:rsid w:val="00A01946"/>
    <w:rsid w:val="00A01975"/>
    <w:rsid w:val="00A0198A"/>
    <w:rsid w:val="00A01A7C"/>
    <w:rsid w:val="00A01A91"/>
    <w:rsid w:val="00A01C33"/>
    <w:rsid w:val="00A01C9D"/>
    <w:rsid w:val="00A01DB2"/>
    <w:rsid w:val="00A01F9D"/>
    <w:rsid w:val="00A01FD7"/>
    <w:rsid w:val="00A021C1"/>
    <w:rsid w:val="00A0222E"/>
    <w:rsid w:val="00A02466"/>
    <w:rsid w:val="00A0252D"/>
    <w:rsid w:val="00A02538"/>
    <w:rsid w:val="00A0259B"/>
    <w:rsid w:val="00A025ED"/>
    <w:rsid w:val="00A026F8"/>
    <w:rsid w:val="00A02795"/>
    <w:rsid w:val="00A02891"/>
    <w:rsid w:val="00A02982"/>
    <w:rsid w:val="00A029BA"/>
    <w:rsid w:val="00A02CA7"/>
    <w:rsid w:val="00A02CB9"/>
    <w:rsid w:val="00A02CE1"/>
    <w:rsid w:val="00A02D5E"/>
    <w:rsid w:val="00A02F32"/>
    <w:rsid w:val="00A02F39"/>
    <w:rsid w:val="00A02FD1"/>
    <w:rsid w:val="00A031FD"/>
    <w:rsid w:val="00A0347F"/>
    <w:rsid w:val="00A034C7"/>
    <w:rsid w:val="00A03568"/>
    <w:rsid w:val="00A03582"/>
    <w:rsid w:val="00A03950"/>
    <w:rsid w:val="00A039D1"/>
    <w:rsid w:val="00A039E8"/>
    <w:rsid w:val="00A03B40"/>
    <w:rsid w:val="00A03C3F"/>
    <w:rsid w:val="00A03DE4"/>
    <w:rsid w:val="00A03EC1"/>
    <w:rsid w:val="00A03F2D"/>
    <w:rsid w:val="00A03F7C"/>
    <w:rsid w:val="00A03F8F"/>
    <w:rsid w:val="00A03FEF"/>
    <w:rsid w:val="00A040D7"/>
    <w:rsid w:val="00A0457A"/>
    <w:rsid w:val="00A04629"/>
    <w:rsid w:val="00A04645"/>
    <w:rsid w:val="00A04731"/>
    <w:rsid w:val="00A0475E"/>
    <w:rsid w:val="00A047C3"/>
    <w:rsid w:val="00A049C2"/>
    <w:rsid w:val="00A04A90"/>
    <w:rsid w:val="00A04B8B"/>
    <w:rsid w:val="00A04E33"/>
    <w:rsid w:val="00A04FF4"/>
    <w:rsid w:val="00A05072"/>
    <w:rsid w:val="00A053A2"/>
    <w:rsid w:val="00A053C1"/>
    <w:rsid w:val="00A053F1"/>
    <w:rsid w:val="00A056A8"/>
    <w:rsid w:val="00A05720"/>
    <w:rsid w:val="00A057B7"/>
    <w:rsid w:val="00A05959"/>
    <w:rsid w:val="00A05A5B"/>
    <w:rsid w:val="00A05B7A"/>
    <w:rsid w:val="00A05C0B"/>
    <w:rsid w:val="00A05C1B"/>
    <w:rsid w:val="00A05E90"/>
    <w:rsid w:val="00A05FDC"/>
    <w:rsid w:val="00A06109"/>
    <w:rsid w:val="00A06161"/>
    <w:rsid w:val="00A062C9"/>
    <w:rsid w:val="00A06313"/>
    <w:rsid w:val="00A063A5"/>
    <w:rsid w:val="00A064BD"/>
    <w:rsid w:val="00A066D0"/>
    <w:rsid w:val="00A066E7"/>
    <w:rsid w:val="00A068DF"/>
    <w:rsid w:val="00A06A61"/>
    <w:rsid w:val="00A06CB1"/>
    <w:rsid w:val="00A06D34"/>
    <w:rsid w:val="00A06E1F"/>
    <w:rsid w:val="00A06EF5"/>
    <w:rsid w:val="00A06FCD"/>
    <w:rsid w:val="00A070E0"/>
    <w:rsid w:val="00A071FC"/>
    <w:rsid w:val="00A07378"/>
    <w:rsid w:val="00A07424"/>
    <w:rsid w:val="00A07699"/>
    <w:rsid w:val="00A0775E"/>
    <w:rsid w:val="00A07798"/>
    <w:rsid w:val="00A077E1"/>
    <w:rsid w:val="00A07868"/>
    <w:rsid w:val="00A07890"/>
    <w:rsid w:val="00A0796F"/>
    <w:rsid w:val="00A07990"/>
    <w:rsid w:val="00A07BE2"/>
    <w:rsid w:val="00A07CAC"/>
    <w:rsid w:val="00A07FC7"/>
    <w:rsid w:val="00A101F7"/>
    <w:rsid w:val="00A102D1"/>
    <w:rsid w:val="00A10385"/>
    <w:rsid w:val="00A104DF"/>
    <w:rsid w:val="00A1067C"/>
    <w:rsid w:val="00A10799"/>
    <w:rsid w:val="00A107DE"/>
    <w:rsid w:val="00A10851"/>
    <w:rsid w:val="00A1085C"/>
    <w:rsid w:val="00A10874"/>
    <w:rsid w:val="00A1095B"/>
    <w:rsid w:val="00A1096A"/>
    <w:rsid w:val="00A109C9"/>
    <w:rsid w:val="00A10AF4"/>
    <w:rsid w:val="00A10B71"/>
    <w:rsid w:val="00A10B7F"/>
    <w:rsid w:val="00A10C4A"/>
    <w:rsid w:val="00A10D11"/>
    <w:rsid w:val="00A10D4C"/>
    <w:rsid w:val="00A10E86"/>
    <w:rsid w:val="00A10ED0"/>
    <w:rsid w:val="00A10F6F"/>
    <w:rsid w:val="00A10FE6"/>
    <w:rsid w:val="00A110B1"/>
    <w:rsid w:val="00A110E8"/>
    <w:rsid w:val="00A1110F"/>
    <w:rsid w:val="00A112AF"/>
    <w:rsid w:val="00A11558"/>
    <w:rsid w:val="00A115F1"/>
    <w:rsid w:val="00A117C4"/>
    <w:rsid w:val="00A119FF"/>
    <w:rsid w:val="00A11BAD"/>
    <w:rsid w:val="00A11BB7"/>
    <w:rsid w:val="00A11C8D"/>
    <w:rsid w:val="00A11CA3"/>
    <w:rsid w:val="00A11DB6"/>
    <w:rsid w:val="00A11EF5"/>
    <w:rsid w:val="00A11F85"/>
    <w:rsid w:val="00A1210B"/>
    <w:rsid w:val="00A1246A"/>
    <w:rsid w:val="00A124EB"/>
    <w:rsid w:val="00A125CD"/>
    <w:rsid w:val="00A125D2"/>
    <w:rsid w:val="00A125FB"/>
    <w:rsid w:val="00A1267C"/>
    <w:rsid w:val="00A12697"/>
    <w:rsid w:val="00A1277C"/>
    <w:rsid w:val="00A127C1"/>
    <w:rsid w:val="00A12976"/>
    <w:rsid w:val="00A12BA1"/>
    <w:rsid w:val="00A12BAF"/>
    <w:rsid w:val="00A12C42"/>
    <w:rsid w:val="00A12C87"/>
    <w:rsid w:val="00A12CA8"/>
    <w:rsid w:val="00A12D00"/>
    <w:rsid w:val="00A12E92"/>
    <w:rsid w:val="00A12F0F"/>
    <w:rsid w:val="00A12FCD"/>
    <w:rsid w:val="00A1301B"/>
    <w:rsid w:val="00A13099"/>
    <w:rsid w:val="00A1311B"/>
    <w:rsid w:val="00A1316E"/>
    <w:rsid w:val="00A131B8"/>
    <w:rsid w:val="00A132B7"/>
    <w:rsid w:val="00A132DA"/>
    <w:rsid w:val="00A132FA"/>
    <w:rsid w:val="00A1364A"/>
    <w:rsid w:val="00A136B7"/>
    <w:rsid w:val="00A13721"/>
    <w:rsid w:val="00A137D3"/>
    <w:rsid w:val="00A13898"/>
    <w:rsid w:val="00A13B7D"/>
    <w:rsid w:val="00A13DCC"/>
    <w:rsid w:val="00A13DDF"/>
    <w:rsid w:val="00A13E1F"/>
    <w:rsid w:val="00A13F4B"/>
    <w:rsid w:val="00A1413F"/>
    <w:rsid w:val="00A14330"/>
    <w:rsid w:val="00A14390"/>
    <w:rsid w:val="00A1441B"/>
    <w:rsid w:val="00A14797"/>
    <w:rsid w:val="00A14881"/>
    <w:rsid w:val="00A1489C"/>
    <w:rsid w:val="00A14AA9"/>
    <w:rsid w:val="00A14ADB"/>
    <w:rsid w:val="00A14AEF"/>
    <w:rsid w:val="00A14BB6"/>
    <w:rsid w:val="00A14EF9"/>
    <w:rsid w:val="00A14FA5"/>
    <w:rsid w:val="00A14FCA"/>
    <w:rsid w:val="00A1503F"/>
    <w:rsid w:val="00A150BC"/>
    <w:rsid w:val="00A150F4"/>
    <w:rsid w:val="00A1532A"/>
    <w:rsid w:val="00A1534D"/>
    <w:rsid w:val="00A153A0"/>
    <w:rsid w:val="00A1540B"/>
    <w:rsid w:val="00A15498"/>
    <w:rsid w:val="00A1549E"/>
    <w:rsid w:val="00A1559B"/>
    <w:rsid w:val="00A157D2"/>
    <w:rsid w:val="00A1585C"/>
    <w:rsid w:val="00A159C9"/>
    <w:rsid w:val="00A15A1F"/>
    <w:rsid w:val="00A15B04"/>
    <w:rsid w:val="00A15B4D"/>
    <w:rsid w:val="00A15B94"/>
    <w:rsid w:val="00A15DB3"/>
    <w:rsid w:val="00A15DEA"/>
    <w:rsid w:val="00A15E23"/>
    <w:rsid w:val="00A1613E"/>
    <w:rsid w:val="00A1627F"/>
    <w:rsid w:val="00A1630B"/>
    <w:rsid w:val="00A16392"/>
    <w:rsid w:val="00A163E8"/>
    <w:rsid w:val="00A164D6"/>
    <w:rsid w:val="00A164FE"/>
    <w:rsid w:val="00A16884"/>
    <w:rsid w:val="00A1694E"/>
    <w:rsid w:val="00A16A0B"/>
    <w:rsid w:val="00A16A8F"/>
    <w:rsid w:val="00A16BFA"/>
    <w:rsid w:val="00A17022"/>
    <w:rsid w:val="00A170C9"/>
    <w:rsid w:val="00A171CA"/>
    <w:rsid w:val="00A1769F"/>
    <w:rsid w:val="00A176E0"/>
    <w:rsid w:val="00A1773F"/>
    <w:rsid w:val="00A177FF"/>
    <w:rsid w:val="00A17AE6"/>
    <w:rsid w:val="00A17B2D"/>
    <w:rsid w:val="00A17B37"/>
    <w:rsid w:val="00A17B6A"/>
    <w:rsid w:val="00A17BA2"/>
    <w:rsid w:val="00A17CB6"/>
    <w:rsid w:val="00A17D7C"/>
    <w:rsid w:val="00A2004F"/>
    <w:rsid w:val="00A20158"/>
    <w:rsid w:val="00A201F3"/>
    <w:rsid w:val="00A20363"/>
    <w:rsid w:val="00A2042C"/>
    <w:rsid w:val="00A20594"/>
    <w:rsid w:val="00A20596"/>
    <w:rsid w:val="00A205C8"/>
    <w:rsid w:val="00A205D2"/>
    <w:rsid w:val="00A207F8"/>
    <w:rsid w:val="00A20AA7"/>
    <w:rsid w:val="00A20D0D"/>
    <w:rsid w:val="00A20E64"/>
    <w:rsid w:val="00A20F2F"/>
    <w:rsid w:val="00A2105B"/>
    <w:rsid w:val="00A21103"/>
    <w:rsid w:val="00A21122"/>
    <w:rsid w:val="00A21169"/>
    <w:rsid w:val="00A211BE"/>
    <w:rsid w:val="00A21288"/>
    <w:rsid w:val="00A213EC"/>
    <w:rsid w:val="00A2167C"/>
    <w:rsid w:val="00A218A4"/>
    <w:rsid w:val="00A218C8"/>
    <w:rsid w:val="00A21A55"/>
    <w:rsid w:val="00A21EEA"/>
    <w:rsid w:val="00A2207A"/>
    <w:rsid w:val="00A22319"/>
    <w:rsid w:val="00A2232B"/>
    <w:rsid w:val="00A22348"/>
    <w:rsid w:val="00A2243D"/>
    <w:rsid w:val="00A2252E"/>
    <w:rsid w:val="00A2257E"/>
    <w:rsid w:val="00A22597"/>
    <w:rsid w:val="00A225A4"/>
    <w:rsid w:val="00A2289A"/>
    <w:rsid w:val="00A228DD"/>
    <w:rsid w:val="00A22AEA"/>
    <w:rsid w:val="00A22D65"/>
    <w:rsid w:val="00A22DD1"/>
    <w:rsid w:val="00A22EA8"/>
    <w:rsid w:val="00A22F86"/>
    <w:rsid w:val="00A230B0"/>
    <w:rsid w:val="00A230CD"/>
    <w:rsid w:val="00A2319F"/>
    <w:rsid w:val="00A23361"/>
    <w:rsid w:val="00A23363"/>
    <w:rsid w:val="00A2339B"/>
    <w:rsid w:val="00A2344F"/>
    <w:rsid w:val="00A2352F"/>
    <w:rsid w:val="00A23574"/>
    <w:rsid w:val="00A2362B"/>
    <w:rsid w:val="00A236E2"/>
    <w:rsid w:val="00A237C4"/>
    <w:rsid w:val="00A237F8"/>
    <w:rsid w:val="00A23871"/>
    <w:rsid w:val="00A238C2"/>
    <w:rsid w:val="00A23B37"/>
    <w:rsid w:val="00A23BC2"/>
    <w:rsid w:val="00A23BEB"/>
    <w:rsid w:val="00A23C49"/>
    <w:rsid w:val="00A23CF1"/>
    <w:rsid w:val="00A23D67"/>
    <w:rsid w:val="00A23F83"/>
    <w:rsid w:val="00A245A4"/>
    <w:rsid w:val="00A245CA"/>
    <w:rsid w:val="00A2481F"/>
    <w:rsid w:val="00A2497B"/>
    <w:rsid w:val="00A24C13"/>
    <w:rsid w:val="00A24C86"/>
    <w:rsid w:val="00A24DD1"/>
    <w:rsid w:val="00A24E85"/>
    <w:rsid w:val="00A25237"/>
    <w:rsid w:val="00A254CF"/>
    <w:rsid w:val="00A256BE"/>
    <w:rsid w:val="00A258CE"/>
    <w:rsid w:val="00A259BA"/>
    <w:rsid w:val="00A25A10"/>
    <w:rsid w:val="00A25FEE"/>
    <w:rsid w:val="00A26012"/>
    <w:rsid w:val="00A260AF"/>
    <w:rsid w:val="00A26453"/>
    <w:rsid w:val="00A26517"/>
    <w:rsid w:val="00A26554"/>
    <w:rsid w:val="00A2660B"/>
    <w:rsid w:val="00A26626"/>
    <w:rsid w:val="00A26674"/>
    <w:rsid w:val="00A266BB"/>
    <w:rsid w:val="00A26773"/>
    <w:rsid w:val="00A2679F"/>
    <w:rsid w:val="00A26879"/>
    <w:rsid w:val="00A268AE"/>
    <w:rsid w:val="00A268BA"/>
    <w:rsid w:val="00A26D1C"/>
    <w:rsid w:val="00A26E5B"/>
    <w:rsid w:val="00A27048"/>
    <w:rsid w:val="00A270AE"/>
    <w:rsid w:val="00A27128"/>
    <w:rsid w:val="00A27328"/>
    <w:rsid w:val="00A2740F"/>
    <w:rsid w:val="00A275E9"/>
    <w:rsid w:val="00A276A3"/>
    <w:rsid w:val="00A277C5"/>
    <w:rsid w:val="00A278D1"/>
    <w:rsid w:val="00A2794F"/>
    <w:rsid w:val="00A27950"/>
    <w:rsid w:val="00A27A44"/>
    <w:rsid w:val="00A27BBC"/>
    <w:rsid w:val="00A27DA8"/>
    <w:rsid w:val="00A27DC6"/>
    <w:rsid w:val="00A27E3A"/>
    <w:rsid w:val="00A27EED"/>
    <w:rsid w:val="00A3007C"/>
    <w:rsid w:val="00A30194"/>
    <w:rsid w:val="00A301BE"/>
    <w:rsid w:val="00A30289"/>
    <w:rsid w:val="00A30326"/>
    <w:rsid w:val="00A305AE"/>
    <w:rsid w:val="00A3064D"/>
    <w:rsid w:val="00A306B8"/>
    <w:rsid w:val="00A307D4"/>
    <w:rsid w:val="00A30988"/>
    <w:rsid w:val="00A30A60"/>
    <w:rsid w:val="00A30C20"/>
    <w:rsid w:val="00A30DB5"/>
    <w:rsid w:val="00A30EC3"/>
    <w:rsid w:val="00A30F93"/>
    <w:rsid w:val="00A3111F"/>
    <w:rsid w:val="00A311FE"/>
    <w:rsid w:val="00A31366"/>
    <w:rsid w:val="00A313A0"/>
    <w:rsid w:val="00A313E6"/>
    <w:rsid w:val="00A313F0"/>
    <w:rsid w:val="00A3153D"/>
    <w:rsid w:val="00A315B0"/>
    <w:rsid w:val="00A31601"/>
    <w:rsid w:val="00A3180E"/>
    <w:rsid w:val="00A31AA3"/>
    <w:rsid w:val="00A31ABB"/>
    <w:rsid w:val="00A31AF6"/>
    <w:rsid w:val="00A31B31"/>
    <w:rsid w:val="00A31C30"/>
    <w:rsid w:val="00A31CD5"/>
    <w:rsid w:val="00A31CF1"/>
    <w:rsid w:val="00A31D13"/>
    <w:rsid w:val="00A31EA6"/>
    <w:rsid w:val="00A31EED"/>
    <w:rsid w:val="00A31F2C"/>
    <w:rsid w:val="00A3205A"/>
    <w:rsid w:val="00A32151"/>
    <w:rsid w:val="00A3235F"/>
    <w:rsid w:val="00A3243D"/>
    <w:rsid w:val="00A3246F"/>
    <w:rsid w:val="00A32526"/>
    <w:rsid w:val="00A325C1"/>
    <w:rsid w:val="00A32819"/>
    <w:rsid w:val="00A328EC"/>
    <w:rsid w:val="00A3299E"/>
    <w:rsid w:val="00A32A03"/>
    <w:rsid w:val="00A32AD4"/>
    <w:rsid w:val="00A32C25"/>
    <w:rsid w:val="00A32DA8"/>
    <w:rsid w:val="00A32E92"/>
    <w:rsid w:val="00A3313C"/>
    <w:rsid w:val="00A3317A"/>
    <w:rsid w:val="00A3320B"/>
    <w:rsid w:val="00A33289"/>
    <w:rsid w:val="00A332B1"/>
    <w:rsid w:val="00A33380"/>
    <w:rsid w:val="00A33573"/>
    <w:rsid w:val="00A338E5"/>
    <w:rsid w:val="00A339C3"/>
    <w:rsid w:val="00A33A6F"/>
    <w:rsid w:val="00A33B20"/>
    <w:rsid w:val="00A33CD9"/>
    <w:rsid w:val="00A33DC8"/>
    <w:rsid w:val="00A33DDA"/>
    <w:rsid w:val="00A3404D"/>
    <w:rsid w:val="00A34091"/>
    <w:rsid w:val="00A340BB"/>
    <w:rsid w:val="00A343B2"/>
    <w:rsid w:val="00A34445"/>
    <w:rsid w:val="00A3467C"/>
    <w:rsid w:val="00A346EE"/>
    <w:rsid w:val="00A34841"/>
    <w:rsid w:val="00A34A45"/>
    <w:rsid w:val="00A34AAF"/>
    <w:rsid w:val="00A34BC4"/>
    <w:rsid w:val="00A34C46"/>
    <w:rsid w:val="00A34D22"/>
    <w:rsid w:val="00A34E9A"/>
    <w:rsid w:val="00A34F22"/>
    <w:rsid w:val="00A35149"/>
    <w:rsid w:val="00A351A0"/>
    <w:rsid w:val="00A35240"/>
    <w:rsid w:val="00A3528D"/>
    <w:rsid w:val="00A352B7"/>
    <w:rsid w:val="00A352BC"/>
    <w:rsid w:val="00A3530C"/>
    <w:rsid w:val="00A35324"/>
    <w:rsid w:val="00A3534A"/>
    <w:rsid w:val="00A35837"/>
    <w:rsid w:val="00A3593A"/>
    <w:rsid w:val="00A35D12"/>
    <w:rsid w:val="00A35EE5"/>
    <w:rsid w:val="00A35F67"/>
    <w:rsid w:val="00A35F7B"/>
    <w:rsid w:val="00A3609E"/>
    <w:rsid w:val="00A36143"/>
    <w:rsid w:val="00A3626D"/>
    <w:rsid w:val="00A362EB"/>
    <w:rsid w:val="00A363E0"/>
    <w:rsid w:val="00A364BD"/>
    <w:rsid w:val="00A365A0"/>
    <w:rsid w:val="00A3670D"/>
    <w:rsid w:val="00A36759"/>
    <w:rsid w:val="00A36A3D"/>
    <w:rsid w:val="00A36B37"/>
    <w:rsid w:val="00A37098"/>
    <w:rsid w:val="00A371A2"/>
    <w:rsid w:val="00A371C8"/>
    <w:rsid w:val="00A3729E"/>
    <w:rsid w:val="00A37542"/>
    <w:rsid w:val="00A37616"/>
    <w:rsid w:val="00A37625"/>
    <w:rsid w:val="00A37660"/>
    <w:rsid w:val="00A376F0"/>
    <w:rsid w:val="00A3770A"/>
    <w:rsid w:val="00A37736"/>
    <w:rsid w:val="00A3777E"/>
    <w:rsid w:val="00A37794"/>
    <w:rsid w:val="00A37849"/>
    <w:rsid w:val="00A378DF"/>
    <w:rsid w:val="00A37910"/>
    <w:rsid w:val="00A37985"/>
    <w:rsid w:val="00A37ACD"/>
    <w:rsid w:val="00A37B42"/>
    <w:rsid w:val="00A37BBE"/>
    <w:rsid w:val="00A37DB1"/>
    <w:rsid w:val="00A37DB6"/>
    <w:rsid w:val="00A37DC9"/>
    <w:rsid w:val="00A37E83"/>
    <w:rsid w:val="00A4002A"/>
    <w:rsid w:val="00A40102"/>
    <w:rsid w:val="00A401DF"/>
    <w:rsid w:val="00A4023F"/>
    <w:rsid w:val="00A402C3"/>
    <w:rsid w:val="00A402C9"/>
    <w:rsid w:val="00A403DF"/>
    <w:rsid w:val="00A403EF"/>
    <w:rsid w:val="00A40638"/>
    <w:rsid w:val="00A4077A"/>
    <w:rsid w:val="00A40920"/>
    <w:rsid w:val="00A40949"/>
    <w:rsid w:val="00A40D15"/>
    <w:rsid w:val="00A40E0C"/>
    <w:rsid w:val="00A40F15"/>
    <w:rsid w:val="00A40F34"/>
    <w:rsid w:val="00A4107F"/>
    <w:rsid w:val="00A410A0"/>
    <w:rsid w:val="00A4114E"/>
    <w:rsid w:val="00A41164"/>
    <w:rsid w:val="00A4129C"/>
    <w:rsid w:val="00A412A9"/>
    <w:rsid w:val="00A41510"/>
    <w:rsid w:val="00A4151B"/>
    <w:rsid w:val="00A415E9"/>
    <w:rsid w:val="00A415FC"/>
    <w:rsid w:val="00A41688"/>
    <w:rsid w:val="00A417FE"/>
    <w:rsid w:val="00A41952"/>
    <w:rsid w:val="00A4198F"/>
    <w:rsid w:val="00A41997"/>
    <w:rsid w:val="00A419BF"/>
    <w:rsid w:val="00A41BF2"/>
    <w:rsid w:val="00A41C55"/>
    <w:rsid w:val="00A41DEF"/>
    <w:rsid w:val="00A41E55"/>
    <w:rsid w:val="00A4204E"/>
    <w:rsid w:val="00A42062"/>
    <w:rsid w:val="00A42074"/>
    <w:rsid w:val="00A420E1"/>
    <w:rsid w:val="00A420F3"/>
    <w:rsid w:val="00A4229B"/>
    <w:rsid w:val="00A422E2"/>
    <w:rsid w:val="00A4237C"/>
    <w:rsid w:val="00A423A6"/>
    <w:rsid w:val="00A4258A"/>
    <w:rsid w:val="00A42656"/>
    <w:rsid w:val="00A426CC"/>
    <w:rsid w:val="00A429D1"/>
    <w:rsid w:val="00A42B62"/>
    <w:rsid w:val="00A42BF9"/>
    <w:rsid w:val="00A42D00"/>
    <w:rsid w:val="00A42D17"/>
    <w:rsid w:val="00A42D91"/>
    <w:rsid w:val="00A42DC5"/>
    <w:rsid w:val="00A42E22"/>
    <w:rsid w:val="00A42F0C"/>
    <w:rsid w:val="00A42F5B"/>
    <w:rsid w:val="00A4311E"/>
    <w:rsid w:val="00A43181"/>
    <w:rsid w:val="00A4379E"/>
    <w:rsid w:val="00A437BB"/>
    <w:rsid w:val="00A43856"/>
    <w:rsid w:val="00A4399F"/>
    <w:rsid w:val="00A439D9"/>
    <w:rsid w:val="00A43B1B"/>
    <w:rsid w:val="00A43C26"/>
    <w:rsid w:val="00A43CAB"/>
    <w:rsid w:val="00A43EFE"/>
    <w:rsid w:val="00A44066"/>
    <w:rsid w:val="00A441B3"/>
    <w:rsid w:val="00A44360"/>
    <w:rsid w:val="00A44530"/>
    <w:rsid w:val="00A44862"/>
    <w:rsid w:val="00A44AB6"/>
    <w:rsid w:val="00A44BEE"/>
    <w:rsid w:val="00A44CD2"/>
    <w:rsid w:val="00A44DA6"/>
    <w:rsid w:val="00A44E08"/>
    <w:rsid w:val="00A44E2E"/>
    <w:rsid w:val="00A44E78"/>
    <w:rsid w:val="00A44F77"/>
    <w:rsid w:val="00A450B6"/>
    <w:rsid w:val="00A4525E"/>
    <w:rsid w:val="00A4528C"/>
    <w:rsid w:val="00A452BA"/>
    <w:rsid w:val="00A4538C"/>
    <w:rsid w:val="00A454B1"/>
    <w:rsid w:val="00A4552F"/>
    <w:rsid w:val="00A4553B"/>
    <w:rsid w:val="00A4576B"/>
    <w:rsid w:val="00A457BD"/>
    <w:rsid w:val="00A45819"/>
    <w:rsid w:val="00A458B8"/>
    <w:rsid w:val="00A45A73"/>
    <w:rsid w:val="00A45AB1"/>
    <w:rsid w:val="00A45B71"/>
    <w:rsid w:val="00A45CD4"/>
    <w:rsid w:val="00A45EC2"/>
    <w:rsid w:val="00A45F0F"/>
    <w:rsid w:val="00A45F31"/>
    <w:rsid w:val="00A45F35"/>
    <w:rsid w:val="00A4604E"/>
    <w:rsid w:val="00A460A8"/>
    <w:rsid w:val="00A460C4"/>
    <w:rsid w:val="00A465FD"/>
    <w:rsid w:val="00A469F8"/>
    <w:rsid w:val="00A46A67"/>
    <w:rsid w:val="00A46A6D"/>
    <w:rsid w:val="00A46A9D"/>
    <w:rsid w:val="00A46B8E"/>
    <w:rsid w:val="00A46D3E"/>
    <w:rsid w:val="00A46D68"/>
    <w:rsid w:val="00A47067"/>
    <w:rsid w:val="00A471A4"/>
    <w:rsid w:val="00A47209"/>
    <w:rsid w:val="00A472BF"/>
    <w:rsid w:val="00A4741A"/>
    <w:rsid w:val="00A477A6"/>
    <w:rsid w:val="00A477CC"/>
    <w:rsid w:val="00A478B0"/>
    <w:rsid w:val="00A478EB"/>
    <w:rsid w:val="00A479E2"/>
    <w:rsid w:val="00A47C1D"/>
    <w:rsid w:val="00A47C98"/>
    <w:rsid w:val="00A47E81"/>
    <w:rsid w:val="00A47F8E"/>
    <w:rsid w:val="00A47FE6"/>
    <w:rsid w:val="00A50061"/>
    <w:rsid w:val="00A50336"/>
    <w:rsid w:val="00A5042D"/>
    <w:rsid w:val="00A50609"/>
    <w:rsid w:val="00A50614"/>
    <w:rsid w:val="00A506B0"/>
    <w:rsid w:val="00A506B1"/>
    <w:rsid w:val="00A50719"/>
    <w:rsid w:val="00A50856"/>
    <w:rsid w:val="00A50916"/>
    <w:rsid w:val="00A5092C"/>
    <w:rsid w:val="00A50940"/>
    <w:rsid w:val="00A50955"/>
    <w:rsid w:val="00A50A08"/>
    <w:rsid w:val="00A50ACB"/>
    <w:rsid w:val="00A50CD5"/>
    <w:rsid w:val="00A50F3B"/>
    <w:rsid w:val="00A50F6E"/>
    <w:rsid w:val="00A5107B"/>
    <w:rsid w:val="00A51107"/>
    <w:rsid w:val="00A51177"/>
    <w:rsid w:val="00A511E2"/>
    <w:rsid w:val="00A511E9"/>
    <w:rsid w:val="00A514E6"/>
    <w:rsid w:val="00A5179B"/>
    <w:rsid w:val="00A517D3"/>
    <w:rsid w:val="00A5195B"/>
    <w:rsid w:val="00A51A39"/>
    <w:rsid w:val="00A51A95"/>
    <w:rsid w:val="00A51AED"/>
    <w:rsid w:val="00A51AFB"/>
    <w:rsid w:val="00A51BA6"/>
    <w:rsid w:val="00A51C59"/>
    <w:rsid w:val="00A51CBC"/>
    <w:rsid w:val="00A520E4"/>
    <w:rsid w:val="00A52295"/>
    <w:rsid w:val="00A5231F"/>
    <w:rsid w:val="00A5237C"/>
    <w:rsid w:val="00A524DA"/>
    <w:rsid w:val="00A524E5"/>
    <w:rsid w:val="00A52535"/>
    <w:rsid w:val="00A5254E"/>
    <w:rsid w:val="00A52994"/>
    <w:rsid w:val="00A52D16"/>
    <w:rsid w:val="00A52FC4"/>
    <w:rsid w:val="00A5326F"/>
    <w:rsid w:val="00A5370F"/>
    <w:rsid w:val="00A5387A"/>
    <w:rsid w:val="00A539D7"/>
    <w:rsid w:val="00A53BDE"/>
    <w:rsid w:val="00A53C42"/>
    <w:rsid w:val="00A53F17"/>
    <w:rsid w:val="00A540E2"/>
    <w:rsid w:val="00A5413C"/>
    <w:rsid w:val="00A541CE"/>
    <w:rsid w:val="00A5428F"/>
    <w:rsid w:val="00A5455D"/>
    <w:rsid w:val="00A54693"/>
    <w:rsid w:val="00A5491D"/>
    <w:rsid w:val="00A54A03"/>
    <w:rsid w:val="00A54A49"/>
    <w:rsid w:val="00A54D2C"/>
    <w:rsid w:val="00A54E01"/>
    <w:rsid w:val="00A54E40"/>
    <w:rsid w:val="00A54E6E"/>
    <w:rsid w:val="00A54E92"/>
    <w:rsid w:val="00A54E9C"/>
    <w:rsid w:val="00A550A9"/>
    <w:rsid w:val="00A5513B"/>
    <w:rsid w:val="00A551D6"/>
    <w:rsid w:val="00A551E2"/>
    <w:rsid w:val="00A552B1"/>
    <w:rsid w:val="00A55330"/>
    <w:rsid w:val="00A55335"/>
    <w:rsid w:val="00A55349"/>
    <w:rsid w:val="00A55398"/>
    <w:rsid w:val="00A554BC"/>
    <w:rsid w:val="00A555FA"/>
    <w:rsid w:val="00A55665"/>
    <w:rsid w:val="00A55704"/>
    <w:rsid w:val="00A5572B"/>
    <w:rsid w:val="00A55730"/>
    <w:rsid w:val="00A557A8"/>
    <w:rsid w:val="00A558AA"/>
    <w:rsid w:val="00A55AC2"/>
    <w:rsid w:val="00A55B00"/>
    <w:rsid w:val="00A55E10"/>
    <w:rsid w:val="00A55F21"/>
    <w:rsid w:val="00A55FC0"/>
    <w:rsid w:val="00A5602A"/>
    <w:rsid w:val="00A5616B"/>
    <w:rsid w:val="00A561CA"/>
    <w:rsid w:val="00A5660B"/>
    <w:rsid w:val="00A5692C"/>
    <w:rsid w:val="00A56957"/>
    <w:rsid w:val="00A569C4"/>
    <w:rsid w:val="00A569F0"/>
    <w:rsid w:val="00A56C58"/>
    <w:rsid w:val="00A56D07"/>
    <w:rsid w:val="00A57133"/>
    <w:rsid w:val="00A572AF"/>
    <w:rsid w:val="00A5735D"/>
    <w:rsid w:val="00A573B4"/>
    <w:rsid w:val="00A57408"/>
    <w:rsid w:val="00A57409"/>
    <w:rsid w:val="00A57565"/>
    <w:rsid w:val="00A57583"/>
    <w:rsid w:val="00A575DF"/>
    <w:rsid w:val="00A57826"/>
    <w:rsid w:val="00A579BB"/>
    <w:rsid w:val="00A57B97"/>
    <w:rsid w:val="00A57BAB"/>
    <w:rsid w:val="00A57BD7"/>
    <w:rsid w:val="00A57DD8"/>
    <w:rsid w:val="00A57E14"/>
    <w:rsid w:val="00A57EF9"/>
    <w:rsid w:val="00A6002C"/>
    <w:rsid w:val="00A60274"/>
    <w:rsid w:val="00A60436"/>
    <w:rsid w:val="00A60464"/>
    <w:rsid w:val="00A6049D"/>
    <w:rsid w:val="00A6055F"/>
    <w:rsid w:val="00A60617"/>
    <w:rsid w:val="00A60623"/>
    <w:rsid w:val="00A60639"/>
    <w:rsid w:val="00A6075E"/>
    <w:rsid w:val="00A60787"/>
    <w:rsid w:val="00A60803"/>
    <w:rsid w:val="00A60837"/>
    <w:rsid w:val="00A609C7"/>
    <w:rsid w:val="00A60AA9"/>
    <w:rsid w:val="00A60B06"/>
    <w:rsid w:val="00A60CFA"/>
    <w:rsid w:val="00A60D1F"/>
    <w:rsid w:val="00A60DB0"/>
    <w:rsid w:val="00A60F35"/>
    <w:rsid w:val="00A60FBB"/>
    <w:rsid w:val="00A61254"/>
    <w:rsid w:val="00A6127B"/>
    <w:rsid w:val="00A6131A"/>
    <w:rsid w:val="00A613D1"/>
    <w:rsid w:val="00A6143F"/>
    <w:rsid w:val="00A61509"/>
    <w:rsid w:val="00A61570"/>
    <w:rsid w:val="00A615A4"/>
    <w:rsid w:val="00A615D7"/>
    <w:rsid w:val="00A6167A"/>
    <w:rsid w:val="00A6174F"/>
    <w:rsid w:val="00A617F9"/>
    <w:rsid w:val="00A618C4"/>
    <w:rsid w:val="00A619EE"/>
    <w:rsid w:val="00A61A5E"/>
    <w:rsid w:val="00A61A68"/>
    <w:rsid w:val="00A61BDE"/>
    <w:rsid w:val="00A61C75"/>
    <w:rsid w:val="00A61DC6"/>
    <w:rsid w:val="00A61E4B"/>
    <w:rsid w:val="00A61F8B"/>
    <w:rsid w:val="00A62052"/>
    <w:rsid w:val="00A6249A"/>
    <w:rsid w:val="00A62564"/>
    <w:rsid w:val="00A625A0"/>
    <w:rsid w:val="00A6262A"/>
    <w:rsid w:val="00A626E4"/>
    <w:rsid w:val="00A62730"/>
    <w:rsid w:val="00A628BB"/>
    <w:rsid w:val="00A6298D"/>
    <w:rsid w:val="00A629EB"/>
    <w:rsid w:val="00A62A49"/>
    <w:rsid w:val="00A62A9F"/>
    <w:rsid w:val="00A62AA1"/>
    <w:rsid w:val="00A62B73"/>
    <w:rsid w:val="00A62C98"/>
    <w:rsid w:val="00A62E94"/>
    <w:rsid w:val="00A62EDD"/>
    <w:rsid w:val="00A62F7D"/>
    <w:rsid w:val="00A63128"/>
    <w:rsid w:val="00A631E6"/>
    <w:rsid w:val="00A632B3"/>
    <w:rsid w:val="00A63476"/>
    <w:rsid w:val="00A6351A"/>
    <w:rsid w:val="00A63698"/>
    <w:rsid w:val="00A63735"/>
    <w:rsid w:val="00A637FA"/>
    <w:rsid w:val="00A63815"/>
    <w:rsid w:val="00A63848"/>
    <w:rsid w:val="00A63890"/>
    <w:rsid w:val="00A638D1"/>
    <w:rsid w:val="00A63AE1"/>
    <w:rsid w:val="00A63B72"/>
    <w:rsid w:val="00A63B91"/>
    <w:rsid w:val="00A63C1D"/>
    <w:rsid w:val="00A63FBC"/>
    <w:rsid w:val="00A6403A"/>
    <w:rsid w:val="00A64052"/>
    <w:rsid w:val="00A641F3"/>
    <w:rsid w:val="00A642D3"/>
    <w:rsid w:val="00A64320"/>
    <w:rsid w:val="00A6433B"/>
    <w:rsid w:val="00A6453B"/>
    <w:rsid w:val="00A645EA"/>
    <w:rsid w:val="00A646A1"/>
    <w:rsid w:val="00A6479E"/>
    <w:rsid w:val="00A6480B"/>
    <w:rsid w:val="00A64A99"/>
    <w:rsid w:val="00A64C1F"/>
    <w:rsid w:val="00A64CD7"/>
    <w:rsid w:val="00A64DA8"/>
    <w:rsid w:val="00A64FA1"/>
    <w:rsid w:val="00A64FB4"/>
    <w:rsid w:val="00A64FCB"/>
    <w:rsid w:val="00A6510C"/>
    <w:rsid w:val="00A65185"/>
    <w:rsid w:val="00A651AF"/>
    <w:rsid w:val="00A65379"/>
    <w:rsid w:val="00A6541A"/>
    <w:rsid w:val="00A65A84"/>
    <w:rsid w:val="00A65AB3"/>
    <w:rsid w:val="00A65AB7"/>
    <w:rsid w:val="00A65BB5"/>
    <w:rsid w:val="00A65C72"/>
    <w:rsid w:val="00A65C7F"/>
    <w:rsid w:val="00A65DAB"/>
    <w:rsid w:val="00A65FA6"/>
    <w:rsid w:val="00A660BC"/>
    <w:rsid w:val="00A661A9"/>
    <w:rsid w:val="00A66258"/>
    <w:rsid w:val="00A66752"/>
    <w:rsid w:val="00A66766"/>
    <w:rsid w:val="00A6678F"/>
    <w:rsid w:val="00A669A2"/>
    <w:rsid w:val="00A669A9"/>
    <w:rsid w:val="00A66B05"/>
    <w:rsid w:val="00A66BD7"/>
    <w:rsid w:val="00A66E7E"/>
    <w:rsid w:val="00A66E9C"/>
    <w:rsid w:val="00A66F3E"/>
    <w:rsid w:val="00A66F44"/>
    <w:rsid w:val="00A66F4D"/>
    <w:rsid w:val="00A6700A"/>
    <w:rsid w:val="00A670FC"/>
    <w:rsid w:val="00A67132"/>
    <w:rsid w:val="00A6717A"/>
    <w:rsid w:val="00A67273"/>
    <w:rsid w:val="00A672D5"/>
    <w:rsid w:val="00A674D2"/>
    <w:rsid w:val="00A677B5"/>
    <w:rsid w:val="00A67A1A"/>
    <w:rsid w:val="00A67A6B"/>
    <w:rsid w:val="00A67BFD"/>
    <w:rsid w:val="00A67DAA"/>
    <w:rsid w:val="00A67DD1"/>
    <w:rsid w:val="00A67E75"/>
    <w:rsid w:val="00A67F55"/>
    <w:rsid w:val="00A67F69"/>
    <w:rsid w:val="00A70010"/>
    <w:rsid w:val="00A70048"/>
    <w:rsid w:val="00A700D0"/>
    <w:rsid w:val="00A70447"/>
    <w:rsid w:val="00A70492"/>
    <w:rsid w:val="00A70708"/>
    <w:rsid w:val="00A70780"/>
    <w:rsid w:val="00A70934"/>
    <w:rsid w:val="00A70BAC"/>
    <w:rsid w:val="00A70C42"/>
    <w:rsid w:val="00A70D29"/>
    <w:rsid w:val="00A70D3A"/>
    <w:rsid w:val="00A70DB0"/>
    <w:rsid w:val="00A70F4F"/>
    <w:rsid w:val="00A70F83"/>
    <w:rsid w:val="00A711E5"/>
    <w:rsid w:val="00A711F2"/>
    <w:rsid w:val="00A711FE"/>
    <w:rsid w:val="00A7125F"/>
    <w:rsid w:val="00A7158F"/>
    <w:rsid w:val="00A717DE"/>
    <w:rsid w:val="00A7188E"/>
    <w:rsid w:val="00A718A0"/>
    <w:rsid w:val="00A71915"/>
    <w:rsid w:val="00A719BF"/>
    <w:rsid w:val="00A71AC7"/>
    <w:rsid w:val="00A71CBD"/>
    <w:rsid w:val="00A71D1A"/>
    <w:rsid w:val="00A71E2C"/>
    <w:rsid w:val="00A71FB5"/>
    <w:rsid w:val="00A7204C"/>
    <w:rsid w:val="00A72069"/>
    <w:rsid w:val="00A72071"/>
    <w:rsid w:val="00A7215B"/>
    <w:rsid w:val="00A721D9"/>
    <w:rsid w:val="00A72377"/>
    <w:rsid w:val="00A723F4"/>
    <w:rsid w:val="00A72421"/>
    <w:rsid w:val="00A72427"/>
    <w:rsid w:val="00A7258C"/>
    <w:rsid w:val="00A72659"/>
    <w:rsid w:val="00A726FF"/>
    <w:rsid w:val="00A72752"/>
    <w:rsid w:val="00A729DD"/>
    <w:rsid w:val="00A72AF9"/>
    <w:rsid w:val="00A72C5E"/>
    <w:rsid w:val="00A72E22"/>
    <w:rsid w:val="00A72F68"/>
    <w:rsid w:val="00A72FC9"/>
    <w:rsid w:val="00A730A7"/>
    <w:rsid w:val="00A731C8"/>
    <w:rsid w:val="00A732CE"/>
    <w:rsid w:val="00A7339E"/>
    <w:rsid w:val="00A7344E"/>
    <w:rsid w:val="00A73527"/>
    <w:rsid w:val="00A73601"/>
    <w:rsid w:val="00A73661"/>
    <w:rsid w:val="00A73759"/>
    <w:rsid w:val="00A73775"/>
    <w:rsid w:val="00A7379E"/>
    <w:rsid w:val="00A737DC"/>
    <w:rsid w:val="00A73AA9"/>
    <w:rsid w:val="00A73B57"/>
    <w:rsid w:val="00A73BED"/>
    <w:rsid w:val="00A73E18"/>
    <w:rsid w:val="00A73EA2"/>
    <w:rsid w:val="00A74074"/>
    <w:rsid w:val="00A744B6"/>
    <w:rsid w:val="00A7461A"/>
    <w:rsid w:val="00A7470D"/>
    <w:rsid w:val="00A74713"/>
    <w:rsid w:val="00A747B6"/>
    <w:rsid w:val="00A747FA"/>
    <w:rsid w:val="00A749D1"/>
    <w:rsid w:val="00A74A98"/>
    <w:rsid w:val="00A74C58"/>
    <w:rsid w:val="00A74D04"/>
    <w:rsid w:val="00A74E29"/>
    <w:rsid w:val="00A74E4C"/>
    <w:rsid w:val="00A74E99"/>
    <w:rsid w:val="00A74EAA"/>
    <w:rsid w:val="00A74EF0"/>
    <w:rsid w:val="00A74F59"/>
    <w:rsid w:val="00A75114"/>
    <w:rsid w:val="00A751A3"/>
    <w:rsid w:val="00A75526"/>
    <w:rsid w:val="00A7563B"/>
    <w:rsid w:val="00A75795"/>
    <w:rsid w:val="00A75A60"/>
    <w:rsid w:val="00A75BD6"/>
    <w:rsid w:val="00A75C80"/>
    <w:rsid w:val="00A75D5A"/>
    <w:rsid w:val="00A75E22"/>
    <w:rsid w:val="00A75E36"/>
    <w:rsid w:val="00A760EB"/>
    <w:rsid w:val="00A761E3"/>
    <w:rsid w:val="00A76284"/>
    <w:rsid w:val="00A76361"/>
    <w:rsid w:val="00A763BD"/>
    <w:rsid w:val="00A7666C"/>
    <w:rsid w:val="00A7676C"/>
    <w:rsid w:val="00A76927"/>
    <w:rsid w:val="00A769E5"/>
    <w:rsid w:val="00A76BF9"/>
    <w:rsid w:val="00A76C73"/>
    <w:rsid w:val="00A76D91"/>
    <w:rsid w:val="00A76DD9"/>
    <w:rsid w:val="00A76EC6"/>
    <w:rsid w:val="00A76F02"/>
    <w:rsid w:val="00A77033"/>
    <w:rsid w:val="00A7704E"/>
    <w:rsid w:val="00A7735B"/>
    <w:rsid w:val="00A7736C"/>
    <w:rsid w:val="00A773CB"/>
    <w:rsid w:val="00A77446"/>
    <w:rsid w:val="00A7744E"/>
    <w:rsid w:val="00A774C1"/>
    <w:rsid w:val="00A7760B"/>
    <w:rsid w:val="00A77623"/>
    <w:rsid w:val="00A77656"/>
    <w:rsid w:val="00A778F4"/>
    <w:rsid w:val="00A77AEF"/>
    <w:rsid w:val="00A77F29"/>
    <w:rsid w:val="00A800A6"/>
    <w:rsid w:val="00A800D0"/>
    <w:rsid w:val="00A802A2"/>
    <w:rsid w:val="00A80437"/>
    <w:rsid w:val="00A804F1"/>
    <w:rsid w:val="00A8067C"/>
    <w:rsid w:val="00A806B7"/>
    <w:rsid w:val="00A80735"/>
    <w:rsid w:val="00A8078B"/>
    <w:rsid w:val="00A8091C"/>
    <w:rsid w:val="00A80A75"/>
    <w:rsid w:val="00A80EC3"/>
    <w:rsid w:val="00A80F98"/>
    <w:rsid w:val="00A81230"/>
    <w:rsid w:val="00A814A6"/>
    <w:rsid w:val="00A814D2"/>
    <w:rsid w:val="00A816C1"/>
    <w:rsid w:val="00A817DB"/>
    <w:rsid w:val="00A81925"/>
    <w:rsid w:val="00A81961"/>
    <w:rsid w:val="00A81BDA"/>
    <w:rsid w:val="00A81F7F"/>
    <w:rsid w:val="00A81FD0"/>
    <w:rsid w:val="00A82062"/>
    <w:rsid w:val="00A8222E"/>
    <w:rsid w:val="00A823AF"/>
    <w:rsid w:val="00A82578"/>
    <w:rsid w:val="00A82759"/>
    <w:rsid w:val="00A82921"/>
    <w:rsid w:val="00A829AC"/>
    <w:rsid w:val="00A829B0"/>
    <w:rsid w:val="00A82A6E"/>
    <w:rsid w:val="00A82AD0"/>
    <w:rsid w:val="00A82B30"/>
    <w:rsid w:val="00A82DD2"/>
    <w:rsid w:val="00A82DEB"/>
    <w:rsid w:val="00A83029"/>
    <w:rsid w:val="00A83127"/>
    <w:rsid w:val="00A831A5"/>
    <w:rsid w:val="00A8322F"/>
    <w:rsid w:val="00A83236"/>
    <w:rsid w:val="00A83582"/>
    <w:rsid w:val="00A8366B"/>
    <w:rsid w:val="00A8379F"/>
    <w:rsid w:val="00A837F4"/>
    <w:rsid w:val="00A83A19"/>
    <w:rsid w:val="00A83B47"/>
    <w:rsid w:val="00A83BDA"/>
    <w:rsid w:val="00A83D01"/>
    <w:rsid w:val="00A83D59"/>
    <w:rsid w:val="00A83DF8"/>
    <w:rsid w:val="00A83E63"/>
    <w:rsid w:val="00A83EB8"/>
    <w:rsid w:val="00A83EEF"/>
    <w:rsid w:val="00A83FEB"/>
    <w:rsid w:val="00A84075"/>
    <w:rsid w:val="00A840B7"/>
    <w:rsid w:val="00A840C8"/>
    <w:rsid w:val="00A841E5"/>
    <w:rsid w:val="00A846C8"/>
    <w:rsid w:val="00A8474D"/>
    <w:rsid w:val="00A8480E"/>
    <w:rsid w:val="00A848A7"/>
    <w:rsid w:val="00A84C79"/>
    <w:rsid w:val="00A8530B"/>
    <w:rsid w:val="00A85391"/>
    <w:rsid w:val="00A853DD"/>
    <w:rsid w:val="00A85479"/>
    <w:rsid w:val="00A8590E"/>
    <w:rsid w:val="00A859A4"/>
    <w:rsid w:val="00A85BC2"/>
    <w:rsid w:val="00A85C28"/>
    <w:rsid w:val="00A85CC2"/>
    <w:rsid w:val="00A85CD4"/>
    <w:rsid w:val="00A85D2B"/>
    <w:rsid w:val="00A85DC9"/>
    <w:rsid w:val="00A85E21"/>
    <w:rsid w:val="00A85FAB"/>
    <w:rsid w:val="00A85FF2"/>
    <w:rsid w:val="00A861E9"/>
    <w:rsid w:val="00A86206"/>
    <w:rsid w:val="00A8629C"/>
    <w:rsid w:val="00A8638E"/>
    <w:rsid w:val="00A863A4"/>
    <w:rsid w:val="00A863D2"/>
    <w:rsid w:val="00A86434"/>
    <w:rsid w:val="00A86494"/>
    <w:rsid w:val="00A86618"/>
    <w:rsid w:val="00A867AC"/>
    <w:rsid w:val="00A867D5"/>
    <w:rsid w:val="00A86B09"/>
    <w:rsid w:val="00A86C0C"/>
    <w:rsid w:val="00A86DCC"/>
    <w:rsid w:val="00A86E54"/>
    <w:rsid w:val="00A86E5E"/>
    <w:rsid w:val="00A86FEE"/>
    <w:rsid w:val="00A87274"/>
    <w:rsid w:val="00A87401"/>
    <w:rsid w:val="00A8747B"/>
    <w:rsid w:val="00A874FE"/>
    <w:rsid w:val="00A8753F"/>
    <w:rsid w:val="00A87542"/>
    <w:rsid w:val="00A87548"/>
    <w:rsid w:val="00A876C1"/>
    <w:rsid w:val="00A8771C"/>
    <w:rsid w:val="00A8785B"/>
    <w:rsid w:val="00A878AC"/>
    <w:rsid w:val="00A87983"/>
    <w:rsid w:val="00A87EC0"/>
    <w:rsid w:val="00A87F4F"/>
    <w:rsid w:val="00A9037D"/>
    <w:rsid w:val="00A903ED"/>
    <w:rsid w:val="00A903F5"/>
    <w:rsid w:val="00A90530"/>
    <w:rsid w:val="00A9076A"/>
    <w:rsid w:val="00A907DB"/>
    <w:rsid w:val="00A90954"/>
    <w:rsid w:val="00A909C5"/>
    <w:rsid w:val="00A90C47"/>
    <w:rsid w:val="00A90E76"/>
    <w:rsid w:val="00A90E98"/>
    <w:rsid w:val="00A90F2E"/>
    <w:rsid w:val="00A910BB"/>
    <w:rsid w:val="00A910CA"/>
    <w:rsid w:val="00A912D0"/>
    <w:rsid w:val="00A912E1"/>
    <w:rsid w:val="00A913A8"/>
    <w:rsid w:val="00A91586"/>
    <w:rsid w:val="00A9169C"/>
    <w:rsid w:val="00A916FB"/>
    <w:rsid w:val="00A91963"/>
    <w:rsid w:val="00A919AE"/>
    <w:rsid w:val="00A91C20"/>
    <w:rsid w:val="00A91C2C"/>
    <w:rsid w:val="00A91D35"/>
    <w:rsid w:val="00A91E51"/>
    <w:rsid w:val="00A91E62"/>
    <w:rsid w:val="00A91F2E"/>
    <w:rsid w:val="00A92075"/>
    <w:rsid w:val="00A92143"/>
    <w:rsid w:val="00A92181"/>
    <w:rsid w:val="00A922D8"/>
    <w:rsid w:val="00A92631"/>
    <w:rsid w:val="00A926A1"/>
    <w:rsid w:val="00A9275E"/>
    <w:rsid w:val="00A92790"/>
    <w:rsid w:val="00A92813"/>
    <w:rsid w:val="00A92A63"/>
    <w:rsid w:val="00A92A6F"/>
    <w:rsid w:val="00A92D63"/>
    <w:rsid w:val="00A92D8F"/>
    <w:rsid w:val="00A92E1D"/>
    <w:rsid w:val="00A934B3"/>
    <w:rsid w:val="00A935E6"/>
    <w:rsid w:val="00A93915"/>
    <w:rsid w:val="00A93965"/>
    <w:rsid w:val="00A9398D"/>
    <w:rsid w:val="00A93BAC"/>
    <w:rsid w:val="00A93C88"/>
    <w:rsid w:val="00A93CE5"/>
    <w:rsid w:val="00A93DB2"/>
    <w:rsid w:val="00A9408E"/>
    <w:rsid w:val="00A940A7"/>
    <w:rsid w:val="00A94165"/>
    <w:rsid w:val="00A94253"/>
    <w:rsid w:val="00A942F9"/>
    <w:rsid w:val="00A9433C"/>
    <w:rsid w:val="00A943B5"/>
    <w:rsid w:val="00A944ED"/>
    <w:rsid w:val="00A94502"/>
    <w:rsid w:val="00A9463B"/>
    <w:rsid w:val="00A94677"/>
    <w:rsid w:val="00A94726"/>
    <w:rsid w:val="00A947A3"/>
    <w:rsid w:val="00A94B54"/>
    <w:rsid w:val="00A94BE9"/>
    <w:rsid w:val="00A95022"/>
    <w:rsid w:val="00A950A2"/>
    <w:rsid w:val="00A950B0"/>
    <w:rsid w:val="00A95231"/>
    <w:rsid w:val="00A95389"/>
    <w:rsid w:val="00A95524"/>
    <w:rsid w:val="00A95663"/>
    <w:rsid w:val="00A95665"/>
    <w:rsid w:val="00A95682"/>
    <w:rsid w:val="00A957ED"/>
    <w:rsid w:val="00A958B4"/>
    <w:rsid w:val="00A95AB1"/>
    <w:rsid w:val="00A95AEF"/>
    <w:rsid w:val="00A95B8B"/>
    <w:rsid w:val="00A95BA3"/>
    <w:rsid w:val="00A95E3F"/>
    <w:rsid w:val="00A95EC5"/>
    <w:rsid w:val="00A9605A"/>
    <w:rsid w:val="00A96223"/>
    <w:rsid w:val="00A96288"/>
    <w:rsid w:val="00A962E8"/>
    <w:rsid w:val="00A964D6"/>
    <w:rsid w:val="00A9653A"/>
    <w:rsid w:val="00A965EF"/>
    <w:rsid w:val="00A967ED"/>
    <w:rsid w:val="00A969EC"/>
    <w:rsid w:val="00A96A47"/>
    <w:rsid w:val="00A96C6B"/>
    <w:rsid w:val="00A96CB1"/>
    <w:rsid w:val="00A96E6E"/>
    <w:rsid w:val="00A971CB"/>
    <w:rsid w:val="00A97272"/>
    <w:rsid w:val="00A9767F"/>
    <w:rsid w:val="00A97795"/>
    <w:rsid w:val="00A97805"/>
    <w:rsid w:val="00A97909"/>
    <w:rsid w:val="00A97BD1"/>
    <w:rsid w:val="00A97E13"/>
    <w:rsid w:val="00A97F9E"/>
    <w:rsid w:val="00AA0105"/>
    <w:rsid w:val="00AA015E"/>
    <w:rsid w:val="00AA039A"/>
    <w:rsid w:val="00AA03F3"/>
    <w:rsid w:val="00AA0445"/>
    <w:rsid w:val="00AA04A4"/>
    <w:rsid w:val="00AA04FB"/>
    <w:rsid w:val="00AA05AD"/>
    <w:rsid w:val="00AA0945"/>
    <w:rsid w:val="00AA0A57"/>
    <w:rsid w:val="00AA0E41"/>
    <w:rsid w:val="00AA0E53"/>
    <w:rsid w:val="00AA0EBD"/>
    <w:rsid w:val="00AA0FB8"/>
    <w:rsid w:val="00AA0FC6"/>
    <w:rsid w:val="00AA109D"/>
    <w:rsid w:val="00AA1136"/>
    <w:rsid w:val="00AA119A"/>
    <w:rsid w:val="00AA121D"/>
    <w:rsid w:val="00AA12C8"/>
    <w:rsid w:val="00AA139F"/>
    <w:rsid w:val="00AA1408"/>
    <w:rsid w:val="00AA1466"/>
    <w:rsid w:val="00AA15AD"/>
    <w:rsid w:val="00AA15C4"/>
    <w:rsid w:val="00AA1688"/>
    <w:rsid w:val="00AA17CB"/>
    <w:rsid w:val="00AA1891"/>
    <w:rsid w:val="00AA18C1"/>
    <w:rsid w:val="00AA1993"/>
    <w:rsid w:val="00AA1A73"/>
    <w:rsid w:val="00AA1B2D"/>
    <w:rsid w:val="00AA1D2B"/>
    <w:rsid w:val="00AA1D6A"/>
    <w:rsid w:val="00AA1D98"/>
    <w:rsid w:val="00AA1F44"/>
    <w:rsid w:val="00AA1FE4"/>
    <w:rsid w:val="00AA2042"/>
    <w:rsid w:val="00AA2151"/>
    <w:rsid w:val="00AA2290"/>
    <w:rsid w:val="00AA2347"/>
    <w:rsid w:val="00AA23BC"/>
    <w:rsid w:val="00AA23F6"/>
    <w:rsid w:val="00AA264D"/>
    <w:rsid w:val="00AA26DB"/>
    <w:rsid w:val="00AA2A23"/>
    <w:rsid w:val="00AA2A89"/>
    <w:rsid w:val="00AA2AFD"/>
    <w:rsid w:val="00AA2B18"/>
    <w:rsid w:val="00AA2B74"/>
    <w:rsid w:val="00AA2EC9"/>
    <w:rsid w:val="00AA2F29"/>
    <w:rsid w:val="00AA2FB7"/>
    <w:rsid w:val="00AA308D"/>
    <w:rsid w:val="00AA3186"/>
    <w:rsid w:val="00AA322B"/>
    <w:rsid w:val="00AA3283"/>
    <w:rsid w:val="00AA32A9"/>
    <w:rsid w:val="00AA32BA"/>
    <w:rsid w:val="00AA335F"/>
    <w:rsid w:val="00AA3680"/>
    <w:rsid w:val="00AA3754"/>
    <w:rsid w:val="00AA37BB"/>
    <w:rsid w:val="00AA3811"/>
    <w:rsid w:val="00AA3988"/>
    <w:rsid w:val="00AA3A40"/>
    <w:rsid w:val="00AA3AA5"/>
    <w:rsid w:val="00AA3BF5"/>
    <w:rsid w:val="00AA3C26"/>
    <w:rsid w:val="00AA3C8E"/>
    <w:rsid w:val="00AA3D2F"/>
    <w:rsid w:val="00AA3DDE"/>
    <w:rsid w:val="00AA3E78"/>
    <w:rsid w:val="00AA3EE0"/>
    <w:rsid w:val="00AA3F8C"/>
    <w:rsid w:val="00AA3F9B"/>
    <w:rsid w:val="00AA4050"/>
    <w:rsid w:val="00AA4378"/>
    <w:rsid w:val="00AA43D6"/>
    <w:rsid w:val="00AA43FE"/>
    <w:rsid w:val="00AA455C"/>
    <w:rsid w:val="00AA45FA"/>
    <w:rsid w:val="00AA4765"/>
    <w:rsid w:val="00AA47A5"/>
    <w:rsid w:val="00AA48BF"/>
    <w:rsid w:val="00AA493B"/>
    <w:rsid w:val="00AA49B8"/>
    <w:rsid w:val="00AA4A61"/>
    <w:rsid w:val="00AA4A80"/>
    <w:rsid w:val="00AA4AA3"/>
    <w:rsid w:val="00AA4B70"/>
    <w:rsid w:val="00AA4CD5"/>
    <w:rsid w:val="00AA4D49"/>
    <w:rsid w:val="00AA4E76"/>
    <w:rsid w:val="00AA5304"/>
    <w:rsid w:val="00AA538C"/>
    <w:rsid w:val="00AA565F"/>
    <w:rsid w:val="00AA5672"/>
    <w:rsid w:val="00AA5704"/>
    <w:rsid w:val="00AA578B"/>
    <w:rsid w:val="00AA599A"/>
    <w:rsid w:val="00AA5A27"/>
    <w:rsid w:val="00AA5B31"/>
    <w:rsid w:val="00AA5BA2"/>
    <w:rsid w:val="00AA5C1F"/>
    <w:rsid w:val="00AA5C4A"/>
    <w:rsid w:val="00AA5CC1"/>
    <w:rsid w:val="00AA5D9F"/>
    <w:rsid w:val="00AA5E58"/>
    <w:rsid w:val="00AA6076"/>
    <w:rsid w:val="00AA609F"/>
    <w:rsid w:val="00AA617B"/>
    <w:rsid w:val="00AA61EF"/>
    <w:rsid w:val="00AA6263"/>
    <w:rsid w:val="00AA62D9"/>
    <w:rsid w:val="00AA62F6"/>
    <w:rsid w:val="00AA631B"/>
    <w:rsid w:val="00AA6323"/>
    <w:rsid w:val="00AA665D"/>
    <w:rsid w:val="00AA6665"/>
    <w:rsid w:val="00AA689D"/>
    <w:rsid w:val="00AA68DD"/>
    <w:rsid w:val="00AA69E9"/>
    <w:rsid w:val="00AA6B03"/>
    <w:rsid w:val="00AA6C65"/>
    <w:rsid w:val="00AA6FF0"/>
    <w:rsid w:val="00AA71CD"/>
    <w:rsid w:val="00AA73B8"/>
    <w:rsid w:val="00AA744A"/>
    <w:rsid w:val="00AA75D9"/>
    <w:rsid w:val="00AA7689"/>
    <w:rsid w:val="00AA79C1"/>
    <w:rsid w:val="00AA7BD0"/>
    <w:rsid w:val="00AA7BD9"/>
    <w:rsid w:val="00AA7CD2"/>
    <w:rsid w:val="00AA7E4E"/>
    <w:rsid w:val="00AB021D"/>
    <w:rsid w:val="00AB06A1"/>
    <w:rsid w:val="00AB07D6"/>
    <w:rsid w:val="00AB085E"/>
    <w:rsid w:val="00AB09A5"/>
    <w:rsid w:val="00AB0ADA"/>
    <w:rsid w:val="00AB0DB7"/>
    <w:rsid w:val="00AB0DEE"/>
    <w:rsid w:val="00AB0FD4"/>
    <w:rsid w:val="00AB105F"/>
    <w:rsid w:val="00AB115C"/>
    <w:rsid w:val="00AB1319"/>
    <w:rsid w:val="00AB15D0"/>
    <w:rsid w:val="00AB15DC"/>
    <w:rsid w:val="00AB17A1"/>
    <w:rsid w:val="00AB1842"/>
    <w:rsid w:val="00AB19A9"/>
    <w:rsid w:val="00AB19D2"/>
    <w:rsid w:val="00AB1A86"/>
    <w:rsid w:val="00AB1DCE"/>
    <w:rsid w:val="00AB1E4E"/>
    <w:rsid w:val="00AB1F0F"/>
    <w:rsid w:val="00AB201D"/>
    <w:rsid w:val="00AB224D"/>
    <w:rsid w:val="00AB2561"/>
    <w:rsid w:val="00AB2682"/>
    <w:rsid w:val="00AB26B8"/>
    <w:rsid w:val="00AB277D"/>
    <w:rsid w:val="00AB2897"/>
    <w:rsid w:val="00AB2DA8"/>
    <w:rsid w:val="00AB2E5E"/>
    <w:rsid w:val="00AB2F0B"/>
    <w:rsid w:val="00AB2F0F"/>
    <w:rsid w:val="00AB3017"/>
    <w:rsid w:val="00AB3070"/>
    <w:rsid w:val="00AB310D"/>
    <w:rsid w:val="00AB31D2"/>
    <w:rsid w:val="00AB3203"/>
    <w:rsid w:val="00AB3236"/>
    <w:rsid w:val="00AB3291"/>
    <w:rsid w:val="00AB34B2"/>
    <w:rsid w:val="00AB354B"/>
    <w:rsid w:val="00AB36CD"/>
    <w:rsid w:val="00AB37CB"/>
    <w:rsid w:val="00AB37E5"/>
    <w:rsid w:val="00AB37F4"/>
    <w:rsid w:val="00AB3856"/>
    <w:rsid w:val="00AB3A4B"/>
    <w:rsid w:val="00AB3B15"/>
    <w:rsid w:val="00AB3BBF"/>
    <w:rsid w:val="00AB3D4A"/>
    <w:rsid w:val="00AB3DA7"/>
    <w:rsid w:val="00AB3E43"/>
    <w:rsid w:val="00AB3F07"/>
    <w:rsid w:val="00AB40DF"/>
    <w:rsid w:val="00AB4121"/>
    <w:rsid w:val="00AB4259"/>
    <w:rsid w:val="00AB42D8"/>
    <w:rsid w:val="00AB4510"/>
    <w:rsid w:val="00AB4537"/>
    <w:rsid w:val="00AB477E"/>
    <w:rsid w:val="00AB47A0"/>
    <w:rsid w:val="00AB48EB"/>
    <w:rsid w:val="00AB494D"/>
    <w:rsid w:val="00AB4A25"/>
    <w:rsid w:val="00AB4B57"/>
    <w:rsid w:val="00AB4B78"/>
    <w:rsid w:val="00AB4C18"/>
    <w:rsid w:val="00AB4F52"/>
    <w:rsid w:val="00AB4F9D"/>
    <w:rsid w:val="00AB4FB3"/>
    <w:rsid w:val="00AB50DD"/>
    <w:rsid w:val="00AB5198"/>
    <w:rsid w:val="00AB53AA"/>
    <w:rsid w:val="00AB5742"/>
    <w:rsid w:val="00AB5794"/>
    <w:rsid w:val="00AB59B0"/>
    <w:rsid w:val="00AB5CF1"/>
    <w:rsid w:val="00AB5D22"/>
    <w:rsid w:val="00AB5D2E"/>
    <w:rsid w:val="00AB5E83"/>
    <w:rsid w:val="00AB5F91"/>
    <w:rsid w:val="00AB60AE"/>
    <w:rsid w:val="00AB6127"/>
    <w:rsid w:val="00AB6253"/>
    <w:rsid w:val="00AB63CE"/>
    <w:rsid w:val="00AB640A"/>
    <w:rsid w:val="00AB65CE"/>
    <w:rsid w:val="00AB6702"/>
    <w:rsid w:val="00AB6904"/>
    <w:rsid w:val="00AB6A0F"/>
    <w:rsid w:val="00AB6A66"/>
    <w:rsid w:val="00AB6B41"/>
    <w:rsid w:val="00AB6BAD"/>
    <w:rsid w:val="00AB6D1F"/>
    <w:rsid w:val="00AB6DA1"/>
    <w:rsid w:val="00AB6E9C"/>
    <w:rsid w:val="00AB7136"/>
    <w:rsid w:val="00AB716F"/>
    <w:rsid w:val="00AB7310"/>
    <w:rsid w:val="00AB732A"/>
    <w:rsid w:val="00AB744D"/>
    <w:rsid w:val="00AB7461"/>
    <w:rsid w:val="00AB761B"/>
    <w:rsid w:val="00AB7667"/>
    <w:rsid w:val="00AB7727"/>
    <w:rsid w:val="00AB7862"/>
    <w:rsid w:val="00AB790D"/>
    <w:rsid w:val="00AB7AB6"/>
    <w:rsid w:val="00AB7B52"/>
    <w:rsid w:val="00AB7E51"/>
    <w:rsid w:val="00AB7FEB"/>
    <w:rsid w:val="00AC01B8"/>
    <w:rsid w:val="00AC01BE"/>
    <w:rsid w:val="00AC01D8"/>
    <w:rsid w:val="00AC03AC"/>
    <w:rsid w:val="00AC0436"/>
    <w:rsid w:val="00AC0559"/>
    <w:rsid w:val="00AC060C"/>
    <w:rsid w:val="00AC0681"/>
    <w:rsid w:val="00AC0759"/>
    <w:rsid w:val="00AC07E7"/>
    <w:rsid w:val="00AC0834"/>
    <w:rsid w:val="00AC092C"/>
    <w:rsid w:val="00AC0BDD"/>
    <w:rsid w:val="00AC0DDA"/>
    <w:rsid w:val="00AC1078"/>
    <w:rsid w:val="00AC1199"/>
    <w:rsid w:val="00AC1347"/>
    <w:rsid w:val="00AC14CC"/>
    <w:rsid w:val="00AC1543"/>
    <w:rsid w:val="00AC1573"/>
    <w:rsid w:val="00AC15D4"/>
    <w:rsid w:val="00AC1674"/>
    <w:rsid w:val="00AC174D"/>
    <w:rsid w:val="00AC17B5"/>
    <w:rsid w:val="00AC19A8"/>
    <w:rsid w:val="00AC1A13"/>
    <w:rsid w:val="00AC1A78"/>
    <w:rsid w:val="00AC1BFD"/>
    <w:rsid w:val="00AC1C14"/>
    <w:rsid w:val="00AC1D80"/>
    <w:rsid w:val="00AC1E3F"/>
    <w:rsid w:val="00AC1E6C"/>
    <w:rsid w:val="00AC254D"/>
    <w:rsid w:val="00AC25F7"/>
    <w:rsid w:val="00AC2611"/>
    <w:rsid w:val="00AC26F6"/>
    <w:rsid w:val="00AC2765"/>
    <w:rsid w:val="00AC27AC"/>
    <w:rsid w:val="00AC27F2"/>
    <w:rsid w:val="00AC292A"/>
    <w:rsid w:val="00AC295D"/>
    <w:rsid w:val="00AC2A33"/>
    <w:rsid w:val="00AC2B5F"/>
    <w:rsid w:val="00AC2BA9"/>
    <w:rsid w:val="00AC2BFC"/>
    <w:rsid w:val="00AC2D18"/>
    <w:rsid w:val="00AC2D1F"/>
    <w:rsid w:val="00AC2D27"/>
    <w:rsid w:val="00AC2D71"/>
    <w:rsid w:val="00AC2E44"/>
    <w:rsid w:val="00AC2F7F"/>
    <w:rsid w:val="00AC331A"/>
    <w:rsid w:val="00AC33E9"/>
    <w:rsid w:val="00AC35F1"/>
    <w:rsid w:val="00AC36E2"/>
    <w:rsid w:val="00AC3849"/>
    <w:rsid w:val="00AC3B31"/>
    <w:rsid w:val="00AC3C7A"/>
    <w:rsid w:val="00AC3C7D"/>
    <w:rsid w:val="00AC3D30"/>
    <w:rsid w:val="00AC3D6D"/>
    <w:rsid w:val="00AC3E60"/>
    <w:rsid w:val="00AC41A3"/>
    <w:rsid w:val="00AC4456"/>
    <w:rsid w:val="00AC44E7"/>
    <w:rsid w:val="00AC4584"/>
    <w:rsid w:val="00AC45BA"/>
    <w:rsid w:val="00AC466A"/>
    <w:rsid w:val="00AC471A"/>
    <w:rsid w:val="00AC475A"/>
    <w:rsid w:val="00AC4856"/>
    <w:rsid w:val="00AC4897"/>
    <w:rsid w:val="00AC4AD9"/>
    <w:rsid w:val="00AC4BEA"/>
    <w:rsid w:val="00AC4C68"/>
    <w:rsid w:val="00AC4DBB"/>
    <w:rsid w:val="00AC4F3E"/>
    <w:rsid w:val="00AC50CF"/>
    <w:rsid w:val="00AC511D"/>
    <w:rsid w:val="00AC514B"/>
    <w:rsid w:val="00AC526E"/>
    <w:rsid w:val="00AC529B"/>
    <w:rsid w:val="00AC5356"/>
    <w:rsid w:val="00AC5360"/>
    <w:rsid w:val="00AC5494"/>
    <w:rsid w:val="00AC54DE"/>
    <w:rsid w:val="00AC56C3"/>
    <w:rsid w:val="00AC57F6"/>
    <w:rsid w:val="00AC588C"/>
    <w:rsid w:val="00AC5D70"/>
    <w:rsid w:val="00AC5E8A"/>
    <w:rsid w:val="00AC6026"/>
    <w:rsid w:val="00AC60F1"/>
    <w:rsid w:val="00AC6262"/>
    <w:rsid w:val="00AC64FA"/>
    <w:rsid w:val="00AC66C9"/>
    <w:rsid w:val="00AC672B"/>
    <w:rsid w:val="00AC6781"/>
    <w:rsid w:val="00AC6799"/>
    <w:rsid w:val="00AC69DE"/>
    <w:rsid w:val="00AC6C69"/>
    <w:rsid w:val="00AC6CB2"/>
    <w:rsid w:val="00AC6E50"/>
    <w:rsid w:val="00AC6E84"/>
    <w:rsid w:val="00AC6EA1"/>
    <w:rsid w:val="00AC6F26"/>
    <w:rsid w:val="00AC7046"/>
    <w:rsid w:val="00AC7061"/>
    <w:rsid w:val="00AC7074"/>
    <w:rsid w:val="00AC70CA"/>
    <w:rsid w:val="00AC71D6"/>
    <w:rsid w:val="00AC72A7"/>
    <w:rsid w:val="00AC76BE"/>
    <w:rsid w:val="00AC79B0"/>
    <w:rsid w:val="00AC79EF"/>
    <w:rsid w:val="00AC7A3E"/>
    <w:rsid w:val="00AC7A79"/>
    <w:rsid w:val="00AC7BB9"/>
    <w:rsid w:val="00AC7BBF"/>
    <w:rsid w:val="00AC7ED5"/>
    <w:rsid w:val="00AC7F67"/>
    <w:rsid w:val="00AC7FCF"/>
    <w:rsid w:val="00AD0041"/>
    <w:rsid w:val="00AD01AD"/>
    <w:rsid w:val="00AD0207"/>
    <w:rsid w:val="00AD0457"/>
    <w:rsid w:val="00AD0469"/>
    <w:rsid w:val="00AD052A"/>
    <w:rsid w:val="00AD05A4"/>
    <w:rsid w:val="00AD05FC"/>
    <w:rsid w:val="00AD0687"/>
    <w:rsid w:val="00AD0828"/>
    <w:rsid w:val="00AD0A68"/>
    <w:rsid w:val="00AD0A8F"/>
    <w:rsid w:val="00AD0AA5"/>
    <w:rsid w:val="00AD0AED"/>
    <w:rsid w:val="00AD0B48"/>
    <w:rsid w:val="00AD0B68"/>
    <w:rsid w:val="00AD0BBC"/>
    <w:rsid w:val="00AD0C5B"/>
    <w:rsid w:val="00AD0C92"/>
    <w:rsid w:val="00AD0EA3"/>
    <w:rsid w:val="00AD0EA6"/>
    <w:rsid w:val="00AD1035"/>
    <w:rsid w:val="00AD106E"/>
    <w:rsid w:val="00AD1097"/>
    <w:rsid w:val="00AD1153"/>
    <w:rsid w:val="00AD118D"/>
    <w:rsid w:val="00AD1193"/>
    <w:rsid w:val="00AD120A"/>
    <w:rsid w:val="00AD1389"/>
    <w:rsid w:val="00AD142B"/>
    <w:rsid w:val="00AD1528"/>
    <w:rsid w:val="00AD15DA"/>
    <w:rsid w:val="00AD162E"/>
    <w:rsid w:val="00AD1636"/>
    <w:rsid w:val="00AD163E"/>
    <w:rsid w:val="00AD17F1"/>
    <w:rsid w:val="00AD1D2A"/>
    <w:rsid w:val="00AD1E93"/>
    <w:rsid w:val="00AD2184"/>
    <w:rsid w:val="00AD21C4"/>
    <w:rsid w:val="00AD2292"/>
    <w:rsid w:val="00AD25A5"/>
    <w:rsid w:val="00AD25FD"/>
    <w:rsid w:val="00AD2692"/>
    <w:rsid w:val="00AD2845"/>
    <w:rsid w:val="00AD28DE"/>
    <w:rsid w:val="00AD2990"/>
    <w:rsid w:val="00AD2C4E"/>
    <w:rsid w:val="00AD2CAC"/>
    <w:rsid w:val="00AD2CFF"/>
    <w:rsid w:val="00AD2DA2"/>
    <w:rsid w:val="00AD2E97"/>
    <w:rsid w:val="00AD2F38"/>
    <w:rsid w:val="00AD2F65"/>
    <w:rsid w:val="00AD2F7C"/>
    <w:rsid w:val="00AD3091"/>
    <w:rsid w:val="00AD30CE"/>
    <w:rsid w:val="00AD331C"/>
    <w:rsid w:val="00AD340E"/>
    <w:rsid w:val="00AD34BD"/>
    <w:rsid w:val="00AD37B9"/>
    <w:rsid w:val="00AD38C7"/>
    <w:rsid w:val="00AD38E8"/>
    <w:rsid w:val="00AD3998"/>
    <w:rsid w:val="00AD3A8D"/>
    <w:rsid w:val="00AD3C63"/>
    <w:rsid w:val="00AD3CBB"/>
    <w:rsid w:val="00AD3D8F"/>
    <w:rsid w:val="00AD3E81"/>
    <w:rsid w:val="00AD3ECA"/>
    <w:rsid w:val="00AD4069"/>
    <w:rsid w:val="00AD4131"/>
    <w:rsid w:val="00AD4570"/>
    <w:rsid w:val="00AD4579"/>
    <w:rsid w:val="00AD45F5"/>
    <w:rsid w:val="00AD46FA"/>
    <w:rsid w:val="00AD4943"/>
    <w:rsid w:val="00AD49AA"/>
    <w:rsid w:val="00AD4A36"/>
    <w:rsid w:val="00AD4ABE"/>
    <w:rsid w:val="00AD4C47"/>
    <w:rsid w:val="00AD4CE2"/>
    <w:rsid w:val="00AD4CED"/>
    <w:rsid w:val="00AD502D"/>
    <w:rsid w:val="00AD5083"/>
    <w:rsid w:val="00AD51B8"/>
    <w:rsid w:val="00AD522F"/>
    <w:rsid w:val="00AD523A"/>
    <w:rsid w:val="00AD5317"/>
    <w:rsid w:val="00AD5570"/>
    <w:rsid w:val="00AD583C"/>
    <w:rsid w:val="00AD59CC"/>
    <w:rsid w:val="00AD5BF7"/>
    <w:rsid w:val="00AD5C20"/>
    <w:rsid w:val="00AD5C33"/>
    <w:rsid w:val="00AD5D4B"/>
    <w:rsid w:val="00AD5D9E"/>
    <w:rsid w:val="00AD5F39"/>
    <w:rsid w:val="00AD5FA1"/>
    <w:rsid w:val="00AD5FDF"/>
    <w:rsid w:val="00AD5FEF"/>
    <w:rsid w:val="00AD60EE"/>
    <w:rsid w:val="00AD61ED"/>
    <w:rsid w:val="00AD6248"/>
    <w:rsid w:val="00AD6438"/>
    <w:rsid w:val="00AD64E6"/>
    <w:rsid w:val="00AD66D7"/>
    <w:rsid w:val="00AD6717"/>
    <w:rsid w:val="00AD6AF9"/>
    <w:rsid w:val="00AD6CD3"/>
    <w:rsid w:val="00AD6D04"/>
    <w:rsid w:val="00AD71C2"/>
    <w:rsid w:val="00AD72B7"/>
    <w:rsid w:val="00AD73DF"/>
    <w:rsid w:val="00AD73F3"/>
    <w:rsid w:val="00AD7405"/>
    <w:rsid w:val="00AD75CA"/>
    <w:rsid w:val="00AD76B2"/>
    <w:rsid w:val="00AD76D9"/>
    <w:rsid w:val="00AD7751"/>
    <w:rsid w:val="00AD77C4"/>
    <w:rsid w:val="00AD77E2"/>
    <w:rsid w:val="00AD78AE"/>
    <w:rsid w:val="00AD7DF3"/>
    <w:rsid w:val="00AD7E2D"/>
    <w:rsid w:val="00AD7ED6"/>
    <w:rsid w:val="00AD7FB6"/>
    <w:rsid w:val="00AE01AF"/>
    <w:rsid w:val="00AE0324"/>
    <w:rsid w:val="00AE033F"/>
    <w:rsid w:val="00AE04DB"/>
    <w:rsid w:val="00AE054A"/>
    <w:rsid w:val="00AE077F"/>
    <w:rsid w:val="00AE082F"/>
    <w:rsid w:val="00AE090A"/>
    <w:rsid w:val="00AE0B52"/>
    <w:rsid w:val="00AE0D73"/>
    <w:rsid w:val="00AE0EFD"/>
    <w:rsid w:val="00AE10A0"/>
    <w:rsid w:val="00AE1266"/>
    <w:rsid w:val="00AE1482"/>
    <w:rsid w:val="00AE14B8"/>
    <w:rsid w:val="00AE1576"/>
    <w:rsid w:val="00AE187B"/>
    <w:rsid w:val="00AE1B53"/>
    <w:rsid w:val="00AE1D64"/>
    <w:rsid w:val="00AE202F"/>
    <w:rsid w:val="00AE2141"/>
    <w:rsid w:val="00AE2249"/>
    <w:rsid w:val="00AE22F5"/>
    <w:rsid w:val="00AE2350"/>
    <w:rsid w:val="00AE247C"/>
    <w:rsid w:val="00AE2515"/>
    <w:rsid w:val="00AE25DE"/>
    <w:rsid w:val="00AE2613"/>
    <w:rsid w:val="00AE262B"/>
    <w:rsid w:val="00AE269C"/>
    <w:rsid w:val="00AE2738"/>
    <w:rsid w:val="00AE2763"/>
    <w:rsid w:val="00AE28B5"/>
    <w:rsid w:val="00AE2946"/>
    <w:rsid w:val="00AE294F"/>
    <w:rsid w:val="00AE29A9"/>
    <w:rsid w:val="00AE2B73"/>
    <w:rsid w:val="00AE2C03"/>
    <w:rsid w:val="00AE2DBA"/>
    <w:rsid w:val="00AE2DF6"/>
    <w:rsid w:val="00AE2E7F"/>
    <w:rsid w:val="00AE2E98"/>
    <w:rsid w:val="00AE2F70"/>
    <w:rsid w:val="00AE321E"/>
    <w:rsid w:val="00AE3304"/>
    <w:rsid w:val="00AE3340"/>
    <w:rsid w:val="00AE33D6"/>
    <w:rsid w:val="00AE34BB"/>
    <w:rsid w:val="00AE34FB"/>
    <w:rsid w:val="00AE35A2"/>
    <w:rsid w:val="00AE366B"/>
    <w:rsid w:val="00AE38A5"/>
    <w:rsid w:val="00AE38DE"/>
    <w:rsid w:val="00AE3923"/>
    <w:rsid w:val="00AE39F6"/>
    <w:rsid w:val="00AE3ADA"/>
    <w:rsid w:val="00AE3C58"/>
    <w:rsid w:val="00AE3C7D"/>
    <w:rsid w:val="00AE3C88"/>
    <w:rsid w:val="00AE3E07"/>
    <w:rsid w:val="00AE3E14"/>
    <w:rsid w:val="00AE3E68"/>
    <w:rsid w:val="00AE3EC4"/>
    <w:rsid w:val="00AE3F1C"/>
    <w:rsid w:val="00AE3F5D"/>
    <w:rsid w:val="00AE3F9C"/>
    <w:rsid w:val="00AE3FE8"/>
    <w:rsid w:val="00AE4154"/>
    <w:rsid w:val="00AE4271"/>
    <w:rsid w:val="00AE4276"/>
    <w:rsid w:val="00AE438B"/>
    <w:rsid w:val="00AE44E6"/>
    <w:rsid w:val="00AE47CE"/>
    <w:rsid w:val="00AE47FB"/>
    <w:rsid w:val="00AE4823"/>
    <w:rsid w:val="00AE494C"/>
    <w:rsid w:val="00AE4962"/>
    <w:rsid w:val="00AE49FD"/>
    <w:rsid w:val="00AE4B4B"/>
    <w:rsid w:val="00AE4BB2"/>
    <w:rsid w:val="00AE4BB4"/>
    <w:rsid w:val="00AE4D5D"/>
    <w:rsid w:val="00AE4DD5"/>
    <w:rsid w:val="00AE4E2B"/>
    <w:rsid w:val="00AE4EBA"/>
    <w:rsid w:val="00AE50EE"/>
    <w:rsid w:val="00AE5105"/>
    <w:rsid w:val="00AE5198"/>
    <w:rsid w:val="00AE52F6"/>
    <w:rsid w:val="00AE53A6"/>
    <w:rsid w:val="00AE53B3"/>
    <w:rsid w:val="00AE5580"/>
    <w:rsid w:val="00AE575F"/>
    <w:rsid w:val="00AE57E0"/>
    <w:rsid w:val="00AE58F4"/>
    <w:rsid w:val="00AE593E"/>
    <w:rsid w:val="00AE5A2F"/>
    <w:rsid w:val="00AE5AB7"/>
    <w:rsid w:val="00AE5B93"/>
    <w:rsid w:val="00AE5C5B"/>
    <w:rsid w:val="00AE5D57"/>
    <w:rsid w:val="00AE5D77"/>
    <w:rsid w:val="00AE5E3E"/>
    <w:rsid w:val="00AE5E4C"/>
    <w:rsid w:val="00AE5F73"/>
    <w:rsid w:val="00AE60B0"/>
    <w:rsid w:val="00AE60DD"/>
    <w:rsid w:val="00AE6169"/>
    <w:rsid w:val="00AE6212"/>
    <w:rsid w:val="00AE6277"/>
    <w:rsid w:val="00AE6300"/>
    <w:rsid w:val="00AE6450"/>
    <w:rsid w:val="00AE6474"/>
    <w:rsid w:val="00AE64B7"/>
    <w:rsid w:val="00AE669C"/>
    <w:rsid w:val="00AE6BA0"/>
    <w:rsid w:val="00AE6C1C"/>
    <w:rsid w:val="00AE6C55"/>
    <w:rsid w:val="00AE6C84"/>
    <w:rsid w:val="00AE6C8D"/>
    <w:rsid w:val="00AE6D0E"/>
    <w:rsid w:val="00AE6D14"/>
    <w:rsid w:val="00AE6DB0"/>
    <w:rsid w:val="00AE6DB8"/>
    <w:rsid w:val="00AE6E71"/>
    <w:rsid w:val="00AE6EF1"/>
    <w:rsid w:val="00AE6F41"/>
    <w:rsid w:val="00AE6FFD"/>
    <w:rsid w:val="00AE71A7"/>
    <w:rsid w:val="00AE71F4"/>
    <w:rsid w:val="00AE720A"/>
    <w:rsid w:val="00AE7236"/>
    <w:rsid w:val="00AE7262"/>
    <w:rsid w:val="00AE7265"/>
    <w:rsid w:val="00AE7285"/>
    <w:rsid w:val="00AE73CC"/>
    <w:rsid w:val="00AE748C"/>
    <w:rsid w:val="00AE75BC"/>
    <w:rsid w:val="00AE76E7"/>
    <w:rsid w:val="00AE7711"/>
    <w:rsid w:val="00AE7738"/>
    <w:rsid w:val="00AE7845"/>
    <w:rsid w:val="00AE7846"/>
    <w:rsid w:val="00AE7953"/>
    <w:rsid w:val="00AE79A5"/>
    <w:rsid w:val="00AE79BB"/>
    <w:rsid w:val="00AE7A61"/>
    <w:rsid w:val="00AE7BDE"/>
    <w:rsid w:val="00AE7C32"/>
    <w:rsid w:val="00AE7C4F"/>
    <w:rsid w:val="00AE7E89"/>
    <w:rsid w:val="00AF004B"/>
    <w:rsid w:val="00AF0160"/>
    <w:rsid w:val="00AF03EC"/>
    <w:rsid w:val="00AF056C"/>
    <w:rsid w:val="00AF079A"/>
    <w:rsid w:val="00AF07B0"/>
    <w:rsid w:val="00AF08AA"/>
    <w:rsid w:val="00AF08FE"/>
    <w:rsid w:val="00AF0AAC"/>
    <w:rsid w:val="00AF0ABE"/>
    <w:rsid w:val="00AF0B1A"/>
    <w:rsid w:val="00AF0B4C"/>
    <w:rsid w:val="00AF0EE5"/>
    <w:rsid w:val="00AF0F09"/>
    <w:rsid w:val="00AF1021"/>
    <w:rsid w:val="00AF1201"/>
    <w:rsid w:val="00AF1212"/>
    <w:rsid w:val="00AF121D"/>
    <w:rsid w:val="00AF1415"/>
    <w:rsid w:val="00AF155B"/>
    <w:rsid w:val="00AF156E"/>
    <w:rsid w:val="00AF1649"/>
    <w:rsid w:val="00AF17C8"/>
    <w:rsid w:val="00AF1872"/>
    <w:rsid w:val="00AF18AE"/>
    <w:rsid w:val="00AF1992"/>
    <w:rsid w:val="00AF19D6"/>
    <w:rsid w:val="00AF1B06"/>
    <w:rsid w:val="00AF1CDC"/>
    <w:rsid w:val="00AF1D91"/>
    <w:rsid w:val="00AF1E54"/>
    <w:rsid w:val="00AF1EF0"/>
    <w:rsid w:val="00AF1F74"/>
    <w:rsid w:val="00AF213E"/>
    <w:rsid w:val="00AF22A0"/>
    <w:rsid w:val="00AF22D9"/>
    <w:rsid w:val="00AF2497"/>
    <w:rsid w:val="00AF251D"/>
    <w:rsid w:val="00AF2640"/>
    <w:rsid w:val="00AF2835"/>
    <w:rsid w:val="00AF28EE"/>
    <w:rsid w:val="00AF2988"/>
    <w:rsid w:val="00AF2A0F"/>
    <w:rsid w:val="00AF2F9E"/>
    <w:rsid w:val="00AF3087"/>
    <w:rsid w:val="00AF313E"/>
    <w:rsid w:val="00AF3374"/>
    <w:rsid w:val="00AF35A2"/>
    <w:rsid w:val="00AF369D"/>
    <w:rsid w:val="00AF3777"/>
    <w:rsid w:val="00AF37FE"/>
    <w:rsid w:val="00AF3846"/>
    <w:rsid w:val="00AF396C"/>
    <w:rsid w:val="00AF3B44"/>
    <w:rsid w:val="00AF3B69"/>
    <w:rsid w:val="00AF3BBB"/>
    <w:rsid w:val="00AF3BDD"/>
    <w:rsid w:val="00AF3D6B"/>
    <w:rsid w:val="00AF3E6C"/>
    <w:rsid w:val="00AF4021"/>
    <w:rsid w:val="00AF40A4"/>
    <w:rsid w:val="00AF4163"/>
    <w:rsid w:val="00AF41F3"/>
    <w:rsid w:val="00AF4356"/>
    <w:rsid w:val="00AF4359"/>
    <w:rsid w:val="00AF461D"/>
    <w:rsid w:val="00AF48B3"/>
    <w:rsid w:val="00AF49BE"/>
    <w:rsid w:val="00AF4A46"/>
    <w:rsid w:val="00AF4AAE"/>
    <w:rsid w:val="00AF4C7B"/>
    <w:rsid w:val="00AF4CC8"/>
    <w:rsid w:val="00AF4D2C"/>
    <w:rsid w:val="00AF4F4B"/>
    <w:rsid w:val="00AF4FB8"/>
    <w:rsid w:val="00AF50BB"/>
    <w:rsid w:val="00AF5139"/>
    <w:rsid w:val="00AF517C"/>
    <w:rsid w:val="00AF5292"/>
    <w:rsid w:val="00AF533A"/>
    <w:rsid w:val="00AF55D2"/>
    <w:rsid w:val="00AF5634"/>
    <w:rsid w:val="00AF5688"/>
    <w:rsid w:val="00AF583B"/>
    <w:rsid w:val="00AF5F6F"/>
    <w:rsid w:val="00AF5FEF"/>
    <w:rsid w:val="00AF600D"/>
    <w:rsid w:val="00AF61EB"/>
    <w:rsid w:val="00AF63F2"/>
    <w:rsid w:val="00AF64BA"/>
    <w:rsid w:val="00AF65FC"/>
    <w:rsid w:val="00AF6619"/>
    <w:rsid w:val="00AF68CB"/>
    <w:rsid w:val="00AF6A28"/>
    <w:rsid w:val="00AF6B43"/>
    <w:rsid w:val="00AF6C65"/>
    <w:rsid w:val="00AF6C78"/>
    <w:rsid w:val="00AF6CD0"/>
    <w:rsid w:val="00AF6D6D"/>
    <w:rsid w:val="00AF6DF3"/>
    <w:rsid w:val="00AF6E17"/>
    <w:rsid w:val="00AF6F84"/>
    <w:rsid w:val="00AF6FBC"/>
    <w:rsid w:val="00AF71B6"/>
    <w:rsid w:val="00AF7209"/>
    <w:rsid w:val="00AF7241"/>
    <w:rsid w:val="00AF7383"/>
    <w:rsid w:val="00AF754D"/>
    <w:rsid w:val="00AF759D"/>
    <w:rsid w:val="00AF7835"/>
    <w:rsid w:val="00AF792F"/>
    <w:rsid w:val="00AF7B88"/>
    <w:rsid w:val="00AF7C28"/>
    <w:rsid w:val="00AF7CCF"/>
    <w:rsid w:val="00AF7D0D"/>
    <w:rsid w:val="00AF7E2F"/>
    <w:rsid w:val="00B000B3"/>
    <w:rsid w:val="00B001E4"/>
    <w:rsid w:val="00B00242"/>
    <w:rsid w:val="00B00253"/>
    <w:rsid w:val="00B0029F"/>
    <w:rsid w:val="00B00503"/>
    <w:rsid w:val="00B00541"/>
    <w:rsid w:val="00B00A3C"/>
    <w:rsid w:val="00B00B16"/>
    <w:rsid w:val="00B00B7A"/>
    <w:rsid w:val="00B00BF0"/>
    <w:rsid w:val="00B00C2A"/>
    <w:rsid w:val="00B00D31"/>
    <w:rsid w:val="00B00D68"/>
    <w:rsid w:val="00B00F70"/>
    <w:rsid w:val="00B0101D"/>
    <w:rsid w:val="00B0103F"/>
    <w:rsid w:val="00B0107F"/>
    <w:rsid w:val="00B010C8"/>
    <w:rsid w:val="00B0122D"/>
    <w:rsid w:val="00B0145D"/>
    <w:rsid w:val="00B01471"/>
    <w:rsid w:val="00B015DB"/>
    <w:rsid w:val="00B01700"/>
    <w:rsid w:val="00B0193B"/>
    <w:rsid w:val="00B01C93"/>
    <w:rsid w:val="00B01D26"/>
    <w:rsid w:val="00B01DB9"/>
    <w:rsid w:val="00B01EC0"/>
    <w:rsid w:val="00B01F22"/>
    <w:rsid w:val="00B01FCA"/>
    <w:rsid w:val="00B02135"/>
    <w:rsid w:val="00B0216D"/>
    <w:rsid w:val="00B0216E"/>
    <w:rsid w:val="00B02175"/>
    <w:rsid w:val="00B021C9"/>
    <w:rsid w:val="00B02274"/>
    <w:rsid w:val="00B022EC"/>
    <w:rsid w:val="00B02392"/>
    <w:rsid w:val="00B02642"/>
    <w:rsid w:val="00B02873"/>
    <w:rsid w:val="00B02958"/>
    <w:rsid w:val="00B0297A"/>
    <w:rsid w:val="00B02AE8"/>
    <w:rsid w:val="00B02B82"/>
    <w:rsid w:val="00B02C2E"/>
    <w:rsid w:val="00B02D29"/>
    <w:rsid w:val="00B02DED"/>
    <w:rsid w:val="00B02F8D"/>
    <w:rsid w:val="00B03207"/>
    <w:rsid w:val="00B03370"/>
    <w:rsid w:val="00B03436"/>
    <w:rsid w:val="00B0356A"/>
    <w:rsid w:val="00B035B1"/>
    <w:rsid w:val="00B0371D"/>
    <w:rsid w:val="00B037C6"/>
    <w:rsid w:val="00B0392C"/>
    <w:rsid w:val="00B03948"/>
    <w:rsid w:val="00B03981"/>
    <w:rsid w:val="00B039EA"/>
    <w:rsid w:val="00B03A18"/>
    <w:rsid w:val="00B03A1B"/>
    <w:rsid w:val="00B03AF2"/>
    <w:rsid w:val="00B03CC3"/>
    <w:rsid w:val="00B03E86"/>
    <w:rsid w:val="00B03F09"/>
    <w:rsid w:val="00B03FFE"/>
    <w:rsid w:val="00B0412E"/>
    <w:rsid w:val="00B0424F"/>
    <w:rsid w:val="00B0425C"/>
    <w:rsid w:val="00B0428E"/>
    <w:rsid w:val="00B042EC"/>
    <w:rsid w:val="00B04328"/>
    <w:rsid w:val="00B04386"/>
    <w:rsid w:val="00B044AC"/>
    <w:rsid w:val="00B0462E"/>
    <w:rsid w:val="00B04647"/>
    <w:rsid w:val="00B04936"/>
    <w:rsid w:val="00B04A55"/>
    <w:rsid w:val="00B04B25"/>
    <w:rsid w:val="00B04B57"/>
    <w:rsid w:val="00B04BC5"/>
    <w:rsid w:val="00B04D30"/>
    <w:rsid w:val="00B04FDD"/>
    <w:rsid w:val="00B05093"/>
    <w:rsid w:val="00B05386"/>
    <w:rsid w:val="00B05464"/>
    <w:rsid w:val="00B054EB"/>
    <w:rsid w:val="00B055E8"/>
    <w:rsid w:val="00B05687"/>
    <w:rsid w:val="00B05829"/>
    <w:rsid w:val="00B05A58"/>
    <w:rsid w:val="00B05B83"/>
    <w:rsid w:val="00B05D8C"/>
    <w:rsid w:val="00B05FC5"/>
    <w:rsid w:val="00B05FD6"/>
    <w:rsid w:val="00B061A1"/>
    <w:rsid w:val="00B0622E"/>
    <w:rsid w:val="00B063C1"/>
    <w:rsid w:val="00B06481"/>
    <w:rsid w:val="00B06510"/>
    <w:rsid w:val="00B06855"/>
    <w:rsid w:val="00B0686D"/>
    <w:rsid w:val="00B068D7"/>
    <w:rsid w:val="00B068F9"/>
    <w:rsid w:val="00B06914"/>
    <w:rsid w:val="00B069C4"/>
    <w:rsid w:val="00B06A04"/>
    <w:rsid w:val="00B06AFE"/>
    <w:rsid w:val="00B06B42"/>
    <w:rsid w:val="00B06C1D"/>
    <w:rsid w:val="00B06D18"/>
    <w:rsid w:val="00B06F77"/>
    <w:rsid w:val="00B06F9A"/>
    <w:rsid w:val="00B07116"/>
    <w:rsid w:val="00B07136"/>
    <w:rsid w:val="00B07235"/>
    <w:rsid w:val="00B07264"/>
    <w:rsid w:val="00B07283"/>
    <w:rsid w:val="00B07357"/>
    <w:rsid w:val="00B0783D"/>
    <w:rsid w:val="00B07849"/>
    <w:rsid w:val="00B0784E"/>
    <w:rsid w:val="00B07B01"/>
    <w:rsid w:val="00B07C25"/>
    <w:rsid w:val="00B07CD2"/>
    <w:rsid w:val="00B07CDA"/>
    <w:rsid w:val="00B07EE1"/>
    <w:rsid w:val="00B07EF5"/>
    <w:rsid w:val="00B1034F"/>
    <w:rsid w:val="00B1074C"/>
    <w:rsid w:val="00B10893"/>
    <w:rsid w:val="00B10964"/>
    <w:rsid w:val="00B109DE"/>
    <w:rsid w:val="00B109F4"/>
    <w:rsid w:val="00B10AF4"/>
    <w:rsid w:val="00B10E5B"/>
    <w:rsid w:val="00B10E6F"/>
    <w:rsid w:val="00B11065"/>
    <w:rsid w:val="00B1107B"/>
    <w:rsid w:val="00B1114F"/>
    <w:rsid w:val="00B11178"/>
    <w:rsid w:val="00B11276"/>
    <w:rsid w:val="00B113A2"/>
    <w:rsid w:val="00B11495"/>
    <w:rsid w:val="00B114E8"/>
    <w:rsid w:val="00B11681"/>
    <w:rsid w:val="00B116DA"/>
    <w:rsid w:val="00B118D1"/>
    <w:rsid w:val="00B11CD3"/>
    <w:rsid w:val="00B11DA5"/>
    <w:rsid w:val="00B11EB0"/>
    <w:rsid w:val="00B11EB5"/>
    <w:rsid w:val="00B11F8E"/>
    <w:rsid w:val="00B120A4"/>
    <w:rsid w:val="00B12447"/>
    <w:rsid w:val="00B125B5"/>
    <w:rsid w:val="00B12707"/>
    <w:rsid w:val="00B127E9"/>
    <w:rsid w:val="00B127EF"/>
    <w:rsid w:val="00B12CC2"/>
    <w:rsid w:val="00B12D99"/>
    <w:rsid w:val="00B12F11"/>
    <w:rsid w:val="00B130D4"/>
    <w:rsid w:val="00B132CA"/>
    <w:rsid w:val="00B13425"/>
    <w:rsid w:val="00B13584"/>
    <w:rsid w:val="00B13586"/>
    <w:rsid w:val="00B13650"/>
    <w:rsid w:val="00B136FA"/>
    <w:rsid w:val="00B136FB"/>
    <w:rsid w:val="00B13834"/>
    <w:rsid w:val="00B13921"/>
    <w:rsid w:val="00B13A5F"/>
    <w:rsid w:val="00B13AD7"/>
    <w:rsid w:val="00B13C6E"/>
    <w:rsid w:val="00B13D03"/>
    <w:rsid w:val="00B13E48"/>
    <w:rsid w:val="00B13E95"/>
    <w:rsid w:val="00B13EF3"/>
    <w:rsid w:val="00B1439A"/>
    <w:rsid w:val="00B147A6"/>
    <w:rsid w:val="00B14911"/>
    <w:rsid w:val="00B14921"/>
    <w:rsid w:val="00B14950"/>
    <w:rsid w:val="00B14A07"/>
    <w:rsid w:val="00B14BC9"/>
    <w:rsid w:val="00B14C86"/>
    <w:rsid w:val="00B14F93"/>
    <w:rsid w:val="00B14FA5"/>
    <w:rsid w:val="00B14FE5"/>
    <w:rsid w:val="00B150AB"/>
    <w:rsid w:val="00B15143"/>
    <w:rsid w:val="00B15401"/>
    <w:rsid w:val="00B15478"/>
    <w:rsid w:val="00B154C3"/>
    <w:rsid w:val="00B1557C"/>
    <w:rsid w:val="00B15620"/>
    <w:rsid w:val="00B156D7"/>
    <w:rsid w:val="00B15785"/>
    <w:rsid w:val="00B15910"/>
    <w:rsid w:val="00B15C09"/>
    <w:rsid w:val="00B15C60"/>
    <w:rsid w:val="00B15C9E"/>
    <w:rsid w:val="00B15CB9"/>
    <w:rsid w:val="00B15E69"/>
    <w:rsid w:val="00B15F1D"/>
    <w:rsid w:val="00B15FA7"/>
    <w:rsid w:val="00B16175"/>
    <w:rsid w:val="00B162BC"/>
    <w:rsid w:val="00B162E6"/>
    <w:rsid w:val="00B16375"/>
    <w:rsid w:val="00B163BF"/>
    <w:rsid w:val="00B163F3"/>
    <w:rsid w:val="00B1665B"/>
    <w:rsid w:val="00B166F7"/>
    <w:rsid w:val="00B168E5"/>
    <w:rsid w:val="00B1695A"/>
    <w:rsid w:val="00B16ACC"/>
    <w:rsid w:val="00B16AF3"/>
    <w:rsid w:val="00B16B8E"/>
    <w:rsid w:val="00B16C95"/>
    <w:rsid w:val="00B16FC2"/>
    <w:rsid w:val="00B16FF1"/>
    <w:rsid w:val="00B171DE"/>
    <w:rsid w:val="00B171EF"/>
    <w:rsid w:val="00B17273"/>
    <w:rsid w:val="00B172D9"/>
    <w:rsid w:val="00B17431"/>
    <w:rsid w:val="00B17583"/>
    <w:rsid w:val="00B1762C"/>
    <w:rsid w:val="00B1762D"/>
    <w:rsid w:val="00B1764D"/>
    <w:rsid w:val="00B176D6"/>
    <w:rsid w:val="00B17A1F"/>
    <w:rsid w:val="00B17A66"/>
    <w:rsid w:val="00B17C4B"/>
    <w:rsid w:val="00B17D77"/>
    <w:rsid w:val="00B17DFD"/>
    <w:rsid w:val="00B17E06"/>
    <w:rsid w:val="00B17EA7"/>
    <w:rsid w:val="00B2027F"/>
    <w:rsid w:val="00B20317"/>
    <w:rsid w:val="00B203D2"/>
    <w:rsid w:val="00B20459"/>
    <w:rsid w:val="00B2049C"/>
    <w:rsid w:val="00B2073D"/>
    <w:rsid w:val="00B20833"/>
    <w:rsid w:val="00B2092E"/>
    <w:rsid w:val="00B20958"/>
    <w:rsid w:val="00B20E00"/>
    <w:rsid w:val="00B20E8C"/>
    <w:rsid w:val="00B211FC"/>
    <w:rsid w:val="00B21313"/>
    <w:rsid w:val="00B21458"/>
    <w:rsid w:val="00B214D7"/>
    <w:rsid w:val="00B21579"/>
    <w:rsid w:val="00B2163B"/>
    <w:rsid w:val="00B217D0"/>
    <w:rsid w:val="00B21821"/>
    <w:rsid w:val="00B218D1"/>
    <w:rsid w:val="00B21948"/>
    <w:rsid w:val="00B21BC1"/>
    <w:rsid w:val="00B21EAC"/>
    <w:rsid w:val="00B21EE4"/>
    <w:rsid w:val="00B22072"/>
    <w:rsid w:val="00B22082"/>
    <w:rsid w:val="00B220DB"/>
    <w:rsid w:val="00B22194"/>
    <w:rsid w:val="00B221A9"/>
    <w:rsid w:val="00B22291"/>
    <w:rsid w:val="00B2234B"/>
    <w:rsid w:val="00B223D7"/>
    <w:rsid w:val="00B223E0"/>
    <w:rsid w:val="00B225FD"/>
    <w:rsid w:val="00B22747"/>
    <w:rsid w:val="00B2275A"/>
    <w:rsid w:val="00B22AEF"/>
    <w:rsid w:val="00B22C3D"/>
    <w:rsid w:val="00B22C9B"/>
    <w:rsid w:val="00B2300B"/>
    <w:rsid w:val="00B23208"/>
    <w:rsid w:val="00B232AF"/>
    <w:rsid w:val="00B23369"/>
    <w:rsid w:val="00B2367C"/>
    <w:rsid w:val="00B2394A"/>
    <w:rsid w:val="00B2397C"/>
    <w:rsid w:val="00B23C62"/>
    <w:rsid w:val="00B23D4A"/>
    <w:rsid w:val="00B23ECC"/>
    <w:rsid w:val="00B23FCE"/>
    <w:rsid w:val="00B23FEC"/>
    <w:rsid w:val="00B2402A"/>
    <w:rsid w:val="00B24056"/>
    <w:rsid w:val="00B24256"/>
    <w:rsid w:val="00B24434"/>
    <w:rsid w:val="00B24452"/>
    <w:rsid w:val="00B244FD"/>
    <w:rsid w:val="00B245C2"/>
    <w:rsid w:val="00B245D1"/>
    <w:rsid w:val="00B24660"/>
    <w:rsid w:val="00B24687"/>
    <w:rsid w:val="00B246BA"/>
    <w:rsid w:val="00B24786"/>
    <w:rsid w:val="00B247CA"/>
    <w:rsid w:val="00B2484A"/>
    <w:rsid w:val="00B248C0"/>
    <w:rsid w:val="00B24AA3"/>
    <w:rsid w:val="00B24C2F"/>
    <w:rsid w:val="00B24CE4"/>
    <w:rsid w:val="00B24D26"/>
    <w:rsid w:val="00B24D7A"/>
    <w:rsid w:val="00B24E4B"/>
    <w:rsid w:val="00B24EB1"/>
    <w:rsid w:val="00B24F14"/>
    <w:rsid w:val="00B25085"/>
    <w:rsid w:val="00B250C8"/>
    <w:rsid w:val="00B251F0"/>
    <w:rsid w:val="00B2526C"/>
    <w:rsid w:val="00B254DE"/>
    <w:rsid w:val="00B2564D"/>
    <w:rsid w:val="00B256BD"/>
    <w:rsid w:val="00B256F5"/>
    <w:rsid w:val="00B25AD2"/>
    <w:rsid w:val="00B25BAC"/>
    <w:rsid w:val="00B25C8D"/>
    <w:rsid w:val="00B25E37"/>
    <w:rsid w:val="00B25E8C"/>
    <w:rsid w:val="00B25F72"/>
    <w:rsid w:val="00B26011"/>
    <w:rsid w:val="00B2602E"/>
    <w:rsid w:val="00B2602F"/>
    <w:rsid w:val="00B26153"/>
    <w:rsid w:val="00B26273"/>
    <w:rsid w:val="00B262F3"/>
    <w:rsid w:val="00B26328"/>
    <w:rsid w:val="00B2665B"/>
    <w:rsid w:val="00B266EB"/>
    <w:rsid w:val="00B26780"/>
    <w:rsid w:val="00B267DC"/>
    <w:rsid w:val="00B267E9"/>
    <w:rsid w:val="00B267ED"/>
    <w:rsid w:val="00B268AB"/>
    <w:rsid w:val="00B268B4"/>
    <w:rsid w:val="00B26A35"/>
    <w:rsid w:val="00B26B63"/>
    <w:rsid w:val="00B26C00"/>
    <w:rsid w:val="00B26D57"/>
    <w:rsid w:val="00B26DC0"/>
    <w:rsid w:val="00B26DD5"/>
    <w:rsid w:val="00B26DE5"/>
    <w:rsid w:val="00B26E07"/>
    <w:rsid w:val="00B26FD7"/>
    <w:rsid w:val="00B27183"/>
    <w:rsid w:val="00B271F5"/>
    <w:rsid w:val="00B27253"/>
    <w:rsid w:val="00B272DB"/>
    <w:rsid w:val="00B275A3"/>
    <w:rsid w:val="00B276B9"/>
    <w:rsid w:val="00B276D1"/>
    <w:rsid w:val="00B2776F"/>
    <w:rsid w:val="00B27825"/>
    <w:rsid w:val="00B279A7"/>
    <w:rsid w:val="00B27A91"/>
    <w:rsid w:val="00B27BF4"/>
    <w:rsid w:val="00B27D73"/>
    <w:rsid w:val="00B27E33"/>
    <w:rsid w:val="00B27F8C"/>
    <w:rsid w:val="00B3010E"/>
    <w:rsid w:val="00B30183"/>
    <w:rsid w:val="00B301B4"/>
    <w:rsid w:val="00B302C1"/>
    <w:rsid w:val="00B30331"/>
    <w:rsid w:val="00B303A6"/>
    <w:rsid w:val="00B303ED"/>
    <w:rsid w:val="00B3047F"/>
    <w:rsid w:val="00B304D0"/>
    <w:rsid w:val="00B30522"/>
    <w:rsid w:val="00B30540"/>
    <w:rsid w:val="00B30611"/>
    <w:rsid w:val="00B30661"/>
    <w:rsid w:val="00B308AB"/>
    <w:rsid w:val="00B309DD"/>
    <w:rsid w:val="00B30A2B"/>
    <w:rsid w:val="00B30C8F"/>
    <w:rsid w:val="00B30D7B"/>
    <w:rsid w:val="00B30DE9"/>
    <w:rsid w:val="00B30E07"/>
    <w:rsid w:val="00B31040"/>
    <w:rsid w:val="00B310F1"/>
    <w:rsid w:val="00B310FD"/>
    <w:rsid w:val="00B312D2"/>
    <w:rsid w:val="00B31573"/>
    <w:rsid w:val="00B3161A"/>
    <w:rsid w:val="00B31626"/>
    <w:rsid w:val="00B316D7"/>
    <w:rsid w:val="00B31720"/>
    <w:rsid w:val="00B31844"/>
    <w:rsid w:val="00B3190B"/>
    <w:rsid w:val="00B31916"/>
    <w:rsid w:val="00B319E0"/>
    <w:rsid w:val="00B31A0A"/>
    <w:rsid w:val="00B31C67"/>
    <w:rsid w:val="00B31C8C"/>
    <w:rsid w:val="00B31D12"/>
    <w:rsid w:val="00B31D5E"/>
    <w:rsid w:val="00B31FC9"/>
    <w:rsid w:val="00B32086"/>
    <w:rsid w:val="00B321D0"/>
    <w:rsid w:val="00B323D5"/>
    <w:rsid w:val="00B3247A"/>
    <w:rsid w:val="00B32486"/>
    <w:rsid w:val="00B3259C"/>
    <w:rsid w:val="00B32627"/>
    <w:rsid w:val="00B32650"/>
    <w:rsid w:val="00B326C4"/>
    <w:rsid w:val="00B328DE"/>
    <w:rsid w:val="00B32915"/>
    <w:rsid w:val="00B32918"/>
    <w:rsid w:val="00B32977"/>
    <w:rsid w:val="00B32B63"/>
    <w:rsid w:val="00B32C9A"/>
    <w:rsid w:val="00B32D47"/>
    <w:rsid w:val="00B32E12"/>
    <w:rsid w:val="00B32E24"/>
    <w:rsid w:val="00B32EE4"/>
    <w:rsid w:val="00B33046"/>
    <w:rsid w:val="00B33083"/>
    <w:rsid w:val="00B330B4"/>
    <w:rsid w:val="00B331A6"/>
    <w:rsid w:val="00B331AE"/>
    <w:rsid w:val="00B331F5"/>
    <w:rsid w:val="00B33210"/>
    <w:rsid w:val="00B33620"/>
    <w:rsid w:val="00B336E8"/>
    <w:rsid w:val="00B33862"/>
    <w:rsid w:val="00B33975"/>
    <w:rsid w:val="00B33A3F"/>
    <w:rsid w:val="00B33BF4"/>
    <w:rsid w:val="00B33CF3"/>
    <w:rsid w:val="00B33DA9"/>
    <w:rsid w:val="00B33E5C"/>
    <w:rsid w:val="00B33EB7"/>
    <w:rsid w:val="00B34257"/>
    <w:rsid w:val="00B34318"/>
    <w:rsid w:val="00B34435"/>
    <w:rsid w:val="00B3454B"/>
    <w:rsid w:val="00B345D5"/>
    <w:rsid w:val="00B34601"/>
    <w:rsid w:val="00B34613"/>
    <w:rsid w:val="00B34618"/>
    <w:rsid w:val="00B346B5"/>
    <w:rsid w:val="00B34784"/>
    <w:rsid w:val="00B3485C"/>
    <w:rsid w:val="00B3485E"/>
    <w:rsid w:val="00B348BD"/>
    <w:rsid w:val="00B34CD0"/>
    <w:rsid w:val="00B34DC5"/>
    <w:rsid w:val="00B34E29"/>
    <w:rsid w:val="00B34ED6"/>
    <w:rsid w:val="00B34FA0"/>
    <w:rsid w:val="00B35025"/>
    <w:rsid w:val="00B35142"/>
    <w:rsid w:val="00B351EB"/>
    <w:rsid w:val="00B3541E"/>
    <w:rsid w:val="00B35449"/>
    <w:rsid w:val="00B354AE"/>
    <w:rsid w:val="00B35532"/>
    <w:rsid w:val="00B3575F"/>
    <w:rsid w:val="00B357A5"/>
    <w:rsid w:val="00B35A19"/>
    <w:rsid w:val="00B35B4E"/>
    <w:rsid w:val="00B35BB7"/>
    <w:rsid w:val="00B35C79"/>
    <w:rsid w:val="00B35D06"/>
    <w:rsid w:val="00B35D66"/>
    <w:rsid w:val="00B35EC0"/>
    <w:rsid w:val="00B36158"/>
    <w:rsid w:val="00B361DD"/>
    <w:rsid w:val="00B363F0"/>
    <w:rsid w:val="00B36544"/>
    <w:rsid w:val="00B3666C"/>
    <w:rsid w:val="00B367B5"/>
    <w:rsid w:val="00B367E9"/>
    <w:rsid w:val="00B3682B"/>
    <w:rsid w:val="00B36937"/>
    <w:rsid w:val="00B36C33"/>
    <w:rsid w:val="00B372B3"/>
    <w:rsid w:val="00B3766C"/>
    <w:rsid w:val="00B3772F"/>
    <w:rsid w:val="00B37906"/>
    <w:rsid w:val="00B3792F"/>
    <w:rsid w:val="00B37A5E"/>
    <w:rsid w:val="00B37AFE"/>
    <w:rsid w:val="00B40059"/>
    <w:rsid w:val="00B402F1"/>
    <w:rsid w:val="00B4052C"/>
    <w:rsid w:val="00B40755"/>
    <w:rsid w:val="00B4084D"/>
    <w:rsid w:val="00B408D3"/>
    <w:rsid w:val="00B40AC2"/>
    <w:rsid w:val="00B40CAA"/>
    <w:rsid w:val="00B40CB0"/>
    <w:rsid w:val="00B40E21"/>
    <w:rsid w:val="00B40EC6"/>
    <w:rsid w:val="00B41016"/>
    <w:rsid w:val="00B4112A"/>
    <w:rsid w:val="00B412B3"/>
    <w:rsid w:val="00B413FC"/>
    <w:rsid w:val="00B41400"/>
    <w:rsid w:val="00B41455"/>
    <w:rsid w:val="00B414F7"/>
    <w:rsid w:val="00B414FE"/>
    <w:rsid w:val="00B41640"/>
    <w:rsid w:val="00B4186B"/>
    <w:rsid w:val="00B41917"/>
    <w:rsid w:val="00B41927"/>
    <w:rsid w:val="00B4197B"/>
    <w:rsid w:val="00B419BA"/>
    <w:rsid w:val="00B419CB"/>
    <w:rsid w:val="00B419D5"/>
    <w:rsid w:val="00B419E4"/>
    <w:rsid w:val="00B41AC4"/>
    <w:rsid w:val="00B41EF3"/>
    <w:rsid w:val="00B41FCB"/>
    <w:rsid w:val="00B4219C"/>
    <w:rsid w:val="00B421CA"/>
    <w:rsid w:val="00B4276A"/>
    <w:rsid w:val="00B4279C"/>
    <w:rsid w:val="00B42905"/>
    <w:rsid w:val="00B4291B"/>
    <w:rsid w:val="00B42954"/>
    <w:rsid w:val="00B4296F"/>
    <w:rsid w:val="00B429D1"/>
    <w:rsid w:val="00B42A15"/>
    <w:rsid w:val="00B42D5B"/>
    <w:rsid w:val="00B42EEA"/>
    <w:rsid w:val="00B42F1E"/>
    <w:rsid w:val="00B43061"/>
    <w:rsid w:val="00B43290"/>
    <w:rsid w:val="00B4333C"/>
    <w:rsid w:val="00B437FB"/>
    <w:rsid w:val="00B43AD8"/>
    <w:rsid w:val="00B43B0B"/>
    <w:rsid w:val="00B43C01"/>
    <w:rsid w:val="00B43E6C"/>
    <w:rsid w:val="00B43EAD"/>
    <w:rsid w:val="00B43F2C"/>
    <w:rsid w:val="00B43F9C"/>
    <w:rsid w:val="00B440DA"/>
    <w:rsid w:val="00B443FA"/>
    <w:rsid w:val="00B44662"/>
    <w:rsid w:val="00B4467E"/>
    <w:rsid w:val="00B44817"/>
    <w:rsid w:val="00B4499C"/>
    <w:rsid w:val="00B449FE"/>
    <w:rsid w:val="00B44D06"/>
    <w:rsid w:val="00B45542"/>
    <w:rsid w:val="00B455AD"/>
    <w:rsid w:val="00B455FF"/>
    <w:rsid w:val="00B45610"/>
    <w:rsid w:val="00B45630"/>
    <w:rsid w:val="00B456E3"/>
    <w:rsid w:val="00B45795"/>
    <w:rsid w:val="00B4596A"/>
    <w:rsid w:val="00B45BCD"/>
    <w:rsid w:val="00B45BD1"/>
    <w:rsid w:val="00B45C17"/>
    <w:rsid w:val="00B46129"/>
    <w:rsid w:val="00B46166"/>
    <w:rsid w:val="00B4619D"/>
    <w:rsid w:val="00B46267"/>
    <w:rsid w:val="00B4656A"/>
    <w:rsid w:val="00B46651"/>
    <w:rsid w:val="00B467A2"/>
    <w:rsid w:val="00B467FF"/>
    <w:rsid w:val="00B469CE"/>
    <w:rsid w:val="00B46A2E"/>
    <w:rsid w:val="00B46B87"/>
    <w:rsid w:val="00B46BAD"/>
    <w:rsid w:val="00B46C30"/>
    <w:rsid w:val="00B46C58"/>
    <w:rsid w:val="00B46D0D"/>
    <w:rsid w:val="00B46D4C"/>
    <w:rsid w:val="00B46D79"/>
    <w:rsid w:val="00B46DB0"/>
    <w:rsid w:val="00B46E85"/>
    <w:rsid w:val="00B46F61"/>
    <w:rsid w:val="00B46F63"/>
    <w:rsid w:val="00B4726C"/>
    <w:rsid w:val="00B47332"/>
    <w:rsid w:val="00B47488"/>
    <w:rsid w:val="00B47571"/>
    <w:rsid w:val="00B47721"/>
    <w:rsid w:val="00B4783F"/>
    <w:rsid w:val="00B47B47"/>
    <w:rsid w:val="00B47C1F"/>
    <w:rsid w:val="00B47CE5"/>
    <w:rsid w:val="00B47D00"/>
    <w:rsid w:val="00B47E2B"/>
    <w:rsid w:val="00B502A7"/>
    <w:rsid w:val="00B502D4"/>
    <w:rsid w:val="00B50367"/>
    <w:rsid w:val="00B503B0"/>
    <w:rsid w:val="00B5057D"/>
    <w:rsid w:val="00B50595"/>
    <w:rsid w:val="00B505B1"/>
    <w:rsid w:val="00B505E3"/>
    <w:rsid w:val="00B507F7"/>
    <w:rsid w:val="00B507F8"/>
    <w:rsid w:val="00B5085A"/>
    <w:rsid w:val="00B5085D"/>
    <w:rsid w:val="00B509A1"/>
    <w:rsid w:val="00B50BB9"/>
    <w:rsid w:val="00B50D4E"/>
    <w:rsid w:val="00B50E3A"/>
    <w:rsid w:val="00B50F9E"/>
    <w:rsid w:val="00B513F3"/>
    <w:rsid w:val="00B5190F"/>
    <w:rsid w:val="00B5196E"/>
    <w:rsid w:val="00B51B24"/>
    <w:rsid w:val="00B51CF8"/>
    <w:rsid w:val="00B51D1F"/>
    <w:rsid w:val="00B51D5C"/>
    <w:rsid w:val="00B51FE4"/>
    <w:rsid w:val="00B52513"/>
    <w:rsid w:val="00B525F9"/>
    <w:rsid w:val="00B5261F"/>
    <w:rsid w:val="00B526D2"/>
    <w:rsid w:val="00B52824"/>
    <w:rsid w:val="00B52880"/>
    <w:rsid w:val="00B52883"/>
    <w:rsid w:val="00B528B1"/>
    <w:rsid w:val="00B529A9"/>
    <w:rsid w:val="00B52A9F"/>
    <w:rsid w:val="00B52D6C"/>
    <w:rsid w:val="00B52E3D"/>
    <w:rsid w:val="00B52FBC"/>
    <w:rsid w:val="00B5332A"/>
    <w:rsid w:val="00B53345"/>
    <w:rsid w:val="00B53421"/>
    <w:rsid w:val="00B534E5"/>
    <w:rsid w:val="00B53824"/>
    <w:rsid w:val="00B5385E"/>
    <w:rsid w:val="00B538D4"/>
    <w:rsid w:val="00B539E8"/>
    <w:rsid w:val="00B53A71"/>
    <w:rsid w:val="00B53B2C"/>
    <w:rsid w:val="00B53C96"/>
    <w:rsid w:val="00B53D7F"/>
    <w:rsid w:val="00B53FD4"/>
    <w:rsid w:val="00B54044"/>
    <w:rsid w:val="00B541C1"/>
    <w:rsid w:val="00B542F9"/>
    <w:rsid w:val="00B54361"/>
    <w:rsid w:val="00B5456B"/>
    <w:rsid w:val="00B54741"/>
    <w:rsid w:val="00B5479B"/>
    <w:rsid w:val="00B548B9"/>
    <w:rsid w:val="00B54990"/>
    <w:rsid w:val="00B5499D"/>
    <w:rsid w:val="00B54A7E"/>
    <w:rsid w:val="00B54DD9"/>
    <w:rsid w:val="00B54F64"/>
    <w:rsid w:val="00B550EA"/>
    <w:rsid w:val="00B550F4"/>
    <w:rsid w:val="00B55117"/>
    <w:rsid w:val="00B555C2"/>
    <w:rsid w:val="00B55687"/>
    <w:rsid w:val="00B5580A"/>
    <w:rsid w:val="00B55870"/>
    <w:rsid w:val="00B55C01"/>
    <w:rsid w:val="00B55C71"/>
    <w:rsid w:val="00B55CD3"/>
    <w:rsid w:val="00B55ECD"/>
    <w:rsid w:val="00B55FC5"/>
    <w:rsid w:val="00B55FD1"/>
    <w:rsid w:val="00B560CF"/>
    <w:rsid w:val="00B56274"/>
    <w:rsid w:val="00B5640A"/>
    <w:rsid w:val="00B564F2"/>
    <w:rsid w:val="00B56563"/>
    <w:rsid w:val="00B56579"/>
    <w:rsid w:val="00B5657A"/>
    <w:rsid w:val="00B565C4"/>
    <w:rsid w:val="00B56688"/>
    <w:rsid w:val="00B566DC"/>
    <w:rsid w:val="00B56AC8"/>
    <w:rsid w:val="00B56B4F"/>
    <w:rsid w:val="00B56C44"/>
    <w:rsid w:val="00B56C55"/>
    <w:rsid w:val="00B56CC6"/>
    <w:rsid w:val="00B56F92"/>
    <w:rsid w:val="00B56FAE"/>
    <w:rsid w:val="00B56FF0"/>
    <w:rsid w:val="00B571D4"/>
    <w:rsid w:val="00B57545"/>
    <w:rsid w:val="00B57580"/>
    <w:rsid w:val="00B57B03"/>
    <w:rsid w:val="00B57C22"/>
    <w:rsid w:val="00B57E1A"/>
    <w:rsid w:val="00B6008C"/>
    <w:rsid w:val="00B60127"/>
    <w:rsid w:val="00B601E7"/>
    <w:rsid w:val="00B6030E"/>
    <w:rsid w:val="00B60327"/>
    <w:rsid w:val="00B6049F"/>
    <w:rsid w:val="00B604FB"/>
    <w:rsid w:val="00B605C6"/>
    <w:rsid w:val="00B605F5"/>
    <w:rsid w:val="00B6062B"/>
    <w:rsid w:val="00B608EB"/>
    <w:rsid w:val="00B60989"/>
    <w:rsid w:val="00B60B6D"/>
    <w:rsid w:val="00B60C53"/>
    <w:rsid w:val="00B60D2D"/>
    <w:rsid w:val="00B60F08"/>
    <w:rsid w:val="00B60FB6"/>
    <w:rsid w:val="00B61049"/>
    <w:rsid w:val="00B61182"/>
    <w:rsid w:val="00B611F0"/>
    <w:rsid w:val="00B6130E"/>
    <w:rsid w:val="00B6133E"/>
    <w:rsid w:val="00B613A7"/>
    <w:rsid w:val="00B6144D"/>
    <w:rsid w:val="00B616BD"/>
    <w:rsid w:val="00B617A9"/>
    <w:rsid w:val="00B61B29"/>
    <w:rsid w:val="00B61EC9"/>
    <w:rsid w:val="00B6212C"/>
    <w:rsid w:val="00B62257"/>
    <w:rsid w:val="00B62262"/>
    <w:rsid w:val="00B6227C"/>
    <w:rsid w:val="00B622BE"/>
    <w:rsid w:val="00B62336"/>
    <w:rsid w:val="00B624E6"/>
    <w:rsid w:val="00B6251C"/>
    <w:rsid w:val="00B6279D"/>
    <w:rsid w:val="00B6287E"/>
    <w:rsid w:val="00B628BC"/>
    <w:rsid w:val="00B628EC"/>
    <w:rsid w:val="00B6299F"/>
    <w:rsid w:val="00B62B02"/>
    <w:rsid w:val="00B62C76"/>
    <w:rsid w:val="00B62DBD"/>
    <w:rsid w:val="00B62E8F"/>
    <w:rsid w:val="00B62EFA"/>
    <w:rsid w:val="00B62EFB"/>
    <w:rsid w:val="00B63163"/>
    <w:rsid w:val="00B632D3"/>
    <w:rsid w:val="00B63302"/>
    <w:rsid w:val="00B6333B"/>
    <w:rsid w:val="00B63358"/>
    <w:rsid w:val="00B6340A"/>
    <w:rsid w:val="00B63683"/>
    <w:rsid w:val="00B63694"/>
    <w:rsid w:val="00B636DA"/>
    <w:rsid w:val="00B63738"/>
    <w:rsid w:val="00B63931"/>
    <w:rsid w:val="00B63B74"/>
    <w:rsid w:val="00B63C1E"/>
    <w:rsid w:val="00B63FCA"/>
    <w:rsid w:val="00B64120"/>
    <w:rsid w:val="00B64143"/>
    <w:rsid w:val="00B64198"/>
    <w:rsid w:val="00B64204"/>
    <w:rsid w:val="00B64228"/>
    <w:rsid w:val="00B643B8"/>
    <w:rsid w:val="00B64680"/>
    <w:rsid w:val="00B647B0"/>
    <w:rsid w:val="00B6486F"/>
    <w:rsid w:val="00B64A41"/>
    <w:rsid w:val="00B64B0E"/>
    <w:rsid w:val="00B64B3E"/>
    <w:rsid w:val="00B64FBF"/>
    <w:rsid w:val="00B650CB"/>
    <w:rsid w:val="00B651EA"/>
    <w:rsid w:val="00B6525E"/>
    <w:rsid w:val="00B6528C"/>
    <w:rsid w:val="00B653D8"/>
    <w:rsid w:val="00B65699"/>
    <w:rsid w:val="00B65738"/>
    <w:rsid w:val="00B6573B"/>
    <w:rsid w:val="00B65A18"/>
    <w:rsid w:val="00B65A64"/>
    <w:rsid w:val="00B65B5F"/>
    <w:rsid w:val="00B65C1B"/>
    <w:rsid w:val="00B65D89"/>
    <w:rsid w:val="00B65E8B"/>
    <w:rsid w:val="00B65E8F"/>
    <w:rsid w:val="00B65F76"/>
    <w:rsid w:val="00B65FA0"/>
    <w:rsid w:val="00B66022"/>
    <w:rsid w:val="00B66300"/>
    <w:rsid w:val="00B66440"/>
    <w:rsid w:val="00B6662F"/>
    <w:rsid w:val="00B66B5B"/>
    <w:rsid w:val="00B66DBD"/>
    <w:rsid w:val="00B66E80"/>
    <w:rsid w:val="00B67170"/>
    <w:rsid w:val="00B67197"/>
    <w:rsid w:val="00B67283"/>
    <w:rsid w:val="00B6738E"/>
    <w:rsid w:val="00B67531"/>
    <w:rsid w:val="00B67583"/>
    <w:rsid w:val="00B675ED"/>
    <w:rsid w:val="00B67649"/>
    <w:rsid w:val="00B676E9"/>
    <w:rsid w:val="00B67717"/>
    <w:rsid w:val="00B67820"/>
    <w:rsid w:val="00B67945"/>
    <w:rsid w:val="00B67959"/>
    <w:rsid w:val="00B679C5"/>
    <w:rsid w:val="00B67A12"/>
    <w:rsid w:val="00B67A94"/>
    <w:rsid w:val="00B67AB9"/>
    <w:rsid w:val="00B67BCF"/>
    <w:rsid w:val="00B67D1F"/>
    <w:rsid w:val="00B67F59"/>
    <w:rsid w:val="00B67FB3"/>
    <w:rsid w:val="00B67FCB"/>
    <w:rsid w:val="00B701F7"/>
    <w:rsid w:val="00B70341"/>
    <w:rsid w:val="00B703D1"/>
    <w:rsid w:val="00B70479"/>
    <w:rsid w:val="00B70496"/>
    <w:rsid w:val="00B705EF"/>
    <w:rsid w:val="00B70617"/>
    <w:rsid w:val="00B70663"/>
    <w:rsid w:val="00B7072B"/>
    <w:rsid w:val="00B7072E"/>
    <w:rsid w:val="00B707BD"/>
    <w:rsid w:val="00B7089B"/>
    <w:rsid w:val="00B708F1"/>
    <w:rsid w:val="00B7095A"/>
    <w:rsid w:val="00B70A51"/>
    <w:rsid w:val="00B70A84"/>
    <w:rsid w:val="00B70B0B"/>
    <w:rsid w:val="00B70B73"/>
    <w:rsid w:val="00B70B75"/>
    <w:rsid w:val="00B70C8D"/>
    <w:rsid w:val="00B70F11"/>
    <w:rsid w:val="00B711D0"/>
    <w:rsid w:val="00B71235"/>
    <w:rsid w:val="00B7127A"/>
    <w:rsid w:val="00B71294"/>
    <w:rsid w:val="00B712D6"/>
    <w:rsid w:val="00B7130E"/>
    <w:rsid w:val="00B7139C"/>
    <w:rsid w:val="00B713D9"/>
    <w:rsid w:val="00B71505"/>
    <w:rsid w:val="00B716D2"/>
    <w:rsid w:val="00B717A6"/>
    <w:rsid w:val="00B719FA"/>
    <w:rsid w:val="00B71BC0"/>
    <w:rsid w:val="00B71F06"/>
    <w:rsid w:val="00B71FE6"/>
    <w:rsid w:val="00B7200D"/>
    <w:rsid w:val="00B72021"/>
    <w:rsid w:val="00B7211C"/>
    <w:rsid w:val="00B72274"/>
    <w:rsid w:val="00B72349"/>
    <w:rsid w:val="00B724C2"/>
    <w:rsid w:val="00B725C9"/>
    <w:rsid w:val="00B7267E"/>
    <w:rsid w:val="00B729E3"/>
    <w:rsid w:val="00B72B43"/>
    <w:rsid w:val="00B72BF2"/>
    <w:rsid w:val="00B72CAE"/>
    <w:rsid w:val="00B72D9F"/>
    <w:rsid w:val="00B72EF3"/>
    <w:rsid w:val="00B72F20"/>
    <w:rsid w:val="00B733C1"/>
    <w:rsid w:val="00B73551"/>
    <w:rsid w:val="00B73630"/>
    <w:rsid w:val="00B73711"/>
    <w:rsid w:val="00B7379E"/>
    <w:rsid w:val="00B738A8"/>
    <w:rsid w:val="00B73909"/>
    <w:rsid w:val="00B7391D"/>
    <w:rsid w:val="00B73A53"/>
    <w:rsid w:val="00B73CA9"/>
    <w:rsid w:val="00B73F02"/>
    <w:rsid w:val="00B7413C"/>
    <w:rsid w:val="00B7421F"/>
    <w:rsid w:val="00B746A0"/>
    <w:rsid w:val="00B74734"/>
    <w:rsid w:val="00B74B6B"/>
    <w:rsid w:val="00B74CAD"/>
    <w:rsid w:val="00B75178"/>
    <w:rsid w:val="00B75378"/>
    <w:rsid w:val="00B7539C"/>
    <w:rsid w:val="00B75571"/>
    <w:rsid w:val="00B75587"/>
    <w:rsid w:val="00B75629"/>
    <w:rsid w:val="00B75633"/>
    <w:rsid w:val="00B7581B"/>
    <w:rsid w:val="00B75916"/>
    <w:rsid w:val="00B759BF"/>
    <w:rsid w:val="00B75A47"/>
    <w:rsid w:val="00B75AD6"/>
    <w:rsid w:val="00B75DE4"/>
    <w:rsid w:val="00B75E52"/>
    <w:rsid w:val="00B75EA6"/>
    <w:rsid w:val="00B75FAF"/>
    <w:rsid w:val="00B760F6"/>
    <w:rsid w:val="00B76112"/>
    <w:rsid w:val="00B76185"/>
    <w:rsid w:val="00B764C6"/>
    <w:rsid w:val="00B76557"/>
    <w:rsid w:val="00B76845"/>
    <w:rsid w:val="00B768B9"/>
    <w:rsid w:val="00B769CF"/>
    <w:rsid w:val="00B76AFE"/>
    <w:rsid w:val="00B76EF8"/>
    <w:rsid w:val="00B770F7"/>
    <w:rsid w:val="00B77141"/>
    <w:rsid w:val="00B773B9"/>
    <w:rsid w:val="00B774A9"/>
    <w:rsid w:val="00B774C6"/>
    <w:rsid w:val="00B77609"/>
    <w:rsid w:val="00B77B84"/>
    <w:rsid w:val="00B77CAE"/>
    <w:rsid w:val="00B77D22"/>
    <w:rsid w:val="00B77D2A"/>
    <w:rsid w:val="00B77D68"/>
    <w:rsid w:val="00B77E01"/>
    <w:rsid w:val="00B77EA0"/>
    <w:rsid w:val="00B77EAF"/>
    <w:rsid w:val="00B77F99"/>
    <w:rsid w:val="00B80011"/>
    <w:rsid w:val="00B80059"/>
    <w:rsid w:val="00B807BC"/>
    <w:rsid w:val="00B80A83"/>
    <w:rsid w:val="00B80B7E"/>
    <w:rsid w:val="00B81142"/>
    <w:rsid w:val="00B81160"/>
    <w:rsid w:val="00B811C0"/>
    <w:rsid w:val="00B811EE"/>
    <w:rsid w:val="00B811FB"/>
    <w:rsid w:val="00B814F9"/>
    <w:rsid w:val="00B815A7"/>
    <w:rsid w:val="00B815F8"/>
    <w:rsid w:val="00B81946"/>
    <w:rsid w:val="00B81AFD"/>
    <w:rsid w:val="00B81CCE"/>
    <w:rsid w:val="00B81D39"/>
    <w:rsid w:val="00B81F0E"/>
    <w:rsid w:val="00B81F64"/>
    <w:rsid w:val="00B8200D"/>
    <w:rsid w:val="00B8236D"/>
    <w:rsid w:val="00B82493"/>
    <w:rsid w:val="00B82601"/>
    <w:rsid w:val="00B8273C"/>
    <w:rsid w:val="00B828C5"/>
    <w:rsid w:val="00B82B03"/>
    <w:rsid w:val="00B82B2D"/>
    <w:rsid w:val="00B82B54"/>
    <w:rsid w:val="00B82BA0"/>
    <w:rsid w:val="00B82E4A"/>
    <w:rsid w:val="00B82E86"/>
    <w:rsid w:val="00B82F2D"/>
    <w:rsid w:val="00B8306D"/>
    <w:rsid w:val="00B830AE"/>
    <w:rsid w:val="00B8324E"/>
    <w:rsid w:val="00B832C3"/>
    <w:rsid w:val="00B834A6"/>
    <w:rsid w:val="00B835B2"/>
    <w:rsid w:val="00B8383B"/>
    <w:rsid w:val="00B8397D"/>
    <w:rsid w:val="00B8399E"/>
    <w:rsid w:val="00B83AE5"/>
    <w:rsid w:val="00B83AE9"/>
    <w:rsid w:val="00B83B17"/>
    <w:rsid w:val="00B83C23"/>
    <w:rsid w:val="00B83CC2"/>
    <w:rsid w:val="00B83CC9"/>
    <w:rsid w:val="00B84053"/>
    <w:rsid w:val="00B8424A"/>
    <w:rsid w:val="00B84289"/>
    <w:rsid w:val="00B8429C"/>
    <w:rsid w:val="00B844A8"/>
    <w:rsid w:val="00B8453D"/>
    <w:rsid w:val="00B8464F"/>
    <w:rsid w:val="00B846FB"/>
    <w:rsid w:val="00B8484F"/>
    <w:rsid w:val="00B849A8"/>
    <w:rsid w:val="00B849A9"/>
    <w:rsid w:val="00B84CDA"/>
    <w:rsid w:val="00B84D74"/>
    <w:rsid w:val="00B84EE7"/>
    <w:rsid w:val="00B84EFD"/>
    <w:rsid w:val="00B85119"/>
    <w:rsid w:val="00B8529D"/>
    <w:rsid w:val="00B854EA"/>
    <w:rsid w:val="00B859D4"/>
    <w:rsid w:val="00B85A56"/>
    <w:rsid w:val="00B85A76"/>
    <w:rsid w:val="00B85C3E"/>
    <w:rsid w:val="00B85E38"/>
    <w:rsid w:val="00B85EF2"/>
    <w:rsid w:val="00B85FE2"/>
    <w:rsid w:val="00B862BF"/>
    <w:rsid w:val="00B86323"/>
    <w:rsid w:val="00B86E7C"/>
    <w:rsid w:val="00B86E83"/>
    <w:rsid w:val="00B86ED7"/>
    <w:rsid w:val="00B86F30"/>
    <w:rsid w:val="00B86F36"/>
    <w:rsid w:val="00B86F75"/>
    <w:rsid w:val="00B87142"/>
    <w:rsid w:val="00B8714D"/>
    <w:rsid w:val="00B87466"/>
    <w:rsid w:val="00B87565"/>
    <w:rsid w:val="00B876A3"/>
    <w:rsid w:val="00B8776B"/>
    <w:rsid w:val="00B87903"/>
    <w:rsid w:val="00B87955"/>
    <w:rsid w:val="00B87B50"/>
    <w:rsid w:val="00B87C1D"/>
    <w:rsid w:val="00B87C2D"/>
    <w:rsid w:val="00B87C4B"/>
    <w:rsid w:val="00B9010C"/>
    <w:rsid w:val="00B9011B"/>
    <w:rsid w:val="00B90163"/>
    <w:rsid w:val="00B901E1"/>
    <w:rsid w:val="00B9053A"/>
    <w:rsid w:val="00B905A7"/>
    <w:rsid w:val="00B905BF"/>
    <w:rsid w:val="00B90683"/>
    <w:rsid w:val="00B90814"/>
    <w:rsid w:val="00B9081F"/>
    <w:rsid w:val="00B90A93"/>
    <w:rsid w:val="00B90AA1"/>
    <w:rsid w:val="00B90BAD"/>
    <w:rsid w:val="00B90D83"/>
    <w:rsid w:val="00B90E25"/>
    <w:rsid w:val="00B90E80"/>
    <w:rsid w:val="00B90F11"/>
    <w:rsid w:val="00B90FEB"/>
    <w:rsid w:val="00B91092"/>
    <w:rsid w:val="00B9110F"/>
    <w:rsid w:val="00B912CA"/>
    <w:rsid w:val="00B912DD"/>
    <w:rsid w:val="00B913BF"/>
    <w:rsid w:val="00B91642"/>
    <w:rsid w:val="00B91704"/>
    <w:rsid w:val="00B917C2"/>
    <w:rsid w:val="00B91840"/>
    <w:rsid w:val="00B919D5"/>
    <w:rsid w:val="00B919D7"/>
    <w:rsid w:val="00B919D8"/>
    <w:rsid w:val="00B91A64"/>
    <w:rsid w:val="00B91B44"/>
    <w:rsid w:val="00B91C11"/>
    <w:rsid w:val="00B92038"/>
    <w:rsid w:val="00B920DC"/>
    <w:rsid w:val="00B921A8"/>
    <w:rsid w:val="00B92224"/>
    <w:rsid w:val="00B9243F"/>
    <w:rsid w:val="00B92553"/>
    <w:rsid w:val="00B92629"/>
    <w:rsid w:val="00B92723"/>
    <w:rsid w:val="00B9279F"/>
    <w:rsid w:val="00B92939"/>
    <w:rsid w:val="00B929EB"/>
    <w:rsid w:val="00B92AF9"/>
    <w:rsid w:val="00B92B2A"/>
    <w:rsid w:val="00B92BF7"/>
    <w:rsid w:val="00B92C2F"/>
    <w:rsid w:val="00B92D30"/>
    <w:rsid w:val="00B92D55"/>
    <w:rsid w:val="00B92D5C"/>
    <w:rsid w:val="00B92F4B"/>
    <w:rsid w:val="00B930C5"/>
    <w:rsid w:val="00B930F7"/>
    <w:rsid w:val="00B93388"/>
    <w:rsid w:val="00B93425"/>
    <w:rsid w:val="00B934C1"/>
    <w:rsid w:val="00B93579"/>
    <w:rsid w:val="00B935B2"/>
    <w:rsid w:val="00B93627"/>
    <w:rsid w:val="00B93681"/>
    <w:rsid w:val="00B93841"/>
    <w:rsid w:val="00B938FA"/>
    <w:rsid w:val="00B9392A"/>
    <w:rsid w:val="00B93B01"/>
    <w:rsid w:val="00B93BD3"/>
    <w:rsid w:val="00B93C20"/>
    <w:rsid w:val="00B93DF4"/>
    <w:rsid w:val="00B93F2E"/>
    <w:rsid w:val="00B942E6"/>
    <w:rsid w:val="00B94355"/>
    <w:rsid w:val="00B94562"/>
    <w:rsid w:val="00B94564"/>
    <w:rsid w:val="00B945A5"/>
    <w:rsid w:val="00B945D4"/>
    <w:rsid w:val="00B945FD"/>
    <w:rsid w:val="00B94642"/>
    <w:rsid w:val="00B946A9"/>
    <w:rsid w:val="00B94959"/>
    <w:rsid w:val="00B9495C"/>
    <w:rsid w:val="00B94994"/>
    <w:rsid w:val="00B949C1"/>
    <w:rsid w:val="00B94A17"/>
    <w:rsid w:val="00B94A5B"/>
    <w:rsid w:val="00B94C18"/>
    <w:rsid w:val="00B94D52"/>
    <w:rsid w:val="00B94E1F"/>
    <w:rsid w:val="00B94E8A"/>
    <w:rsid w:val="00B9501C"/>
    <w:rsid w:val="00B95028"/>
    <w:rsid w:val="00B951B6"/>
    <w:rsid w:val="00B951CA"/>
    <w:rsid w:val="00B952E6"/>
    <w:rsid w:val="00B954D9"/>
    <w:rsid w:val="00B955BE"/>
    <w:rsid w:val="00B95638"/>
    <w:rsid w:val="00B956C6"/>
    <w:rsid w:val="00B95779"/>
    <w:rsid w:val="00B95880"/>
    <w:rsid w:val="00B95A80"/>
    <w:rsid w:val="00B95B22"/>
    <w:rsid w:val="00B95C3D"/>
    <w:rsid w:val="00B95C5B"/>
    <w:rsid w:val="00B95CF1"/>
    <w:rsid w:val="00B96048"/>
    <w:rsid w:val="00B96092"/>
    <w:rsid w:val="00B96142"/>
    <w:rsid w:val="00B96262"/>
    <w:rsid w:val="00B96402"/>
    <w:rsid w:val="00B96533"/>
    <w:rsid w:val="00B96572"/>
    <w:rsid w:val="00B966AA"/>
    <w:rsid w:val="00B96816"/>
    <w:rsid w:val="00B9685E"/>
    <w:rsid w:val="00B96AF5"/>
    <w:rsid w:val="00B96C36"/>
    <w:rsid w:val="00B96E00"/>
    <w:rsid w:val="00B96E1D"/>
    <w:rsid w:val="00B96E92"/>
    <w:rsid w:val="00B9716A"/>
    <w:rsid w:val="00B9717F"/>
    <w:rsid w:val="00B97253"/>
    <w:rsid w:val="00B973D9"/>
    <w:rsid w:val="00B97421"/>
    <w:rsid w:val="00B97547"/>
    <w:rsid w:val="00B9777B"/>
    <w:rsid w:val="00B97805"/>
    <w:rsid w:val="00B97819"/>
    <w:rsid w:val="00B97841"/>
    <w:rsid w:val="00B97878"/>
    <w:rsid w:val="00B978E3"/>
    <w:rsid w:val="00B9792B"/>
    <w:rsid w:val="00B97E08"/>
    <w:rsid w:val="00B97E39"/>
    <w:rsid w:val="00BA0207"/>
    <w:rsid w:val="00BA0259"/>
    <w:rsid w:val="00BA03FD"/>
    <w:rsid w:val="00BA04ED"/>
    <w:rsid w:val="00BA0599"/>
    <w:rsid w:val="00BA0749"/>
    <w:rsid w:val="00BA0A2B"/>
    <w:rsid w:val="00BA0B79"/>
    <w:rsid w:val="00BA0C8A"/>
    <w:rsid w:val="00BA1096"/>
    <w:rsid w:val="00BA118E"/>
    <w:rsid w:val="00BA119A"/>
    <w:rsid w:val="00BA153E"/>
    <w:rsid w:val="00BA1669"/>
    <w:rsid w:val="00BA16FE"/>
    <w:rsid w:val="00BA197A"/>
    <w:rsid w:val="00BA1AE5"/>
    <w:rsid w:val="00BA1B44"/>
    <w:rsid w:val="00BA1B60"/>
    <w:rsid w:val="00BA1BC4"/>
    <w:rsid w:val="00BA1C0A"/>
    <w:rsid w:val="00BA1DA3"/>
    <w:rsid w:val="00BA1DB3"/>
    <w:rsid w:val="00BA1E72"/>
    <w:rsid w:val="00BA2006"/>
    <w:rsid w:val="00BA2087"/>
    <w:rsid w:val="00BA2096"/>
    <w:rsid w:val="00BA209C"/>
    <w:rsid w:val="00BA222E"/>
    <w:rsid w:val="00BA227C"/>
    <w:rsid w:val="00BA23A7"/>
    <w:rsid w:val="00BA24C6"/>
    <w:rsid w:val="00BA2640"/>
    <w:rsid w:val="00BA2747"/>
    <w:rsid w:val="00BA27C0"/>
    <w:rsid w:val="00BA27E9"/>
    <w:rsid w:val="00BA2807"/>
    <w:rsid w:val="00BA2962"/>
    <w:rsid w:val="00BA2B53"/>
    <w:rsid w:val="00BA2C18"/>
    <w:rsid w:val="00BA2C6B"/>
    <w:rsid w:val="00BA2CE3"/>
    <w:rsid w:val="00BA2D4E"/>
    <w:rsid w:val="00BA2FBC"/>
    <w:rsid w:val="00BA31C6"/>
    <w:rsid w:val="00BA329D"/>
    <w:rsid w:val="00BA32A7"/>
    <w:rsid w:val="00BA3335"/>
    <w:rsid w:val="00BA34C3"/>
    <w:rsid w:val="00BA3502"/>
    <w:rsid w:val="00BA35EF"/>
    <w:rsid w:val="00BA3686"/>
    <w:rsid w:val="00BA36AE"/>
    <w:rsid w:val="00BA37C8"/>
    <w:rsid w:val="00BA380D"/>
    <w:rsid w:val="00BA38A9"/>
    <w:rsid w:val="00BA3D42"/>
    <w:rsid w:val="00BA3D85"/>
    <w:rsid w:val="00BA3DDE"/>
    <w:rsid w:val="00BA3DF0"/>
    <w:rsid w:val="00BA3E82"/>
    <w:rsid w:val="00BA3ED7"/>
    <w:rsid w:val="00BA4049"/>
    <w:rsid w:val="00BA411F"/>
    <w:rsid w:val="00BA41CF"/>
    <w:rsid w:val="00BA43F0"/>
    <w:rsid w:val="00BA4430"/>
    <w:rsid w:val="00BA44E8"/>
    <w:rsid w:val="00BA459B"/>
    <w:rsid w:val="00BA462C"/>
    <w:rsid w:val="00BA4888"/>
    <w:rsid w:val="00BA493D"/>
    <w:rsid w:val="00BA4B8B"/>
    <w:rsid w:val="00BA4BAA"/>
    <w:rsid w:val="00BA4BF3"/>
    <w:rsid w:val="00BA4CA7"/>
    <w:rsid w:val="00BA4CF3"/>
    <w:rsid w:val="00BA4DD4"/>
    <w:rsid w:val="00BA4EBD"/>
    <w:rsid w:val="00BA4EDF"/>
    <w:rsid w:val="00BA506B"/>
    <w:rsid w:val="00BA5082"/>
    <w:rsid w:val="00BA52B2"/>
    <w:rsid w:val="00BA5320"/>
    <w:rsid w:val="00BA5710"/>
    <w:rsid w:val="00BA580B"/>
    <w:rsid w:val="00BA5B9E"/>
    <w:rsid w:val="00BA5CB4"/>
    <w:rsid w:val="00BA5D67"/>
    <w:rsid w:val="00BA5DB8"/>
    <w:rsid w:val="00BA5E90"/>
    <w:rsid w:val="00BA5EC7"/>
    <w:rsid w:val="00BA5FC8"/>
    <w:rsid w:val="00BA5FDF"/>
    <w:rsid w:val="00BA60DE"/>
    <w:rsid w:val="00BA61D6"/>
    <w:rsid w:val="00BA62D3"/>
    <w:rsid w:val="00BA636F"/>
    <w:rsid w:val="00BA63E1"/>
    <w:rsid w:val="00BA64E6"/>
    <w:rsid w:val="00BA65CC"/>
    <w:rsid w:val="00BA65FA"/>
    <w:rsid w:val="00BA6737"/>
    <w:rsid w:val="00BA6806"/>
    <w:rsid w:val="00BA6926"/>
    <w:rsid w:val="00BA6934"/>
    <w:rsid w:val="00BA6A57"/>
    <w:rsid w:val="00BA6A9E"/>
    <w:rsid w:val="00BA6B13"/>
    <w:rsid w:val="00BA6B25"/>
    <w:rsid w:val="00BA6B9E"/>
    <w:rsid w:val="00BA6C04"/>
    <w:rsid w:val="00BA6CEE"/>
    <w:rsid w:val="00BA6EE9"/>
    <w:rsid w:val="00BA6F8A"/>
    <w:rsid w:val="00BA6F98"/>
    <w:rsid w:val="00BA7261"/>
    <w:rsid w:val="00BA7319"/>
    <w:rsid w:val="00BA743D"/>
    <w:rsid w:val="00BA75ED"/>
    <w:rsid w:val="00BA7635"/>
    <w:rsid w:val="00BA7CD0"/>
    <w:rsid w:val="00BA7D55"/>
    <w:rsid w:val="00BA7E34"/>
    <w:rsid w:val="00BB000B"/>
    <w:rsid w:val="00BB0137"/>
    <w:rsid w:val="00BB0205"/>
    <w:rsid w:val="00BB03DB"/>
    <w:rsid w:val="00BB041C"/>
    <w:rsid w:val="00BB044F"/>
    <w:rsid w:val="00BB05A8"/>
    <w:rsid w:val="00BB05AE"/>
    <w:rsid w:val="00BB05F9"/>
    <w:rsid w:val="00BB061C"/>
    <w:rsid w:val="00BB06EF"/>
    <w:rsid w:val="00BB09F0"/>
    <w:rsid w:val="00BB0A30"/>
    <w:rsid w:val="00BB0AAD"/>
    <w:rsid w:val="00BB0B56"/>
    <w:rsid w:val="00BB0C26"/>
    <w:rsid w:val="00BB0D23"/>
    <w:rsid w:val="00BB0D6E"/>
    <w:rsid w:val="00BB108E"/>
    <w:rsid w:val="00BB110C"/>
    <w:rsid w:val="00BB1319"/>
    <w:rsid w:val="00BB1402"/>
    <w:rsid w:val="00BB140B"/>
    <w:rsid w:val="00BB1591"/>
    <w:rsid w:val="00BB15D4"/>
    <w:rsid w:val="00BB15EA"/>
    <w:rsid w:val="00BB1614"/>
    <w:rsid w:val="00BB16AF"/>
    <w:rsid w:val="00BB16C4"/>
    <w:rsid w:val="00BB1700"/>
    <w:rsid w:val="00BB1A3A"/>
    <w:rsid w:val="00BB1AAA"/>
    <w:rsid w:val="00BB1B24"/>
    <w:rsid w:val="00BB1BDD"/>
    <w:rsid w:val="00BB1BED"/>
    <w:rsid w:val="00BB1CCB"/>
    <w:rsid w:val="00BB1D3D"/>
    <w:rsid w:val="00BB1D59"/>
    <w:rsid w:val="00BB1D7B"/>
    <w:rsid w:val="00BB1D9D"/>
    <w:rsid w:val="00BB1F3D"/>
    <w:rsid w:val="00BB2059"/>
    <w:rsid w:val="00BB20F6"/>
    <w:rsid w:val="00BB21D7"/>
    <w:rsid w:val="00BB2269"/>
    <w:rsid w:val="00BB254B"/>
    <w:rsid w:val="00BB2867"/>
    <w:rsid w:val="00BB288F"/>
    <w:rsid w:val="00BB29B1"/>
    <w:rsid w:val="00BB29B3"/>
    <w:rsid w:val="00BB2A1C"/>
    <w:rsid w:val="00BB2AA2"/>
    <w:rsid w:val="00BB2ABB"/>
    <w:rsid w:val="00BB2CBE"/>
    <w:rsid w:val="00BB2D22"/>
    <w:rsid w:val="00BB2FF0"/>
    <w:rsid w:val="00BB3340"/>
    <w:rsid w:val="00BB369B"/>
    <w:rsid w:val="00BB3996"/>
    <w:rsid w:val="00BB3A33"/>
    <w:rsid w:val="00BB3D42"/>
    <w:rsid w:val="00BB3EDE"/>
    <w:rsid w:val="00BB405D"/>
    <w:rsid w:val="00BB4170"/>
    <w:rsid w:val="00BB4222"/>
    <w:rsid w:val="00BB44FF"/>
    <w:rsid w:val="00BB4598"/>
    <w:rsid w:val="00BB46CC"/>
    <w:rsid w:val="00BB472A"/>
    <w:rsid w:val="00BB4A26"/>
    <w:rsid w:val="00BB4BB0"/>
    <w:rsid w:val="00BB4C0F"/>
    <w:rsid w:val="00BB4F13"/>
    <w:rsid w:val="00BB5026"/>
    <w:rsid w:val="00BB5071"/>
    <w:rsid w:val="00BB51BA"/>
    <w:rsid w:val="00BB5216"/>
    <w:rsid w:val="00BB52C0"/>
    <w:rsid w:val="00BB531E"/>
    <w:rsid w:val="00BB55C3"/>
    <w:rsid w:val="00BB5622"/>
    <w:rsid w:val="00BB5729"/>
    <w:rsid w:val="00BB59D7"/>
    <w:rsid w:val="00BB5A65"/>
    <w:rsid w:val="00BB5AEB"/>
    <w:rsid w:val="00BB5C6F"/>
    <w:rsid w:val="00BB5D10"/>
    <w:rsid w:val="00BB5D20"/>
    <w:rsid w:val="00BB5F86"/>
    <w:rsid w:val="00BB5F88"/>
    <w:rsid w:val="00BB5FC6"/>
    <w:rsid w:val="00BB600B"/>
    <w:rsid w:val="00BB6182"/>
    <w:rsid w:val="00BB6253"/>
    <w:rsid w:val="00BB63DF"/>
    <w:rsid w:val="00BB6471"/>
    <w:rsid w:val="00BB66F9"/>
    <w:rsid w:val="00BB678F"/>
    <w:rsid w:val="00BB6812"/>
    <w:rsid w:val="00BB6A02"/>
    <w:rsid w:val="00BB6A54"/>
    <w:rsid w:val="00BB6AF0"/>
    <w:rsid w:val="00BB6BF2"/>
    <w:rsid w:val="00BB6E61"/>
    <w:rsid w:val="00BB6E78"/>
    <w:rsid w:val="00BB6ECE"/>
    <w:rsid w:val="00BB6F2D"/>
    <w:rsid w:val="00BB6FC9"/>
    <w:rsid w:val="00BB6FDD"/>
    <w:rsid w:val="00BB704B"/>
    <w:rsid w:val="00BB70C0"/>
    <w:rsid w:val="00BB71A8"/>
    <w:rsid w:val="00BB71C3"/>
    <w:rsid w:val="00BB74E1"/>
    <w:rsid w:val="00BB766A"/>
    <w:rsid w:val="00BB77F0"/>
    <w:rsid w:val="00BB78AD"/>
    <w:rsid w:val="00BB792F"/>
    <w:rsid w:val="00BB7941"/>
    <w:rsid w:val="00BB7990"/>
    <w:rsid w:val="00BB7A47"/>
    <w:rsid w:val="00BB7A52"/>
    <w:rsid w:val="00BB7A5F"/>
    <w:rsid w:val="00BB7B67"/>
    <w:rsid w:val="00BB7C3B"/>
    <w:rsid w:val="00BB7C58"/>
    <w:rsid w:val="00BB7CEF"/>
    <w:rsid w:val="00BB7D7E"/>
    <w:rsid w:val="00BB7ECC"/>
    <w:rsid w:val="00BB7FC3"/>
    <w:rsid w:val="00BC00CF"/>
    <w:rsid w:val="00BC0212"/>
    <w:rsid w:val="00BC04B5"/>
    <w:rsid w:val="00BC04CB"/>
    <w:rsid w:val="00BC04FD"/>
    <w:rsid w:val="00BC050C"/>
    <w:rsid w:val="00BC06BB"/>
    <w:rsid w:val="00BC06E5"/>
    <w:rsid w:val="00BC09FA"/>
    <w:rsid w:val="00BC0A6E"/>
    <w:rsid w:val="00BC0BDF"/>
    <w:rsid w:val="00BC1142"/>
    <w:rsid w:val="00BC11DB"/>
    <w:rsid w:val="00BC120F"/>
    <w:rsid w:val="00BC12E5"/>
    <w:rsid w:val="00BC12F8"/>
    <w:rsid w:val="00BC1337"/>
    <w:rsid w:val="00BC14D0"/>
    <w:rsid w:val="00BC15BB"/>
    <w:rsid w:val="00BC1618"/>
    <w:rsid w:val="00BC176C"/>
    <w:rsid w:val="00BC188F"/>
    <w:rsid w:val="00BC1966"/>
    <w:rsid w:val="00BC19E1"/>
    <w:rsid w:val="00BC1B15"/>
    <w:rsid w:val="00BC1BEA"/>
    <w:rsid w:val="00BC1D9A"/>
    <w:rsid w:val="00BC1DC4"/>
    <w:rsid w:val="00BC1EDD"/>
    <w:rsid w:val="00BC20B2"/>
    <w:rsid w:val="00BC20DF"/>
    <w:rsid w:val="00BC212C"/>
    <w:rsid w:val="00BC217A"/>
    <w:rsid w:val="00BC2197"/>
    <w:rsid w:val="00BC2225"/>
    <w:rsid w:val="00BC2250"/>
    <w:rsid w:val="00BC22AA"/>
    <w:rsid w:val="00BC2367"/>
    <w:rsid w:val="00BC2371"/>
    <w:rsid w:val="00BC24E4"/>
    <w:rsid w:val="00BC25AA"/>
    <w:rsid w:val="00BC295E"/>
    <w:rsid w:val="00BC2B20"/>
    <w:rsid w:val="00BC2CE6"/>
    <w:rsid w:val="00BC2CF5"/>
    <w:rsid w:val="00BC2D26"/>
    <w:rsid w:val="00BC2E3B"/>
    <w:rsid w:val="00BC2EF8"/>
    <w:rsid w:val="00BC2FAB"/>
    <w:rsid w:val="00BC2FD9"/>
    <w:rsid w:val="00BC337D"/>
    <w:rsid w:val="00BC34B8"/>
    <w:rsid w:val="00BC35B2"/>
    <w:rsid w:val="00BC35EA"/>
    <w:rsid w:val="00BC361A"/>
    <w:rsid w:val="00BC36AB"/>
    <w:rsid w:val="00BC37E9"/>
    <w:rsid w:val="00BC3B26"/>
    <w:rsid w:val="00BC3B2A"/>
    <w:rsid w:val="00BC3B64"/>
    <w:rsid w:val="00BC3D32"/>
    <w:rsid w:val="00BC3D37"/>
    <w:rsid w:val="00BC3D56"/>
    <w:rsid w:val="00BC3D95"/>
    <w:rsid w:val="00BC3E2D"/>
    <w:rsid w:val="00BC3E9A"/>
    <w:rsid w:val="00BC3F2A"/>
    <w:rsid w:val="00BC408D"/>
    <w:rsid w:val="00BC412B"/>
    <w:rsid w:val="00BC4153"/>
    <w:rsid w:val="00BC4166"/>
    <w:rsid w:val="00BC41C1"/>
    <w:rsid w:val="00BC42A4"/>
    <w:rsid w:val="00BC4360"/>
    <w:rsid w:val="00BC4366"/>
    <w:rsid w:val="00BC44E6"/>
    <w:rsid w:val="00BC46AD"/>
    <w:rsid w:val="00BC47D3"/>
    <w:rsid w:val="00BC4A60"/>
    <w:rsid w:val="00BC4ACD"/>
    <w:rsid w:val="00BC4B2A"/>
    <w:rsid w:val="00BC4EF9"/>
    <w:rsid w:val="00BC4F2A"/>
    <w:rsid w:val="00BC4F9F"/>
    <w:rsid w:val="00BC4FFF"/>
    <w:rsid w:val="00BC50AD"/>
    <w:rsid w:val="00BC50E9"/>
    <w:rsid w:val="00BC51FB"/>
    <w:rsid w:val="00BC52B0"/>
    <w:rsid w:val="00BC52FA"/>
    <w:rsid w:val="00BC57C2"/>
    <w:rsid w:val="00BC57FF"/>
    <w:rsid w:val="00BC5A18"/>
    <w:rsid w:val="00BC5B12"/>
    <w:rsid w:val="00BC5BFD"/>
    <w:rsid w:val="00BC5CC8"/>
    <w:rsid w:val="00BC5E09"/>
    <w:rsid w:val="00BC5E13"/>
    <w:rsid w:val="00BC5E1A"/>
    <w:rsid w:val="00BC5E70"/>
    <w:rsid w:val="00BC6147"/>
    <w:rsid w:val="00BC6266"/>
    <w:rsid w:val="00BC6359"/>
    <w:rsid w:val="00BC6525"/>
    <w:rsid w:val="00BC6577"/>
    <w:rsid w:val="00BC6656"/>
    <w:rsid w:val="00BC67F5"/>
    <w:rsid w:val="00BC6A16"/>
    <w:rsid w:val="00BC6A2A"/>
    <w:rsid w:val="00BC6B84"/>
    <w:rsid w:val="00BC6C33"/>
    <w:rsid w:val="00BC6DB7"/>
    <w:rsid w:val="00BC6F11"/>
    <w:rsid w:val="00BC6F2B"/>
    <w:rsid w:val="00BC6F81"/>
    <w:rsid w:val="00BC73D9"/>
    <w:rsid w:val="00BC7453"/>
    <w:rsid w:val="00BC7551"/>
    <w:rsid w:val="00BC75F2"/>
    <w:rsid w:val="00BC7705"/>
    <w:rsid w:val="00BC7726"/>
    <w:rsid w:val="00BC7733"/>
    <w:rsid w:val="00BC7739"/>
    <w:rsid w:val="00BC783E"/>
    <w:rsid w:val="00BC7A07"/>
    <w:rsid w:val="00BC7AB9"/>
    <w:rsid w:val="00BC7B2E"/>
    <w:rsid w:val="00BC7B9D"/>
    <w:rsid w:val="00BC7BDC"/>
    <w:rsid w:val="00BC7C30"/>
    <w:rsid w:val="00BC7C3C"/>
    <w:rsid w:val="00BC7C59"/>
    <w:rsid w:val="00BC7CBE"/>
    <w:rsid w:val="00BC7DF5"/>
    <w:rsid w:val="00BD02C5"/>
    <w:rsid w:val="00BD035B"/>
    <w:rsid w:val="00BD0690"/>
    <w:rsid w:val="00BD071C"/>
    <w:rsid w:val="00BD072C"/>
    <w:rsid w:val="00BD0751"/>
    <w:rsid w:val="00BD08BC"/>
    <w:rsid w:val="00BD08EF"/>
    <w:rsid w:val="00BD0CE4"/>
    <w:rsid w:val="00BD0D63"/>
    <w:rsid w:val="00BD0EAD"/>
    <w:rsid w:val="00BD1136"/>
    <w:rsid w:val="00BD1457"/>
    <w:rsid w:val="00BD14EA"/>
    <w:rsid w:val="00BD15CE"/>
    <w:rsid w:val="00BD15ED"/>
    <w:rsid w:val="00BD1731"/>
    <w:rsid w:val="00BD18A7"/>
    <w:rsid w:val="00BD1AF2"/>
    <w:rsid w:val="00BD1B57"/>
    <w:rsid w:val="00BD1C5F"/>
    <w:rsid w:val="00BD1CED"/>
    <w:rsid w:val="00BD201E"/>
    <w:rsid w:val="00BD205D"/>
    <w:rsid w:val="00BD209E"/>
    <w:rsid w:val="00BD2137"/>
    <w:rsid w:val="00BD2228"/>
    <w:rsid w:val="00BD23E9"/>
    <w:rsid w:val="00BD2469"/>
    <w:rsid w:val="00BD2536"/>
    <w:rsid w:val="00BD253C"/>
    <w:rsid w:val="00BD258B"/>
    <w:rsid w:val="00BD25B3"/>
    <w:rsid w:val="00BD26A8"/>
    <w:rsid w:val="00BD2844"/>
    <w:rsid w:val="00BD29D9"/>
    <w:rsid w:val="00BD2A65"/>
    <w:rsid w:val="00BD2ADB"/>
    <w:rsid w:val="00BD2B65"/>
    <w:rsid w:val="00BD2D6E"/>
    <w:rsid w:val="00BD2F66"/>
    <w:rsid w:val="00BD2F9B"/>
    <w:rsid w:val="00BD3019"/>
    <w:rsid w:val="00BD305E"/>
    <w:rsid w:val="00BD314C"/>
    <w:rsid w:val="00BD3197"/>
    <w:rsid w:val="00BD3353"/>
    <w:rsid w:val="00BD335A"/>
    <w:rsid w:val="00BD34FE"/>
    <w:rsid w:val="00BD3553"/>
    <w:rsid w:val="00BD35A9"/>
    <w:rsid w:val="00BD3616"/>
    <w:rsid w:val="00BD3618"/>
    <w:rsid w:val="00BD370D"/>
    <w:rsid w:val="00BD381B"/>
    <w:rsid w:val="00BD3829"/>
    <w:rsid w:val="00BD39E0"/>
    <w:rsid w:val="00BD39FD"/>
    <w:rsid w:val="00BD3BE2"/>
    <w:rsid w:val="00BD3CBC"/>
    <w:rsid w:val="00BD3EE8"/>
    <w:rsid w:val="00BD40B8"/>
    <w:rsid w:val="00BD417F"/>
    <w:rsid w:val="00BD4269"/>
    <w:rsid w:val="00BD4477"/>
    <w:rsid w:val="00BD44C9"/>
    <w:rsid w:val="00BD48CC"/>
    <w:rsid w:val="00BD4A56"/>
    <w:rsid w:val="00BD4B81"/>
    <w:rsid w:val="00BD4E9B"/>
    <w:rsid w:val="00BD4EB6"/>
    <w:rsid w:val="00BD4F1F"/>
    <w:rsid w:val="00BD4F29"/>
    <w:rsid w:val="00BD4FB3"/>
    <w:rsid w:val="00BD5109"/>
    <w:rsid w:val="00BD5190"/>
    <w:rsid w:val="00BD5220"/>
    <w:rsid w:val="00BD5351"/>
    <w:rsid w:val="00BD5374"/>
    <w:rsid w:val="00BD5401"/>
    <w:rsid w:val="00BD54AE"/>
    <w:rsid w:val="00BD5514"/>
    <w:rsid w:val="00BD5B59"/>
    <w:rsid w:val="00BD5D69"/>
    <w:rsid w:val="00BD5D86"/>
    <w:rsid w:val="00BD5DAC"/>
    <w:rsid w:val="00BD5FD5"/>
    <w:rsid w:val="00BD60EE"/>
    <w:rsid w:val="00BD635E"/>
    <w:rsid w:val="00BD6385"/>
    <w:rsid w:val="00BD63D8"/>
    <w:rsid w:val="00BD64F1"/>
    <w:rsid w:val="00BD6726"/>
    <w:rsid w:val="00BD6809"/>
    <w:rsid w:val="00BD6860"/>
    <w:rsid w:val="00BD687B"/>
    <w:rsid w:val="00BD68AA"/>
    <w:rsid w:val="00BD69AA"/>
    <w:rsid w:val="00BD69B2"/>
    <w:rsid w:val="00BD6AAB"/>
    <w:rsid w:val="00BD6C22"/>
    <w:rsid w:val="00BD6CE3"/>
    <w:rsid w:val="00BD6D2F"/>
    <w:rsid w:val="00BD6FF2"/>
    <w:rsid w:val="00BD7197"/>
    <w:rsid w:val="00BD72F4"/>
    <w:rsid w:val="00BD7454"/>
    <w:rsid w:val="00BD7584"/>
    <w:rsid w:val="00BD75D8"/>
    <w:rsid w:val="00BD7920"/>
    <w:rsid w:val="00BD792F"/>
    <w:rsid w:val="00BD7A99"/>
    <w:rsid w:val="00BD7B1A"/>
    <w:rsid w:val="00BD7B5B"/>
    <w:rsid w:val="00BD7DE8"/>
    <w:rsid w:val="00BD7EA6"/>
    <w:rsid w:val="00BD7FD2"/>
    <w:rsid w:val="00BE00E2"/>
    <w:rsid w:val="00BE0147"/>
    <w:rsid w:val="00BE01A5"/>
    <w:rsid w:val="00BE01F9"/>
    <w:rsid w:val="00BE029A"/>
    <w:rsid w:val="00BE04AB"/>
    <w:rsid w:val="00BE0525"/>
    <w:rsid w:val="00BE057E"/>
    <w:rsid w:val="00BE066B"/>
    <w:rsid w:val="00BE06C6"/>
    <w:rsid w:val="00BE070E"/>
    <w:rsid w:val="00BE0748"/>
    <w:rsid w:val="00BE099A"/>
    <w:rsid w:val="00BE09DA"/>
    <w:rsid w:val="00BE0B28"/>
    <w:rsid w:val="00BE0B44"/>
    <w:rsid w:val="00BE0C02"/>
    <w:rsid w:val="00BE0D6C"/>
    <w:rsid w:val="00BE0E6A"/>
    <w:rsid w:val="00BE0F00"/>
    <w:rsid w:val="00BE0F1F"/>
    <w:rsid w:val="00BE0FA7"/>
    <w:rsid w:val="00BE108B"/>
    <w:rsid w:val="00BE1115"/>
    <w:rsid w:val="00BE11CD"/>
    <w:rsid w:val="00BE11D9"/>
    <w:rsid w:val="00BE13F0"/>
    <w:rsid w:val="00BE1486"/>
    <w:rsid w:val="00BE14CF"/>
    <w:rsid w:val="00BE1539"/>
    <w:rsid w:val="00BE1589"/>
    <w:rsid w:val="00BE1940"/>
    <w:rsid w:val="00BE1C6A"/>
    <w:rsid w:val="00BE1D5E"/>
    <w:rsid w:val="00BE1DD4"/>
    <w:rsid w:val="00BE1F44"/>
    <w:rsid w:val="00BE2207"/>
    <w:rsid w:val="00BE2230"/>
    <w:rsid w:val="00BE2397"/>
    <w:rsid w:val="00BE24FB"/>
    <w:rsid w:val="00BE2C1A"/>
    <w:rsid w:val="00BE2CEE"/>
    <w:rsid w:val="00BE2E85"/>
    <w:rsid w:val="00BE2EC2"/>
    <w:rsid w:val="00BE2F02"/>
    <w:rsid w:val="00BE2FDA"/>
    <w:rsid w:val="00BE3163"/>
    <w:rsid w:val="00BE31B1"/>
    <w:rsid w:val="00BE31C0"/>
    <w:rsid w:val="00BE321F"/>
    <w:rsid w:val="00BE32BA"/>
    <w:rsid w:val="00BE3343"/>
    <w:rsid w:val="00BE3536"/>
    <w:rsid w:val="00BE398F"/>
    <w:rsid w:val="00BE3A4D"/>
    <w:rsid w:val="00BE3B1A"/>
    <w:rsid w:val="00BE3F51"/>
    <w:rsid w:val="00BE412C"/>
    <w:rsid w:val="00BE41CD"/>
    <w:rsid w:val="00BE42A3"/>
    <w:rsid w:val="00BE4910"/>
    <w:rsid w:val="00BE4A1F"/>
    <w:rsid w:val="00BE4AC7"/>
    <w:rsid w:val="00BE4ACC"/>
    <w:rsid w:val="00BE4C22"/>
    <w:rsid w:val="00BE52AF"/>
    <w:rsid w:val="00BE52D7"/>
    <w:rsid w:val="00BE5353"/>
    <w:rsid w:val="00BE54AF"/>
    <w:rsid w:val="00BE5501"/>
    <w:rsid w:val="00BE55B4"/>
    <w:rsid w:val="00BE5762"/>
    <w:rsid w:val="00BE58D5"/>
    <w:rsid w:val="00BE5A11"/>
    <w:rsid w:val="00BE5BC7"/>
    <w:rsid w:val="00BE5D7E"/>
    <w:rsid w:val="00BE5DF1"/>
    <w:rsid w:val="00BE605B"/>
    <w:rsid w:val="00BE64A4"/>
    <w:rsid w:val="00BE64B8"/>
    <w:rsid w:val="00BE67B5"/>
    <w:rsid w:val="00BE6999"/>
    <w:rsid w:val="00BE6A32"/>
    <w:rsid w:val="00BE6B41"/>
    <w:rsid w:val="00BE6B93"/>
    <w:rsid w:val="00BE6C40"/>
    <w:rsid w:val="00BE6DEA"/>
    <w:rsid w:val="00BE70DD"/>
    <w:rsid w:val="00BE7169"/>
    <w:rsid w:val="00BE7317"/>
    <w:rsid w:val="00BE7329"/>
    <w:rsid w:val="00BE7360"/>
    <w:rsid w:val="00BE73BF"/>
    <w:rsid w:val="00BE751C"/>
    <w:rsid w:val="00BE759A"/>
    <w:rsid w:val="00BE7726"/>
    <w:rsid w:val="00BE78CC"/>
    <w:rsid w:val="00BE790E"/>
    <w:rsid w:val="00BE7935"/>
    <w:rsid w:val="00BE7B33"/>
    <w:rsid w:val="00BE7F34"/>
    <w:rsid w:val="00BF0121"/>
    <w:rsid w:val="00BF012A"/>
    <w:rsid w:val="00BF013D"/>
    <w:rsid w:val="00BF020C"/>
    <w:rsid w:val="00BF0356"/>
    <w:rsid w:val="00BF048E"/>
    <w:rsid w:val="00BF056D"/>
    <w:rsid w:val="00BF06C6"/>
    <w:rsid w:val="00BF0B9E"/>
    <w:rsid w:val="00BF0BF9"/>
    <w:rsid w:val="00BF0E38"/>
    <w:rsid w:val="00BF0E68"/>
    <w:rsid w:val="00BF0F8B"/>
    <w:rsid w:val="00BF1087"/>
    <w:rsid w:val="00BF152C"/>
    <w:rsid w:val="00BF1588"/>
    <w:rsid w:val="00BF16E2"/>
    <w:rsid w:val="00BF1730"/>
    <w:rsid w:val="00BF1775"/>
    <w:rsid w:val="00BF18E0"/>
    <w:rsid w:val="00BF1ACF"/>
    <w:rsid w:val="00BF1CA1"/>
    <w:rsid w:val="00BF1DCA"/>
    <w:rsid w:val="00BF1E7A"/>
    <w:rsid w:val="00BF200D"/>
    <w:rsid w:val="00BF206A"/>
    <w:rsid w:val="00BF207C"/>
    <w:rsid w:val="00BF2228"/>
    <w:rsid w:val="00BF2319"/>
    <w:rsid w:val="00BF237E"/>
    <w:rsid w:val="00BF2474"/>
    <w:rsid w:val="00BF247E"/>
    <w:rsid w:val="00BF24C5"/>
    <w:rsid w:val="00BF24E8"/>
    <w:rsid w:val="00BF26DF"/>
    <w:rsid w:val="00BF2B12"/>
    <w:rsid w:val="00BF2B6F"/>
    <w:rsid w:val="00BF2BD1"/>
    <w:rsid w:val="00BF2D1C"/>
    <w:rsid w:val="00BF301A"/>
    <w:rsid w:val="00BF3029"/>
    <w:rsid w:val="00BF3071"/>
    <w:rsid w:val="00BF3074"/>
    <w:rsid w:val="00BF31B2"/>
    <w:rsid w:val="00BF33A8"/>
    <w:rsid w:val="00BF3428"/>
    <w:rsid w:val="00BF3616"/>
    <w:rsid w:val="00BF363F"/>
    <w:rsid w:val="00BF368C"/>
    <w:rsid w:val="00BF36BB"/>
    <w:rsid w:val="00BF3729"/>
    <w:rsid w:val="00BF3814"/>
    <w:rsid w:val="00BF392F"/>
    <w:rsid w:val="00BF39A2"/>
    <w:rsid w:val="00BF3A72"/>
    <w:rsid w:val="00BF3DFC"/>
    <w:rsid w:val="00BF3E80"/>
    <w:rsid w:val="00BF4018"/>
    <w:rsid w:val="00BF4092"/>
    <w:rsid w:val="00BF40E4"/>
    <w:rsid w:val="00BF436B"/>
    <w:rsid w:val="00BF455D"/>
    <w:rsid w:val="00BF46CF"/>
    <w:rsid w:val="00BF4710"/>
    <w:rsid w:val="00BF4782"/>
    <w:rsid w:val="00BF479E"/>
    <w:rsid w:val="00BF4924"/>
    <w:rsid w:val="00BF4A1A"/>
    <w:rsid w:val="00BF4A6C"/>
    <w:rsid w:val="00BF4BC3"/>
    <w:rsid w:val="00BF4BCE"/>
    <w:rsid w:val="00BF4C04"/>
    <w:rsid w:val="00BF4DE1"/>
    <w:rsid w:val="00BF4E39"/>
    <w:rsid w:val="00BF4F49"/>
    <w:rsid w:val="00BF507A"/>
    <w:rsid w:val="00BF51EC"/>
    <w:rsid w:val="00BF52AB"/>
    <w:rsid w:val="00BF532D"/>
    <w:rsid w:val="00BF53FF"/>
    <w:rsid w:val="00BF5501"/>
    <w:rsid w:val="00BF550D"/>
    <w:rsid w:val="00BF5585"/>
    <w:rsid w:val="00BF5603"/>
    <w:rsid w:val="00BF5B0F"/>
    <w:rsid w:val="00BF5D47"/>
    <w:rsid w:val="00BF5DEF"/>
    <w:rsid w:val="00BF5E04"/>
    <w:rsid w:val="00BF5ED7"/>
    <w:rsid w:val="00BF6119"/>
    <w:rsid w:val="00BF6411"/>
    <w:rsid w:val="00BF64F3"/>
    <w:rsid w:val="00BF65EA"/>
    <w:rsid w:val="00BF67EE"/>
    <w:rsid w:val="00BF6859"/>
    <w:rsid w:val="00BF6C82"/>
    <w:rsid w:val="00BF6E12"/>
    <w:rsid w:val="00BF6E71"/>
    <w:rsid w:val="00BF6F2A"/>
    <w:rsid w:val="00BF703D"/>
    <w:rsid w:val="00BF70CF"/>
    <w:rsid w:val="00BF714A"/>
    <w:rsid w:val="00BF718F"/>
    <w:rsid w:val="00BF71D4"/>
    <w:rsid w:val="00BF7549"/>
    <w:rsid w:val="00BF75B2"/>
    <w:rsid w:val="00BF7A69"/>
    <w:rsid w:val="00BF7B67"/>
    <w:rsid w:val="00BF7BBD"/>
    <w:rsid w:val="00BF7C6A"/>
    <w:rsid w:val="00BF7D95"/>
    <w:rsid w:val="00BF7E43"/>
    <w:rsid w:val="00BF7E49"/>
    <w:rsid w:val="00C00086"/>
    <w:rsid w:val="00C002D4"/>
    <w:rsid w:val="00C00462"/>
    <w:rsid w:val="00C0049C"/>
    <w:rsid w:val="00C00594"/>
    <w:rsid w:val="00C00820"/>
    <w:rsid w:val="00C00921"/>
    <w:rsid w:val="00C0092B"/>
    <w:rsid w:val="00C00949"/>
    <w:rsid w:val="00C0099D"/>
    <w:rsid w:val="00C009B1"/>
    <w:rsid w:val="00C009C8"/>
    <w:rsid w:val="00C009E8"/>
    <w:rsid w:val="00C009FC"/>
    <w:rsid w:val="00C00B9B"/>
    <w:rsid w:val="00C00CAA"/>
    <w:rsid w:val="00C00E96"/>
    <w:rsid w:val="00C00EB4"/>
    <w:rsid w:val="00C00F7C"/>
    <w:rsid w:val="00C0104C"/>
    <w:rsid w:val="00C0105A"/>
    <w:rsid w:val="00C010FB"/>
    <w:rsid w:val="00C0114B"/>
    <w:rsid w:val="00C01169"/>
    <w:rsid w:val="00C0118C"/>
    <w:rsid w:val="00C0129E"/>
    <w:rsid w:val="00C01354"/>
    <w:rsid w:val="00C0145C"/>
    <w:rsid w:val="00C0152D"/>
    <w:rsid w:val="00C01753"/>
    <w:rsid w:val="00C017E8"/>
    <w:rsid w:val="00C01815"/>
    <w:rsid w:val="00C019E1"/>
    <w:rsid w:val="00C01BFC"/>
    <w:rsid w:val="00C01DBC"/>
    <w:rsid w:val="00C02167"/>
    <w:rsid w:val="00C02268"/>
    <w:rsid w:val="00C022EA"/>
    <w:rsid w:val="00C023A3"/>
    <w:rsid w:val="00C0249A"/>
    <w:rsid w:val="00C025F6"/>
    <w:rsid w:val="00C0279A"/>
    <w:rsid w:val="00C028AA"/>
    <w:rsid w:val="00C028CC"/>
    <w:rsid w:val="00C02946"/>
    <w:rsid w:val="00C0295F"/>
    <w:rsid w:val="00C02B7E"/>
    <w:rsid w:val="00C02CF6"/>
    <w:rsid w:val="00C02DB5"/>
    <w:rsid w:val="00C02E20"/>
    <w:rsid w:val="00C03156"/>
    <w:rsid w:val="00C033D2"/>
    <w:rsid w:val="00C03494"/>
    <w:rsid w:val="00C035E2"/>
    <w:rsid w:val="00C03632"/>
    <w:rsid w:val="00C0377E"/>
    <w:rsid w:val="00C03A12"/>
    <w:rsid w:val="00C03C7C"/>
    <w:rsid w:val="00C03C99"/>
    <w:rsid w:val="00C03DCE"/>
    <w:rsid w:val="00C03DF7"/>
    <w:rsid w:val="00C03E74"/>
    <w:rsid w:val="00C03E7E"/>
    <w:rsid w:val="00C03FA5"/>
    <w:rsid w:val="00C04211"/>
    <w:rsid w:val="00C0469D"/>
    <w:rsid w:val="00C046E9"/>
    <w:rsid w:val="00C046FF"/>
    <w:rsid w:val="00C047AA"/>
    <w:rsid w:val="00C04A23"/>
    <w:rsid w:val="00C04A56"/>
    <w:rsid w:val="00C04A6C"/>
    <w:rsid w:val="00C04C21"/>
    <w:rsid w:val="00C05569"/>
    <w:rsid w:val="00C0565A"/>
    <w:rsid w:val="00C05798"/>
    <w:rsid w:val="00C057C1"/>
    <w:rsid w:val="00C05849"/>
    <w:rsid w:val="00C058BD"/>
    <w:rsid w:val="00C058DC"/>
    <w:rsid w:val="00C05CA6"/>
    <w:rsid w:val="00C05D4C"/>
    <w:rsid w:val="00C05D81"/>
    <w:rsid w:val="00C05E0C"/>
    <w:rsid w:val="00C05E26"/>
    <w:rsid w:val="00C05F11"/>
    <w:rsid w:val="00C06286"/>
    <w:rsid w:val="00C062D2"/>
    <w:rsid w:val="00C0632D"/>
    <w:rsid w:val="00C065E5"/>
    <w:rsid w:val="00C065F6"/>
    <w:rsid w:val="00C067AA"/>
    <w:rsid w:val="00C068CA"/>
    <w:rsid w:val="00C0696D"/>
    <w:rsid w:val="00C06991"/>
    <w:rsid w:val="00C06997"/>
    <w:rsid w:val="00C069C6"/>
    <w:rsid w:val="00C06A86"/>
    <w:rsid w:val="00C06B9D"/>
    <w:rsid w:val="00C06CE3"/>
    <w:rsid w:val="00C06E31"/>
    <w:rsid w:val="00C06E73"/>
    <w:rsid w:val="00C06F06"/>
    <w:rsid w:val="00C0710A"/>
    <w:rsid w:val="00C07121"/>
    <w:rsid w:val="00C072A0"/>
    <w:rsid w:val="00C073BF"/>
    <w:rsid w:val="00C073DD"/>
    <w:rsid w:val="00C0763D"/>
    <w:rsid w:val="00C0770B"/>
    <w:rsid w:val="00C07794"/>
    <w:rsid w:val="00C07986"/>
    <w:rsid w:val="00C07AB2"/>
    <w:rsid w:val="00C07B22"/>
    <w:rsid w:val="00C07BCC"/>
    <w:rsid w:val="00C07C53"/>
    <w:rsid w:val="00C07C64"/>
    <w:rsid w:val="00C07D7D"/>
    <w:rsid w:val="00C07E8F"/>
    <w:rsid w:val="00C07FEC"/>
    <w:rsid w:val="00C101C9"/>
    <w:rsid w:val="00C10230"/>
    <w:rsid w:val="00C1025A"/>
    <w:rsid w:val="00C10277"/>
    <w:rsid w:val="00C10513"/>
    <w:rsid w:val="00C10566"/>
    <w:rsid w:val="00C1068D"/>
    <w:rsid w:val="00C1090A"/>
    <w:rsid w:val="00C10C72"/>
    <w:rsid w:val="00C10ECB"/>
    <w:rsid w:val="00C1119A"/>
    <w:rsid w:val="00C11244"/>
    <w:rsid w:val="00C11252"/>
    <w:rsid w:val="00C11405"/>
    <w:rsid w:val="00C114AA"/>
    <w:rsid w:val="00C116F5"/>
    <w:rsid w:val="00C11703"/>
    <w:rsid w:val="00C119A6"/>
    <w:rsid w:val="00C11B21"/>
    <w:rsid w:val="00C11B42"/>
    <w:rsid w:val="00C11BAE"/>
    <w:rsid w:val="00C12029"/>
    <w:rsid w:val="00C1223E"/>
    <w:rsid w:val="00C125CD"/>
    <w:rsid w:val="00C12731"/>
    <w:rsid w:val="00C127C9"/>
    <w:rsid w:val="00C12922"/>
    <w:rsid w:val="00C1296A"/>
    <w:rsid w:val="00C12A5D"/>
    <w:rsid w:val="00C12B21"/>
    <w:rsid w:val="00C12BBB"/>
    <w:rsid w:val="00C12D2D"/>
    <w:rsid w:val="00C12DE5"/>
    <w:rsid w:val="00C12F33"/>
    <w:rsid w:val="00C13364"/>
    <w:rsid w:val="00C13462"/>
    <w:rsid w:val="00C1348C"/>
    <w:rsid w:val="00C134D7"/>
    <w:rsid w:val="00C136DF"/>
    <w:rsid w:val="00C1381C"/>
    <w:rsid w:val="00C1388B"/>
    <w:rsid w:val="00C13921"/>
    <w:rsid w:val="00C13943"/>
    <w:rsid w:val="00C139FD"/>
    <w:rsid w:val="00C13B05"/>
    <w:rsid w:val="00C13C15"/>
    <w:rsid w:val="00C14187"/>
    <w:rsid w:val="00C142F3"/>
    <w:rsid w:val="00C14365"/>
    <w:rsid w:val="00C14398"/>
    <w:rsid w:val="00C144AE"/>
    <w:rsid w:val="00C14717"/>
    <w:rsid w:val="00C147CD"/>
    <w:rsid w:val="00C148FD"/>
    <w:rsid w:val="00C1497F"/>
    <w:rsid w:val="00C149D1"/>
    <w:rsid w:val="00C14BE4"/>
    <w:rsid w:val="00C14C0C"/>
    <w:rsid w:val="00C14DA7"/>
    <w:rsid w:val="00C14DC9"/>
    <w:rsid w:val="00C14F16"/>
    <w:rsid w:val="00C151DC"/>
    <w:rsid w:val="00C1526A"/>
    <w:rsid w:val="00C15317"/>
    <w:rsid w:val="00C15321"/>
    <w:rsid w:val="00C15333"/>
    <w:rsid w:val="00C1550A"/>
    <w:rsid w:val="00C15519"/>
    <w:rsid w:val="00C15530"/>
    <w:rsid w:val="00C15675"/>
    <w:rsid w:val="00C156F8"/>
    <w:rsid w:val="00C15719"/>
    <w:rsid w:val="00C15776"/>
    <w:rsid w:val="00C159E2"/>
    <w:rsid w:val="00C159E4"/>
    <w:rsid w:val="00C15A62"/>
    <w:rsid w:val="00C15AF0"/>
    <w:rsid w:val="00C15CF4"/>
    <w:rsid w:val="00C15D4B"/>
    <w:rsid w:val="00C15DAD"/>
    <w:rsid w:val="00C15DE5"/>
    <w:rsid w:val="00C15ED5"/>
    <w:rsid w:val="00C1611C"/>
    <w:rsid w:val="00C16126"/>
    <w:rsid w:val="00C16142"/>
    <w:rsid w:val="00C16154"/>
    <w:rsid w:val="00C16228"/>
    <w:rsid w:val="00C162B8"/>
    <w:rsid w:val="00C16387"/>
    <w:rsid w:val="00C164B3"/>
    <w:rsid w:val="00C1670A"/>
    <w:rsid w:val="00C16880"/>
    <w:rsid w:val="00C1689D"/>
    <w:rsid w:val="00C16B29"/>
    <w:rsid w:val="00C16BAA"/>
    <w:rsid w:val="00C16D1F"/>
    <w:rsid w:val="00C16EDB"/>
    <w:rsid w:val="00C16FBE"/>
    <w:rsid w:val="00C1704B"/>
    <w:rsid w:val="00C17059"/>
    <w:rsid w:val="00C17278"/>
    <w:rsid w:val="00C17353"/>
    <w:rsid w:val="00C1738E"/>
    <w:rsid w:val="00C174D6"/>
    <w:rsid w:val="00C175D5"/>
    <w:rsid w:val="00C1778E"/>
    <w:rsid w:val="00C1783F"/>
    <w:rsid w:val="00C17844"/>
    <w:rsid w:val="00C178C7"/>
    <w:rsid w:val="00C17A38"/>
    <w:rsid w:val="00C17A4E"/>
    <w:rsid w:val="00C17C25"/>
    <w:rsid w:val="00C17D28"/>
    <w:rsid w:val="00C17E1E"/>
    <w:rsid w:val="00C17E44"/>
    <w:rsid w:val="00C17F2C"/>
    <w:rsid w:val="00C2045A"/>
    <w:rsid w:val="00C20511"/>
    <w:rsid w:val="00C206DA"/>
    <w:rsid w:val="00C206E4"/>
    <w:rsid w:val="00C207A3"/>
    <w:rsid w:val="00C207B2"/>
    <w:rsid w:val="00C208F9"/>
    <w:rsid w:val="00C20955"/>
    <w:rsid w:val="00C209BF"/>
    <w:rsid w:val="00C20AC1"/>
    <w:rsid w:val="00C20B6B"/>
    <w:rsid w:val="00C20B9D"/>
    <w:rsid w:val="00C20C2B"/>
    <w:rsid w:val="00C20C56"/>
    <w:rsid w:val="00C20CEF"/>
    <w:rsid w:val="00C20D54"/>
    <w:rsid w:val="00C20EFE"/>
    <w:rsid w:val="00C20F61"/>
    <w:rsid w:val="00C21053"/>
    <w:rsid w:val="00C21096"/>
    <w:rsid w:val="00C21108"/>
    <w:rsid w:val="00C21180"/>
    <w:rsid w:val="00C214D4"/>
    <w:rsid w:val="00C216AA"/>
    <w:rsid w:val="00C2199E"/>
    <w:rsid w:val="00C21B57"/>
    <w:rsid w:val="00C21D26"/>
    <w:rsid w:val="00C21E16"/>
    <w:rsid w:val="00C21F69"/>
    <w:rsid w:val="00C220B2"/>
    <w:rsid w:val="00C220EF"/>
    <w:rsid w:val="00C2213C"/>
    <w:rsid w:val="00C221FF"/>
    <w:rsid w:val="00C222DD"/>
    <w:rsid w:val="00C222F1"/>
    <w:rsid w:val="00C223BB"/>
    <w:rsid w:val="00C22696"/>
    <w:rsid w:val="00C226C9"/>
    <w:rsid w:val="00C226D9"/>
    <w:rsid w:val="00C2290D"/>
    <w:rsid w:val="00C22A49"/>
    <w:rsid w:val="00C22B1C"/>
    <w:rsid w:val="00C22D9E"/>
    <w:rsid w:val="00C22DB6"/>
    <w:rsid w:val="00C22E00"/>
    <w:rsid w:val="00C232EE"/>
    <w:rsid w:val="00C2332E"/>
    <w:rsid w:val="00C2348D"/>
    <w:rsid w:val="00C23563"/>
    <w:rsid w:val="00C235A4"/>
    <w:rsid w:val="00C237E6"/>
    <w:rsid w:val="00C23817"/>
    <w:rsid w:val="00C23AB9"/>
    <w:rsid w:val="00C23AF1"/>
    <w:rsid w:val="00C23C1D"/>
    <w:rsid w:val="00C23C68"/>
    <w:rsid w:val="00C23FA2"/>
    <w:rsid w:val="00C24026"/>
    <w:rsid w:val="00C2402E"/>
    <w:rsid w:val="00C240AD"/>
    <w:rsid w:val="00C244F0"/>
    <w:rsid w:val="00C24562"/>
    <w:rsid w:val="00C24679"/>
    <w:rsid w:val="00C246BF"/>
    <w:rsid w:val="00C247E1"/>
    <w:rsid w:val="00C249CA"/>
    <w:rsid w:val="00C24A63"/>
    <w:rsid w:val="00C24D06"/>
    <w:rsid w:val="00C24D20"/>
    <w:rsid w:val="00C24D7D"/>
    <w:rsid w:val="00C24DD2"/>
    <w:rsid w:val="00C24F0D"/>
    <w:rsid w:val="00C25060"/>
    <w:rsid w:val="00C2509E"/>
    <w:rsid w:val="00C251B8"/>
    <w:rsid w:val="00C253C5"/>
    <w:rsid w:val="00C25821"/>
    <w:rsid w:val="00C2587F"/>
    <w:rsid w:val="00C25956"/>
    <w:rsid w:val="00C25964"/>
    <w:rsid w:val="00C259B4"/>
    <w:rsid w:val="00C25B01"/>
    <w:rsid w:val="00C25B88"/>
    <w:rsid w:val="00C25C8E"/>
    <w:rsid w:val="00C25CE3"/>
    <w:rsid w:val="00C25D94"/>
    <w:rsid w:val="00C25E1C"/>
    <w:rsid w:val="00C25EEB"/>
    <w:rsid w:val="00C25F2D"/>
    <w:rsid w:val="00C25FEE"/>
    <w:rsid w:val="00C26400"/>
    <w:rsid w:val="00C26479"/>
    <w:rsid w:val="00C264A1"/>
    <w:rsid w:val="00C269C4"/>
    <w:rsid w:val="00C269F4"/>
    <w:rsid w:val="00C26B2D"/>
    <w:rsid w:val="00C26C69"/>
    <w:rsid w:val="00C26CF8"/>
    <w:rsid w:val="00C26DD8"/>
    <w:rsid w:val="00C26DFF"/>
    <w:rsid w:val="00C2723B"/>
    <w:rsid w:val="00C27795"/>
    <w:rsid w:val="00C2798B"/>
    <w:rsid w:val="00C27ABA"/>
    <w:rsid w:val="00C27B51"/>
    <w:rsid w:val="00C27BCE"/>
    <w:rsid w:val="00C27D42"/>
    <w:rsid w:val="00C27F4C"/>
    <w:rsid w:val="00C30034"/>
    <w:rsid w:val="00C30058"/>
    <w:rsid w:val="00C30203"/>
    <w:rsid w:val="00C302BC"/>
    <w:rsid w:val="00C3033B"/>
    <w:rsid w:val="00C3095E"/>
    <w:rsid w:val="00C30C34"/>
    <w:rsid w:val="00C30E61"/>
    <w:rsid w:val="00C30FA1"/>
    <w:rsid w:val="00C31061"/>
    <w:rsid w:val="00C310E0"/>
    <w:rsid w:val="00C31119"/>
    <w:rsid w:val="00C311C3"/>
    <w:rsid w:val="00C31376"/>
    <w:rsid w:val="00C3144E"/>
    <w:rsid w:val="00C3154E"/>
    <w:rsid w:val="00C316D5"/>
    <w:rsid w:val="00C317A8"/>
    <w:rsid w:val="00C318EB"/>
    <w:rsid w:val="00C319AC"/>
    <w:rsid w:val="00C319E0"/>
    <w:rsid w:val="00C31A58"/>
    <w:rsid w:val="00C31A91"/>
    <w:rsid w:val="00C31A97"/>
    <w:rsid w:val="00C31C8D"/>
    <w:rsid w:val="00C31CD4"/>
    <w:rsid w:val="00C31ED0"/>
    <w:rsid w:val="00C32097"/>
    <w:rsid w:val="00C32179"/>
    <w:rsid w:val="00C32238"/>
    <w:rsid w:val="00C32313"/>
    <w:rsid w:val="00C32421"/>
    <w:rsid w:val="00C324BB"/>
    <w:rsid w:val="00C32595"/>
    <w:rsid w:val="00C325C8"/>
    <w:rsid w:val="00C32646"/>
    <w:rsid w:val="00C3265D"/>
    <w:rsid w:val="00C3278F"/>
    <w:rsid w:val="00C327AB"/>
    <w:rsid w:val="00C32850"/>
    <w:rsid w:val="00C3288D"/>
    <w:rsid w:val="00C328AD"/>
    <w:rsid w:val="00C329EC"/>
    <w:rsid w:val="00C329F2"/>
    <w:rsid w:val="00C32A3B"/>
    <w:rsid w:val="00C32BB8"/>
    <w:rsid w:val="00C32CCA"/>
    <w:rsid w:val="00C32E4A"/>
    <w:rsid w:val="00C32F22"/>
    <w:rsid w:val="00C33055"/>
    <w:rsid w:val="00C331AD"/>
    <w:rsid w:val="00C333FB"/>
    <w:rsid w:val="00C33464"/>
    <w:rsid w:val="00C336D4"/>
    <w:rsid w:val="00C33940"/>
    <w:rsid w:val="00C33B74"/>
    <w:rsid w:val="00C33EAD"/>
    <w:rsid w:val="00C33F55"/>
    <w:rsid w:val="00C33F83"/>
    <w:rsid w:val="00C33FAE"/>
    <w:rsid w:val="00C340C7"/>
    <w:rsid w:val="00C34114"/>
    <w:rsid w:val="00C3416D"/>
    <w:rsid w:val="00C34193"/>
    <w:rsid w:val="00C3420B"/>
    <w:rsid w:val="00C343A7"/>
    <w:rsid w:val="00C343BB"/>
    <w:rsid w:val="00C3441E"/>
    <w:rsid w:val="00C34551"/>
    <w:rsid w:val="00C347A2"/>
    <w:rsid w:val="00C34B62"/>
    <w:rsid w:val="00C34BE0"/>
    <w:rsid w:val="00C34C82"/>
    <w:rsid w:val="00C34C8D"/>
    <w:rsid w:val="00C34E04"/>
    <w:rsid w:val="00C35026"/>
    <w:rsid w:val="00C350D6"/>
    <w:rsid w:val="00C35100"/>
    <w:rsid w:val="00C35285"/>
    <w:rsid w:val="00C3558F"/>
    <w:rsid w:val="00C35596"/>
    <w:rsid w:val="00C35672"/>
    <w:rsid w:val="00C357AF"/>
    <w:rsid w:val="00C358D5"/>
    <w:rsid w:val="00C35924"/>
    <w:rsid w:val="00C359F7"/>
    <w:rsid w:val="00C359FB"/>
    <w:rsid w:val="00C35DD4"/>
    <w:rsid w:val="00C35EDF"/>
    <w:rsid w:val="00C361CD"/>
    <w:rsid w:val="00C363FB"/>
    <w:rsid w:val="00C3667C"/>
    <w:rsid w:val="00C366C4"/>
    <w:rsid w:val="00C3676E"/>
    <w:rsid w:val="00C36967"/>
    <w:rsid w:val="00C36AFF"/>
    <w:rsid w:val="00C36B8E"/>
    <w:rsid w:val="00C36BE0"/>
    <w:rsid w:val="00C36C43"/>
    <w:rsid w:val="00C36C76"/>
    <w:rsid w:val="00C36F07"/>
    <w:rsid w:val="00C36F16"/>
    <w:rsid w:val="00C37074"/>
    <w:rsid w:val="00C371E8"/>
    <w:rsid w:val="00C373AF"/>
    <w:rsid w:val="00C374E1"/>
    <w:rsid w:val="00C37777"/>
    <w:rsid w:val="00C377A8"/>
    <w:rsid w:val="00C37828"/>
    <w:rsid w:val="00C37B41"/>
    <w:rsid w:val="00C37BFF"/>
    <w:rsid w:val="00C37CC0"/>
    <w:rsid w:val="00C37CD8"/>
    <w:rsid w:val="00C37E43"/>
    <w:rsid w:val="00C37F44"/>
    <w:rsid w:val="00C400D6"/>
    <w:rsid w:val="00C400E2"/>
    <w:rsid w:val="00C401DC"/>
    <w:rsid w:val="00C40293"/>
    <w:rsid w:val="00C402A1"/>
    <w:rsid w:val="00C40408"/>
    <w:rsid w:val="00C4046D"/>
    <w:rsid w:val="00C404D1"/>
    <w:rsid w:val="00C406D7"/>
    <w:rsid w:val="00C40819"/>
    <w:rsid w:val="00C408C7"/>
    <w:rsid w:val="00C40A7E"/>
    <w:rsid w:val="00C40AE7"/>
    <w:rsid w:val="00C40AEC"/>
    <w:rsid w:val="00C40B96"/>
    <w:rsid w:val="00C40BF1"/>
    <w:rsid w:val="00C40BF5"/>
    <w:rsid w:val="00C40C7E"/>
    <w:rsid w:val="00C40CD2"/>
    <w:rsid w:val="00C40DF4"/>
    <w:rsid w:val="00C40DFD"/>
    <w:rsid w:val="00C4105A"/>
    <w:rsid w:val="00C41127"/>
    <w:rsid w:val="00C4116E"/>
    <w:rsid w:val="00C4125C"/>
    <w:rsid w:val="00C41411"/>
    <w:rsid w:val="00C414B9"/>
    <w:rsid w:val="00C4153C"/>
    <w:rsid w:val="00C416CF"/>
    <w:rsid w:val="00C41781"/>
    <w:rsid w:val="00C419A3"/>
    <w:rsid w:val="00C41D78"/>
    <w:rsid w:val="00C41E5F"/>
    <w:rsid w:val="00C41F23"/>
    <w:rsid w:val="00C41F63"/>
    <w:rsid w:val="00C41F76"/>
    <w:rsid w:val="00C41FC1"/>
    <w:rsid w:val="00C420A6"/>
    <w:rsid w:val="00C42279"/>
    <w:rsid w:val="00C424D4"/>
    <w:rsid w:val="00C42692"/>
    <w:rsid w:val="00C426E9"/>
    <w:rsid w:val="00C427A1"/>
    <w:rsid w:val="00C42830"/>
    <w:rsid w:val="00C4294A"/>
    <w:rsid w:val="00C42A26"/>
    <w:rsid w:val="00C42A8B"/>
    <w:rsid w:val="00C42BBD"/>
    <w:rsid w:val="00C42F6D"/>
    <w:rsid w:val="00C43037"/>
    <w:rsid w:val="00C43054"/>
    <w:rsid w:val="00C432D9"/>
    <w:rsid w:val="00C433CC"/>
    <w:rsid w:val="00C434B5"/>
    <w:rsid w:val="00C434FF"/>
    <w:rsid w:val="00C4352C"/>
    <w:rsid w:val="00C436E1"/>
    <w:rsid w:val="00C436EB"/>
    <w:rsid w:val="00C43C88"/>
    <w:rsid w:val="00C43D2C"/>
    <w:rsid w:val="00C43DFA"/>
    <w:rsid w:val="00C43E37"/>
    <w:rsid w:val="00C4440D"/>
    <w:rsid w:val="00C4461F"/>
    <w:rsid w:val="00C447B1"/>
    <w:rsid w:val="00C44969"/>
    <w:rsid w:val="00C44ABE"/>
    <w:rsid w:val="00C44C90"/>
    <w:rsid w:val="00C44D22"/>
    <w:rsid w:val="00C44D43"/>
    <w:rsid w:val="00C44DAC"/>
    <w:rsid w:val="00C44ED3"/>
    <w:rsid w:val="00C44EDA"/>
    <w:rsid w:val="00C44F17"/>
    <w:rsid w:val="00C44F1A"/>
    <w:rsid w:val="00C45267"/>
    <w:rsid w:val="00C4528F"/>
    <w:rsid w:val="00C45292"/>
    <w:rsid w:val="00C452BB"/>
    <w:rsid w:val="00C45361"/>
    <w:rsid w:val="00C45535"/>
    <w:rsid w:val="00C4561B"/>
    <w:rsid w:val="00C4562E"/>
    <w:rsid w:val="00C457FD"/>
    <w:rsid w:val="00C45925"/>
    <w:rsid w:val="00C45940"/>
    <w:rsid w:val="00C45B1C"/>
    <w:rsid w:val="00C45B1F"/>
    <w:rsid w:val="00C45DC8"/>
    <w:rsid w:val="00C45E56"/>
    <w:rsid w:val="00C45EAD"/>
    <w:rsid w:val="00C4609C"/>
    <w:rsid w:val="00C4622D"/>
    <w:rsid w:val="00C46245"/>
    <w:rsid w:val="00C46365"/>
    <w:rsid w:val="00C4637D"/>
    <w:rsid w:val="00C4638B"/>
    <w:rsid w:val="00C463BB"/>
    <w:rsid w:val="00C463E2"/>
    <w:rsid w:val="00C465C9"/>
    <w:rsid w:val="00C465FA"/>
    <w:rsid w:val="00C4673D"/>
    <w:rsid w:val="00C4678A"/>
    <w:rsid w:val="00C467CB"/>
    <w:rsid w:val="00C46898"/>
    <w:rsid w:val="00C4694C"/>
    <w:rsid w:val="00C46B4D"/>
    <w:rsid w:val="00C46D2D"/>
    <w:rsid w:val="00C46D48"/>
    <w:rsid w:val="00C46DA0"/>
    <w:rsid w:val="00C46E09"/>
    <w:rsid w:val="00C46E15"/>
    <w:rsid w:val="00C46EA1"/>
    <w:rsid w:val="00C46F23"/>
    <w:rsid w:val="00C46FDB"/>
    <w:rsid w:val="00C46FEA"/>
    <w:rsid w:val="00C47105"/>
    <w:rsid w:val="00C47171"/>
    <w:rsid w:val="00C4729E"/>
    <w:rsid w:val="00C4760D"/>
    <w:rsid w:val="00C4769D"/>
    <w:rsid w:val="00C4772A"/>
    <w:rsid w:val="00C4772C"/>
    <w:rsid w:val="00C47A3B"/>
    <w:rsid w:val="00C47A7A"/>
    <w:rsid w:val="00C47D0D"/>
    <w:rsid w:val="00C47D66"/>
    <w:rsid w:val="00C47DA4"/>
    <w:rsid w:val="00C47DF2"/>
    <w:rsid w:val="00C47DFE"/>
    <w:rsid w:val="00C47E9E"/>
    <w:rsid w:val="00C47EBB"/>
    <w:rsid w:val="00C501BF"/>
    <w:rsid w:val="00C502B8"/>
    <w:rsid w:val="00C502BB"/>
    <w:rsid w:val="00C50444"/>
    <w:rsid w:val="00C5059D"/>
    <w:rsid w:val="00C505A0"/>
    <w:rsid w:val="00C50839"/>
    <w:rsid w:val="00C5088A"/>
    <w:rsid w:val="00C5088B"/>
    <w:rsid w:val="00C50907"/>
    <w:rsid w:val="00C50A1D"/>
    <w:rsid w:val="00C50A20"/>
    <w:rsid w:val="00C50A26"/>
    <w:rsid w:val="00C50D82"/>
    <w:rsid w:val="00C50E75"/>
    <w:rsid w:val="00C50F70"/>
    <w:rsid w:val="00C5117B"/>
    <w:rsid w:val="00C51198"/>
    <w:rsid w:val="00C511B1"/>
    <w:rsid w:val="00C512F8"/>
    <w:rsid w:val="00C51480"/>
    <w:rsid w:val="00C51511"/>
    <w:rsid w:val="00C51539"/>
    <w:rsid w:val="00C51591"/>
    <w:rsid w:val="00C51648"/>
    <w:rsid w:val="00C516E6"/>
    <w:rsid w:val="00C51722"/>
    <w:rsid w:val="00C5175D"/>
    <w:rsid w:val="00C51846"/>
    <w:rsid w:val="00C51896"/>
    <w:rsid w:val="00C5190A"/>
    <w:rsid w:val="00C51A35"/>
    <w:rsid w:val="00C520A4"/>
    <w:rsid w:val="00C520B6"/>
    <w:rsid w:val="00C5210E"/>
    <w:rsid w:val="00C52246"/>
    <w:rsid w:val="00C52377"/>
    <w:rsid w:val="00C523E9"/>
    <w:rsid w:val="00C52412"/>
    <w:rsid w:val="00C52469"/>
    <w:rsid w:val="00C524B6"/>
    <w:rsid w:val="00C52681"/>
    <w:rsid w:val="00C526E4"/>
    <w:rsid w:val="00C52750"/>
    <w:rsid w:val="00C5277A"/>
    <w:rsid w:val="00C5278E"/>
    <w:rsid w:val="00C52795"/>
    <w:rsid w:val="00C5289F"/>
    <w:rsid w:val="00C528E9"/>
    <w:rsid w:val="00C52A4D"/>
    <w:rsid w:val="00C52A7E"/>
    <w:rsid w:val="00C52F0A"/>
    <w:rsid w:val="00C530AD"/>
    <w:rsid w:val="00C53168"/>
    <w:rsid w:val="00C53275"/>
    <w:rsid w:val="00C53394"/>
    <w:rsid w:val="00C53553"/>
    <w:rsid w:val="00C53724"/>
    <w:rsid w:val="00C537E1"/>
    <w:rsid w:val="00C538D7"/>
    <w:rsid w:val="00C53B6A"/>
    <w:rsid w:val="00C53BA7"/>
    <w:rsid w:val="00C53EFD"/>
    <w:rsid w:val="00C53F37"/>
    <w:rsid w:val="00C53F51"/>
    <w:rsid w:val="00C540F6"/>
    <w:rsid w:val="00C542A8"/>
    <w:rsid w:val="00C542D4"/>
    <w:rsid w:val="00C54442"/>
    <w:rsid w:val="00C54618"/>
    <w:rsid w:val="00C54640"/>
    <w:rsid w:val="00C54761"/>
    <w:rsid w:val="00C54859"/>
    <w:rsid w:val="00C54A69"/>
    <w:rsid w:val="00C54B66"/>
    <w:rsid w:val="00C54D49"/>
    <w:rsid w:val="00C54EF3"/>
    <w:rsid w:val="00C54F39"/>
    <w:rsid w:val="00C5505B"/>
    <w:rsid w:val="00C5517A"/>
    <w:rsid w:val="00C55180"/>
    <w:rsid w:val="00C55286"/>
    <w:rsid w:val="00C55326"/>
    <w:rsid w:val="00C55463"/>
    <w:rsid w:val="00C554CD"/>
    <w:rsid w:val="00C5581B"/>
    <w:rsid w:val="00C5597D"/>
    <w:rsid w:val="00C559EC"/>
    <w:rsid w:val="00C55A49"/>
    <w:rsid w:val="00C55AB8"/>
    <w:rsid w:val="00C55DBD"/>
    <w:rsid w:val="00C55DC1"/>
    <w:rsid w:val="00C55F60"/>
    <w:rsid w:val="00C56086"/>
    <w:rsid w:val="00C562B0"/>
    <w:rsid w:val="00C562CE"/>
    <w:rsid w:val="00C562D6"/>
    <w:rsid w:val="00C562EA"/>
    <w:rsid w:val="00C56372"/>
    <w:rsid w:val="00C56386"/>
    <w:rsid w:val="00C5639A"/>
    <w:rsid w:val="00C563D5"/>
    <w:rsid w:val="00C56503"/>
    <w:rsid w:val="00C56543"/>
    <w:rsid w:val="00C56626"/>
    <w:rsid w:val="00C56A14"/>
    <w:rsid w:val="00C56A58"/>
    <w:rsid w:val="00C56BCD"/>
    <w:rsid w:val="00C56ED7"/>
    <w:rsid w:val="00C56F1E"/>
    <w:rsid w:val="00C57269"/>
    <w:rsid w:val="00C5746D"/>
    <w:rsid w:val="00C57485"/>
    <w:rsid w:val="00C574B5"/>
    <w:rsid w:val="00C5756C"/>
    <w:rsid w:val="00C577EB"/>
    <w:rsid w:val="00C57968"/>
    <w:rsid w:val="00C57BAB"/>
    <w:rsid w:val="00C57C5A"/>
    <w:rsid w:val="00C57C74"/>
    <w:rsid w:val="00C57CBB"/>
    <w:rsid w:val="00C57D32"/>
    <w:rsid w:val="00C57DDC"/>
    <w:rsid w:val="00C57E19"/>
    <w:rsid w:val="00C60168"/>
    <w:rsid w:val="00C60424"/>
    <w:rsid w:val="00C605A3"/>
    <w:rsid w:val="00C60643"/>
    <w:rsid w:val="00C60783"/>
    <w:rsid w:val="00C60CDB"/>
    <w:rsid w:val="00C60FD5"/>
    <w:rsid w:val="00C61328"/>
    <w:rsid w:val="00C6145A"/>
    <w:rsid w:val="00C61499"/>
    <w:rsid w:val="00C614E6"/>
    <w:rsid w:val="00C61529"/>
    <w:rsid w:val="00C6158A"/>
    <w:rsid w:val="00C6158D"/>
    <w:rsid w:val="00C61595"/>
    <w:rsid w:val="00C618EB"/>
    <w:rsid w:val="00C61958"/>
    <w:rsid w:val="00C6195B"/>
    <w:rsid w:val="00C61995"/>
    <w:rsid w:val="00C61A06"/>
    <w:rsid w:val="00C61AB8"/>
    <w:rsid w:val="00C61CCD"/>
    <w:rsid w:val="00C61ECC"/>
    <w:rsid w:val="00C620FD"/>
    <w:rsid w:val="00C62249"/>
    <w:rsid w:val="00C62284"/>
    <w:rsid w:val="00C623AC"/>
    <w:rsid w:val="00C62481"/>
    <w:rsid w:val="00C6265B"/>
    <w:rsid w:val="00C628B3"/>
    <w:rsid w:val="00C62959"/>
    <w:rsid w:val="00C62983"/>
    <w:rsid w:val="00C62CA9"/>
    <w:rsid w:val="00C62CB5"/>
    <w:rsid w:val="00C62F11"/>
    <w:rsid w:val="00C62FB3"/>
    <w:rsid w:val="00C63045"/>
    <w:rsid w:val="00C6304B"/>
    <w:rsid w:val="00C630CD"/>
    <w:rsid w:val="00C63161"/>
    <w:rsid w:val="00C632B7"/>
    <w:rsid w:val="00C63338"/>
    <w:rsid w:val="00C63410"/>
    <w:rsid w:val="00C63445"/>
    <w:rsid w:val="00C634B7"/>
    <w:rsid w:val="00C636A5"/>
    <w:rsid w:val="00C636FA"/>
    <w:rsid w:val="00C63776"/>
    <w:rsid w:val="00C63854"/>
    <w:rsid w:val="00C63987"/>
    <w:rsid w:val="00C63996"/>
    <w:rsid w:val="00C639D1"/>
    <w:rsid w:val="00C63A83"/>
    <w:rsid w:val="00C63AEA"/>
    <w:rsid w:val="00C63BAE"/>
    <w:rsid w:val="00C63BB3"/>
    <w:rsid w:val="00C64015"/>
    <w:rsid w:val="00C6402B"/>
    <w:rsid w:val="00C6406B"/>
    <w:rsid w:val="00C64088"/>
    <w:rsid w:val="00C64170"/>
    <w:rsid w:val="00C643C8"/>
    <w:rsid w:val="00C64478"/>
    <w:rsid w:val="00C644FB"/>
    <w:rsid w:val="00C645CF"/>
    <w:rsid w:val="00C645E6"/>
    <w:rsid w:val="00C6462B"/>
    <w:rsid w:val="00C64661"/>
    <w:rsid w:val="00C646B2"/>
    <w:rsid w:val="00C6475B"/>
    <w:rsid w:val="00C6484A"/>
    <w:rsid w:val="00C648FB"/>
    <w:rsid w:val="00C6494B"/>
    <w:rsid w:val="00C64963"/>
    <w:rsid w:val="00C64DAC"/>
    <w:rsid w:val="00C64E76"/>
    <w:rsid w:val="00C64ED7"/>
    <w:rsid w:val="00C65204"/>
    <w:rsid w:val="00C653B6"/>
    <w:rsid w:val="00C653E0"/>
    <w:rsid w:val="00C654DA"/>
    <w:rsid w:val="00C65655"/>
    <w:rsid w:val="00C65717"/>
    <w:rsid w:val="00C65796"/>
    <w:rsid w:val="00C658D9"/>
    <w:rsid w:val="00C65CE7"/>
    <w:rsid w:val="00C65D3D"/>
    <w:rsid w:val="00C65D7F"/>
    <w:rsid w:val="00C65E40"/>
    <w:rsid w:val="00C65E54"/>
    <w:rsid w:val="00C65E73"/>
    <w:rsid w:val="00C65E81"/>
    <w:rsid w:val="00C65EEE"/>
    <w:rsid w:val="00C660A1"/>
    <w:rsid w:val="00C660A9"/>
    <w:rsid w:val="00C661CF"/>
    <w:rsid w:val="00C663FA"/>
    <w:rsid w:val="00C66464"/>
    <w:rsid w:val="00C6662A"/>
    <w:rsid w:val="00C66726"/>
    <w:rsid w:val="00C66819"/>
    <w:rsid w:val="00C6687C"/>
    <w:rsid w:val="00C66891"/>
    <w:rsid w:val="00C668FE"/>
    <w:rsid w:val="00C669D0"/>
    <w:rsid w:val="00C669F4"/>
    <w:rsid w:val="00C66DEC"/>
    <w:rsid w:val="00C66E13"/>
    <w:rsid w:val="00C66F8D"/>
    <w:rsid w:val="00C670A0"/>
    <w:rsid w:val="00C67256"/>
    <w:rsid w:val="00C673FA"/>
    <w:rsid w:val="00C674B6"/>
    <w:rsid w:val="00C6775B"/>
    <w:rsid w:val="00C67828"/>
    <w:rsid w:val="00C6787D"/>
    <w:rsid w:val="00C67960"/>
    <w:rsid w:val="00C67B01"/>
    <w:rsid w:val="00C67B10"/>
    <w:rsid w:val="00C67C1C"/>
    <w:rsid w:val="00C67C95"/>
    <w:rsid w:val="00C67CA8"/>
    <w:rsid w:val="00C67D1D"/>
    <w:rsid w:val="00C67E89"/>
    <w:rsid w:val="00C67ED3"/>
    <w:rsid w:val="00C67F29"/>
    <w:rsid w:val="00C67F2D"/>
    <w:rsid w:val="00C67FAC"/>
    <w:rsid w:val="00C67FCD"/>
    <w:rsid w:val="00C7003B"/>
    <w:rsid w:val="00C7034D"/>
    <w:rsid w:val="00C7039F"/>
    <w:rsid w:val="00C703A7"/>
    <w:rsid w:val="00C70444"/>
    <w:rsid w:val="00C70997"/>
    <w:rsid w:val="00C70A72"/>
    <w:rsid w:val="00C70DC1"/>
    <w:rsid w:val="00C70F60"/>
    <w:rsid w:val="00C710A0"/>
    <w:rsid w:val="00C71115"/>
    <w:rsid w:val="00C71458"/>
    <w:rsid w:val="00C715A5"/>
    <w:rsid w:val="00C716CE"/>
    <w:rsid w:val="00C71726"/>
    <w:rsid w:val="00C7173E"/>
    <w:rsid w:val="00C718BB"/>
    <w:rsid w:val="00C718C8"/>
    <w:rsid w:val="00C71A3D"/>
    <w:rsid w:val="00C71BB6"/>
    <w:rsid w:val="00C71C91"/>
    <w:rsid w:val="00C71D11"/>
    <w:rsid w:val="00C71E20"/>
    <w:rsid w:val="00C71E2A"/>
    <w:rsid w:val="00C71E73"/>
    <w:rsid w:val="00C72019"/>
    <w:rsid w:val="00C72384"/>
    <w:rsid w:val="00C723F4"/>
    <w:rsid w:val="00C7243A"/>
    <w:rsid w:val="00C72503"/>
    <w:rsid w:val="00C7258D"/>
    <w:rsid w:val="00C725D3"/>
    <w:rsid w:val="00C726A4"/>
    <w:rsid w:val="00C72A5A"/>
    <w:rsid w:val="00C72A90"/>
    <w:rsid w:val="00C72ACF"/>
    <w:rsid w:val="00C72B48"/>
    <w:rsid w:val="00C72BA8"/>
    <w:rsid w:val="00C72DB8"/>
    <w:rsid w:val="00C72E50"/>
    <w:rsid w:val="00C72F64"/>
    <w:rsid w:val="00C73125"/>
    <w:rsid w:val="00C73376"/>
    <w:rsid w:val="00C733FA"/>
    <w:rsid w:val="00C734A4"/>
    <w:rsid w:val="00C735B9"/>
    <w:rsid w:val="00C73756"/>
    <w:rsid w:val="00C73862"/>
    <w:rsid w:val="00C73C9C"/>
    <w:rsid w:val="00C73D89"/>
    <w:rsid w:val="00C73E4D"/>
    <w:rsid w:val="00C73F21"/>
    <w:rsid w:val="00C73F43"/>
    <w:rsid w:val="00C73F8D"/>
    <w:rsid w:val="00C74300"/>
    <w:rsid w:val="00C74577"/>
    <w:rsid w:val="00C74762"/>
    <w:rsid w:val="00C748E6"/>
    <w:rsid w:val="00C74913"/>
    <w:rsid w:val="00C74A55"/>
    <w:rsid w:val="00C74ABC"/>
    <w:rsid w:val="00C74B34"/>
    <w:rsid w:val="00C74C4C"/>
    <w:rsid w:val="00C74CD9"/>
    <w:rsid w:val="00C74F11"/>
    <w:rsid w:val="00C752AB"/>
    <w:rsid w:val="00C75375"/>
    <w:rsid w:val="00C756B8"/>
    <w:rsid w:val="00C756BA"/>
    <w:rsid w:val="00C75F91"/>
    <w:rsid w:val="00C75FED"/>
    <w:rsid w:val="00C760C2"/>
    <w:rsid w:val="00C760DC"/>
    <w:rsid w:val="00C761F4"/>
    <w:rsid w:val="00C76311"/>
    <w:rsid w:val="00C7639A"/>
    <w:rsid w:val="00C7639E"/>
    <w:rsid w:val="00C76881"/>
    <w:rsid w:val="00C769DC"/>
    <w:rsid w:val="00C769FE"/>
    <w:rsid w:val="00C76A72"/>
    <w:rsid w:val="00C76A81"/>
    <w:rsid w:val="00C76D5E"/>
    <w:rsid w:val="00C76E9E"/>
    <w:rsid w:val="00C76EE7"/>
    <w:rsid w:val="00C76EE8"/>
    <w:rsid w:val="00C76F97"/>
    <w:rsid w:val="00C77005"/>
    <w:rsid w:val="00C77046"/>
    <w:rsid w:val="00C77213"/>
    <w:rsid w:val="00C77246"/>
    <w:rsid w:val="00C7725C"/>
    <w:rsid w:val="00C7741C"/>
    <w:rsid w:val="00C77469"/>
    <w:rsid w:val="00C77499"/>
    <w:rsid w:val="00C7760B"/>
    <w:rsid w:val="00C777A4"/>
    <w:rsid w:val="00C77839"/>
    <w:rsid w:val="00C77903"/>
    <w:rsid w:val="00C7791A"/>
    <w:rsid w:val="00C77BB6"/>
    <w:rsid w:val="00C77BF0"/>
    <w:rsid w:val="00C77FBB"/>
    <w:rsid w:val="00C8006E"/>
    <w:rsid w:val="00C8046F"/>
    <w:rsid w:val="00C80510"/>
    <w:rsid w:val="00C805C5"/>
    <w:rsid w:val="00C8064A"/>
    <w:rsid w:val="00C8069C"/>
    <w:rsid w:val="00C80A43"/>
    <w:rsid w:val="00C80D64"/>
    <w:rsid w:val="00C80DAE"/>
    <w:rsid w:val="00C80DE5"/>
    <w:rsid w:val="00C80EE4"/>
    <w:rsid w:val="00C812F0"/>
    <w:rsid w:val="00C815FD"/>
    <w:rsid w:val="00C81607"/>
    <w:rsid w:val="00C8160F"/>
    <w:rsid w:val="00C816DD"/>
    <w:rsid w:val="00C819F3"/>
    <w:rsid w:val="00C81A1F"/>
    <w:rsid w:val="00C81BCA"/>
    <w:rsid w:val="00C81BF6"/>
    <w:rsid w:val="00C81CBC"/>
    <w:rsid w:val="00C81CDF"/>
    <w:rsid w:val="00C81EFA"/>
    <w:rsid w:val="00C82074"/>
    <w:rsid w:val="00C820B2"/>
    <w:rsid w:val="00C822ED"/>
    <w:rsid w:val="00C82306"/>
    <w:rsid w:val="00C82350"/>
    <w:rsid w:val="00C824DE"/>
    <w:rsid w:val="00C8276D"/>
    <w:rsid w:val="00C8281D"/>
    <w:rsid w:val="00C828A6"/>
    <w:rsid w:val="00C82922"/>
    <w:rsid w:val="00C829C2"/>
    <w:rsid w:val="00C82A7E"/>
    <w:rsid w:val="00C82B34"/>
    <w:rsid w:val="00C82B85"/>
    <w:rsid w:val="00C82C41"/>
    <w:rsid w:val="00C82D4D"/>
    <w:rsid w:val="00C82F16"/>
    <w:rsid w:val="00C82FC5"/>
    <w:rsid w:val="00C8306F"/>
    <w:rsid w:val="00C830E4"/>
    <w:rsid w:val="00C831D3"/>
    <w:rsid w:val="00C8331B"/>
    <w:rsid w:val="00C83329"/>
    <w:rsid w:val="00C833FD"/>
    <w:rsid w:val="00C8355E"/>
    <w:rsid w:val="00C83667"/>
    <w:rsid w:val="00C83868"/>
    <w:rsid w:val="00C83B7A"/>
    <w:rsid w:val="00C83CBE"/>
    <w:rsid w:val="00C83CD4"/>
    <w:rsid w:val="00C83D6C"/>
    <w:rsid w:val="00C84220"/>
    <w:rsid w:val="00C84387"/>
    <w:rsid w:val="00C84541"/>
    <w:rsid w:val="00C84608"/>
    <w:rsid w:val="00C846AD"/>
    <w:rsid w:val="00C84E03"/>
    <w:rsid w:val="00C8506C"/>
    <w:rsid w:val="00C8528C"/>
    <w:rsid w:val="00C85460"/>
    <w:rsid w:val="00C855CF"/>
    <w:rsid w:val="00C85664"/>
    <w:rsid w:val="00C858C5"/>
    <w:rsid w:val="00C858D3"/>
    <w:rsid w:val="00C859FF"/>
    <w:rsid w:val="00C85ACB"/>
    <w:rsid w:val="00C85B2F"/>
    <w:rsid w:val="00C85B79"/>
    <w:rsid w:val="00C85CD7"/>
    <w:rsid w:val="00C85DFB"/>
    <w:rsid w:val="00C85E2F"/>
    <w:rsid w:val="00C85EC1"/>
    <w:rsid w:val="00C85F13"/>
    <w:rsid w:val="00C85F6E"/>
    <w:rsid w:val="00C860BB"/>
    <w:rsid w:val="00C8611A"/>
    <w:rsid w:val="00C862BA"/>
    <w:rsid w:val="00C862C4"/>
    <w:rsid w:val="00C8633E"/>
    <w:rsid w:val="00C863F0"/>
    <w:rsid w:val="00C86584"/>
    <w:rsid w:val="00C86684"/>
    <w:rsid w:val="00C8682D"/>
    <w:rsid w:val="00C868B5"/>
    <w:rsid w:val="00C868F0"/>
    <w:rsid w:val="00C8690A"/>
    <w:rsid w:val="00C86933"/>
    <w:rsid w:val="00C86A4C"/>
    <w:rsid w:val="00C86BE3"/>
    <w:rsid w:val="00C86C82"/>
    <w:rsid w:val="00C86DB3"/>
    <w:rsid w:val="00C86F00"/>
    <w:rsid w:val="00C87102"/>
    <w:rsid w:val="00C872DF"/>
    <w:rsid w:val="00C8733F"/>
    <w:rsid w:val="00C87389"/>
    <w:rsid w:val="00C873E9"/>
    <w:rsid w:val="00C87413"/>
    <w:rsid w:val="00C8751E"/>
    <w:rsid w:val="00C87671"/>
    <w:rsid w:val="00C87787"/>
    <w:rsid w:val="00C877D3"/>
    <w:rsid w:val="00C877DD"/>
    <w:rsid w:val="00C879D7"/>
    <w:rsid w:val="00C87A20"/>
    <w:rsid w:val="00C87AE5"/>
    <w:rsid w:val="00C87B59"/>
    <w:rsid w:val="00C87B6C"/>
    <w:rsid w:val="00C87CAA"/>
    <w:rsid w:val="00C87DCC"/>
    <w:rsid w:val="00C87DFB"/>
    <w:rsid w:val="00C87E8C"/>
    <w:rsid w:val="00C87EB1"/>
    <w:rsid w:val="00C87F7C"/>
    <w:rsid w:val="00C9008E"/>
    <w:rsid w:val="00C90190"/>
    <w:rsid w:val="00C901B1"/>
    <w:rsid w:val="00C901C7"/>
    <w:rsid w:val="00C901E8"/>
    <w:rsid w:val="00C901F5"/>
    <w:rsid w:val="00C9042B"/>
    <w:rsid w:val="00C90447"/>
    <w:rsid w:val="00C90486"/>
    <w:rsid w:val="00C904E9"/>
    <w:rsid w:val="00C90527"/>
    <w:rsid w:val="00C905CE"/>
    <w:rsid w:val="00C9063D"/>
    <w:rsid w:val="00C90649"/>
    <w:rsid w:val="00C90693"/>
    <w:rsid w:val="00C907FA"/>
    <w:rsid w:val="00C90922"/>
    <w:rsid w:val="00C90B31"/>
    <w:rsid w:val="00C90BAB"/>
    <w:rsid w:val="00C90BD4"/>
    <w:rsid w:val="00C90BFA"/>
    <w:rsid w:val="00C90CD7"/>
    <w:rsid w:val="00C90DEA"/>
    <w:rsid w:val="00C90E30"/>
    <w:rsid w:val="00C90ED5"/>
    <w:rsid w:val="00C90F80"/>
    <w:rsid w:val="00C90FF8"/>
    <w:rsid w:val="00C910DF"/>
    <w:rsid w:val="00C912F9"/>
    <w:rsid w:val="00C91384"/>
    <w:rsid w:val="00C91588"/>
    <w:rsid w:val="00C9173D"/>
    <w:rsid w:val="00C917EF"/>
    <w:rsid w:val="00C918D8"/>
    <w:rsid w:val="00C91944"/>
    <w:rsid w:val="00C91B33"/>
    <w:rsid w:val="00C91C37"/>
    <w:rsid w:val="00C91C83"/>
    <w:rsid w:val="00C91E0D"/>
    <w:rsid w:val="00C9201C"/>
    <w:rsid w:val="00C92451"/>
    <w:rsid w:val="00C9246E"/>
    <w:rsid w:val="00C92490"/>
    <w:rsid w:val="00C924CE"/>
    <w:rsid w:val="00C924FC"/>
    <w:rsid w:val="00C92680"/>
    <w:rsid w:val="00C927A6"/>
    <w:rsid w:val="00C9295B"/>
    <w:rsid w:val="00C92970"/>
    <w:rsid w:val="00C92B1E"/>
    <w:rsid w:val="00C92C4A"/>
    <w:rsid w:val="00C92E64"/>
    <w:rsid w:val="00C92E9E"/>
    <w:rsid w:val="00C9301C"/>
    <w:rsid w:val="00C9312B"/>
    <w:rsid w:val="00C9319C"/>
    <w:rsid w:val="00C93270"/>
    <w:rsid w:val="00C93285"/>
    <w:rsid w:val="00C93550"/>
    <w:rsid w:val="00C935E9"/>
    <w:rsid w:val="00C935EC"/>
    <w:rsid w:val="00C93709"/>
    <w:rsid w:val="00C937C1"/>
    <w:rsid w:val="00C93A09"/>
    <w:rsid w:val="00C93B9B"/>
    <w:rsid w:val="00C93CD9"/>
    <w:rsid w:val="00C93D1A"/>
    <w:rsid w:val="00C93D4A"/>
    <w:rsid w:val="00C93D56"/>
    <w:rsid w:val="00C93DEC"/>
    <w:rsid w:val="00C93F8E"/>
    <w:rsid w:val="00C94188"/>
    <w:rsid w:val="00C942BC"/>
    <w:rsid w:val="00C9441C"/>
    <w:rsid w:val="00C944B4"/>
    <w:rsid w:val="00C94586"/>
    <w:rsid w:val="00C946F7"/>
    <w:rsid w:val="00C9483F"/>
    <w:rsid w:val="00C9494C"/>
    <w:rsid w:val="00C9499E"/>
    <w:rsid w:val="00C949C3"/>
    <w:rsid w:val="00C949E8"/>
    <w:rsid w:val="00C94BF2"/>
    <w:rsid w:val="00C94D98"/>
    <w:rsid w:val="00C94E2E"/>
    <w:rsid w:val="00C94E3F"/>
    <w:rsid w:val="00C94E4B"/>
    <w:rsid w:val="00C94F2E"/>
    <w:rsid w:val="00C9530A"/>
    <w:rsid w:val="00C95472"/>
    <w:rsid w:val="00C9568C"/>
    <w:rsid w:val="00C956A6"/>
    <w:rsid w:val="00C956F3"/>
    <w:rsid w:val="00C95792"/>
    <w:rsid w:val="00C95972"/>
    <w:rsid w:val="00C95C6C"/>
    <w:rsid w:val="00C95C9D"/>
    <w:rsid w:val="00C95E3D"/>
    <w:rsid w:val="00C95FCF"/>
    <w:rsid w:val="00C9601F"/>
    <w:rsid w:val="00C96071"/>
    <w:rsid w:val="00C96106"/>
    <w:rsid w:val="00C96134"/>
    <w:rsid w:val="00C962AC"/>
    <w:rsid w:val="00C96449"/>
    <w:rsid w:val="00C967DB"/>
    <w:rsid w:val="00C9686C"/>
    <w:rsid w:val="00C968AF"/>
    <w:rsid w:val="00C96952"/>
    <w:rsid w:val="00C9696E"/>
    <w:rsid w:val="00C96A3E"/>
    <w:rsid w:val="00C96AF2"/>
    <w:rsid w:val="00C96DB3"/>
    <w:rsid w:val="00C96E6A"/>
    <w:rsid w:val="00C96F27"/>
    <w:rsid w:val="00C96FE0"/>
    <w:rsid w:val="00C97046"/>
    <w:rsid w:val="00C97155"/>
    <w:rsid w:val="00C97160"/>
    <w:rsid w:val="00C97233"/>
    <w:rsid w:val="00C97276"/>
    <w:rsid w:val="00C972E1"/>
    <w:rsid w:val="00C973E6"/>
    <w:rsid w:val="00C97584"/>
    <w:rsid w:val="00C975E4"/>
    <w:rsid w:val="00C97631"/>
    <w:rsid w:val="00C9764E"/>
    <w:rsid w:val="00C976CC"/>
    <w:rsid w:val="00C97912"/>
    <w:rsid w:val="00C979A6"/>
    <w:rsid w:val="00C979FC"/>
    <w:rsid w:val="00C97A52"/>
    <w:rsid w:val="00C97AE7"/>
    <w:rsid w:val="00C97B35"/>
    <w:rsid w:val="00C97C9C"/>
    <w:rsid w:val="00C97D67"/>
    <w:rsid w:val="00C97DFA"/>
    <w:rsid w:val="00C97EC0"/>
    <w:rsid w:val="00CA0201"/>
    <w:rsid w:val="00CA02B8"/>
    <w:rsid w:val="00CA0387"/>
    <w:rsid w:val="00CA04A2"/>
    <w:rsid w:val="00CA050F"/>
    <w:rsid w:val="00CA0520"/>
    <w:rsid w:val="00CA05CC"/>
    <w:rsid w:val="00CA0823"/>
    <w:rsid w:val="00CA083E"/>
    <w:rsid w:val="00CA08A8"/>
    <w:rsid w:val="00CA0950"/>
    <w:rsid w:val="00CA09D5"/>
    <w:rsid w:val="00CA0A2F"/>
    <w:rsid w:val="00CA0A9E"/>
    <w:rsid w:val="00CA0B71"/>
    <w:rsid w:val="00CA0CE0"/>
    <w:rsid w:val="00CA0E13"/>
    <w:rsid w:val="00CA0EAA"/>
    <w:rsid w:val="00CA0F33"/>
    <w:rsid w:val="00CA115F"/>
    <w:rsid w:val="00CA1539"/>
    <w:rsid w:val="00CA15E6"/>
    <w:rsid w:val="00CA161B"/>
    <w:rsid w:val="00CA1690"/>
    <w:rsid w:val="00CA174A"/>
    <w:rsid w:val="00CA184D"/>
    <w:rsid w:val="00CA1937"/>
    <w:rsid w:val="00CA197E"/>
    <w:rsid w:val="00CA19BD"/>
    <w:rsid w:val="00CA1A12"/>
    <w:rsid w:val="00CA1A47"/>
    <w:rsid w:val="00CA1A88"/>
    <w:rsid w:val="00CA1B14"/>
    <w:rsid w:val="00CA1BD6"/>
    <w:rsid w:val="00CA1D37"/>
    <w:rsid w:val="00CA1D74"/>
    <w:rsid w:val="00CA1E3C"/>
    <w:rsid w:val="00CA1ED8"/>
    <w:rsid w:val="00CA1FD6"/>
    <w:rsid w:val="00CA22D5"/>
    <w:rsid w:val="00CA236A"/>
    <w:rsid w:val="00CA24A7"/>
    <w:rsid w:val="00CA28BB"/>
    <w:rsid w:val="00CA2C5A"/>
    <w:rsid w:val="00CA2D55"/>
    <w:rsid w:val="00CA2E53"/>
    <w:rsid w:val="00CA2EF3"/>
    <w:rsid w:val="00CA2FF6"/>
    <w:rsid w:val="00CA31C1"/>
    <w:rsid w:val="00CA343B"/>
    <w:rsid w:val="00CA3449"/>
    <w:rsid w:val="00CA360B"/>
    <w:rsid w:val="00CA37EE"/>
    <w:rsid w:val="00CA3BC6"/>
    <w:rsid w:val="00CA3BF6"/>
    <w:rsid w:val="00CA3C10"/>
    <w:rsid w:val="00CA4022"/>
    <w:rsid w:val="00CA4081"/>
    <w:rsid w:val="00CA4095"/>
    <w:rsid w:val="00CA4445"/>
    <w:rsid w:val="00CA4459"/>
    <w:rsid w:val="00CA44B0"/>
    <w:rsid w:val="00CA4506"/>
    <w:rsid w:val="00CA467A"/>
    <w:rsid w:val="00CA4704"/>
    <w:rsid w:val="00CA4A84"/>
    <w:rsid w:val="00CA4B9F"/>
    <w:rsid w:val="00CA4D40"/>
    <w:rsid w:val="00CA4DC4"/>
    <w:rsid w:val="00CA4DE5"/>
    <w:rsid w:val="00CA5001"/>
    <w:rsid w:val="00CA5564"/>
    <w:rsid w:val="00CA5586"/>
    <w:rsid w:val="00CA55C2"/>
    <w:rsid w:val="00CA55FC"/>
    <w:rsid w:val="00CA56B9"/>
    <w:rsid w:val="00CA5AF2"/>
    <w:rsid w:val="00CA5BE8"/>
    <w:rsid w:val="00CA5BF0"/>
    <w:rsid w:val="00CA5CA6"/>
    <w:rsid w:val="00CA5D1D"/>
    <w:rsid w:val="00CA5DDD"/>
    <w:rsid w:val="00CA5DE2"/>
    <w:rsid w:val="00CA6027"/>
    <w:rsid w:val="00CA60BE"/>
    <w:rsid w:val="00CA622D"/>
    <w:rsid w:val="00CA6465"/>
    <w:rsid w:val="00CA696E"/>
    <w:rsid w:val="00CA6B0B"/>
    <w:rsid w:val="00CA725C"/>
    <w:rsid w:val="00CA729B"/>
    <w:rsid w:val="00CA742E"/>
    <w:rsid w:val="00CA780C"/>
    <w:rsid w:val="00CA7840"/>
    <w:rsid w:val="00CA787B"/>
    <w:rsid w:val="00CA78EB"/>
    <w:rsid w:val="00CA7B8A"/>
    <w:rsid w:val="00CA7C35"/>
    <w:rsid w:val="00CA7C5E"/>
    <w:rsid w:val="00CA7D8A"/>
    <w:rsid w:val="00CA7E7B"/>
    <w:rsid w:val="00CA7F8B"/>
    <w:rsid w:val="00CB015E"/>
    <w:rsid w:val="00CB0203"/>
    <w:rsid w:val="00CB0207"/>
    <w:rsid w:val="00CB02BF"/>
    <w:rsid w:val="00CB032C"/>
    <w:rsid w:val="00CB0369"/>
    <w:rsid w:val="00CB03E6"/>
    <w:rsid w:val="00CB076B"/>
    <w:rsid w:val="00CB09A5"/>
    <w:rsid w:val="00CB09E3"/>
    <w:rsid w:val="00CB0A91"/>
    <w:rsid w:val="00CB0B0F"/>
    <w:rsid w:val="00CB0B62"/>
    <w:rsid w:val="00CB0BF7"/>
    <w:rsid w:val="00CB0C59"/>
    <w:rsid w:val="00CB0DAA"/>
    <w:rsid w:val="00CB0E34"/>
    <w:rsid w:val="00CB0F2A"/>
    <w:rsid w:val="00CB1346"/>
    <w:rsid w:val="00CB1566"/>
    <w:rsid w:val="00CB162B"/>
    <w:rsid w:val="00CB1674"/>
    <w:rsid w:val="00CB16BC"/>
    <w:rsid w:val="00CB170F"/>
    <w:rsid w:val="00CB177D"/>
    <w:rsid w:val="00CB180A"/>
    <w:rsid w:val="00CB1952"/>
    <w:rsid w:val="00CB19A1"/>
    <w:rsid w:val="00CB19F8"/>
    <w:rsid w:val="00CB1AB7"/>
    <w:rsid w:val="00CB1B27"/>
    <w:rsid w:val="00CB1B7B"/>
    <w:rsid w:val="00CB1C9F"/>
    <w:rsid w:val="00CB1EF9"/>
    <w:rsid w:val="00CB1F16"/>
    <w:rsid w:val="00CB1F61"/>
    <w:rsid w:val="00CB21A1"/>
    <w:rsid w:val="00CB2226"/>
    <w:rsid w:val="00CB229C"/>
    <w:rsid w:val="00CB231E"/>
    <w:rsid w:val="00CB244E"/>
    <w:rsid w:val="00CB24F4"/>
    <w:rsid w:val="00CB2687"/>
    <w:rsid w:val="00CB28D6"/>
    <w:rsid w:val="00CB28DA"/>
    <w:rsid w:val="00CB2A57"/>
    <w:rsid w:val="00CB2F6F"/>
    <w:rsid w:val="00CB2FC9"/>
    <w:rsid w:val="00CB3056"/>
    <w:rsid w:val="00CB305C"/>
    <w:rsid w:val="00CB3138"/>
    <w:rsid w:val="00CB328E"/>
    <w:rsid w:val="00CB3532"/>
    <w:rsid w:val="00CB3768"/>
    <w:rsid w:val="00CB3B8B"/>
    <w:rsid w:val="00CB3CBB"/>
    <w:rsid w:val="00CB3E47"/>
    <w:rsid w:val="00CB3EBF"/>
    <w:rsid w:val="00CB4053"/>
    <w:rsid w:val="00CB41B1"/>
    <w:rsid w:val="00CB4300"/>
    <w:rsid w:val="00CB435F"/>
    <w:rsid w:val="00CB4743"/>
    <w:rsid w:val="00CB47B0"/>
    <w:rsid w:val="00CB47CB"/>
    <w:rsid w:val="00CB47D5"/>
    <w:rsid w:val="00CB480D"/>
    <w:rsid w:val="00CB4847"/>
    <w:rsid w:val="00CB48BF"/>
    <w:rsid w:val="00CB4C03"/>
    <w:rsid w:val="00CB4CFE"/>
    <w:rsid w:val="00CB51B4"/>
    <w:rsid w:val="00CB52D2"/>
    <w:rsid w:val="00CB52F9"/>
    <w:rsid w:val="00CB5346"/>
    <w:rsid w:val="00CB5402"/>
    <w:rsid w:val="00CB550E"/>
    <w:rsid w:val="00CB562B"/>
    <w:rsid w:val="00CB58A3"/>
    <w:rsid w:val="00CB59EE"/>
    <w:rsid w:val="00CB5AC0"/>
    <w:rsid w:val="00CB5B9A"/>
    <w:rsid w:val="00CB5B9E"/>
    <w:rsid w:val="00CB5D05"/>
    <w:rsid w:val="00CB5D34"/>
    <w:rsid w:val="00CB5F2A"/>
    <w:rsid w:val="00CB5FB9"/>
    <w:rsid w:val="00CB60F6"/>
    <w:rsid w:val="00CB6147"/>
    <w:rsid w:val="00CB62B5"/>
    <w:rsid w:val="00CB62EA"/>
    <w:rsid w:val="00CB63A5"/>
    <w:rsid w:val="00CB63E6"/>
    <w:rsid w:val="00CB65B5"/>
    <w:rsid w:val="00CB68AF"/>
    <w:rsid w:val="00CB68D3"/>
    <w:rsid w:val="00CB6A6D"/>
    <w:rsid w:val="00CB6C16"/>
    <w:rsid w:val="00CB6CAE"/>
    <w:rsid w:val="00CB6CEF"/>
    <w:rsid w:val="00CB6EE0"/>
    <w:rsid w:val="00CB6F90"/>
    <w:rsid w:val="00CB713B"/>
    <w:rsid w:val="00CB7167"/>
    <w:rsid w:val="00CB74A0"/>
    <w:rsid w:val="00CB74AD"/>
    <w:rsid w:val="00CB77F6"/>
    <w:rsid w:val="00CB7840"/>
    <w:rsid w:val="00CB7841"/>
    <w:rsid w:val="00CB78B9"/>
    <w:rsid w:val="00CB7A62"/>
    <w:rsid w:val="00CB7B3D"/>
    <w:rsid w:val="00CB7BA5"/>
    <w:rsid w:val="00CB7C6B"/>
    <w:rsid w:val="00CB7CDE"/>
    <w:rsid w:val="00CB7D2C"/>
    <w:rsid w:val="00CB7E52"/>
    <w:rsid w:val="00CB7EFD"/>
    <w:rsid w:val="00CC0045"/>
    <w:rsid w:val="00CC00FE"/>
    <w:rsid w:val="00CC02BC"/>
    <w:rsid w:val="00CC0612"/>
    <w:rsid w:val="00CC07EF"/>
    <w:rsid w:val="00CC0814"/>
    <w:rsid w:val="00CC09BE"/>
    <w:rsid w:val="00CC0A9E"/>
    <w:rsid w:val="00CC0CCA"/>
    <w:rsid w:val="00CC0F14"/>
    <w:rsid w:val="00CC1227"/>
    <w:rsid w:val="00CC14A9"/>
    <w:rsid w:val="00CC14C6"/>
    <w:rsid w:val="00CC14DB"/>
    <w:rsid w:val="00CC1510"/>
    <w:rsid w:val="00CC15C0"/>
    <w:rsid w:val="00CC188D"/>
    <w:rsid w:val="00CC1EA3"/>
    <w:rsid w:val="00CC207E"/>
    <w:rsid w:val="00CC20A5"/>
    <w:rsid w:val="00CC2233"/>
    <w:rsid w:val="00CC22CC"/>
    <w:rsid w:val="00CC2385"/>
    <w:rsid w:val="00CC23B7"/>
    <w:rsid w:val="00CC2438"/>
    <w:rsid w:val="00CC247A"/>
    <w:rsid w:val="00CC2499"/>
    <w:rsid w:val="00CC24D1"/>
    <w:rsid w:val="00CC2587"/>
    <w:rsid w:val="00CC261F"/>
    <w:rsid w:val="00CC26CB"/>
    <w:rsid w:val="00CC26D5"/>
    <w:rsid w:val="00CC278C"/>
    <w:rsid w:val="00CC2962"/>
    <w:rsid w:val="00CC2DA1"/>
    <w:rsid w:val="00CC2DD5"/>
    <w:rsid w:val="00CC3141"/>
    <w:rsid w:val="00CC3196"/>
    <w:rsid w:val="00CC32FF"/>
    <w:rsid w:val="00CC33BC"/>
    <w:rsid w:val="00CC3633"/>
    <w:rsid w:val="00CC3721"/>
    <w:rsid w:val="00CC3791"/>
    <w:rsid w:val="00CC3A14"/>
    <w:rsid w:val="00CC3A35"/>
    <w:rsid w:val="00CC3A3B"/>
    <w:rsid w:val="00CC3C17"/>
    <w:rsid w:val="00CC3E3C"/>
    <w:rsid w:val="00CC3E9D"/>
    <w:rsid w:val="00CC3ED8"/>
    <w:rsid w:val="00CC40D4"/>
    <w:rsid w:val="00CC40E3"/>
    <w:rsid w:val="00CC4110"/>
    <w:rsid w:val="00CC423A"/>
    <w:rsid w:val="00CC42BA"/>
    <w:rsid w:val="00CC436A"/>
    <w:rsid w:val="00CC43AF"/>
    <w:rsid w:val="00CC4473"/>
    <w:rsid w:val="00CC45E7"/>
    <w:rsid w:val="00CC4753"/>
    <w:rsid w:val="00CC4859"/>
    <w:rsid w:val="00CC490D"/>
    <w:rsid w:val="00CC4993"/>
    <w:rsid w:val="00CC49F9"/>
    <w:rsid w:val="00CC4B05"/>
    <w:rsid w:val="00CC4C0F"/>
    <w:rsid w:val="00CC4C29"/>
    <w:rsid w:val="00CC4DF7"/>
    <w:rsid w:val="00CC4E4A"/>
    <w:rsid w:val="00CC4E6C"/>
    <w:rsid w:val="00CC4F46"/>
    <w:rsid w:val="00CC5231"/>
    <w:rsid w:val="00CC53DC"/>
    <w:rsid w:val="00CC53FD"/>
    <w:rsid w:val="00CC54C2"/>
    <w:rsid w:val="00CC5520"/>
    <w:rsid w:val="00CC56F0"/>
    <w:rsid w:val="00CC5843"/>
    <w:rsid w:val="00CC589C"/>
    <w:rsid w:val="00CC58FB"/>
    <w:rsid w:val="00CC593C"/>
    <w:rsid w:val="00CC5A27"/>
    <w:rsid w:val="00CC5A3F"/>
    <w:rsid w:val="00CC5BC5"/>
    <w:rsid w:val="00CC5BED"/>
    <w:rsid w:val="00CC5F55"/>
    <w:rsid w:val="00CC5F78"/>
    <w:rsid w:val="00CC61F5"/>
    <w:rsid w:val="00CC6270"/>
    <w:rsid w:val="00CC63BA"/>
    <w:rsid w:val="00CC64D3"/>
    <w:rsid w:val="00CC65ED"/>
    <w:rsid w:val="00CC6875"/>
    <w:rsid w:val="00CC689A"/>
    <w:rsid w:val="00CC695B"/>
    <w:rsid w:val="00CC6AA6"/>
    <w:rsid w:val="00CC6EAB"/>
    <w:rsid w:val="00CC700F"/>
    <w:rsid w:val="00CC70E1"/>
    <w:rsid w:val="00CC728F"/>
    <w:rsid w:val="00CC7333"/>
    <w:rsid w:val="00CC737A"/>
    <w:rsid w:val="00CC74E4"/>
    <w:rsid w:val="00CC77E2"/>
    <w:rsid w:val="00CC78BE"/>
    <w:rsid w:val="00CC79C3"/>
    <w:rsid w:val="00CC7AF0"/>
    <w:rsid w:val="00CC7BAF"/>
    <w:rsid w:val="00CC7C46"/>
    <w:rsid w:val="00CC7CE8"/>
    <w:rsid w:val="00CC7D7E"/>
    <w:rsid w:val="00CC7D87"/>
    <w:rsid w:val="00CC7E96"/>
    <w:rsid w:val="00CC7FA5"/>
    <w:rsid w:val="00CD0084"/>
    <w:rsid w:val="00CD01B9"/>
    <w:rsid w:val="00CD0266"/>
    <w:rsid w:val="00CD03D9"/>
    <w:rsid w:val="00CD044D"/>
    <w:rsid w:val="00CD0525"/>
    <w:rsid w:val="00CD062E"/>
    <w:rsid w:val="00CD0877"/>
    <w:rsid w:val="00CD1037"/>
    <w:rsid w:val="00CD13EC"/>
    <w:rsid w:val="00CD18DE"/>
    <w:rsid w:val="00CD18FC"/>
    <w:rsid w:val="00CD1C2E"/>
    <w:rsid w:val="00CD1D2A"/>
    <w:rsid w:val="00CD1D92"/>
    <w:rsid w:val="00CD2033"/>
    <w:rsid w:val="00CD20BC"/>
    <w:rsid w:val="00CD21C7"/>
    <w:rsid w:val="00CD2209"/>
    <w:rsid w:val="00CD2351"/>
    <w:rsid w:val="00CD242C"/>
    <w:rsid w:val="00CD2504"/>
    <w:rsid w:val="00CD2595"/>
    <w:rsid w:val="00CD25E4"/>
    <w:rsid w:val="00CD27E4"/>
    <w:rsid w:val="00CD282F"/>
    <w:rsid w:val="00CD28DC"/>
    <w:rsid w:val="00CD297E"/>
    <w:rsid w:val="00CD2A60"/>
    <w:rsid w:val="00CD2BC6"/>
    <w:rsid w:val="00CD2BD0"/>
    <w:rsid w:val="00CD2D17"/>
    <w:rsid w:val="00CD2DA3"/>
    <w:rsid w:val="00CD30D4"/>
    <w:rsid w:val="00CD318C"/>
    <w:rsid w:val="00CD324A"/>
    <w:rsid w:val="00CD33EA"/>
    <w:rsid w:val="00CD34DE"/>
    <w:rsid w:val="00CD3525"/>
    <w:rsid w:val="00CD35F7"/>
    <w:rsid w:val="00CD36AE"/>
    <w:rsid w:val="00CD36F2"/>
    <w:rsid w:val="00CD36FB"/>
    <w:rsid w:val="00CD3879"/>
    <w:rsid w:val="00CD3899"/>
    <w:rsid w:val="00CD3EC9"/>
    <w:rsid w:val="00CD3F00"/>
    <w:rsid w:val="00CD3F89"/>
    <w:rsid w:val="00CD3FD1"/>
    <w:rsid w:val="00CD418F"/>
    <w:rsid w:val="00CD4424"/>
    <w:rsid w:val="00CD44E7"/>
    <w:rsid w:val="00CD454B"/>
    <w:rsid w:val="00CD474A"/>
    <w:rsid w:val="00CD4780"/>
    <w:rsid w:val="00CD47CE"/>
    <w:rsid w:val="00CD4DE8"/>
    <w:rsid w:val="00CD5007"/>
    <w:rsid w:val="00CD500D"/>
    <w:rsid w:val="00CD509A"/>
    <w:rsid w:val="00CD51D8"/>
    <w:rsid w:val="00CD52C8"/>
    <w:rsid w:val="00CD530F"/>
    <w:rsid w:val="00CD586E"/>
    <w:rsid w:val="00CD5876"/>
    <w:rsid w:val="00CD58EB"/>
    <w:rsid w:val="00CD5A37"/>
    <w:rsid w:val="00CD5B3D"/>
    <w:rsid w:val="00CD5BE5"/>
    <w:rsid w:val="00CD5CBC"/>
    <w:rsid w:val="00CD5D03"/>
    <w:rsid w:val="00CD5DD7"/>
    <w:rsid w:val="00CD5F17"/>
    <w:rsid w:val="00CD6152"/>
    <w:rsid w:val="00CD6375"/>
    <w:rsid w:val="00CD63A0"/>
    <w:rsid w:val="00CD65AE"/>
    <w:rsid w:val="00CD66A8"/>
    <w:rsid w:val="00CD66AB"/>
    <w:rsid w:val="00CD66B6"/>
    <w:rsid w:val="00CD687F"/>
    <w:rsid w:val="00CD6920"/>
    <w:rsid w:val="00CD69D4"/>
    <w:rsid w:val="00CD69ED"/>
    <w:rsid w:val="00CD6A50"/>
    <w:rsid w:val="00CD6BA4"/>
    <w:rsid w:val="00CD6FE7"/>
    <w:rsid w:val="00CD7399"/>
    <w:rsid w:val="00CD7579"/>
    <w:rsid w:val="00CD757E"/>
    <w:rsid w:val="00CD780F"/>
    <w:rsid w:val="00CD78B3"/>
    <w:rsid w:val="00CD7A70"/>
    <w:rsid w:val="00CD7B29"/>
    <w:rsid w:val="00CD7C31"/>
    <w:rsid w:val="00CD7C38"/>
    <w:rsid w:val="00CD7D0A"/>
    <w:rsid w:val="00CD7DCD"/>
    <w:rsid w:val="00CD7E21"/>
    <w:rsid w:val="00CD7ECE"/>
    <w:rsid w:val="00CD7F18"/>
    <w:rsid w:val="00CD7F4C"/>
    <w:rsid w:val="00CE0094"/>
    <w:rsid w:val="00CE00E3"/>
    <w:rsid w:val="00CE0230"/>
    <w:rsid w:val="00CE038A"/>
    <w:rsid w:val="00CE08AF"/>
    <w:rsid w:val="00CE0940"/>
    <w:rsid w:val="00CE0967"/>
    <w:rsid w:val="00CE0CA5"/>
    <w:rsid w:val="00CE0CFC"/>
    <w:rsid w:val="00CE0EF5"/>
    <w:rsid w:val="00CE129E"/>
    <w:rsid w:val="00CE13EA"/>
    <w:rsid w:val="00CE141E"/>
    <w:rsid w:val="00CE1562"/>
    <w:rsid w:val="00CE1767"/>
    <w:rsid w:val="00CE17B5"/>
    <w:rsid w:val="00CE18ED"/>
    <w:rsid w:val="00CE1C50"/>
    <w:rsid w:val="00CE1D38"/>
    <w:rsid w:val="00CE1DA3"/>
    <w:rsid w:val="00CE1DF3"/>
    <w:rsid w:val="00CE1E07"/>
    <w:rsid w:val="00CE1E40"/>
    <w:rsid w:val="00CE207D"/>
    <w:rsid w:val="00CE23CF"/>
    <w:rsid w:val="00CE2408"/>
    <w:rsid w:val="00CE2657"/>
    <w:rsid w:val="00CE26D6"/>
    <w:rsid w:val="00CE28CC"/>
    <w:rsid w:val="00CE28EB"/>
    <w:rsid w:val="00CE29EB"/>
    <w:rsid w:val="00CE2BF1"/>
    <w:rsid w:val="00CE2C01"/>
    <w:rsid w:val="00CE2CAB"/>
    <w:rsid w:val="00CE2ED2"/>
    <w:rsid w:val="00CE2F13"/>
    <w:rsid w:val="00CE313A"/>
    <w:rsid w:val="00CE33CC"/>
    <w:rsid w:val="00CE36CC"/>
    <w:rsid w:val="00CE36F7"/>
    <w:rsid w:val="00CE373F"/>
    <w:rsid w:val="00CE382F"/>
    <w:rsid w:val="00CE386B"/>
    <w:rsid w:val="00CE38FF"/>
    <w:rsid w:val="00CE399C"/>
    <w:rsid w:val="00CE39A1"/>
    <w:rsid w:val="00CE3A95"/>
    <w:rsid w:val="00CE3B4B"/>
    <w:rsid w:val="00CE3D24"/>
    <w:rsid w:val="00CE3DC2"/>
    <w:rsid w:val="00CE3F1F"/>
    <w:rsid w:val="00CE3F25"/>
    <w:rsid w:val="00CE4111"/>
    <w:rsid w:val="00CE4134"/>
    <w:rsid w:val="00CE4279"/>
    <w:rsid w:val="00CE4452"/>
    <w:rsid w:val="00CE4453"/>
    <w:rsid w:val="00CE459C"/>
    <w:rsid w:val="00CE46B8"/>
    <w:rsid w:val="00CE46EB"/>
    <w:rsid w:val="00CE478F"/>
    <w:rsid w:val="00CE4B22"/>
    <w:rsid w:val="00CE4D06"/>
    <w:rsid w:val="00CE4D37"/>
    <w:rsid w:val="00CE4D4D"/>
    <w:rsid w:val="00CE4D53"/>
    <w:rsid w:val="00CE4FBA"/>
    <w:rsid w:val="00CE4FF3"/>
    <w:rsid w:val="00CE5055"/>
    <w:rsid w:val="00CE51B8"/>
    <w:rsid w:val="00CE5269"/>
    <w:rsid w:val="00CE5516"/>
    <w:rsid w:val="00CE5603"/>
    <w:rsid w:val="00CE5AA4"/>
    <w:rsid w:val="00CE5D02"/>
    <w:rsid w:val="00CE5DBB"/>
    <w:rsid w:val="00CE5E23"/>
    <w:rsid w:val="00CE5E70"/>
    <w:rsid w:val="00CE5F25"/>
    <w:rsid w:val="00CE605E"/>
    <w:rsid w:val="00CE60D0"/>
    <w:rsid w:val="00CE635F"/>
    <w:rsid w:val="00CE6542"/>
    <w:rsid w:val="00CE65BA"/>
    <w:rsid w:val="00CE6828"/>
    <w:rsid w:val="00CE6926"/>
    <w:rsid w:val="00CE6A7C"/>
    <w:rsid w:val="00CE6B69"/>
    <w:rsid w:val="00CE6CEB"/>
    <w:rsid w:val="00CE6DC6"/>
    <w:rsid w:val="00CE6FD5"/>
    <w:rsid w:val="00CE70B5"/>
    <w:rsid w:val="00CE70C7"/>
    <w:rsid w:val="00CE7217"/>
    <w:rsid w:val="00CE7250"/>
    <w:rsid w:val="00CE739E"/>
    <w:rsid w:val="00CE73D7"/>
    <w:rsid w:val="00CE756D"/>
    <w:rsid w:val="00CE7570"/>
    <w:rsid w:val="00CE757A"/>
    <w:rsid w:val="00CE7662"/>
    <w:rsid w:val="00CE7692"/>
    <w:rsid w:val="00CE7786"/>
    <w:rsid w:val="00CE7808"/>
    <w:rsid w:val="00CE78C2"/>
    <w:rsid w:val="00CE79E3"/>
    <w:rsid w:val="00CE7A1F"/>
    <w:rsid w:val="00CE7BBB"/>
    <w:rsid w:val="00CE7C7F"/>
    <w:rsid w:val="00CE7CFE"/>
    <w:rsid w:val="00CE7E08"/>
    <w:rsid w:val="00CE7E59"/>
    <w:rsid w:val="00CF0005"/>
    <w:rsid w:val="00CF0043"/>
    <w:rsid w:val="00CF0078"/>
    <w:rsid w:val="00CF02A4"/>
    <w:rsid w:val="00CF0301"/>
    <w:rsid w:val="00CF032D"/>
    <w:rsid w:val="00CF06F8"/>
    <w:rsid w:val="00CF0703"/>
    <w:rsid w:val="00CF0919"/>
    <w:rsid w:val="00CF097C"/>
    <w:rsid w:val="00CF0A03"/>
    <w:rsid w:val="00CF0A15"/>
    <w:rsid w:val="00CF0BFB"/>
    <w:rsid w:val="00CF0D14"/>
    <w:rsid w:val="00CF0E28"/>
    <w:rsid w:val="00CF0F45"/>
    <w:rsid w:val="00CF0FED"/>
    <w:rsid w:val="00CF1115"/>
    <w:rsid w:val="00CF15D9"/>
    <w:rsid w:val="00CF160F"/>
    <w:rsid w:val="00CF17D1"/>
    <w:rsid w:val="00CF180F"/>
    <w:rsid w:val="00CF18C0"/>
    <w:rsid w:val="00CF18F2"/>
    <w:rsid w:val="00CF190F"/>
    <w:rsid w:val="00CF1969"/>
    <w:rsid w:val="00CF1C81"/>
    <w:rsid w:val="00CF1D3F"/>
    <w:rsid w:val="00CF1E61"/>
    <w:rsid w:val="00CF1FB6"/>
    <w:rsid w:val="00CF20EC"/>
    <w:rsid w:val="00CF20F7"/>
    <w:rsid w:val="00CF213F"/>
    <w:rsid w:val="00CF2250"/>
    <w:rsid w:val="00CF2312"/>
    <w:rsid w:val="00CF2346"/>
    <w:rsid w:val="00CF2407"/>
    <w:rsid w:val="00CF244B"/>
    <w:rsid w:val="00CF24F3"/>
    <w:rsid w:val="00CF255C"/>
    <w:rsid w:val="00CF25FC"/>
    <w:rsid w:val="00CF279B"/>
    <w:rsid w:val="00CF27C9"/>
    <w:rsid w:val="00CF299D"/>
    <w:rsid w:val="00CF2A87"/>
    <w:rsid w:val="00CF2AA1"/>
    <w:rsid w:val="00CF2CBF"/>
    <w:rsid w:val="00CF2D14"/>
    <w:rsid w:val="00CF2D6C"/>
    <w:rsid w:val="00CF2DD8"/>
    <w:rsid w:val="00CF2E20"/>
    <w:rsid w:val="00CF2F8D"/>
    <w:rsid w:val="00CF2FAD"/>
    <w:rsid w:val="00CF3016"/>
    <w:rsid w:val="00CF3132"/>
    <w:rsid w:val="00CF323E"/>
    <w:rsid w:val="00CF3358"/>
    <w:rsid w:val="00CF351A"/>
    <w:rsid w:val="00CF3549"/>
    <w:rsid w:val="00CF3607"/>
    <w:rsid w:val="00CF3648"/>
    <w:rsid w:val="00CF36C7"/>
    <w:rsid w:val="00CF3850"/>
    <w:rsid w:val="00CF394E"/>
    <w:rsid w:val="00CF3B28"/>
    <w:rsid w:val="00CF3C8C"/>
    <w:rsid w:val="00CF3D00"/>
    <w:rsid w:val="00CF3D97"/>
    <w:rsid w:val="00CF3DFE"/>
    <w:rsid w:val="00CF41E7"/>
    <w:rsid w:val="00CF421F"/>
    <w:rsid w:val="00CF42E4"/>
    <w:rsid w:val="00CF42F3"/>
    <w:rsid w:val="00CF43C5"/>
    <w:rsid w:val="00CF4546"/>
    <w:rsid w:val="00CF45ED"/>
    <w:rsid w:val="00CF47BD"/>
    <w:rsid w:val="00CF4811"/>
    <w:rsid w:val="00CF48AF"/>
    <w:rsid w:val="00CF4906"/>
    <w:rsid w:val="00CF494C"/>
    <w:rsid w:val="00CF4A23"/>
    <w:rsid w:val="00CF4B28"/>
    <w:rsid w:val="00CF4B64"/>
    <w:rsid w:val="00CF4BA1"/>
    <w:rsid w:val="00CF4C96"/>
    <w:rsid w:val="00CF4D74"/>
    <w:rsid w:val="00CF4E67"/>
    <w:rsid w:val="00CF4FE2"/>
    <w:rsid w:val="00CF500C"/>
    <w:rsid w:val="00CF5021"/>
    <w:rsid w:val="00CF506F"/>
    <w:rsid w:val="00CF5319"/>
    <w:rsid w:val="00CF5570"/>
    <w:rsid w:val="00CF55DB"/>
    <w:rsid w:val="00CF55F8"/>
    <w:rsid w:val="00CF565B"/>
    <w:rsid w:val="00CF5716"/>
    <w:rsid w:val="00CF5815"/>
    <w:rsid w:val="00CF591C"/>
    <w:rsid w:val="00CF5C4E"/>
    <w:rsid w:val="00CF5F3B"/>
    <w:rsid w:val="00CF5F40"/>
    <w:rsid w:val="00CF6021"/>
    <w:rsid w:val="00CF60FE"/>
    <w:rsid w:val="00CF629F"/>
    <w:rsid w:val="00CF62D2"/>
    <w:rsid w:val="00CF6372"/>
    <w:rsid w:val="00CF65AF"/>
    <w:rsid w:val="00CF67D3"/>
    <w:rsid w:val="00CF6CF2"/>
    <w:rsid w:val="00CF6ED0"/>
    <w:rsid w:val="00CF7013"/>
    <w:rsid w:val="00CF7143"/>
    <w:rsid w:val="00CF71DF"/>
    <w:rsid w:val="00CF730E"/>
    <w:rsid w:val="00CF73FE"/>
    <w:rsid w:val="00CF740D"/>
    <w:rsid w:val="00CF7509"/>
    <w:rsid w:val="00CF754F"/>
    <w:rsid w:val="00CF756F"/>
    <w:rsid w:val="00CF75A9"/>
    <w:rsid w:val="00CF75DD"/>
    <w:rsid w:val="00CF7600"/>
    <w:rsid w:val="00CF7740"/>
    <w:rsid w:val="00CF780A"/>
    <w:rsid w:val="00CF7841"/>
    <w:rsid w:val="00CF78E5"/>
    <w:rsid w:val="00CF7921"/>
    <w:rsid w:val="00CF7A65"/>
    <w:rsid w:val="00CF7DB7"/>
    <w:rsid w:val="00CF7E8A"/>
    <w:rsid w:val="00CF7EE3"/>
    <w:rsid w:val="00CF7F2C"/>
    <w:rsid w:val="00D001F3"/>
    <w:rsid w:val="00D001FC"/>
    <w:rsid w:val="00D0021B"/>
    <w:rsid w:val="00D002E0"/>
    <w:rsid w:val="00D0054A"/>
    <w:rsid w:val="00D0055D"/>
    <w:rsid w:val="00D00579"/>
    <w:rsid w:val="00D005BB"/>
    <w:rsid w:val="00D007C3"/>
    <w:rsid w:val="00D007CE"/>
    <w:rsid w:val="00D00930"/>
    <w:rsid w:val="00D00A53"/>
    <w:rsid w:val="00D00ACA"/>
    <w:rsid w:val="00D011B8"/>
    <w:rsid w:val="00D014B9"/>
    <w:rsid w:val="00D015C0"/>
    <w:rsid w:val="00D0161D"/>
    <w:rsid w:val="00D0164E"/>
    <w:rsid w:val="00D01BC8"/>
    <w:rsid w:val="00D01CC5"/>
    <w:rsid w:val="00D01D11"/>
    <w:rsid w:val="00D01DB3"/>
    <w:rsid w:val="00D01F04"/>
    <w:rsid w:val="00D01F3A"/>
    <w:rsid w:val="00D0206A"/>
    <w:rsid w:val="00D0218F"/>
    <w:rsid w:val="00D0222C"/>
    <w:rsid w:val="00D022C9"/>
    <w:rsid w:val="00D022CA"/>
    <w:rsid w:val="00D02394"/>
    <w:rsid w:val="00D025CB"/>
    <w:rsid w:val="00D02606"/>
    <w:rsid w:val="00D0260C"/>
    <w:rsid w:val="00D02630"/>
    <w:rsid w:val="00D026AD"/>
    <w:rsid w:val="00D02710"/>
    <w:rsid w:val="00D027B0"/>
    <w:rsid w:val="00D027F3"/>
    <w:rsid w:val="00D02825"/>
    <w:rsid w:val="00D02862"/>
    <w:rsid w:val="00D028E2"/>
    <w:rsid w:val="00D02997"/>
    <w:rsid w:val="00D02A27"/>
    <w:rsid w:val="00D02BC3"/>
    <w:rsid w:val="00D02C26"/>
    <w:rsid w:val="00D02D34"/>
    <w:rsid w:val="00D02D9D"/>
    <w:rsid w:val="00D02E21"/>
    <w:rsid w:val="00D02E43"/>
    <w:rsid w:val="00D02F3B"/>
    <w:rsid w:val="00D02F6C"/>
    <w:rsid w:val="00D0303A"/>
    <w:rsid w:val="00D03166"/>
    <w:rsid w:val="00D03167"/>
    <w:rsid w:val="00D0324E"/>
    <w:rsid w:val="00D032B1"/>
    <w:rsid w:val="00D033A1"/>
    <w:rsid w:val="00D03476"/>
    <w:rsid w:val="00D036F9"/>
    <w:rsid w:val="00D03820"/>
    <w:rsid w:val="00D03825"/>
    <w:rsid w:val="00D039E6"/>
    <w:rsid w:val="00D03BB4"/>
    <w:rsid w:val="00D0418E"/>
    <w:rsid w:val="00D044D7"/>
    <w:rsid w:val="00D0454A"/>
    <w:rsid w:val="00D0466E"/>
    <w:rsid w:val="00D049C5"/>
    <w:rsid w:val="00D049DA"/>
    <w:rsid w:val="00D04A32"/>
    <w:rsid w:val="00D04D0F"/>
    <w:rsid w:val="00D04F3C"/>
    <w:rsid w:val="00D04FBA"/>
    <w:rsid w:val="00D050E7"/>
    <w:rsid w:val="00D0525B"/>
    <w:rsid w:val="00D052CE"/>
    <w:rsid w:val="00D052DD"/>
    <w:rsid w:val="00D053EC"/>
    <w:rsid w:val="00D053F3"/>
    <w:rsid w:val="00D0551C"/>
    <w:rsid w:val="00D05527"/>
    <w:rsid w:val="00D055A5"/>
    <w:rsid w:val="00D05671"/>
    <w:rsid w:val="00D056FA"/>
    <w:rsid w:val="00D05702"/>
    <w:rsid w:val="00D05730"/>
    <w:rsid w:val="00D05847"/>
    <w:rsid w:val="00D05856"/>
    <w:rsid w:val="00D0589D"/>
    <w:rsid w:val="00D059B8"/>
    <w:rsid w:val="00D05B5A"/>
    <w:rsid w:val="00D05C32"/>
    <w:rsid w:val="00D05D07"/>
    <w:rsid w:val="00D05D3C"/>
    <w:rsid w:val="00D05E84"/>
    <w:rsid w:val="00D05E98"/>
    <w:rsid w:val="00D05EA7"/>
    <w:rsid w:val="00D06134"/>
    <w:rsid w:val="00D061E1"/>
    <w:rsid w:val="00D062C0"/>
    <w:rsid w:val="00D062DD"/>
    <w:rsid w:val="00D062FF"/>
    <w:rsid w:val="00D063CD"/>
    <w:rsid w:val="00D06541"/>
    <w:rsid w:val="00D067CD"/>
    <w:rsid w:val="00D06A0C"/>
    <w:rsid w:val="00D06A68"/>
    <w:rsid w:val="00D06B55"/>
    <w:rsid w:val="00D06B5D"/>
    <w:rsid w:val="00D06B65"/>
    <w:rsid w:val="00D06C38"/>
    <w:rsid w:val="00D06D33"/>
    <w:rsid w:val="00D06E1A"/>
    <w:rsid w:val="00D0708E"/>
    <w:rsid w:val="00D071C2"/>
    <w:rsid w:val="00D0722A"/>
    <w:rsid w:val="00D072D6"/>
    <w:rsid w:val="00D0733D"/>
    <w:rsid w:val="00D0752A"/>
    <w:rsid w:val="00D076BE"/>
    <w:rsid w:val="00D07799"/>
    <w:rsid w:val="00D0788D"/>
    <w:rsid w:val="00D0789E"/>
    <w:rsid w:val="00D07934"/>
    <w:rsid w:val="00D07A8C"/>
    <w:rsid w:val="00D07BE3"/>
    <w:rsid w:val="00D07CB6"/>
    <w:rsid w:val="00D10092"/>
    <w:rsid w:val="00D101AA"/>
    <w:rsid w:val="00D102A9"/>
    <w:rsid w:val="00D10320"/>
    <w:rsid w:val="00D1044A"/>
    <w:rsid w:val="00D105DA"/>
    <w:rsid w:val="00D1061B"/>
    <w:rsid w:val="00D10890"/>
    <w:rsid w:val="00D108D7"/>
    <w:rsid w:val="00D108E6"/>
    <w:rsid w:val="00D108F1"/>
    <w:rsid w:val="00D109A1"/>
    <w:rsid w:val="00D10A79"/>
    <w:rsid w:val="00D10C0A"/>
    <w:rsid w:val="00D10EAE"/>
    <w:rsid w:val="00D10F5B"/>
    <w:rsid w:val="00D11079"/>
    <w:rsid w:val="00D1148C"/>
    <w:rsid w:val="00D1154A"/>
    <w:rsid w:val="00D1156A"/>
    <w:rsid w:val="00D11628"/>
    <w:rsid w:val="00D117A1"/>
    <w:rsid w:val="00D117BF"/>
    <w:rsid w:val="00D11964"/>
    <w:rsid w:val="00D11A57"/>
    <w:rsid w:val="00D11B95"/>
    <w:rsid w:val="00D11CC2"/>
    <w:rsid w:val="00D11D30"/>
    <w:rsid w:val="00D11E51"/>
    <w:rsid w:val="00D11EE0"/>
    <w:rsid w:val="00D11EE7"/>
    <w:rsid w:val="00D12079"/>
    <w:rsid w:val="00D120F8"/>
    <w:rsid w:val="00D1220B"/>
    <w:rsid w:val="00D12404"/>
    <w:rsid w:val="00D12791"/>
    <w:rsid w:val="00D128D2"/>
    <w:rsid w:val="00D12946"/>
    <w:rsid w:val="00D129CC"/>
    <w:rsid w:val="00D129D6"/>
    <w:rsid w:val="00D12B0B"/>
    <w:rsid w:val="00D12C55"/>
    <w:rsid w:val="00D12CBF"/>
    <w:rsid w:val="00D12EEA"/>
    <w:rsid w:val="00D1310B"/>
    <w:rsid w:val="00D13118"/>
    <w:rsid w:val="00D1317C"/>
    <w:rsid w:val="00D13279"/>
    <w:rsid w:val="00D1327B"/>
    <w:rsid w:val="00D13287"/>
    <w:rsid w:val="00D132A2"/>
    <w:rsid w:val="00D133F8"/>
    <w:rsid w:val="00D13493"/>
    <w:rsid w:val="00D135BC"/>
    <w:rsid w:val="00D13706"/>
    <w:rsid w:val="00D1376D"/>
    <w:rsid w:val="00D13823"/>
    <w:rsid w:val="00D1383F"/>
    <w:rsid w:val="00D13B31"/>
    <w:rsid w:val="00D13B60"/>
    <w:rsid w:val="00D13D47"/>
    <w:rsid w:val="00D13FCE"/>
    <w:rsid w:val="00D1403C"/>
    <w:rsid w:val="00D140C9"/>
    <w:rsid w:val="00D14119"/>
    <w:rsid w:val="00D1422D"/>
    <w:rsid w:val="00D143A9"/>
    <w:rsid w:val="00D145A8"/>
    <w:rsid w:val="00D1479C"/>
    <w:rsid w:val="00D1480B"/>
    <w:rsid w:val="00D149C6"/>
    <w:rsid w:val="00D149F9"/>
    <w:rsid w:val="00D14A07"/>
    <w:rsid w:val="00D14C2D"/>
    <w:rsid w:val="00D14C6A"/>
    <w:rsid w:val="00D14D60"/>
    <w:rsid w:val="00D14D7C"/>
    <w:rsid w:val="00D14F6C"/>
    <w:rsid w:val="00D15064"/>
    <w:rsid w:val="00D15158"/>
    <w:rsid w:val="00D15164"/>
    <w:rsid w:val="00D15185"/>
    <w:rsid w:val="00D153B3"/>
    <w:rsid w:val="00D153F8"/>
    <w:rsid w:val="00D15410"/>
    <w:rsid w:val="00D15431"/>
    <w:rsid w:val="00D1543B"/>
    <w:rsid w:val="00D15566"/>
    <w:rsid w:val="00D15570"/>
    <w:rsid w:val="00D155E5"/>
    <w:rsid w:val="00D156FA"/>
    <w:rsid w:val="00D157E7"/>
    <w:rsid w:val="00D1582F"/>
    <w:rsid w:val="00D15883"/>
    <w:rsid w:val="00D15C29"/>
    <w:rsid w:val="00D15DC7"/>
    <w:rsid w:val="00D16080"/>
    <w:rsid w:val="00D1625A"/>
    <w:rsid w:val="00D1625F"/>
    <w:rsid w:val="00D164E1"/>
    <w:rsid w:val="00D16533"/>
    <w:rsid w:val="00D16572"/>
    <w:rsid w:val="00D16697"/>
    <w:rsid w:val="00D16719"/>
    <w:rsid w:val="00D16837"/>
    <w:rsid w:val="00D168D5"/>
    <w:rsid w:val="00D168EF"/>
    <w:rsid w:val="00D16BAA"/>
    <w:rsid w:val="00D16BDD"/>
    <w:rsid w:val="00D16D38"/>
    <w:rsid w:val="00D16F3C"/>
    <w:rsid w:val="00D17144"/>
    <w:rsid w:val="00D17206"/>
    <w:rsid w:val="00D17209"/>
    <w:rsid w:val="00D17327"/>
    <w:rsid w:val="00D1747D"/>
    <w:rsid w:val="00D176E3"/>
    <w:rsid w:val="00D176EB"/>
    <w:rsid w:val="00D177BD"/>
    <w:rsid w:val="00D17A96"/>
    <w:rsid w:val="00D17B07"/>
    <w:rsid w:val="00D17B65"/>
    <w:rsid w:val="00D17C8C"/>
    <w:rsid w:val="00D17F44"/>
    <w:rsid w:val="00D17F4E"/>
    <w:rsid w:val="00D201CA"/>
    <w:rsid w:val="00D2022B"/>
    <w:rsid w:val="00D202DC"/>
    <w:rsid w:val="00D2051C"/>
    <w:rsid w:val="00D20647"/>
    <w:rsid w:val="00D206DB"/>
    <w:rsid w:val="00D20784"/>
    <w:rsid w:val="00D20977"/>
    <w:rsid w:val="00D20A46"/>
    <w:rsid w:val="00D20A76"/>
    <w:rsid w:val="00D20BE2"/>
    <w:rsid w:val="00D20C0A"/>
    <w:rsid w:val="00D20E47"/>
    <w:rsid w:val="00D20E6A"/>
    <w:rsid w:val="00D20F53"/>
    <w:rsid w:val="00D212BD"/>
    <w:rsid w:val="00D2133B"/>
    <w:rsid w:val="00D2149A"/>
    <w:rsid w:val="00D21548"/>
    <w:rsid w:val="00D21650"/>
    <w:rsid w:val="00D216C0"/>
    <w:rsid w:val="00D216DB"/>
    <w:rsid w:val="00D216FF"/>
    <w:rsid w:val="00D2170D"/>
    <w:rsid w:val="00D2177B"/>
    <w:rsid w:val="00D21843"/>
    <w:rsid w:val="00D21866"/>
    <w:rsid w:val="00D218C5"/>
    <w:rsid w:val="00D219BD"/>
    <w:rsid w:val="00D21B21"/>
    <w:rsid w:val="00D21C97"/>
    <w:rsid w:val="00D21D9B"/>
    <w:rsid w:val="00D21EFD"/>
    <w:rsid w:val="00D21F13"/>
    <w:rsid w:val="00D21F75"/>
    <w:rsid w:val="00D2205E"/>
    <w:rsid w:val="00D221F9"/>
    <w:rsid w:val="00D2240F"/>
    <w:rsid w:val="00D2252D"/>
    <w:rsid w:val="00D225E9"/>
    <w:rsid w:val="00D2264F"/>
    <w:rsid w:val="00D227DE"/>
    <w:rsid w:val="00D22808"/>
    <w:rsid w:val="00D2280F"/>
    <w:rsid w:val="00D22964"/>
    <w:rsid w:val="00D22996"/>
    <w:rsid w:val="00D229C9"/>
    <w:rsid w:val="00D22AA4"/>
    <w:rsid w:val="00D22DCA"/>
    <w:rsid w:val="00D230A3"/>
    <w:rsid w:val="00D230E2"/>
    <w:rsid w:val="00D2347D"/>
    <w:rsid w:val="00D23627"/>
    <w:rsid w:val="00D2367C"/>
    <w:rsid w:val="00D23822"/>
    <w:rsid w:val="00D23A9B"/>
    <w:rsid w:val="00D23B82"/>
    <w:rsid w:val="00D23C02"/>
    <w:rsid w:val="00D23C11"/>
    <w:rsid w:val="00D23C71"/>
    <w:rsid w:val="00D23D32"/>
    <w:rsid w:val="00D23E2B"/>
    <w:rsid w:val="00D23E6C"/>
    <w:rsid w:val="00D23F1D"/>
    <w:rsid w:val="00D24045"/>
    <w:rsid w:val="00D240DC"/>
    <w:rsid w:val="00D241D6"/>
    <w:rsid w:val="00D24222"/>
    <w:rsid w:val="00D24285"/>
    <w:rsid w:val="00D245A6"/>
    <w:rsid w:val="00D245BA"/>
    <w:rsid w:val="00D24666"/>
    <w:rsid w:val="00D246A0"/>
    <w:rsid w:val="00D2474C"/>
    <w:rsid w:val="00D247CB"/>
    <w:rsid w:val="00D24891"/>
    <w:rsid w:val="00D249C1"/>
    <w:rsid w:val="00D24A1C"/>
    <w:rsid w:val="00D24A1D"/>
    <w:rsid w:val="00D24AC5"/>
    <w:rsid w:val="00D24C42"/>
    <w:rsid w:val="00D24C9F"/>
    <w:rsid w:val="00D24EA7"/>
    <w:rsid w:val="00D24EFA"/>
    <w:rsid w:val="00D24F53"/>
    <w:rsid w:val="00D24F72"/>
    <w:rsid w:val="00D2508F"/>
    <w:rsid w:val="00D250A7"/>
    <w:rsid w:val="00D2510C"/>
    <w:rsid w:val="00D2516C"/>
    <w:rsid w:val="00D25242"/>
    <w:rsid w:val="00D25377"/>
    <w:rsid w:val="00D253AB"/>
    <w:rsid w:val="00D254B9"/>
    <w:rsid w:val="00D2553A"/>
    <w:rsid w:val="00D257AE"/>
    <w:rsid w:val="00D257C2"/>
    <w:rsid w:val="00D25C26"/>
    <w:rsid w:val="00D25ECA"/>
    <w:rsid w:val="00D25F54"/>
    <w:rsid w:val="00D2603D"/>
    <w:rsid w:val="00D261B4"/>
    <w:rsid w:val="00D2648D"/>
    <w:rsid w:val="00D2660D"/>
    <w:rsid w:val="00D2694F"/>
    <w:rsid w:val="00D26961"/>
    <w:rsid w:val="00D26BDC"/>
    <w:rsid w:val="00D26D6C"/>
    <w:rsid w:val="00D26F73"/>
    <w:rsid w:val="00D27046"/>
    <w:rsid w:val="00D272CC"/>
    <w:rsid w:val="00D272D8"/>
    <w:rsid w:val="00D27344"/>
    <w:rsid w:val="00D27422"/>
    <w:rsid w:val="00D27541"/>
    <w:rsid w:val="00D2769E"/>
    <w:rsid w:val="00D276C6"/>
    <w:rsid w:val="00D277E8"/>
    <w:rsid w:val="00D27827"/>
    <w:rsid w:val="00D27CDA"/>
    <w:rsid w:val="00D27D31"/>
    <w:rsid w:val="00D27E4D"/>
    <w:rsid w:val="00D27E96"/>
    <w:rsid w:val="00D27EAD"/>
    <w:rsid w:val="00D27F52"/>
    <w:rsid w:val="00D3000F"/>
    <w:rsid w:val="00D300B3"/>
    <w:rsid w:val="00D30172"/>
    <w:rsid w:val="00D3032B"/>
    <w:rsid w:val="00D30461"/>
    <w:rsid w:val="00D304D3"/>
    <w:rsid w:val="00D30589"/>
    <w:rsid w:val="00D308DF"/>
    <w:rsid w:val="00D30D50"/>
    <w:rsid w:val="00D30D72"/>
    <w:rsid w:val="00D30DCE"/>
    <w:rsid w:val="00D30E3D"/>
    <w:rsid w:val="00D30F0C"/>
    <w:rsid w:val="00D3108B"/>
    <w:rsid w:val="00D31175"/>
    <w:rsid w:val="00D311CE"/>
    <w:rsid w:val="00D31265"/>
    <w:rsid w:val="00D31270"/>
    <w:rsid w:val="00D31540"/>
    <w:rsid w:val="00D31886"/>
    <w:rsid w:val="00D319F3"/>
    <w:rsid w:val="00D31C9C"/>
    <w:rsid w:val="00D31CC5"/>
    <w:rsid w:val="00D31E65"/>
    <w:rsid w:val="00D32172"/>
    <w:rsid w:val="00D32309"/>
    <w:rsid w:val="00D32519"/>
    <w:rsid w:val="00D3254B"/>
    <w:rsid w:val="00D3255D"/>
    <w:rsid w:val="00D327B2"/>
    <w:rsid w:val="00D32816"/>
    <w:rsid w:val="00D32879"/>
    <w:rsid w:val="00D3287E"/>
    <w:rsid w:val="00D328BA"/>
    <w:rsid w:val="00D32969"/>
    <w:rsid w:val="00D32AFA"/>
    <w:rsid w:val="00D32B7A"/>
    <w:rsid w:val="00D32D3B"/>
    <w:rsid w:val="00D32D6D"/>
    <w:rsid w:val="00D32E5A"/>
    <w:rsid w:val="00D3318B"/>
    <w:rsid w:val="00D334BC"/>
    <w:rsid w:val="00D334E5"/>
    <w:rsid w:val="00D33525"/>
    <w:rsid w:val="00D33739"/>
    <w:rsid w:val="00D33786"/>
    <w:rsid w:val="00D33790"/>
    <w:rsid w:val="00D337E2"/>
    <w:rsid w:val="00D338F4"/>
    <w:rsid w:val="00D3396F"/>
    <w:rsid w:val="00D33ACB"/>
    <w:rsid w:val="00D33AD3"/>
    <w:rsid w:val="00D33B6F"/>
    <w:rsid w:val="00D33B77"/>
    <w:rsid w:val="00D33BF1"/>
    <w:rsid w:val="00D33CF3"/>
    <w:rsid w:val="00D33D07"/>
    <w:rsid w:val="00D33EFA"/>
    <w:rsid w:val="00D33F96"/>
    <w:rsid w:val="00D340E8"/>
    <w:rsid w:val="00D3427A"/>
    <w:rsid w:val="00D34587"/>
    <w:rsid w:val="00D345A8"/>
    <w:rsid w:val="00D34634"/>
    <w:rsid w:val="00D347AF"/>
    <w:rsid w:val="00D347E1"/>
    <w:rsid w:val="00D348AC"/>
    <w:rsid w:val="00D348ED"/>
    <w:rsid w:val="00D34947"/>
    <w:rsid w:val="00D349DE"/>
    <w:rsid w:val="00D34AF2"/>
    <w:rsid w:val="00D34F2B"/>
    <w:rsid w:val="00D35178"/>
    <w:rsid w:val="00D351B2"/>
    <w:rsid w:val="00D352B7"/>
    <w:rsid w:val="00D35311"/>
    <w:rsid w:val="00D35524"/>
    <w:rsid w:val="00D35697"/>
    <w:rsid w:val="00D3574A"/>
    <w:rsid w:val="00D3580D"/>
    <w:rsid w:val="00D3596E"/>
    <w:rsid w:val="00D359AF"/>
    <w:rsid w:val="00D359DF"/>
    <w:rsid w:val="00D359E2"/>
    <w:rsid w:val="00D35A13"/>
    <w:rsid w:val="00D35A99"/>
    <w:rsid w:val="00D35E49"/>
    <w:rsid w:val="00D35EBD"/>
    <w:rsid w:val="00D36002"/>
    <w:rsid w:val="00D3604F"/>
    <w:rsid w:val="00D36115"/>
    <w:rsid w:val="00D36191"/>
    <w:rsid w:val="00D36196"/>
    <w:rsid w:val="00D36A9F"/>
    <w:rsid w:val="00D36DA2"/>
    <w:rsid w:val="00D36F53"/>
    <w:rsid w:val="00D3709B"/>
    <w:rsid w:val="00D37279"/>
    <w:rsid w:val="00D3735A"/>
    <w:rsid w:val="00D3736F"/>
    <w:rsid w:val="00D373F0"/>
    <w:rsid w:val="00D37585"/>
    <w:rsid w:val="00D37613"/>
    <w:rsid w:val="00D3771E"/>
    <w:rsid w:val="00D37BAF"/>
    <w:rsid w:val="00D37C58"/>
    <w:rsid w:val="00D402A7"/>
    <w:rsid w:val="00D4035F"/>
    <w:rsid w:val="00D4043B"/>
    <w:rsid w:val="00D40615"/>
    <w:rsid w:val="00D40961"/>
    <w:rsid w:val="00D40DFD"/>
    <w:rsid w:val="00D40E5A"/>
    <w:rsid w:val="00D40F63"/>
    <w:rsid w:val="00D41397"/>
    <w:rsid w:val="00D41620"/>
    <w:rsid w:val="00D417C4"/>
    <w:rsid w:val="00D41869"/>
    <w:rsid w:val="00D41E52"/>
    <w:rsid w:val="00D41E9F"/>
    <w:rsid w:val="00D4209A"/>
    <w:rsid w:val="00D420C4"/>
    <w:rsid w:val="00D42296"/>
    <w:rsid w:val="00D422C0"/>
    <w:rsid w:val="00D425D1"/>
    <w:rsid w:val="00D42986"/>
    <w:rsid w:val="00D42A17"/>
    <w:rsid w:val="00D42E20"/>
    <w:rsid w:val="00D42E22"/>
    <w:rsid w:val="00D42EDB"/>
    <w:rsid w:val="00D42FFA"/>
    <w:rsid w:val="00D43022"/>
    <w:rsid w:val="00D4314B"/>
    <w:rsid w:val="00D43247"/>
    <w:rsid w:val="00D43297"/>
    <w:rsid w:val="00D432AC"/>
    <w:rsid w:val="00D43419"/>
    <w:rsid w:val="00D434B8"/>
    <w:rsid w:val="00D43A14"/>
    <w:rsid w:val="00D43D3E"/>
    <w:rsid w:val="00D44035"/>
    <w:rsid w:val="00D44046"/>
    <w:rsid w:val="00D440B1"/>
    <w:rsid w:val="00D4420A"/>
    <w:rsid w:val="00D44250"/>
    <w:rsid w:val="00D442A8"/>
    <w:rsid w:val="00D442D5"/>
    <w:rsid w:val="00D44406"/>
    <w:rsid w:val="00D44447"/>
    <w:rsid w:val="00D444B5"/>
    <w:rsid w:val="00D4463D"/>
    <w:rsid w:val="00D446D5"/>
    <w:rsid w:val="00D4485C"/>
    <w:rsid w:val="00D44B78"/>
    <w:rsid w:val="00D44FFC"/>
    <w:rsid w:val="00D450F2"/>
    <w:rsid w:val="00D45622"/>
    <w:rsid w:val="00D458FE"/>
    <w:rsid w:val="00D459F2"/>
    <w:rsid w:val="00D45AD0"/>
    <w:rsid w:val="00D45ADD"/>
    <w:rsid w:val="00D45BA3"/>
    <w:rsid w:val="00D45C82"/>
    <w:rsid w:val="00D45CD4"/>
    <w:rsid w:val="00D45F84"/>
    <w:rsid w:val="00D46010"/>
    <w:rsid w:val="00D4604B"/>
    <w:rsid w:val="00D46116"/>
    <w:rsid w:val="00D46220"/>
    <w:rsid w:val="00D46277"/>
    <w:rsid w:val="00D4629A"/>
    <w:rsid w:val="00D463A0"/>
    <w:rsid w:val="00D464BE"/>
    <w:rsid w:val="00D465DB"/>
    <w:rsid w:val="00D465DF"/>
    <w:rsid w:val="00D46626"/>
    <w:rsid w:val="00D46986"/>
    <w:rsid w:val="00D46ABF"/>
    <w:rsid w:val="00D46ADF"/>
    <w:rsid w:val="00D46C70"/>
    <w:rsid w:val="00D46CE8"/>
    <w:rsid w:val="00D46D26"/>
    <w:rsid w:val="00D46ECA"/>
    <w:rsid w:val="00D46EDD"/>
    <w:rsid w:val="00D470A9"/>
    <w:rsid w:val="00D47133"/>
    <w:rsid w:val="00D47179"/>
    <w:rsid w:val="00D4745F"/>
    <w:rsid w:val="00D474DB"/>
    <w:rsid w:val="00D47561"/>
    <w:rsid w:val="00D477BC"/>
    <w:rsid w:val="00D47813"/>
    <w:rsid w:val="00D47868"/>
    <w:rsid w:val="00D47909"/>
    <w:rsid w:val="00D47A0E"/>
    <w:rsid w:val="00D47FCF"/>
    <w:rsid w:val="00D502E1"/>
    <w:rsid w:val="00D503A5"/>
    <w:rsid w:val="00D50522"/>
    <w:rsid w:val="00D50647"/>
    <w:rsid w:val="00D5072A"/>
    <w:rsid w:val="00D50867"/>
    <w:rsid w:val="00D50D9A"/>
    <w:rsid w:val="00D50E9D"/>
    <w:rsid w:val="00D50F0E"/>
    <w:rsid w:val="00D510D5"/>
    <w:rsid w:val="00D510F3"/>
    <w:rsid w:val="00D51271"/>
    <w:rsid w:val="00D5134E"/>
    <w:rsid w:val="00D514D6"/>
    <w:rsid w:val="00D51507"/>
    <w:rsid w:val="00D516B4"/>
    <w:rsid w:val="00D51705"/>
    <w:rsid w:val="00D5177E"/>
    <w:rsid w:val="00D5182F"/>
    <w:rsid w:val="00D51876"/>
    <w:rsid w:val="00D51B51"/>
    <w:rsid w:val="00D51D28"/>
    <w:rsid w:val="00D51DE5"/>
    <w:rsid w:val="00D52014"/>
    <w:rsid w:val="00D52072"/>
    <w:rsid w:val="00D520DC"/>
    <w:rsid w:val="00D52293"/>
    <w:rsid w:val="00D5231C"/>
    <w:rsid w:val="00D523AD"/>
    <w:rsid w:val="00D523AE"/>
    <w:rsid w:val="00D524E6"/>
    <w:rsid w:val="00D5260A"/>
    <w:rsid w:val="00D52723"/>
    <w:rsid w:val="00D527D5"/>
    <w:rsid w:val="00D5288F"/>
    <w:rsid w:val="00D5297B"/>
    <w:rsid w:val="00D52A0D"/>
    <w:rsid w:val="00D52A4D"/>
    <w:rsid w:val="00D52A75"/>
    <w:rsid w:val="00D52AA1"/>
    <w:rsid w:val="00D52BE0"/>
    <w:rsid w:val="00D52D86"/>
    <w:rsid w:val="00D52FF4"/>
    <w:rsid w:val="00D53000"/>
    <w:rsid w:val="00D530EF"/>
    <w:rsid w:val="00D530F3"/>
    <w:rsid w:val="00D53288"/>
    <w:rsid w:val="00D53324"/>
    <w:rsid w:val="00D534B0"/>
    <w:rsid w:val="00D538EC"/>
    <w:rsid w:val="00D53ABD"/>
    <w:rsid w:val="00D53B56"/>
    <w:rsid w:val="00D53B60"/>
    <w:rsid w:val="00D53D44"/>
    <w:rsid w:val="00D53DD6"/>
    <w:rsid w:val="00D53DF3"/>
    <w:rsid w:val="00D5405F"/>
    <w:rsid w:val="00D540D4"/>
    <w:rsid w:val="00D54182"/>
    <w:rsid w:val="00D542EE"/>
    <w:rsid w:val="00D54348"/>
    <w:rsid w:val="00D5442F"/>
    <w:rsid w:val="00D544A2"/>
    <w:rsid w:val="00D545BA"/>
    <w:rsid w:val="00D545E0"/>
    <w:rsid w:val="00D54646"/>
    <w:rsid w:val="00D5467D"/>
    <w:rsid w:val="00D5476D"/>
    <w:rsid w:val="00D5489F"/>
    <w:rsid w:val="00D5491E"/>
    <w:rsid w:val="00D54AF3"/>
    <w:rsid w:val="00D54B58"/>
    <w:rsid w:val="00D54BC3"/>
    <w:rsid w:val="00D54D52"/>
    <w:rsid w:val="00D54DA4"/>
    <w:rsid w:val="00D54E51"/>
    <w:rsid w:val="00D550BD"/>
    <w:rsid w:val="00D550E8"/>
    <w:rsid w:val="00D55252"/>
    <w:rsid w:val="00D5537A"/>
    <w:rsid w:val="00D55429"/>
    <w:rsid w:val="00D55538"/>
    <w:rsid w:val="00D5579D"/>
    <w:rsid w:val="00D55890"/>
    <w:rsid w:val="00D55958"/>
    <w:rsid w:val="00D55978"/>
    <w:rsid w:val="00D55A8B"/>
    <w:rsid w:val="00D55C41"/>
    <w:rsid w:val="00D55CC3"/>
    <w:rsid w:val="00D55ED0"/>
    <w:rsid w:val="00D55F0A"/>
    <w:rsid w:val="00D55F79"/>
    <w:rsid w:val="00D56257"/>
    <w:rsid w:val="00D56395"/>
    <w:rsid w:val="00D563AB"/>
    <w:rsid w:val="00D56441"/>
    <w:rsid w:val="00D565A4"/>
    <w:rsid w:val="00D566E2"/>
    <w:rsid w:val="00D56872"/>
    <w:rsid w:val="00D568F4"/>
    <w:rsid w:val="00D569A5"/>
    <w:rsid w:val="00D56BAA"/>
    <w:rsid w:val="00D56D80"/>
    <w:rsid w:val="00D56E5D"/>
    <w:rsid w:val="00D56F08"/>
    <w:rsid w:val="00D570D1"/>
    <w:rsid w:val="00D571F6"/>
    <w:rsid w:val="00D5754B"/>
    <w:rsid w:val="00D5754F"/>
    <w:rsid w:val="00D57952"/>
    <w:rsid w:val="00D57B1D"/>
    <w:rsid w:val="00D57DDB"/>
    <w:rsid w:val="00D57FA0"/>
    <w:rsid w:val="00D57FD0"/>
    <w:rsid w:val="00D57FE6"/>
    <w:rsid w:val="00D600AB"/>
    <w:rsid w:val="00D60131"/>
    <w:rsid w:val="00D60179"/>
    <w:rsid w:val="00D60195"/>
    <w:rsid w:val="00D60244"/>
    <w:rsid w:val="00D60270"/>
    <w:rsid w:val="00D602C1"/>
    <w:rsid w:val="00D60490"/>
    <w:rsid w:val="00D608F8"/>
    <w:rsid w:val="00D6091E"/>
    <w:rsid w:val="00D60BF9"/>
    <w:rsid w:val="00D60C21"/>
    <w:rsid w:val="00D60C59"/>
    <w:rsid w:val="00D60CA1"/>
    <w:rsid w:val="00D60ED9"/>
    <w:rsid w:val="00D60F0E"/>
    <w:rsid w:val="00D612A2"/>
    <w:rsid w:val="00D6130E"/>
    <w:rsid w:val="00D614A5"/>
    <w:rsid w:val="00D6152B"/>
    <w:rsid w:val="00D615CA"/>
    <w:rsid w:val="00D616FE"/>
    <w:rsid w:val="00D61758"/>
    <w:rsid w:val="00D617F5"/>
    <w:rsid w:val="00D61877"/>
    <w:rsid w:val="00D618CD"/>
    <w:rsid w:val="00D619DE"/>
    <w:rsid w:val="00D61AD3"/>
    <w:rsid w:val="00D61B6C"/>
    <w:rsid w:val="00D61EAE"/>
    <w:rsid w:val="00D61F6D"/>
    <w:rsid w:val="00D61FA5"/>
    <w:rsid w:val="00D62109"/>
    <w:rsid w:val="00D62121"/>
    <w:rsid w:val="00D622E4"/>
    <w:rsid w:val="00D6240F"/>
    <w:rsid w:val="00D6244E"/>
    <w:rsid w:val="00D624F5"/>
    <w:rsid w:val="00D62601"/>
    <w:rsid w:val="00D62B80"/>
    <w:rsid w:val="00D62C30"/>
    <w:rsid w:val="00D62C3D"/>
    <w:rsid w:val="00D62C6E"/>
    <w:rsid w:val="00D62CA9"/>
    <w:rsid w:val="00D62CCB"/>
    <w:rsid w:val="00D62D82"/>
    <w:rsid w:val="00D62FF3"/>
    <w:rsid w:val="00D6303D"/>
    <w:rsid w:val="00D630CB"/>
    <w:rsid w:val="00D632BF"/>
    <w:rsid w:val="00D6341A"/>
    <w:rsid w:val="00D635D9"/>
    <w:rsid w:val="00D637C9"/>
    <w:rsid w:val="00D63877"/>
    <w:rsid w:val="00D63896"/>
    <w:rsid w:val="00D639E4"/>
    <w:rsid w:val="00D63A01"/>
    <w:rsid w:val="00D63BC8"/>
    <w:rsid w:val="00D63BE9"/>
    <w:rsid w:val="00D63C87"/>
    <w:rsid w:val="00D63D24"/>
    <w:rsid w:val="00D63DA2"/>
    <w:rsid w:val="00D63F4C"/>
    <w:rsid w:val="00D64080"/>
    <w:rsid w:val="00D64369"/>
    <w:rsid w:val="00D6443C"/>
    <w:rsid w:val="00D645ED"/>
    <w:rsid w:val="00D6460A"/>
    <w:rsid w:val="00D64769"/>
    <w:rsid w:val="00D6479D"/>
    <w:rsid w:val="00D64911"/>
    <w:rsid w:val="00D6497A"/>
    <w:rsid w:val="00D64A31"/>
    <w:rsid w:val="00D64A80"/>
    <w:rsid w:val="00D64AF4"/>
    <w:rsid w:val="00D64BF3"/>
    <w:rsid w:val="00D64C73"/>
    <w:rsid w:val="00D64D38"/>
    <w:rsid w:val="00D64F3C"/>
    <w:rsid w:val="00D64FB0"/>
    <w:rsid w:val="00D650C6"/>
    <w:rsid w:val="00D651CC"/>
    <w:rsid w:val="00D65270"/>
    <w:rsid w:val="00D652D5"/>
    <w:rsid w:val="00D65354"/>
    <w:rsid w:val="00D654EE"/>
    <w:rsid w:val="00D65568"/>
    <w:rsid w:val="00D65580"/>
    <w:rsid w:val="00D655E7"/>
    <w:rsid w:val="00D655F4"/>
    <w:rsid w:val="00D658D0"/>
    <w:rsid w:val="00D65A27"/>
    <w:rsid w:val="00D65A98"/>
    <w:rsid w:val="00D65AB4"/>
    <w:rsid w:val="00D65ACD"/>
    <w:rsid w:val="00D65E64"/>
    <w:rsid w:val="00D660EE"/>
    <w:rsid w:val="00D663AD"/>
    <w:rsid w:val="00D66409"/>
    <w:rsid w:val="00D66465"/>
    <w:rsid w:val="00D665B2"/>
    <w:rsid w:val="00D66659"/>
    <w:rsid w:val="00D66B10"/>
    <w:rsid w:val="00D66CDB"/>
    <w:rsid w:val="00D66DA8"/>
    <w:rsid w:val="00D66E04"/>
    <w:rsid w:val="00D66F57"/>
    <w:rsid w:val="00D67176"/>
    <w:rsid w:val="00D672A5"/>
    <w:rsid w:val="00D67325"/>
    <w:rsid w:val="00D67799"/>
    <w:rsid w:val="00D6785C"/>
    <w:rsid w:val="00D67879"/>
    <w:rsid w:val="00D67890"/>
    <w:rsid w:val="00D679DA"/>
    <w:rsid w:val="00D67AF9"/>
    <w:rsid w:val="00D67B5C"/>
    <w:rsid w:val="00D67B9F"/>
    <w:rsid w:val="00D67BDE"/>
    <w:rsid w:val="00D67D44"/>
    <w:rsid w:val="00D67DF9"/>
    <w:rsid w:val="00D67F53"/>
    <w:rsid w:val="00D67F5F"/>
    <w:rsid w:val="00D70017"/>
    <w:rsid w:val="00D70258"/>
    <w:rsid w:val="00D702E2"/>
    <w:rsid w:val="00D703E5"/>
    <w:rsid w:val="00D70452"/>
    <w:rsid w:val="00D705FB"/>
    <w:rsid w:val="00D706C1"/>
    <w:rsid w:val="00D70701"/>
    <w:rsid w:val="00D707AB"/>
    <w:rsid w:val="00D70C6D"/>
    <w:rsid w:val="00D70C76"/>
    <w:rsid w:val="00D70DD4"/>
    <w:rsid w:val="00D70E31"/>
    <w:rsid w:val="00D7100E"/>
    <w:rsid w:val="00D7105E"/>
    <w:rsid w:val="00D711A8"/>
    <w:rsid w:val="00D7157D"/>
    <w:rsid w:val="00D717D5"/>
    <w:rsid w:val="00D71862"/>
    <w:rsid w:val="00D71901"/>
    <w:rsid w:val="00D71A67"/>
    <w:rsid w:val="00D71A88"/>
    <w:rsid w:val="00D71B56"/>
    <w:rsid w:val="00D71D67"/>
    <w:rsid w:val="00D71DD3"/>
    <w:rsid w:val="00D71E76"/>
    <w:rsid w:val="00D71E7B"/>
    <w:rsid w:val="00D71E9B"/>
    <w:rsid w:val="00D71F9A"/>
    <w:rsid w:val="00D71FCE"/>
    <w:rsid w:val="00D720B2"/>
    <w:rsid w:val="00D723D0"/>
    <w:rsid w:val="00D724A1"/>
    <w:rsid w:val="00D72517"/>
    <w:rsid w:val="00D72724"/>
    <w:rsid w:val="00D7290C"/>
    <w:rsid w:val="00D729ED"/>
    <w:rsid w:val="00D72C04"/>
    <w:rsid w:val="00D72CD5"/>
    <w:rsid w:val="00D72CEA"/>
    <w:rsid w:val="00D72EE7"/>
    <w:rsid w:val="00D73015"/>
    <w:rsid w:val="00D7303F"/>
    <w:rsid w:val="00D730F2"/>
    <w:rsid w:val="00D73163"/>
    <w:rsid w:val="00D732CD"/>
    <w:rsid w:val="00D733D5"/>
    <w:rsid w:val="00D73411"/>
    <w:rsid w:val="00D73595"/>
    <w:rsid w:val="00D73628"/>
    <w:rsid w:val="00D73880"/>
    <w:rsid w:val="00D73886"/>
    <w:rsid w:val="00D73A90"/>
    <w:rsid w:val="00D73AAD"/>
    <w:rsid w:val="00D73AD7"/>
    <w:rsid w:val="00D73CA7"/>
    <w:rsid w:val="00D73F51"/>
    <w:rsid w:val="00D73F9D"/>
    <w:rsid w:val="00D73FE0"/>
    <w:rsid w:val="00D74055"/>
    <w:rsid w:val="00D74361"/>
    <w:rsid w:val="00D74379"/>
    <w:rsid w:val="00D74491"/>
    <w:rsid w:val="00D744C2"/>
    <w:rsid w:val="00D7450A"/>
    <w:rsid w:val="00D7450F"/>
    <w:rsid w:val="00D74998"/>
    <w:rsid w:val="00D74DFD"/>
    <w:rsid w:val="00D74E2C"/>
    <w:rsid w:val="00D7524D"/>
    <w:rsid w:val="00D752F8"/>
    <w:rsid w:val="00D75509"/>
    <w:rsid w:val="00D7550A"/>
    <w:rsid w:val="00D75669"/>
    <w:rsid w:val="00D756E3"/>
    <w:rsid w:val="00D75728"/>
    <w:rsid w:val="00D75741"/>
    <w:rsid w:val="00D75859"/>
    <w:rsid w:val="00D758AE"/>
    <w:rsid w:val="00D7594A"/>
    <w:rsid w:val="00D75A05"/>
    <w:rsid w:val="00D75AE1"/>
    <w:rsid w:val="00D75CB0"/>
    <w:rsid w:val="00D75CB1"/>
    <w:rsid w:val="00D75CE5"/>
    <w:rsid w:val="00D75CE9"/>
    <w:rsid w:val="00D75EB1"/>
    <w:rsid w:val="00D75FD6"/>
    <w:rsid w:val="00D7607E"/>
    <w:rsid w:val="00D760FF"/>
    <w:rsid w:val="00D76503"/>
    <w:rsid w:val="00D76726"/>
    <w:rsid w:val="00D76744"/>
    <w:rsid w:val="00D7681B"/>
    <w:rsid w:val="00D76916"/>
    <w:rsid w:val="00D76928"/>
    <w:rsid w:val="00D76C07"/>
    <w:rsid w:val="00D76D0A"/>
    <w:rsid w:val="00D76E37"/>
    <w:rsid w:val="00D76E56"/>
    <w:rsid w:val="00D76F68"/>
    <w:rsid w:val="00D7715D"/>
    <w:rsid w:val="00D7717B"/>
    <w:rsid w:val="00D772D7"/>
    <w:rsid w:val="00D7731B"/>
    <w:rsid w:val="00D77360"/>
    <w:rsid w:val="00D773D5"/>
    <w:rsid w:val="00D77497"/>
    <w:rsid w:val="00D774BF"/>
    <w:rsid w:val="00D77712"/>
    <w:rsid w:val="00D779DB"/>
    <w:rsid w:val="00D77AF9"/>
    <w:rsid w:val="00D77B4F"/>
    <w:rsid w:val="00D77EEB"/>
    <w:rsid w:val="00D77F7F"/>
    <w:rsid w:val="00D77FD3"/>
    <w:rsid w:val="00D77FED"/>
    <w:rsid w:val="00D8021C"/>
    <w:rsid w:val="00D80356"/>
    <w:rsid w:val="00D80620"/>
    <w:rsid w:val="00D80687"/>
    <w:rsid w:val="00D80754"/>
    <w:rsid w:val="00D808DB"/>
    <w:rsid w:val="00D808EA"/>
    <w:rsid w:val="00D80928"/>
    <w:rsid w:val="00D80973"/>
    <w:rsid w:val="00D80D76"/>
    <w:rsid w:val="00D80E59"/>
    <w:rsid w:val="00D81017"/>
    <w:rsid w:val="00D81602"/>
    <w:rsid w:val="00D81922"/>
    <w:rsid w:val="00D81A21"/>
    <w:rsid w:val="00D81A49"/>
    <w:rsid w:val="00D81B10"/>
    <w:rsid w:val="00D81B91"/>
    <w:rsid w:val="00D81CB2"/>
    <w:rsid w:val="00D81D21"/>
    <w:rsid w:val="00D81DDF"/>
    <w:rsid w:val="00D81E3B"/>
    <w:rsid w:val="00D81E6D"/>
    <w:rsid w:val="00D81EE8"/>
    <w:rsid w:val="00D82290"/>
    <w:rsid w:val="00D82508"/>
    <w:rsid w:val="00D82558"/>
    <w:rsid w:val="00D8271C"/>
    <w:rsid w:val="00D82848"/>
    <w:rsid w:val="00D8293F"/>
    <w:rsid w:val="00D82994"/>
    <w:rsid w:val="00D82A73"/>
    <w:rsid w:val="00D82E49"/>
    <w:rsid w:val="00D83100"/>
    <w:rsid w:val="00D83185"/>
    <w:rsid w:val="00D831D7"/>
    <w:rsid w:val="00D83291"/>
    <w:rsid w:val="00D833A8"/>
    <w:rsid w:val="00D83517"/>
    <w:rsid w:val="00D83528"/>
    <w:rsid w:val="00D8354E"/>
    <w:rsid w:val="00D83571"/>
    <w:rsid w:val="00D8357A"/>
    <w:rsid w:val="00D83823"/>
    <w:rsid w:val="00D83882"/>
    <w:rsid w:val="00D83B75"/>
    <w:rsid w:val="00D83BA0"/>
    <w:rsid w:val="00D83BB3"/>
    <w:rsid w:val="00D83CE5"/>
    <w:rsid w:val="00D83E99"/>
    <w:rsid w:val="00D83F6E"/>
    <w:rsid w:val="00D83F8C"/>
    <w:rsid w:val="00D83FBC"/>
    <w:rsid w:val="00D83FC7"/>
    <w:rsid w:val="00D841EE"/>
    <w:rsid w:val="00D8429B"/>
    <w:rsid w:val="00D8431C"/>
    <w:rsid w:val="00D8431F"/>
    <w:rsid w:val="00D844C4"/>
    <w:rsid w:val="00D84598"/>
    <w:rsid w:val="00D846EE"/>
    <w:rsid w:val="00D84784"/>
    <w:rsid w:val="00D84794"/>
    <w:rsid w:val="00D84803"/>
    <w:rsid w:val="00D84956"/>
    <w:rsid w:val="00D84AFC"/>
    <w:rsid w:val="00D84D87"/>
    <w:rsid w:val="00D84DB2"/>
    <w:rsid w:val="00D84EA9"/>
    <w:rsid w:val="00D84F57"/>
    <w:rsid w:val="00D85014"/>
    <w:rsid w:val="00D85070"/>
    <w:rsid w:val="00D85220"/>
    <w:rsid w:val="00D85298"/>
    <w:rsid w:val="00D8529F"/>
    <w:rsid w:val="00D852F6"/>
    <w:rsid w:val="00D854D6"/>
    <w:rsid w:val="00D85797"/>
    <w:rsid w:val="00D85866"/>
    <w:rsid w:val="00D85928"/>
    <w:rsid w:val="00D859A2"/>
    <w:rsid w:val="00D85C59"/>
    <w:rsid w:val="00D85D5A"/>
    <w:rsid w:val="00D85D65"/>
    <w:rsid w:val="00D85E7B"/>
    <w:rsid w:val="00D85F3F"/>
    <w:rsid w:val="00D85F8A"/>
    <w:rsid w:val="00D8604D"/>
    <w:rsid w:val="00D860A8"/>
    <w:rsid w:val="00D860F7"/>
    <w:rsid w:val="00D86151"/>
    <w:rsid w:val="00D8619B"/>
    <w:rsid w:val="00D8633F"/>
    <w:rsid w:val="00D8638D"/>
    <w:rsid w:val="00D864E2"/>
    <w:rsid w:val="00D8660E"/>
    <w:rsid w:val="00D86664"/>
    <w:rsid w:val="00D86867"/>
    <w:rsid w:val="00D86885"/>
    <w:rsid w:val="00D86A5D"/>
    <w:rsid w:val="00D86A7E"/>
    <w:rsid w:val="00D86A97"/>
    <w:rsid w:val="00D86AEC"/>
    <w:rsid w:val="00D86B37"/>
    <w:rsid w:val="00D86BBB"/>
    <w:rsid w:val="00D86DFA"/>
    <w:rsid w:val="00D86EBC"/>
    <w:rsid w:val="00D8711A"/>
    <w:rsid w:val="00D8725B"/>
    <w:rsid w:val="00D874E0"/>
    <w:rsid w:val="00D874F6"/>
    <w:rsid w:val="00D87555"/>
    <w:rsid w:val="00D87628"/>
    <w:rsid w:val="00D87667"/>
    <w:rsid w:val="00D877A7"/>
    <w:rsid w:val="00D87ADB"/>
    <w:rsid w:val="00D87C75"/>
    <w:rsid w:val="00D87D05"/>
    <w:rsid w:val="00D87E4E"/>
    <w:rsid w:val="00D87EE3"/>
    <w:rsid w:val="00D900E6"/>
    <w:rsid w:val="00D90268"/>
    <w:rsid w:val="00D9036A"/>
    <w:rsid w:val="00D90406"/>
    <w:rsid w:val="00D9050F"/>
    <w:rsid w:val="00D905EA"/>
    <w:rsid w:val="00D90613"/>
    <w:rsid w:val="00D90944"/>
    <w:rsid w:val="00D90B49"/>
    <w:rsid w:val="00D90CBF"/>
    <w:rsid w:val="00D90D91"/>
    <w:rsid w:val="00D90F7E"/>
    <w:rsid w:val="00D90F8A"/>
    <w:rsid w:val="00D91066"/>
    <w:rsid w:val="00D91143"/>
    <w:rsid w:val="00D912CA"/>
    <w:rsid w:val="00D91357"/>
    <w:rsid w:val="00D913B4"/>
    <w:rsid w:val="00D9141D"/>
    <w:rsid w:val="00D914AD"/>
    <w:rsid w:val="00D914D0"/>
    <w:rsid w:val="00D91699"/>
    <w:rsid w:val="00D91734"/>
    <w:rsid w:val="00D91AAC"/>
    <w:rsid w:val="00D91B0E"/>
    <w:rsid w:val="00D91B12"/>
    <w:rsid w:val="00D91C72"/>
    <w:rsid w:val="00D91E01"/>
    <w:rsid w:val="00D921A8"/>
    <w:rsid w:val="00D92254"/>
    <w:rsid w:val="00D922D5"/>
    <w:rsid w:val="00D9258A"/>
    <w:rsid w:val="00D9264C"/>
    <w:rsid w:val="00D9269F"/>
    <w:rsid w:val="00D927F4"/>
    <w:rsid w:val="00D9288E"/>
    <w:rsid w:val="00D92918"/>
    <w:rsid w:val="00D9292B"/>
    <w:rsid w:val="00D92A4D"/>
    <w:rsid w:val="00D92CFD"/>
    <w:rsid w:val="00D92DDC"/>
    <w:rsid w:val="00D92E8A"/>
    <w:rsid w:val="00D92EA8"/>
    <w:rsid w:val="00D930E5"/>
    <w:rsid w:val="00D933F3"/>
    <w:rsid w:val="00D93411"/>
    <w:rsid w:val="00D9341E"/>
    <w:rsid w:val="00D934BB"/>
    <w:rsid w:val="00D93576"/>
    <w:rsid w:val="00D9369A"/>
    <w:rsid w:val="00D93809"/>
    <w:rsid w:val="00D93B67"/>
    <w:rsid w:val="00D93C2C"/>
    <w:rsid w:val="00D93C4E"/>
    <w:rsid w:val="00D93CEE"/>
    <w:rsid w:val="00D93D32"/>
    <w:rsid w:val="00D93E66"/>
    <w:rsid w:val="00D942A3"/>
    <w:rsid w:val="00D94319"/>
    <w:rsid w:val="00D944BE"/>
    <w:rsid w:val="00D944F3"/>
    <w:rsid w:val="00D9454B"/>
    <w:rsid w:val="00D947CC"/>
    <w:rsid w:val="00D9490E"/>
    <w:rsid w:val="00D94C3B"/>
    <w:rsid w:val="00D94F81"/>
    <w:rsid w:val="00D94FAD"/>
    <w:rsid w:val="00D95075"/>
    <w:rsid w:val="00D957D1"/>
    <w:rsid w:val="00D958F4"/>
    <w:rsid w:val="00D959B4"/>
    <w:rsid w:val="00D95AA6"/>
    <w:rsid w:val="00D95BE9"/>
    <w:rsid w:val="00D95C0C"/>
    <w:rsid w:val="00D95C92"/>
    <w:rsid w:val="00D95E7C"/>
    <w:rsid w:val="00D95E9C"/>
    <w:rsid w:val="00D95F1A"/>
    <w:rsid w:val="00D960AB"/>
    <w:rsid w:val="00D960D6"/>
    <w:rsid w:val="00D9616E"/>
    <w:rsid w:val="00D961D0"/>
    <w:rsid w:val="00D962F7"/>
    <w:rsid w:val="00D96434"/>
    <w:rsid w:val="00D96479"/>
    <w:rsid w:val="00D964A6"/>
    <w:rsid w:val="00D96537"/>
    <w:rsid w:val="00D966DF"/>
    <w:rsid w:val="00D9672D"/>
    <w:rsid w:val="00D96741"/>
    <w:rsid w:val="00D9689B"/>
    <w:rsid w:val="00D968D7"/>
    <w:rsid w:val="00D96966"/>
    <w:rsid w:val="00D969CE"/>
    <w:rsid w:val="00D969D1"/>
    <w:rsid w:val="00D969E0"/>
    <w:rsid w:val="00D96BB9"/>
    <w:rsid w:val="00D96EA4"/>
    <w:rsid w:val="00D96EB4"/>
    <w:rsid w:val="00D96F0A"/>
    <w:rsid w:val="00D97045"/>
    <w:rsid w:val="00D97168"/>
    <w:rsid w:val="00D9727D"/>
    <w:rsid w:val="00D972CA"/>
    <w:rsid w:val="00D97670"/>
    <w:rsid w:val="00D97755"/>
    <w:rsid w:val="00D977DA"/>
    <w:rsid w:val="00D9784D"/>
    <w:rsid w:val="00D978D7"/>
    <w:rsid w:val="00D9798B"/>
    <w:rsid w:val="00D979D0"/>
    <w:rsid w:val="00D97B4B"/>
    <w:rsid w:val="00D97B69"/>
    <w:rsid w:val="00D97D4C"/>
    <w:rsid w:val="00D97F37"/>
    <w:rsid w:val="00D97F62"/>
    <w:rsid w:val="00D97FBD"/>
    <w:rsid w:val="00D97FD9"/>
    <w:rsid w:val="00DA02B0"/>
    <w:rsid w:val="00DA0314"/>
    <w:rsid w:val="00DA0365"/>
    <w:rsid w:val="00DA04C2"/>
    <w:rsid w:val="00DA04E4"/>
    <w:rsid w:val="00DA07AD"/>
    <w:rsid w:val="00DA07F3"/>
    <w:rsid w:val="00DA0893"/>
    <w:rsid w:val="00DA0970"/>
    <w:rsid w:val="00DA0F0E"/>
    <w:rsid w:val="00DA10D0"/>
    <w:rsid w:val="00DA11AC"/>
    <w:rsid w:val="00DA139A"/>
    <w:rsid w:val="00DA143C"/>
    <w:rsid w:val="00DA15D3"/>
    <w:rsid w:val="00DA163C"/>
    <w:rsid w:val="00DA16D2"/>
    <w:rsid w:val="00DA1728"/>
    <w:rsid w:val="00DA1900"/>
    <w:rsid w:val="00DA192E"/>
    <w:rsid w:val="00DA1B9C"/>
    <w:rsid w:val="00DA1CE2"/>
    <w:rsid w:val="00DA1D97"/>
    <w:rsid w:val="00DA1D98"/>
    <w:rsid w:val="00DA1F59"/>
    <w:rsid w:val="00DA1FE5"/>
    <w:rsid w:val="00DA1FEC"/>
    <w:rsid w:val="00DA2180"/>
    <w:rsid w:val="00DA231F"/>
    <w:rsid w:val="00DA2539"/>
    <w:rsid w:val="00DA25FE"/>
    <w:rsid w:val="00DA2783"/>
    <w:rsid w:val="00DA28CF"/>
    <w:rsid w:val="00DA2955"/>
    <w:rsid w:val="00DA2B85"/>
    <w:rsid w:val="00DA2B90"/>
    <w:rsid w:val="00DA2E4E"/>
    <w:rsid w:val="00DA3341"/>
    <w:rsid w:val="00DA33A0"/>
    <w:rsid w:val="00DA3469"/>
    <w:rsid w:val="00DA36CF"/>
    <w:rsid w:val="00DA375F"/>
    <w:rsid w:val="00DA3B1B"/>
    <w:rsid w:val="00DA3D7C"/>
    <w:rsid w:val="00DA3D9F"/>
    <w:rsid w:val="00DA3EFD"/>
    <w:rsid w:val="00DA40DD"/>
    <w:rsid w:val="00DA4452"/>
    <w:rsid w:val="00DA4501"/>
    <w:rsid w:val="00DA45F5"/>
    <w:rsid w:val="00DA46B9"/>
    <w:rsid w:val="00DA46C7"/>
    <w:rsid w:val="00DA4771"/>
    <w:rsid w:val="00DA48F6"/>
    <w:rsid w:val="00DA4957"/>
    <w:rsid w:val="00DA4979"/>
    <w:rsid w:val="00DA49F5"/>
    <w:rsid w:val="00DA4AEB"/>
    <w:rsid w:val="00DA4B48"/>
    <w:rsid w:val="00DA4CFB"/>
    <w:rsid w:val="00DA4F85"/>
    <w:rsid w:val="00DA4FDA"/>
    <w:rsid w:val="00DA50DB"/>
    <w:rsid w:val="00DA5147"/>
    <w:rsid w:val="00DA53CE"/>
    <w:rsid w:val="00DA5739"/>
    <w:rsid w:val="00DA578F"/>
    <w:rsid w:val="00DA5918"/>
    <w:rsid w:val="00DA5A0E"/>
    <w:rsid w:val="00DA5BED"/>
    <w:rsid w:val="00DA5C0F"/>
    <w:rsid w:val="00DA5CB8"/>
    <w:rsid w:val="00DA5CC2"/>
    <w:rsid w:val="00DA5DD1"/>
    <w:rsid w:val="00DA5E3B"/>
    <w:rsid w:val="00DA5E3C"/>
    <w:rsid w:val="00DA5E63"/>
    <w:rsid w:val="00DA6021"/>
    <w:rsid w:val="00DA6069"/>
    <w:rsid w:val="00DA61A0"/>
    <w:rsid w:val="00DA623D"/>
    <w:rsid w:val="00DA645D"/>
    <w:rsid w:val="00DA6661"/>
    <w:rsid w:val="00DA694A"/>
    <w:rsid w:val="00DA6A5C"/>
    <w:rsid w:val="00DA6D4A"/>
    <w:rsid w:val="00DA6D70"/>
    <w:rsid w:val="00DA6F12"/>
    <w:rsid w:val="00DA6FBE"/>
    <w:rsid w:val="00DA7299"/>
    <w:rsid w:val="00DA72A9"/>
    <w:rsid w:val="00DA7453"/>
    <w:rsid w:val="00DA7550"/>
    <w:rsid w:val="00DA782B"/>
    <w:rsid w:val="00DA7881"/>
    <w:rsid w:val="00DA790D"/>
    <w:rsid w:val="00DA7A74"/>
    <w:rsid w:val="00DA7CB4"/>
    <w:rsid w:val="00DA7E1C"/>
    <w:rsid w:val="00DA7ECA"/>
    <w:rsid w:val="00DA7F0A"/>
    <w:rsid w:val="00DA7F2F"/>
    <w:rsid w:val="00DA7FDD"/>
    <w:rsid w:val="00DB005B"/>
    <w:rsid w:val="00DB0253"/>
    <w:rsid w:val="00DB03B4"/>
    <w:rsid w:val="00DB03BB"/>
    <w:rsid w:val="00DB03F4"/>
    <w:rsid w:val="00DB03F7"/>
    <w:rsid w:val="00DB05E9"/>
    <w:rsid w:val="00DB0892"/>
    <w:rsid w:val="00DB09DD"/>
    <w:rsid w:val="00DB0B0F"/>
    <w:rsid w:val="00DB0B30"/>
    <w:rsid w:val="00DB0B33"/>
    <w:rsid w:val="00DB0B7C"/>
    <w:rsid w:val="00DB0C8E"/>
    <w:rsid w:val="00DB0FA1"/>
    <w:rsid w:val="00DB10C5"/>
    <w:rsid w:val="00DB148F"/>
    <w:rsid w:val="00DB155B"/>
    <w:rsid w:val="00DB1A42"/>
    <w:rsid w:val="00DB1D52"/>
    <w:rsid w:val="00DB1D8D"/>
    <w:rsid w:val="00DB1DAF"/>
    <w:rsid w:val="00DB1DCB"/>
    <w:rsid w:val="00DB1E6C"/>
    <w:rsid w:val="00DB1F5B"/>
    <w:rsid w:val="00DB1FE0"/>
    <w:rsid w:val="00DB2023"/>
    <w:rsid w:val="00DB210D"/>
    <w:rsid w:val="00DB227E"/>
    <w:rsid w:val="00DB22E3"/>
    <w:rsid w:val="00DB22FA"/>
    <w:rsid w:val="00DB233F"/>
    <w:rsid w:val="00DB2365"/>
    <w:rsid w:val="00DB23BD"/>
    <w:rsid w:val="00DB2436"/>
    <w:rsid w:val="00DB253B"/>
    <w:rsid w:val="00DB2613"/>
    <w:rsid w:val="00DB2730"/>
    <w:rsid w:val="00DB277C"/>
    <w:rsid w:val="00DB28AF"/>
    <w:rsid w:val="00DB29B5"/>
    <w:rsid w:val="00DB2B2E"/>
    <w:rsid w:val="00DB2C84"/>
    <w:rsid w:val="00DB2CA8"/>
    <w:rsid w:val="00DB2F53"/>
    <w:rsid w:val="00DB3018"/>
    <w:rsid w:val="00DB30C5"/>
    <w:rsid w:val="00DB30E7"/>
    <w:rsid w:val="00DB319C"/>
    <w:rsid w:val="00DB31A1"/>
    <w:rsid w:val="00DB31E4"/>
    <w:rsid w:val="00DB3273"/>
    <w:rsid w:val="00DB3295"/>
    <w:rsid w:val="00DB32B7"/>
    <w:rsid w:val="00DB3375"/>
    <w:rsid w:val="00DB33CE"/>
    <w:rsid w:val="00DB367C"/>
    <w:rsid w:val="00DB37FF"/>
    <w:rsid w:val="00DB3971"/>
    <w:rsid w:val="00DB3AAA"/>
    <w:rsid w:val="00DB3B00"/>
    <w:rsid w:val="00DB3B76"/>
    <w:rsid w:val="00DB3C45"/>
    <w:rsid w:val="00DB3C9A"/>
    <w:rsid w:val="00DB3F22"/>
    <w:rsid w:val="00DB3F8D"/>
    <w:rsid w:val="00DB3FA2"/>
    <w:rsid w:val="00DB3FC5"/>
    <w:rsid w:val="00DB3FCA"/>
    <w:rsid w:val="00DB4282"/>
    <w:rsid w:val="00DB433B"/>
    <w:rsid w:val="00DB4343"/>
    <w:rsid w:val="00DB4386"/>
    <w:rsid w:val="00DB442A"/>
    <w:rsid w:val="00DB4488"/>
    <w:rsid w:val="00DB4506"/>
    <w:rsid w:val="00DB451E"/>
    <w:rsid w:val="00DB457B"/>
    <w:rsid w:val="00DB45B1"/>
    <w:rsid w:val="00DB472A"/>
    <w:rsid w:val="00DB4766"/>
    <w:rsid w:val="00DB4769"/>
    <w:rsid w:val="00DB47A5"/>
    <w:rsid w:val="00DB4821"/>
    <w:rsid w:val="00DB4853"/>
    <w:rsid w:val="00DB4947"/>
    <w:rsid w:val="00DB4A0B"/>
    <w:rsid w:val="00DB4B03"/>
    <w:rsid w:val="00DB4BE6"/>
    <w:rsid w:val="00DB4C0C"/>
    <w:rsid w:val="00DB4C18"/>
    <w:rsid w:val="00DB4C1E"/>
    <w:rsid w:val="00DB4CAB"/>
    <w:rsid w:val="00DB4CB1"/>
    <w:rsid w:val="00DB4D87"/>
    <w:rsid w:val="00DB4D99"/>
    <w:rsid w:val="00DB4F3B"/>
    <w:rsid w:val="00DB4F5B"/>
    <w:rsid w:val="00DB5012"/>
    <w:rsid w:val="00DB50F3"/>
    <w:rsid w:val="00DB51EE"/>
    <w:rsid w:val="00DB521F"/>
    <w:rsid w:val="00DB5262"/>
    <w:rsid w:val="00DB5269"/>
    <w:rsid w:val="00DB52D0"/>
    <w:rsid w:val="00DB5576"/>
    <w:rsid w:val="00DB56F4"/>
    <w:rsid w:val="00DB59DE"/>
    <w:rsid w:val="00DB5A67"/>
    <w:rsid w:val="00DB5B4B"/>
    <w:rsid w:val="00DB5CA1"/>
    <w:rsid w:val="00DB5CE9"/>
    <w:rsid w:val="00DB5CED"/>
    <w:rsid w:val="00DB5D57"/>
    <w:rsid w:val="00DB5DC8"/>
    <w:rsid w:val="00DB5EAE"/>
    <w:rsid w:val="00DB6633"/>
    <w:rsid w:val="00DB6768"/>
    <w:rsid w:val="00DB678C"/>
    <w:rsid w:val="00DB67CB"/>
    <w:rsid w:val="00DB688B"/>
    <w:rsid w:val="00DB689B"/>
    <w:rsid w:val="00DB69D4"/>
    <w:rsid w:val="00DB6A0D"/>
    <w:rsid w:val="00DB6AAB"/>
    <w:rsid w:val="00DB6B8A"/>
    <w:rsid w:val="00DB6B98"/>
    <w:rsid w:val="00DB6BB6"/>
    <w:rsid w:val="00DB6C1B"/>
    <w:rsid w:val="00DB7086"/>
    <w:rsid w:val="00DB708C"/>
    <w:rsid w:val="00DB7105"/>
    <w:rsid w:val="00DB7188"/>
    <w:rsid w:val="00DB722D"/>
    <w:rsid w:val="00DB72BB"/>
    <w:rsid w:val="00DB73F2"/>
    <w:rsid w:val="00DB7606"/>
    <w:rsid w:val="00DB7643"/>
    <w:rsid w:val="00DB7702"/>
    <w:rsid w:val="00DB770A"/>
    <w:rsid w:val="00DB7789"/>
    <w:rsid w:val="00DB78F7"/>
    <w:rsid w:val="00DB7951"/>
    <w:rsid w:val="00DB7990"/>
    <w:rsid w:val="00DB7ECD"/>
    <w:rsid w:val="00DB7FD1"/>
    <w:rsid w:val="00DB7FE7"/>
    <w:rsid w:val="00DC008E"/>
    <w:rsid w:val="00DC00E9"/>
    <w:rsid w:val="00DC0294"/>
    <w:rsid w:val="00DC03EA"/>
    <w:rsid w:val="00DC042E"/>
    <w:rsid w:val="00DC075C"/>
    <w:rsid w:val="00DC081E"/>
    <w:rsid w:val="00DC08F7"/>
    <w:rsid w:val="00DC0AA6"/>
    <w:rsid w:val="00DC0C8A"/>
    <w:rsid w:val="00DC0F03"/>
    <w:rsid w:val="00DC0FA7"/>
    <w:rsid w:val="00DC0FE0"/>
    <w:rsid w:val="00DC1055"/>
    <w:rsid w:val="00DC105A"/>
    <w:rsid w:val="00DC107C"/>
    <w:rsid w:val="00DC166B"/>
    <w:rsid w:val="00DC17F5"/>
    <w:rsid w:val="00DC1831"/>
    <w:rsid w:val="00DC1B1E"/>
    <w:rsid w:val="00DC1B8E"/>
    <w:rsid w:val="00DC1C03"/>
    <w:rsid w:val="00DC1C7F"/>
    <w:rsid w:val="00DC1D81"/>
    <w:rsid w:val="00DC1E10"/>
    <w:rsid w:val="00DC1E13"/>
    <w:rsid w:val="00DC226B"/>
    <w:rsid w:val="00DC22CE"/>
    <w:rsid w:val="00DC286F"/>
    <w:rsid w:val="00DC2978"/>
    <w:rsid w:val="00DC2A94"/>
    <w:rsid w:val="00DC2AE7"/>
    <w:rsid w:val="00DC2BF6"/>
    <w:rsid w:val="00DC2C66"/>
    <w:rsid w:val="00DC2CD3"/>
    <w:rsid w:val="00DC2E71"/>
    <w:rsid w:val="00DC2F04"/>
    <w:rsid w:val="00DC2F26"/>
    <w:rsid w:val="00DC2FBA"/>
    <w:rsid w:val="00DC2FBF"/>
    <w:rsid w:val="00DC308F"/>
    <w:rsid w:val="00DC30A2"/>
    <w:rsid w:val="00DC3151"/>
    <w:rsid w:val="00DC3239"/>
    <w:rsid w:val="00DC329D"/>
    <w:rsid w:val="00DC3436"/>
    <w:rsid w:val="00DC34A3"/>
    <w:rsid w:val="00DC34A9"/>
    <w:rsid w:val="00DC35CD"/>
    <w:rsid w:val="00DC35D8"/>
    <w:rsid w:val="00DC35E0"/>
    <w:rsid w:val="00DC3653"/>
    <w:rsid w:val="00DC3960"/>
    <w:rsid w:val="00DC3988"/>
    <w:rsid w:val="00DC3A89"/>
    <w:rsid w:val="00DC3B8B"/>
    <w:rsid w:val="00DC3BAE"/>
    <w:rsid w:val="00DC3BB6"/>
    <w:rsid w:val="00DC3D0A"/>
    <w:rsid w:val="00DC3D17"/>
    <w:rsid w:val="00DC3DA1"/>
    <w:rsid w:val="00DC3DE0"/>
    <w:rsid w:val="00DC3F57"/>
    <w:rsid w:val="00DC3FAA"/>
    <w:rsid w:val="00DC400D"/>
    <w:rsid w:val="00DC4052"/>
    <w:rsid w:val="00DC427E"/>
    <w:rsid w:val="00DC4321"/>
    <w:rsid w:val="00DC440F"/>
    <w:rsid w:val="00DC46EE"/>
    <w:rsid w:val="00DC4762"/>
    <w:rsid w:val="00DC48D8"/>
    <w:rsid w:val="00DC4989"/>
    <w:rsid w:val="00DC4A41"/>
    <w:rsid w:val="00DC4AA0"/>
    <w:rsid w:val="00DC4BA5"/>
    <w:rsid w:val="00DC4BFB"/>
    <w:rsid w:val="00DC4D23"/>
    <w:rsid w:val="00DC4D46"/>
    <w:rsid w:val="00DC4DB3"/>
    <w:rsid w:val="00DC4E23"/>
    <w:rsid w:val="00DC502B"/>
    <w:rsid w:val="00DC52D5"/>
    <w:rsid w:val="00DC5331"/>
    <w:rsid w:val="00DC53C8"/>
    <w:rsid w:val="00DC54D2"/>
    <w:rsid w:val="00DC54DD"/>
    <w:rsid w:val="00DC56FB"/>
    <w:rsid w:val="00DC5965"/>
    <w:rsid w:val="00DC5B01"/>
    <w:rsid w:val="00DC5CEF"/>
    <w:rsid w:val="00DC5EB9"/>
    <w:rsid w:val="00DC6125"/>
    <w:rsid w:val="00DC6129"/>
    <w:rsid w:val="00DC61AF"/>
    <w:rsid w:val="00DC627A"/>
    <w:rsid w:val="00DC62B2"/>
    <w:rsid w:val="00DC62C0"/>
    <w:rsid w:val="00DC6318"/>
    <w:rsid w:val="00DC6532"/>
    <w:rsid w:val="00DC6715"/>
    <w:rsid w:val="00DC67A5"/>
    <w:rsid w:val="00DC6846"/>
    <w:rsid w:val="00DC6860"/>
    <w:rsid w:val="00DC6BE6"/>
    <w:rsid w:val="00DC6D71"/>
    <w:rsid w:val="00DC6EC5"/>
    <w:rsid w:val="00DC6F0F"/>
    <w:rsid w:val="00DC6F44"/>
    <w:rsid w:val="00DC6FD4"/>
    <w:rsid w:val="00DC6FE3"/>
    <w:rsid w:val="00DC7423"/>
    <w:rsid w:val="00DC74D4"/>
    <w:rsid w:val="00DC74FA"/>
    <w:rsid w:val="00DC7644"/>
    <w:rsid w:val="00DC7658"/>
    <w:rsid w:val="00DC76F9"/>
    <w:rsid w:val="00DC7AD4"/>
    <w:rsid w:val="00DC7DD5"/>
    <w:rsid w:val="00DC7E70"/>
    <w:rsid w:val="00DC7EAD"/>
    <w:rsid w:val="00DC7F33"/>
    <w:rsid w:val="00DC7F6A"/>
    <w:rsid w:val="00DD0007"/>
    <w:rsid w:val="00DD000D"/>
    <w:rsid w:val="00DD0013"/>
    <w:rsid w:val="00DD019D"/>
    <w:rsid w:val="00DD03D7"/>
    <w:rsid w:val="00DD04E0"/>
    <w:rsid w:val="00DD0517"/>
    <w:rsid w:val="00DD0537"/>
    <w:rsid w:val="00DD0937"/>
    <w:rsid w:val="00DD098A"/>
    <w:rsid w:val="00DD09C0"/>
    <w:rsid w:val="00DD0A46"/>
    <w:rsid w:val="00DD0B73"/>
    <w:rsid w:val="00DD0CAE"/>
    <w:rsid w:val="00DD0CB5"/>
    <w:rsid w:val="00DD0CBF"/>
    <w:rsid w:val="00DD0E32"/>
    <w:rsid w:val="00DD0FCC"/>
    <w:rsid w:val="00DD10BD"/>
    <w:rsid w:val="00DD1243"/>
    <w:rsid w:val="00DD132A"/>
    <w:rsid w:val="00DD13A0"/>
    <w:rsid w:val="00DD1462"/>
    <w:rsid w:val="00DD1600"/>
    <w:rsid w:val="00DD173E"/>
    <w:rsid w:val="00DD18C4"/>
    <w:rsid w:val="00DD18D4"/>
    <w:rsid w:val="00DD1A1A"/>
    <w:rsid w:val="00DD1A5C"/>
    <w:rsid w:val="00DD1EA6"/>
    <w:rsid w:val="00DD1F16"/>
    <w:rsid w:val="00DD1F81"/>
    <w:rsid w:val="00DD1FB2"/>
    <w:rsid w:val="00DD2171"/>
    <w:rsid w:val="00DD21B9"/>
    <w:rsid w:val="00DD2391"/>
    <w:rsid w:val="00DD23CF"/>
    <w:rsid w:val="00DD263F"/>
    <w:rsid w:val="00DD2900"/>
    <w:rsid w:val="00DD2A2F"/>
    <w:rsid w:val="00DD2A97"/>
    <w:rsid w:val="00DD2BA2"/>
    <w:rsid w:val="00DD2C4B"/>
    <w:rsid w:val="00DD2CE6"/>
    <w:rsid w:val="00DD2E42"/>
    <w:rsid w:val="00DD2EA9"/>
    <w:rsid w:val="00DD3080"/>
    <w:rsid w:val="00DD3390"/>
    <w:rsid w:val="00DD3518"/>
    <w:rsid w:val="00DD379E"/>
    <w:rsid w:val="00DD37DB"/>
    <w:rsid w:val="00DD38F3"/>
    <w:rsid w:val="00DD39C9"/>
    <w:rsid w:val="00DD3B71"/>
    <w:rsid w:val="00DD3BDD"/>
    <w:rsid w:val="00DD3C67"/>
    <w:rsid w:val="00DD3D91"/>
    <w:rsid w:val="00DD3E12"/>
    <w:rsid w:val="00DD3E14"/>
    <w:rsid w:val="00DD415C"/>
    <w:rsid w:val="00DD439C"/>
    <w:rsid w:val="00DD452C"/>
    <w:rsid w:val="00DD454B"/>
    <w:rsid w:val="00DD46F8"/>
    <w:rsid w:val="00DD4916"/>
    <w:rsid w:val="00DD4A51"/>
    <w:rsid w:val="00DD4C41"/>
    <w:rsid w:val="00DD4C8B"/>
    <w:rsid w:val="00DD4CE3"/>
    <w:rsid w:val="00DD4D14"/>
    <w:rsid w:val="00DD4DFC"/>
    <w:rsid w:val="00DD4E0C"/>
    <w:rsid w:val="00DD4E9A"/>
    <w:rsid w:val="00DD51FB"/>
    <w:rsid w:val="00DD521D"/>
    <w:rsid w:val="00DD529C"/>
    <w:rsid w:val="00DD531A"/>
    <w:rsid w:val="00DD53D1"/>
    <w:rsid w:val="00DD54A6"/>
    <w:rsid w:val="00DD54C0"/>
    <w:rsid w:val="00DD5584"/>
    <w:rsid w:val="00DD5606"/>
    <w:rsid w:val="00DD57C9"/>
    <w:rsid w:val="00DD58CF"/>
    <w:rsid w:val="00DD58DC"/>
    <w:rsid w:val="00DD5AB5"/>
    <w:rsid w:val="00DD5AE4"/>
    <w:rsid w:val="00DD5C26"/>
    <w:rsid w:val="00DD5D52"/>
    <w:rsid w:val="00DD5D74"/>
    <w:rsid w:val="00DD5D78"/>
    <w:rsid w:val="00DD5F13"/>
    <w:rsid w:val="00DD6047"/>
    <w:rsid w:val="00DD62C7"/>
    <w:rsid w:val="00DD63BE"/>
    <w:rsid w:val="00DD63E4"/>
    <w:rsid w:val="00DD6515"/>
    <w:rsid w:val="00DD656E"/>
    <w:rsid w:val="00DD65DB"/>
    <w:rsid w:val="00DD6624"/>
    <w:rsid w:val="00DD68B0"/>
    <w:rsid w:val="00DD6AAF"/>
    <w:rsid w:val="00DD6B4A"/>
    <w:rsid w:val="00DD6C70"/>
    <w:rsid w:val="00DD6CDF"/>
    <w:rsid w:val="00DD6DC2"/>
    <w:rsid w:val="00DD6FE5"/>
    <w:rsid w:val="00DD7012"/>
    <w:rsid w:val="00DD709B"/>
    <w:rsid w:val="00DD71B2"/>
    <w:rsid w:val="00DD71D2"/>
    <w:rsid w:val="00DD73E7"/>
    <w:rsid w:val="00DD753C"/>
    <w:rsid w:val="00DD7629"/>
    <w:rsid w:val="00DD7662"/>
    <w:rsid w:val="00DD783D"/>
    <w:rsid w:val="00DD79F1"/>
    <w:rsid w:val="00DD7A45"/>
    <w:rsid w:val="00DD7B88"/>
    <w:rsid w:val="00DD7D07"/>
    <w:rsid w:val="00DD7F0B"/>
    <w:rsid w:val="00DD7F71"/>
    <w:rsid w:val="00DE0136"/>
    <w:rsid w:val="00DE015D"/>
    <w:rsid w:val="00DE0165"/>
    <w:rsid w:val="00DE01BE"/>
    <w:rsid w:val="00DE024C"/>
    <w:rsid w:val="00DE02B8"/>
    <w:rsid w:val="00DE03BB"/>
    <w:rsid w:val="00DE046A"/>
    <w:rsid w:val="00DE0677"/>
    <w:rsid w:val="00DE075F"/>
    <w:rsid w:val="00DE087E"/>
    <w:rsid w:val="00DE08AC"/>
    <w:rsid w:val="00DE092A"/>
    <w:rsid w:val="00DE0ACB"/>
    <w:rsid w:val="00DE0E3F"/>
    <w:rsid w:val="00DE0FB2"/>
    <w:rsid w:val="00DE11EC"/>
    <w:rsid w:val="00DE146B"/>
    <w:rsid w:val="00DE16A7"/>
    <w:rsid w:val="00DE16DE"/>
    <w:rsid w:val="00DE173A"/>
    <w:rsid w:val="00DE1873"/>
    <w:rsid w:val="00DE1B88"/>
    <w:rsid w:val="00DE1D3E"/>
    <w:rsid w:val="00DE1E72"/>
    <w:rsid w:val="00DE1FEA"/>
    <w:rsid w:val="00DE2074"/>
    <w:rsid w:val="00DE22E1"/>
    <w:rsid w:val="00DE23AE"/>
    <w:rsid w:val="00DE23C1"/>
    <w:rsid w:val="00DE24CB"/>
    <w:rsid w:val="00DE2918"/>
    <w:rsid w:val="00DE2991"/>
    <w:rsid w:val="00DE2A02"/>
    <w:rsid w:val="00DE2B48"/>
    <w:rsid w:val="00DE2B51"/>
    <w:rsid w:val="00DE2D87"/>
    <w:rsid w:val="00DE2FC0"/>
    <w:rsid w:val="00DE30E0"/>
    <w:rsid w:val="00DE3212"/>
    <w:rsid w:val="00DE321B"/>
    <w:rsid w:val="00DE3683"/>
    <w:rsid w:val="00DE373B"/>
    <w:rsid w:val="00DE37CF"/>
    <w:rsid w:val="00DE37D0"/>
    <w:rsid w:val="00DE37DB"/>
    <w:rsid w:val="00DE37EB"/>
    <w:rsid w:val="00DE380F"/>
    <w:rsid w:val="00DE385A"/>
    <w:rsid w:val="00DE3C15"/>
    <w:rsid w:val="00DE3C6D"/>
    <w:rsid w:val="00DE3D0B"/>
    <w:rsid w:val="00DE3E9E"/>
    <w:rsid w:val="00DE3ECD"/>
    <w:rsid w:val="00DE3F03"/>
    <w:rsid w:val="00DE40BF"/>
    <w:rsid w:val="00DE410F"/>
    <w:rsid w:val="00DE42A9"/>
    <w:rsid w:val="00DE42F7"/>
    <w:rsid w:val="00DE4376"/>
    <w:rsid w:val="00DE4490"/>
    <w:rsid w:val="00DE450E"/>
    <w:rsid w:val="00DE4543"/>
    <w:rsid w:val="00DE45F4"/>
    <w:rsid w:val="00DE4608"/>
    <w:rsid w:val="00DE47B2"/>
    <w:rsid w:val="00DE482A"/>
    <w:rsid w:val="00DE48BC"/>
    <w:rsid w:val="00DE49A5"/>
    <w:rsid w:val="00DE4A27"/>
    <w:rsid w:val="00DE4A46"/>
    <w:rsid w:val="00DE4B71"/>
    <w:rsid w:val="00DE4CE6"/>
    <w:rsid w:val="00DE4DBA"/>
    <w:rsid w:val="00DE4F78"/>
    <w:rsid w:val="00DE5030"/>
    <w:rsid w:val="00DE53BE"/>
    <w:rsid w:val="00DE5476"/>
    <w:rsid w:val="00DE54EB"/>
    <w:rsid w:val="00DE557C"/>
    <w:rsid w:val="00DE5691"/>
    <w:rsid w:val="00DE57B7"/>
    <w:rsid w:val="00DE583C"/>
    <w:rsid w:val="00DE5971"/>
    <w:rsid w:val="00DE597E"/>
    <w:rsid w:val="00DE5998"/>
    <w:rsid w:val="00DE5BDD"/>
    <w:rsid w:val="00DE5D6A"/>
    <w:rsid w:val="00DE5E93"/>
    <w:rsid w:val="00DE6073"/>
    <w:rsid w:val="00DE6075"/>
    <w:rsid w:val="00DE62E4"/>
    <w:rsid w:val="00DE633B"/>
    <w:rsid w:val="00DE6448"/>
    <w:rsid w:val="00DE6534"/>
    <w:rsid w:val="00DE67A9"/>
    <w:rsid w:val="00DE67B6"/>
    <w:rsid w:val="00DE690E"/>
    <w:rsid w:val="00DE6A07"/>
    <w:rsid w:val="00DE6AEA"/>
    <w:rsid w:val="00DE6F2C"/>
    <w:rsid w:val="00DE6F76"/>
    <w:rsid w:val="00DE71AE"/>
    <w:rsid w:val="00DE72CF"/>
    <w:rsid w:val="00DE7719"/>
    <w:rsid w:val="00DE7850"/>
    <w:rsid w:val="00DE7857"/>
    <w:rsid w:val="00DE7872"/>
    <w:rsid w:val="00DE78A9"/>
    <w:rsid w:val="00DE7A4E"/>
    <w:rsid w:val="00DE7A6B"/>
    <w:rsid w:val="00DE7CF7"/>
    <w:rsid w:val="00DE7E21"/>
    <w:rsid w:val="00DE7FD8"/>
    <w:rsid w:val="00DE7FFB"/>
    <w:rsid w:val="00DF012F"/>
    <w:rsid w:val="00DF01C5"/>
    <w:rsid w:val="00DF01DB"/>
    <w:rsid w:val="00DF03E9"/>
    <w:rsid w:val="00DF0478"/>
    <w:rsid w:val="00DF061B"/>
    <w:rsid w:val="00DF065B"/>
    <w:rsid w:val="00DF066D"/>
    <w:rsid w:val="00DF0794"/>
    <w:rsid w:val="00DF0863"/>
    <w:rsid w:val="00DF0890"/>
    <w:rsid w:val="00DF090A"/>
    <w:rsid w:val="00DF0912"/>
    <w:rsid w:val="00DF0AE2"/>
    <w:rsid w:val="00DF0BC2"/>
    <w:rsid w:val="00DF0CB1"/>
    <w:rsid w:val="00DF0D37"/>
    <w:rsid w:val="00DF0E45"/>
    <w:rsid w:val="00DF0F16"/>
    <w:rsid w:val="00DF1017"/>
    <w:rsid w:val="00DF1257"/>
    <w:rsid w:val="00DF1382"/>
    <w:rsid w:val="00DF13BC"/>
    <w:rsid w:val="00DF15AE"/>
    <w:rsid w:val="00DF1785"/>
    <w:rsid w:val="00DF1974"/>
    <w:rsid w:val="00DF1AB3"/>
    <w:rsid w:val="00DF1B05"/>
    <w:rsid w:val="00DF1B11"/>
    <w:rsid w:val="00DF1C21"/>
    <w:rsid w:val="00DF1D5A"/>
    <w:rsid w:val="00DF1E12"/>
    <w:rsid w:val="00DF1E18"/>
    <w:rsid w:val="00DF1ED3"/>
    <w:rsid w:val="00DF20AC"/>
    <w:rsid w:val="00DF2251"/>
    <w:rsid w:val="00DF2355"/>
    <w:rsid w:val="00DF2360"/>
    <w:rsid w:val="00DF239B"/>
    <w:rsid w:val="00DF23B3"/>
    <w:rsid w:val="00DF246F"/>
    <w:rsid w:val="00DF2509"/>
    <w:rsid w:val="00DF2600"/>
    <w:rsid w:val="00DF264B"/>
    <w:rsid w:val="00DF2697"/>
    <w:rsid w:val="00DF2745"/>
    <w:rsid w:val="00DF278E"/>
    <w:rsid w:val="00DF2978"/>
    <w:rsid w:val="00DF2B78"/>
    <w:rsid w:val="00DF2C3F"/>
    <w:rsid w:val="00DF2FE1"/>
    <w:rsid w:val="00DF2FE8"/>
    <w:rsid w:val="00DF3348"/>
    <w:rsid w:val="00DF35DC"/>
    <w:rsid w:val="00DF37E1"/>
    <w:rsid w:val="00DF3833"/>
    <w:rsid w:val="00DF3861"/>
    <w:rsid w:val="00DF389A"/>
    <w:rsid w:val="00DF3C52"/>
    <w:rsid w:val="00DF3C8E"/>
    <w:rsid w:val="00DF3CAD"/>
    <w:rsid w:val="00DF3E5D"/>
    <w:rsid w:val="00DF3FB8"/>
    <w:rsid w:val="00DF4059"/>
    <w:rsid w:val="00DF4143"/>
    <w:rsid w:val="00DF416D"/>
    <w:rsid w:val="00DF41F3"/>
    <w:rsid w:val="00DF4427"/>
    <w:rsid w:val="00DF4678"/>
    <w:rsid w:val="00DF4798"/>
    <w:rsid w:val="00DF47AF"/>
    <w:rsid w:val="00DF488A"/>
    <w:rsid w:val="00DF48A0"/>
    <w:rsid w:val="00DF48E7"/>
    <w:rsid w:val="00DF4934"/>
    <w:rsid w:val="00DF49AF"/>
    <w:rsid w:val="00DF4D7C"/>
    <w:rsid w:val="00DF4E06"/>
    <w:rsid w:val="00DF4F1A"/>
    <w:rsid w:val="00DF4F8D"/>
    <w:rsid w:val="00DF50F2"/>
    <w:rsid w:val="00DF51E2"/>
    <w:rsid w:val="00DF5509"/>
    <w:rsid w:val="00DF5887"/>
    <w:rsid w:val="00DF5A2B"/>
    <w:rsid w:val="00DF5AB3"/>
    <w:rsid w:val="00DF5CCD"/>
    <w:rsid w:val="00DF633F"/>
    <w:rsid w:val="00DF635A"/>
    <w:rsid w:val="00DF6378"/>
    <w:rsid w:val="00DF63A2"/>
    <w:rsid w:val="00DF659C"/>
    <w:rsid w:val="00DF6661"/>
    <w:rsid w:val="00DF677C"/>
    <w:rsid w:val="00DF67F6"/>
    <w:rsid w:val="00DF683B"/>
    <w:rsid w:val="00DF686B"/>
    <w:rsid w:val="00DF6994"/>
    <w:rsid w:val="00DF69AC"/>
    <w:rsid w:val="00DF6A27"/>
    <w:rsid w:val="00DF6AB5"/>
    <w:rsid w:val="00DF6B88"/>
    <w:rsid w:val="00DF6BB1"/>
    <w:rsid w:val="00DF6C08"/>
    <w:rsid w:val="00DF6C94"/>
    <w:rsid w:val="00DF6FFA"/>
    <w:rsid w:val="00DF7237"/>
    <w:rsid w:val="00DF7240"/>
    <w:rsid w:val="00DF72A6"/>
    <w:rsid w:val="00DF73A5"/>
    <w:rsid w:val="00DF74B7"/>
    <w:rsid w:val="00DF7505"/>
    <w:rsid w:val="00DF75D4"/>
    <w:rsid w:val="00DF78A8"/>
    <w:rsid w:val="00DF78CC"/>
    <w:rsid w:val="00DF78CE"/>
    <w:rsid w:val="00DF7992"/>
    <w:rsid w:val="00DF79C9"/>
    <w:rsid w:val="00DF79F9"/>
    <w:rsid w:val="00DF7A4E"/>
    <w:rsid w:val="00DF7AFA"/>
    <w:rsid w:val="00DF7C9D"/>
    <w:rsid w:val="00DF7CC7"/>
    <w:rsid w:val="00E001A3"/>
    <w:rsid w:val="00E001C9"/>
    <w:rsid w:val="00E00259"/>
    <w:rsid w:val="00E002A0"/>
    <w:rsid w:val="00E002D9"/>
    <w:rsid w:val="00E00591"/>
    <w:rsid w:val="00E005CB"/>
    <w:rsid w:val="00E006EB"/>
    <w:rsid w:val="00E0073D"/>
    <w:rsid w:val="00E009D0"/>
    <w:rsid w:val="00E00ACF"/>
    <w:rsid w:val="00E00BB1"/>
    <w:rsid w:val="00E00C62"/>
    <w:rsid w:val="00E00CBE"/>
    <w:rsid w:val="00E00D2C"/>
    <w:rsid w:val="00E00F2D"/>
    <w:rsid w:val="00E0109C"/>
    <w:rsid w:val="00E0159A"/>
    <w:rsid w:val="00E015E9"/>
    <w:rsid w:val="00E016A8"/>
    <w:rsid w:val="00E0172B"/>
    <w:rsid w:val="00E01876"/>
    <w:rsid w:val="00E0190E"/>
    <w:rsid w:val="00E0199B"/>
    <w:rsid w:val="00E01B49"/>
    <w:rsid w:val="00E01D7A"/>
    <w:rsid w:val="00E01E5A"/>
    <w:rsid w:val="00E0200B"/>
    <w:rsid w:val="00E0203F"/>
    <w:rsid w:val="00E02225"/>
    <w:rsid w:val="00E024C4"/>
    <w:rsid w:val="00E0250B"/>
    <w:rsid w:val="00E025FE"/>
    <w:rsid w:val="00E028B3"/>
    <w:rsid w:val="00E0291A"/>
    <w:rsid w:val="00E02A76"/>
    <w:rsid w:val="00E02B7A"/>
    <w:rsid w:val="00E02BD8"/>
    <w:rsid w:val="00E02DD6"/>
    <w:rsid w:val="00E03003"/>
    <w:rsid w:val="00E032BF"/>
    <w:rsid w:val="00E03563"/>
    <w:rsid w:val="00E035B8"/>
    <w:rsid w:val="00E03701"/>
    <w:rsid w:val="00E038F1"/>
    <w:rsid w:val="00E03B1E"/>
    <w:rsid w:val="00E03DA3"/>
    <w:rsid w:val="00E03E34"/>
    <w:rsid w:val="00E03E60"/>
    <w:rsid w:val="00E043E9"/>
    <w:rsid w:val="00E044FD"/>
    <w:rsid w:val="00E0487E"/>
    <w:rsid w:val="00E04A8E"/>
    <w:rsid w:val="00E04D60"/>
    <w:rsid w:val="00E04DFF"/>
    <w:rsid w:val="00E04EA8"/>
    <w:rsid w:val="00E04EDA"/>
    <w:rsid w:val="00E04EDC"/>
    <w:rsid w:val="00E04F0B"/>
    <w:rsid w:val="00E0506A"/>
    <w:rsid w:val="00E050A5"/>
    <w:rsid w:val="00E05216"/>
    <w:rsid w:val="00E052FE"/>
    <w:rsid w:val="00E053F1"/>
    <w:rsid w:val="00E054B0"/>
    <w:rsid w:val="00E05596"/>
    <w:rsid w:val="00E056D0"/>
    <w:rsid w:val="00E0587F"/>
    <w:rsid w:val="00E058A0"/>
    <w:rsid w:val="00E05A65"/>
    <w:rsid w:val="00E05A73"/>
    <w:rsid w:val="00E05C84"/>
    <w:rsid w:val="00E05D39"/>
    <w:rsid w:val="00E05D7D"/>
    <w:rsid w:val="00E05DFB"/>
    <w:rsid w:val="00E0609E"/>
    <w:rsid w:val="00E061BA"/>
    <w:rsid w:val="00E063B8"/>
    <w:rsid w:val="00E06845"/>
    <w:rsid w:val="00E068D4"/>
    <w:rsid w:val="00E069DD"/>
    <w:rsid w:val="00E06A42"/>
    <w:rsid w:val="00E06AB0"/>
    <w:rsid w:val="00E06BAF"/>
    <w:rsid w:val="00E06CA0"/>
    <w:rsid w:val="00E0701D"/>
    <w:rsid w:val="00E0712E"/>
    <w:rsid w:val="00E07149"/>
    <w:rsid w:val="00E0714A"/>
    <w:rsid w:val="00E0717C"/>
    <w:rsid w:val="00E071B9"/>
    <w:rsid w:val="00E071C9"/>
    <w:rsid w:val="00E072CC"/>
    <w:rsid w:val="00E07465"/>
    <w:rsid w:val="00E0753B"/>
    <w:rsid w:val="00E07569"/>
    <w:rsid w:val="00E0758B"/>
    <w:rsid w:val="00E077D5"/>
    <w:rsid w:val="00E0793A"/>
    <w:rsid w:val="00E0794E"/>
    <w:rsid w:val="00E07966"/>
    <w:rsid w:val="00E07B95"/>
    <w:rsid w:val="00E07CEC"/>
    <w:rsid w:val="00E07ED4"/>
    <w:rsid w:val="00E07FDF"/>
    <w:rsid w:val="00E1000E"/>
    <w:rsid w:val="00E10260"/>
    <w:rsid w:val="00E10264"/>
    <w:rsid w:val="00E1028F"/>
    <w:rsid w:val="00E10638"/>
    <w:rsid w:val="00E107A4"/>
    <w:rsid w:val="00E10830"/>
    <w:rsid w:val="00E10933"/>
    <w:rsid w:val="00E10AEB"/>
    <w:rsid w:val="00E10B9C"/>
    <w:rsid w:val="00E10F6C"/>
    <w:rsid w:val="00E11032"/>
    <w:rsid w:val="00E110FD"/>
    <w:rsid w:val="00E111FE"/>
    <w:rsid w:val="00E11206"/>
    <w:rsid w:val="00E1124B"/>
    <w:rsid w:val="00E112E3"/>
    <w:rsid w:val="00E114CC"/>
    <w:rsid w:val="00E114CD"/>
    <w:rsid w:val="00E11512"/>
    <w:rsid w:val="00E1158D"/>
    <w:rsid w:val="00E11694"/>
    <w:rsid w:val="00E116A1"/>
    <w:rsid w:val="00E116B9"/>
    <w:rsid w:val="00E11873"/>
    <w:rsid w:val="00E11962"/>
    <w:rsid w:val="00E11B62"/>
    <w:rsid w:val="00E11BF2"/>
    <w:rsid w:val="00E11C55"/>
    <w:rsid w:val="00E11E05"/>
    <w:rsid w:val="00E11FF4"/>
    <w:rsid w:val="00E12042"/>
    <w:rsid w:val="00E1208B"/>
    <w:rsid w:val="00E1221E"/>
    <w:rsid w:val="00E12572"/>
    <w:rsid w:val="00E125BA"/>
    <w:rsid w:val="00E12763"/>
    <w:rsid w:val="00E12778"/>
    <w:rsid w:val="00E12812"/>
    <w:rsid w:val="00E12825"/>
    <w:rsid w:val="00E12885"/>
    <w:rsid w:val="00E12940"/>
    <w:rsid w:val="00E12ABE"/>
    <w:rsid w:val="00E12CA7"/>
    <w:rsid w:val="00E12CFE"/>
    <w:rsid w:val="00E12D7A"/>
    <w:rsid w:val="00E12EC3"/>
    <w:rsid w:val="00E1312A"/>
    <w:rsid w:val="00E13161"/>
    <w:rsid w:val="00E131FA"/>
    <w:rsid w:val="00E13447"/>
    <w:rsid w:val="00E13589"/>
    <w:rsid w:val="00E135C8"/>
    <w:rsid w:val="00E136B2"/>
    <w:rsid w:val="00E13715"/>
    <w:rsid w:val="00E1381B"/>
    <w:rsid w:val="00E138A2"/>
    <w:rsid w:val="00E13A7D"/>
    <w:rsid w:val="00E13A9B"/>
    <w:rsid w:val="00E13B28"/>
    <w:rsid w:val="00E13E97"/>
    <w:rsid w:val="00E13F3B"/>
    <w:rsid w:val="00E14016"/>
    <w:rsid w:val="00E14304"/>
    <w:rsid w:val="00E1436F"/>
    <w:rsid w:val="00E14378"/>
    <w:rsid w:val="00E1441B"/>
    <w:rsid w:val="00E1441F"/>
    <w:rsid w:val="00E145EE"/>
    <w:rsid w:val="00E14628"/>
    <w:rsid w:val="00E147FA"/>
    <w:rsid w:val="00E14803"/>
    <w:rsid w:val="00E1482A"/>
    <w:rsid w:val="00E1488F"/>
    <w:rsid w:val="00E14921"/>
    <w:rsid w:val="00E14FAF"/>
    <w:rsid w:val="00E14FF3"/>
    <w:rsid w:val="00E152B2"/>
    <w:rsid w:val="00E153FE"/>
    <w:rsid w:val="00E154B1"/>
    <w:rsid w:val="00E15604"/>
    <w:rsid w:val="00E156B0"/>
    <w:rsid w:val="00E1578E"/>
    <w:rsid w:val="00E15920"/>
    <w:rsid w:val="00E159AB"/>
    <w:rsid w:val="00E15B0D"/>
    <w:rsid w:val="00E15CD5"/>
    <w:rsid w:val="00E15D41"/>
    <w:rsid w:val="00E15D83"/>
    <w:rsid w:val="00E15DAD"/>
    <w:rsid w:val="00E15DBD"/>
    <w:rsid w:val="00E15EFD"/>
    <w:rsid w:val="00E16025"/>
    <w:rsid w:val="00E1605F"/>
    <w:rsid w:val="00E1629E"/>
    <w:rsid w:val="00E16362"/>
    <w:rsid w:val="00E16562"/>
    <w:rsid w:val="00E166CD"/>
    <w:rsid w:val="00E166D2"/>
    <w:rsid w:val="00E16773"/>
    <w:rsid w:val="00E167FE"/>
    <w:rsid w:val="00E16802"/>
    <w:rsid w:val="00E16861"/>
    <w:rsid w:val="00E16AA5"/>
    <w:rsid w:val="00E16B29"/>
    <w:rsid w:val="00E16B4F"/>
    <w:rsid w:val="00E17000"/>
    <w:rsid w:val="00E17002"/>
    <w:rsid w:val="00E17318"/>
    <w:rsid w:val="00E173D5"/>
    <w:rsid w:val="00E17444"/>
    <w:rsid w:val="00E175E3"/>
    <w:rsid w:val="00E17611"/>
    <w:rsid w:val="00E17659"/>
    <w:rsid w:val="00E176DB"/>
    <w:rsid w:val="00E17734"/>
    <w:rsid w:val="00E178F4"/>
    <w:rsid w:val="00E17982"/>
    <w:rsid w:val="00E17A51"/>
    <w:rsid w:val="00E17A76"/>
    <w:rsid w:val="00E17ACD"/>
    <w:rsid w:val="00E17B13"/>
    <w:rsid w:val="00E200B8"/>
    <w:rsid w:val="00E2033A"/>
    <w:rsid w:val="00E203CF"/>
    <w:rsid w:val="00E20492"/>
    <w:rsid w:val="00E20580"/>
    <w:rsid w:val="00E2078D"/>
    <w:rsid w:val="00E2085B"/>
    <w:rsid w:val="00E20AC6"/>
    <w:rsid w:val="00E20E08"/>
    <w:rsid w:val="00E20F5D"/>
    <w:rsid w:val="00E20FB1"/>
    <w:rsid w:val="00E2115B"/>
    <w:rsid w:val="00E211CA"/>
    <w:rsid w:val="00E21447"/>
    <w:rsid w:val="00E214DA"/>
    <w:rsid w:val="00E214F0"/>
    <w:rsid w:val="00E21516"/>
    <w:rsid w:val="00E215DC"/>
    <w:rsid w:val="00E21652"/>
    <w:rsid w:val="00E218A9"/>
    <w:rsid w:val="00E21B0D"/>
    <w:rsid w:val="00E21D54"/>
    <w:rsid w:val="00E21E0B"/>
    <w:rsid w:val="00E21E9F"/>
    <w:rsid w:val="00E21F04"/>
    <w:rsid w:val="00E220CD"/>
    <w:rsid w:val="00E225E5"/>
    <w:rsid w:val="00E22658"/>
    <w:rsid w:val="00E2271F"/>
    <w:rsid w:val="00E227BE"/>
    <w:rsid w:val="00E22909"/>
    <w:rsid w:val="00E22B9E"/>
    <w:rsid w:val="00E22E49"/>
    <w:rsid w:val="00E22EE1"/>
    <w:rsid w:val="00E22FB4"/>
    <w:rsid w:val="00E23037"/>
    <w:rsid w:val="00E23067"/>
    <w:rsid w:val="00E23367"/>
    <w:rsid w:val="00E233F5"/>
    <w:rsid w:val="00E23756"/>
    <w:rsid w:val="00E2382B"/>
    <w:rsid w:val="00E238C1"/>
    <w:rsid w:val="00E238C2"/>
    <w:rsid w:val="00E238C9"/>
    <w:rsid w:val="00E23C03"/>
    <w:rsid w:val="00E23C9B"/>
    <w:rsid w:val="00E23CC5"/>
    <w:rsid w:val="00E23EE4"/>
    <w:rsid w:val="00E24053"/>
    <w:rsid w:val="00E240BC"/>
    <w:rsid w:val="00E24390"/>
    <w:rsid w:val="00E243D3"/>
    <w:rsid w:val="00E244B6"/>
    <w:rsid w:val="00E24733"/>
    <w:rsid w:val="00E24794"/>
    <w:rsid w:val="00E24827"/>
    <w:rsid w:val="00E24DAB"/>
    <w:rsid w:val="00E24DDF"/>
    <w:rsid w:val="00E24E79"/>
    <w:rsid w:val="00E24E8B"/>
    <w:rsid w:val="00E24EF5"/>
    <w:rsid w:val="00E24F75"/>
    <w:rsid w:val="00E252DB"/>
    <w:rsid w:val="00E25407"/>
    <w:rsid w:val="00E25514"/>
    <w:rsid w:val="00E25568"/>
    <w:rsid w:val="00E2569F"/>
    <w:rsid w:val="00E256E3"/>
    <w:rsid w:val="00E25887"/>
    <w:rsid w:val="00E25998"/>
    <w:rsid w:val="00E25B4F"/>
    <w:rsid w:val="00E25BFF"/>
    <w:rsid w:val="00E25CA2"/>
    <w:rsid w:val="00E262F6"/>
    <w:rsid w:val="00E264F9"/>
    <w:rsid w:val="00E26579"/>
    <w:rsid w:val="00E2673C"/>
    <w:rsid w:val="00E2693A"/>
    <w:rsid w:val="00E269BC"/>
    <w:rsid w:val="00E26C53"/>
    <w:rsid w:val="00E26D93"/>
    <w:rsid w:val="00E26E19"/>
    <w:rsid w:val="00E26E2F"/>
    <w:rsid w:val="00E26FCD"/>
    <w:rsid w:val="00E2702C"/>
    <w:rsid w:val="00E270A5"/>
    <w:rsid w:val="00E27198"/>
    <w:rsid w:val="00E27298"/>
    <w:rsid w:val="00E2729D"/>
    <w:rsid w:val="00E272BC"/>
    <w:rsid w:val="00E272FA"/>
    <w:rsid w:val="00E2734D"/>
    <w:rsid w:val="00E274AB"/>
    <w:rsid w:val="00E2761B"/>
    <w:rsid w:val="00E2767E"/>
    <w:rsid w:val="00E277F2"/>
    <w:rsid w:val="00E27903"/>
    <w:rsid w:val="00E27981"/>
    <w:rsid w:val="00E27A30"/>
    <w:rsid w:val="00E27C67"/>
    <w:rsid w:val="00E27CAC"/>
    <w:rsid w:val="00E27E24"/>
    <w:rsid w:val="00E27EA0"/>
    <w:rsid w:val="00E3000E"/>
    <w:rsid w:val="00E301FB"/>
    <w:rsid w:val="00E30242"/>
    <w:rsid w:val="00E30321"/>
    <w:rsid w:val="00E303DD"/>
    <w:rsid w:val="00E30435"/>
    <w:rsid w:val="00E304D0"/>
    <w:rsid w:val="00E30588"/>
    <w:rsid w:val="00E3069A"/>
    <w:rsid w:val="00E30799"/>
    <w:rsid w:val="00E3089C"/>
    <w:rsid w:val="00E308B7"/>
    <w:rsid w:val="00E30A1B"/>
    <w:rsid w:val="00E30AD3"/>
    <w:rsid w:val="00E30BD3"/>
    <w:rsid w:val="00E30C45"/>
    <w:rsid w:val="00E30E27"/>
    <w:rsid w:val="00E30E8F"/>
    <w:rsid w:val="00E310C5"/>
    <w:rsid w:val="00E31209"/>
    <w:rsid w:val="00E31453"/>
    <w:rsid w:val="00E31570"/>
    <w:rsid w:val="00E316ED"/>
    <w:rsid w:val="00E31844"/>
    <w:rsid w:val="00E31A00"/>
    <w:rsid w:val="00E31D6A"/>
    <w:rsid w:val="00E31E1B"/>
    <w:rsid w:val="00E31EFD"/>
    <w:rsid w:val="00E320A3"/>
    <w:rsid w:val="00E321F5"/>
    <w:rsid w:val="00E3240C"/>
    <w:rsid w:val="00E3245F"/>
    <w:rsid w:val="00E32739"/>
    <w:rsid w:val="00E32767"/>
    <w:rsid w:val="00E3286C"/>
    <w:rsid w:val="00E329EB"/>
    <w:rsid w:val="00E32A63"/>
    <w:rsid w:val="00E32B01"/>
    <w:rsid w:val="00E32BAD"/>
    <w:rsid w:val="00E32C2E"/>
    <w:rsid w:val="00E32D9D"/>
    <w:rsid w:val="00E32DAC"/>
    <w:rsid w:val="00E32DB2"/>
    <w:rsid w:val="00E32DB4"/>
    <w:rsid w:val="00E32ED0"/>
    <w:rsid w:val="00E32F9B"/>
    <w:rsid w:val="00E33040"/>
    <w:rsid w:val="00E33132"/>
    <w:rsid w:val="00E33179"/>
    <w:rsid w:val="00E3321D"/>
    <w:rsid w:val="00E335EC"/>
    <w:rsid w:val="00E3360F"/>
    <w:rsid w:val="00E338C2"/>
    <w:rsid w:val="00E33A57"/>
    <w:rsid w:val="00E33D40"/>
    <w:rsid w:val="00E33DCE"/>
    <w:rsid w:val="00E33E2A"/>
    <w:rsid w:val="00E3416B"/>
    <w:rsid w:val="00E341E6"/>
    <w:rsid w:val="00E34264"/>
    <w:rsid w:val="00E342F1"/>
    <w:rsid w:val="00E343B1"/>
    <w:rsid w:val="00E346A8"/>
    <w:rsid w:val="00E34855"/>
    <w:rsid w:val="00E349F6"/>
    <w:rsid w:val="00E34AA3"/>
    <w:rsid w:val="00E34B55"/>
    <w:rsid w:val="00E34BDB"/>
    <w:rsid w:val="00E34CC6"/>
    <w:rsid w:val="00E34D70"/>
    <w:rsid w:val="00E34EE0"/>
    <w:rsid w:val="00E34EE6"/>
    <w:rsid w:val="00E34F19"/>
    <w:rsid w:val="00E34FCF"/>
    <w:rsid w:val="00E35016"/>
    <w:rsid w:val="00E35057"/>
    <w:rsid w:val="00E35143"/>
    <w:rsid w:val="00E35477"/>
    <w:rsid w:val="00E355EA"/>
    <w:rsid w:val="00E35690"/>
    <w:rsid w:val="00E356F8"/>
    <w:rsid w:val="00E35796"/>
    <w:rsid w:val="00E357A7"/>
    <w:rsid w:val="00E358CF"/>
    <w:rsid w:val="00E35902"/>
    <w:rsid w:val="00E35A22"/>
    <w:rsid w:val="00E35A3A"/>
    <w:rsid w:val="00E35A4E"/>
    <w:rsid w:val="00E35BB8"/>
    <w:rsid w:val="00E35D14"/>
    <w:rsid w:val="00E35DAD"/>
    <w:rsid w:val="00E35E1F"/>
    <w:rsid w:val="00E361C6"/>
    <w:rsid w:val="00E36348"/>
    <w:rsid w:val="00E363FC"/>
    <w:rsid w:val="00E365FC"/>
    <w:rsid w:val="00E36993"/>
    <w:rsid w:val="00E369D0"/>
    <w:rsid w:val="00E36A62"/>
    <w:rsid w:val="00E36E97"/>
    <w:rsid w:val="00E36F37"/>
    <w:rsid w:val="00E37329"/>
    <w:rsid w:val="00E374F5"/>
    <w:rsid w:val="00E376CF"/>
    <w:rsid w:val="00E3782B"/>
    <w:rsid w:val="00E379C3"/>
    <w:rsid w:val="00E37B02"/>
    <w:rsid w:val="00E37B66"/>
    <w:rsid w:val="00E37C43"/>
    <w:rsid w:val="00E37D3F"/>
    <w:rsid w:val="00E40061"/>
    <w:rsid w:val="00E4018E"/>
    <w:rsid w:val="00E401A2"/>
    <w:rsid w:val="00E4047F"/>
    <w:rsid w:val="00E40536"/>
    <w:rsid w:val="00E4078F"/>
    <w:rsid w:val="00E407D3"/>
    <w:rsid w:val="00E4098C"/>
    <w:rsid w:val="00E40A60"/>
    <w:rsid w:val="00E40BF5"/>
    <w:rsid w:val="00E40C79"/>
    <w:rsid w:val="00E40E71"/>
    <w:rsid w:val="00E40EB8"/>
    <w:rsid w:val="00E40F21"/>
    <w:rsid w:val="00E415DB"/>
    <w:rsid w:val="00E416A7"/>
    <w:rsid w:val="00E41700"/>
    <w:rsid w:val="00E418B8"/>
    <w:rsid w:val="00E418E1"/>
    <w:rsid w:val="00E41B86"/>
    <w:rsid w:val="00E41DFA"/>
    <w:rsid w:val="00E41E1E"/>
    <w:rsid w:val="00E41E7C"/>
    <w:rsid w:val="00E41F1D"/>
    <w:rsid w:val="00E41F93"/>
    <w:rsid w:val="00E41FEF"/>
    <w:rsid w:val="00E42045"/>
    <w:rsid w:val="00E422A0"/>
    <w:rsid w:val="00E422F4"/>
    <w:rsid w:val="00E4246E"/>
    <w:rsid w:val="00E424C9"/>
    <w:rsid w:val="00E4265D"/>
    <w:rsid w:val="00E426C9"/>
    <w:rsid w:val="00E42868"/>
    <w:rsid w:val="00E4287C"/>
    <w:rsid w:val="00E42937"/>
    <w:rsid w:val="00E429CC"/>
    <w:rsid w:val="00E42BF3"/>
    <w:rsid w:val="00E42CD9"/>
    <w:rsid w:val="00E42E0A"/>
    <w:rsid w:val="00E42E26"/>
    <w:rsid w:val="00E42F58"/>
    <w:rsid w:val="00E43233"/>
    <w:rsid w:val="00E432BF"/>
    <w:rsid w:val="00E43369"/>
    <w:rsid w:val="00E43559"/>
    <w:rsid w:val="00E435C0"/>
    <w:rsid w:val="00E435FD"/>
    <w:rsid w:val="00E43651"/>
    <w:rsid w:val="00E4376F"/>
    <w:rsid w:val="00E4379A"/>
    <w:rsid w:val="00E438E5"/>
    <w:rsid w:val="00E439A0"/>
    <w:rsid w:val="00E43A37"/>
    <w:rsid w:val="00E43A55"/>
    <w:rsid w:val="00E43B41"/>
    <w:rsid w:val="00E43E89"/>
    <w:rsid w:val="00E43F00"/>
    <w:rsid w:val="00E43F83"/>
    <w:rsid w:val="00E4403F"/>
    <w:rsid w:val="00E440A6"/>
    <w:rsid w:val="00E44143"/>
    <w:rsid w:val="00E44364"/>
    <w:rsid w:val="00E443FB"/>
    <w:rsid w:val="00E4446B"/>
    <w:rsid w:val="00E44513"/>
    <w:rsid w:val="00E4452D"/>
    <w:rsid w:val="00E44668"/>
    <w:rsid w:val="00E4474F"/>
    <w:rsid w:val="00E44877"/>
    <w:rsid w:val="00E44A76"/>
    <w:rsid w:val="00E44B70"/>
    <w:rsid w:val="00E44C80"/>
    <w:rsid w:val="00E44D34"/>
    <w:rsid w:val="00E44F19"/>
    <w:rsid w:val="00E450BA"/>
    <w:rsid w:val="00E450FE"/>
    <w:rsid w:val="00E451E0"/>
    <w:rsid w:val="00E4533D"/>
    <w:rsid w:val="00E454FE"/>
    <w:rsid w:val="00E45597"/>
    <w:rsid w:val="00E455DF"/>
    <w:rsid w:val="00E45659"/>
    <w:rsid w:val="00E4567D"/>
    <w:rsid w:val="00E4584B"/>
    <w:rsid w:val="00E45A58"/>
    <w:rsid w:val="00E45B51"/>
    <w:rsid w:val="00E45BC2"/>
    <w:rsid w:val="00E45D71"/>
    <w:rsid w:val="00E45E6F"/>
    <w:rsid w:val="00E45E96"/>
    <w:rsid w:val="00E45E9E"/>
    <w:rsid w:val="00E4600A"/>
    <w:rsid w:val="00E460AB"/>
    <w:rsid w:val="00E46293"/>
    <w:rsid w:val="00E4691F"/>
    <w:rsid w:val="00E46B0A"/>
    <w:rsid w:val="00E46B40"/>
    <w:rsid w:val="00E46CE9"/>
    <w:rsid w:val="00E46D26"/>
    <w:rsid w:val="00E46EB8"/>
    <w:rsid w:val="00E46FF4"/>
    <w:rsid w:val="00E4710A"/>
    <w:rsid w:val="00E4715A"/>
    <w:rsid w:val="00E471F4"/>
    <w:rsid w:val="00E4757A"/>
    <w:rsid w:val="00E47597"/>
    <w:rsid w:val="00E47885"/>
    <w:rsid w:val="00E478D4"/>
    <w:rsid w:val="00E47AF2"/>
    <w:rsid w:val="00E47AF3"/>
    <w:rsid w:val="00E47D3E"/>
    <w:rsid w:val="00E47D8E"/>
    <w:rsid w:val="00E47DC9"/>
    <w:rsid w:val="00E47DDA"/>
    <w:rsid w:val="00E47E8E"/>
    <w:rsid w:val="00E47FC5"/>
    <w:rsid w:val="00E50262"/>
    <w:rsid w:val="00E502B2"/>
    <w:rsid w:val="00E502E6"/>
    <w:rsid w:val="00E503E5"/>
    <w:rsid w:val="00E5048B"/>
    <w:rsid w:val="00E50544"/>
    <w:rsid w:val="00E508A5"/>
    <w:rsid w:val="00E50BA2"/>
    <w:rsid w:val="00E50D35"/>
    <w:rsid w:val="00E50ED3"/>
    <w:rsid w:val="00E50F62"/>
    <w:rsid w:val="00E50F7F"/>
    <w:rsid w:val="00E510A4"/>
    <w:rsid w:val="00E5111D"/>
    <w:rsid w:val="00E511B5"/>
    <w:rsid w:val="00E512DE"/>
    <w:rsid w:val="00E513D8"/>
    <w:rsid w:val="00E51417"/>
    <w:rsid w:val="00E51566"/>
    <w:rsid w:val="00E5157C"/>
    <w:rsid w:val="00E515DB"/>
    <w:rsid w:val="00E51A21"/>
    <w:rsid w:val="00E51B13"/>
    <w:rsid w:val="00E51C2F"/>
    <w:rsid w:val="00E51C62"/>
    <w:rsid w:val="00E51D29"/>
    <w:rsid w:val="00E51DC5"/>
    <w:rsid w:val="00E51F15"/>
    <w:rsid w:val="00E51FF8"/>
    <w:rsid w:val="00E52071"/>
    <w:rsid w:val="00E52245"/>
    <w:rsid w:val="00E522D2"/>
    <w:rsid w:val="00E522FC"/>
    <w:rsid w:val="00E524A4"/>
    <w:rsid w:val="00E5259E"/>
    <w:rsid w:val="00E526B0"/>
    <w:rsid w:val="00E52723"/>
    <w:rsid w:val="00E5291C"/>
    <w:rsid w:val="00E52959"/>
    <w:rsid w:val="00E529A5"/>
    <w:rsid w:val="00E529AF"/>
    <w:rsid w:val="00E52F19"/>
    <w:rsid w:val="00E53174"/>
    <w:rsid w:val="00E53416"/>
    <w:rsid w:val="00E535E1"/>
    <w:rsid w:val="00E53814"/>
    <w:rsid w:val="00E5382D"/>
    <w:rsid w:val="00E53905"/>
    <w:rsid w:val="00E53AE4"/>
    <w:rsid w:val="00E53B4E"/>
    <w:rsid w:val="00E53C6D"/>
    <w:rsid w:val="00E53D9D"/>
    <w:rsid w:val="00E53E66"/>
    <w:rsid w:val="00E53E96"/>
    <w:rsid w:val="00E53F27"/>
    <w:rsid w:val="00E53F69"/>
    <w:rsid w:val="00E540AF"/>
    <w:rsid w:val="00E540DB"/>
    <w:rsid w:val="00E5443B"/>
    <w:rsid w:val="00E54789"/>
    <w:rsid w:val="00E54A48"/>
    <w:rsid w:val="00E54A9B"/>
    <w:rsid w:val="00E54B1D"/>
    <w:rsid w:val="00E54CBF"/>
    <w:rsid w:val="00E54F64"/>
    <w:rsid w:val="00E55076"/>
    <w:rsid w:val="00E550DA"/>
    <w:rsid w:val="00E550DF"/>
    <w:rsid w:val="00E55314"/>
    <w:rsid w:val="00E55322"/>
    <w:rsid w:val="00E5535E"/>
    <w:rsid w:val="00E554B9"/>
    <w:rsid w:val="00E55534"/>
    <w:rsid w:val="00E5556C"/>
    <w:rsid w:val="00E5557C"/>
    <w:rsid w:val="00E555EC"/>
    <w:rsid w:val="00E55603"/>
    <w:rsid w:val="00E55623"/>
    <w:rsid w:val="00E55863"/>
    <w:rsid w:val="00E55A2D"/>
    <w:rsid w:val="00E55A98"/>
    <w:rsid w:val="00E55AEE"/>
    <w:rsid w:val="00E55B90"/>
    <w:rsid w:val="00E55CA7"/>
    <w:rsid w:val="00E55D4D"/>
    <w:rsid w:val="00E55D64"/>
    <w:rsid w:val="00E5604B"/>
    <w:rsid w:val="00E560DA"/>
    <w:rsid w:val="00E563A5"/>
    <w:rsid w:val="00E563C7"/>
    <w:rsid w:val="00E56416"/>
    <w:rsid w:val="00E5644E"/>
    <w:rsid w:val="00E56593"/>
    <w:rsid w:val="00E565E4"/>
    <w:rsid w:val="00E565EC"/>
    <w:rsid w:val="00E5669D"/>
    <w:rsid w:val="00E56735"/>
    <w:rsid w:val="00E567BA"/>
    <w:rsid w:val="00E5682C"/>
    <w:rsid w:val="00E568FF"/>
    <w:rsid w:val="00E56981"/>
    <w:rsid w:val="00E56A96"/>
    <w:rsid w:val="00E56BB5"/>
    <w:rsid w:val="00E56C5A"/>
    <w:rsid w:val="00E56FE4"/>
    <w:rsid w:val="00E56FF3"/>
    <w:rsid w:val="00E5720E"/>
    <w:rsid w:val="00E57383"/>
    <w:rsid w:val="00E5756E"/>
    <w:rsid w:val="00E5764C"/>
    <w:rsid w:val="00E576C0"/>
    <w:rsid w:val="00E578A6"/>
    <w:rsid w:val="00E579C1"/>
    <w:rsid w:val="00E57AA7"/>
    <w:rsid w:val="00E57B54"/>
    <w:rsid w:val="00E60043"/>
    <w:rsid w:val="00E6057A"/>
    <w:rsid w:val="00E605C9"/>
    <w:rsid w:val="00E60601"/>
    <w:rsid w:val="00E607A7"/>
    <w:rsid w:val="00E607EA"/>
    <w:rsid w:val="00E6088B"/>
    <w:rsid w:val="00E6099F"/>
    <w:rsid w:val="00E60A8C"/>
    <w:rsid w:val="00E60AE1"/>
    <w:rsid w:val="00E60B93"/>
    <w:rsid w:val="00E60DA5"/>
    <w:rsid w:val="00E60F03"/>
    <w:rsid w:val="00E6115B"/>
    <w:rsid w:val="00E611CF"/>
    <w:rsid w:val="00E611E6"/>
    <w:rsid w:val="00E612CB"/>
    <w:rsid w:val="00E6152C"/>
    <w:rsid w:val="00E61664"/>
    <w:rsid w:val="00E616EA"/>
    <w:rsid w:val="00E6177D"/>
    <w:rsid w:val="00E6196D"/>
    <w:rsid w:val="00E619BC"/>
    <w:rsid w:val="00E619DF"/>
    <w:rsid w:val="00E61A65"/>
    <w:rsid w:val="00E61AF0"/>
    <w:rsid w:val="00E61B5D"/>
    <w:rsid w:val="00E61BFD"/>
    <w:rsid w:val="00E61C9A"/>
    <w:rsid w:val="00E61D76"/>
    <w:rsid w:val="00E61D88"/>
    <w:rsid w:val="00E61F98"/>
    <w:rsid w:val="00E62061"/>
    <w:rsid w:val="00E62403"/>
    <w:rsid w:val="00E6252B"/>
    <w:rsid w:val="00E6284B"/>
    <w:rsid w:val="00E62973"/>
    <w:rsid w:val="00E6298C"/>
    <w:rsid w:val="00E62A13"/>
    <w:rsid w:val="00E62A63"/>
    <w:rsid w:val="00E62AB9"/>
    <w:rsid w:val="00E62B52"/>
    <w:rsid w:val="00E62BBF"/>
    <w:rsid w:val="00E62E3F"/>
    <w:rsid w:val="00E62E7E"/>
    <w:rsid w:val="00E62E9A"/>
    <w:rsid w:val="00E63076"/>
    <w:rsid w:val="00E632E6"/>
    <w:rsid w:val="00E63334"/>
    <w:rsid w:val="00E6333D"/>
    <w:rsid w:val="00E633B2"/>
    <w:rsid w:val="00E633FF"/>
    <w:rsid w:val="00E63453"/>
    <w:rsid w:val="00E63598"/>
    <w:rsid w:val="00E6359E"/>
    <w:rsid w:val="00E635DC"/>
    <w:rsid w:val="00E63691"/>
    <w:rsid w:val="00E63890"/>
    <w:rsid w:val="00E6397C"/>
    <w:rsid w:val="00E63A75"/>
    <w:rsid w:val="00E63A95"/>
    <w:rsid w:val="00E63BFA"/>
    <w:rsid w:val="00E63DDA"/>
    <w:rsid w:val="00E63F69"/>
    <w:rsid w:val="00E64015"/>
    <w:rsid w:val="00E640E9"/>
    <w:rsid w:val="00E64189"/>
    <w:rsid w:val="00E642A4"/>
    <w:rsid w:val="00E64436"/>
    <w:rsid w:val="00E644BB"/>
    <w:rsid w:val="00E64621"/>
    <w:rsid w:val="00E646EF"/>
    <w:rsid w:val="00E64900"/>
    <w:rsid w:val="00E64972"/>
    <w:rsid w:val="00E64B64"/>
    <w:rsid w:val="00E64C38"/>
    <w:rsid w:val="00E652E4"/>
    <w:rsid w:val="00E653A0"/>
    <w:rsid w:val="00E65405"/>
    <w:rsid w:val="00E654A3"/>
    <w:rsid w:val="00E654DD"/>
    <w:rsid w:val="00E654F6"/>
    <w:rsid w:val="00E655F6"/>
    <w:rsid w:val="00E65780"/>
    <w:rsid w:val="00E6583D"/>
    <w:rsid w:val="00E65884"/>
    <w:rsid w:val="00E659D4"/>
    <w:rsid w:val="00E65B00"/>
    <w:rsid w:val="00E65F38"/>
    <w:rsid w:val="00E66047"/>
    <w:rsid w:val="00E66186"/>
    <w:rsid w:val="00E66196"/>
    <w:rsid w:val="00E66483"/>
    <w:rsid w:val="00E66486"/>
    <w:rsid w:val="00E666BF"/>
    <w:rsid w:val="00E66AEC"/>
    <w:rsid w:val="00E66B37"/>
    <w:rsid w:val="00E66F3A"/>
    <w:rsid w:val="00E66F8C"/>
    <w:rsid w:val="00E66FBA"/>
    <w:rsid w:val="00E67393"/>
    <w:rsid w:val="00E673B4"/>
    <w:rsid w:val="00E6741D"/>
    <w:rsid w:val="00E67496"/>
    <w:rsid w:val="00E675A7"/>
    <w:rsid w:val="00E6761F"/>
    <w:rsid w:val="00E67695"/>
    <w:rsid w:val="00E676AD"/>
    <w:rsid w:val="00E6797E"/>
    <w:rsid w:val="00E679E1"/>
    <w:rsid w:val="00E67B22"/>
    <w:rsid w:val="00E67CBF"/>
    <w:rsid w:val="00E67D64"/>
    <w:rsid w:val="00E67E21"/>
    <w:rsid w:val="00E67EC5"/>
    <w:rsid w:val="00E67F3F"/>
    <w:rsid w:val="00E67FE6"/>
    <w:rsid w:val="00E7024F"/>
    <w:rsid w:val="00E703A5"/>
    <w:rsid w:val="00E703CC"/>
    <w:rsid w:val="00E7042B"/>
    <w:rsid w:val="00E704FB"/>
    <w:rsid w:val="00E70517"/>
    <w:rsid w:val="00E7052B"/>
    <w:rsid w:val="00E70577"/>
    <w:rsid w:val="00E7069E"/>
    <w:rsid w:val="00E706DA"/>
    <w:rsid w:val="00E70716"/>
    <w:rsid w:val="00E707C0"/>
    <w:rsid w:val="00E70875"/>
    <w:rsid w:val="00E70953"/>
    <w:rsid w:val="00E7097C"/>
    <w:rsid w:val="00E70999"/>
    <w:rsid w:val="00E709F6"/>
    <w:rsid w:val="00E70A4B"/>
    <w:rsid w:val="00E70A5F"/>
    <w:rsid w:val="00E70B55"/>
    <w:rsid w:val="00E70F8E"/>
    <w:rsid w:val="00E710D9"/>
    <w:rsid w:val="00E710E9"/>
    <w:rsid w:val="00E71393"/>
    <w:rsid w:val="00E71427"/>
    <w:rsid w:val="00E71439"/>
    <w:rsid w:val="00E714EA"/>
    <w:rsid w:val="00E714ED"/>
    <w:rsid w:val="00E7155A"/>
    <w:rsid w:val="00E715DA"/>
    <w:rsid w:val="00E716B3"/>
    <w:rsid w:val="00E7181D"/>
    <w:rsid w:val="00E71883"/>
    <w:rsid w:val="00E71965"/>
    <w:rsid w:val="00E71A77"/>
    <w:rsid w:val="00E71AA6"/>
    <w:rsid w:val="00E71ABE"/>
    <w:rsid w:val="00E71B25"/>
    <w:rsid w:val="00E71C56"/>
    <w:rsid w:val="00E71C93"/>
    <w:rsid w:val="00E71E77"/>
    <w:rsid w:val="00E72040"/>
    <w:rsid w:val="00E721E2"/>
    <w:rsid w:val="00E722C5"/>
    <w:rsid w:val="00E72312"/>
    <w:rsid w:val="00E72369"/>
    <w:rsid w:val="00E723CE"/>
    <w:rsid w:val="00E724CA"/>
    <w:rsid w:val="00E72584"/>
    <w:rsid w:val="00E7262B"/>
    <w:rsid w:val="00E727AF"/>
    <w:rsid w:val="00E72953"/>
    <w:rsid w:val="00E72A83"/>
    <w:rsid w:val="00E72BC2"/>
    <w:rsid w:val="00E72C1E"/>
    <w:rsid w:val="00E72C6C"/>
    <w:rsid w:val="00E72D4B"/>
    <w:rsid w:val="00E72D82"/>
    <w:rsid w:val="00E72E87"/>
    <w:rsid w:val="00E72EB5"/>
    <w:rsid w:val="00E730C7"/>
    <w:rsid w:val="00E73100"/>
    <w:rsid w:val="00E731CA"/>
    <w:rsid w:val="00E7320D"/>
    <w:rsid w:val="00E7327A"/>
    <w:rsid w:val="00E73482"/>
    <w:rsid w:val="00E735BC"/>
    <w:rsid w:val="00E73674"/>
    <w:rsid w:val="00E7383C"/>
    <w:rsid w:val="00E73B1B"/>
    <w:rsid w:val="00E73CAC"/>
    <w:rsid w:val="00E73DA7"/>
    <w:rsid w:val="00E73F35"/>
    <w:rsid w:val="00E73F72"/>
    <w:rsid w:val="00E7413B"/>
    <w:rsid w:val="00E74145"/>
    <w:rsid w:val="00E74174"/>
    <w:rsid w:val="00E74256"/>
    <w:rsid w:val="00E7426A"/>
    <w:rsid w:val="00E743F9"/>
    <w:rsid w:val="00E74432"/>
    <w:rsid w:val="00E74551"/>
    <w:rsid w:val="00E7457D"/>
    <w:rsid w:val="00E7458E"/>
    <w:rsid w:val="00E74799"/>
    <w:rsid w:val="00E74B9A"/>
    <w:rsid w:val="00E74BAA"/>
    <w:rsid w:val="00E750FE"/>
    <w:rsid w:val="00E754DF"/>
    <w:rsid w:val="00E75607"/>
    <w:rsid w:val="00E7560B"/>
    <w:rsid w:val="00E75851"/>
    <w:rsid w:val="00E7590E"/>
    <w:rsid w:val="00E75966"/>
    <w:rsid w:val="00E75970"/>
    <w:rsid w:val="00E759C0"/>
    <w:rsid w:val="00E75A1B"/>
    <w:rsid w:val="00E75AB2"/>
    <w:rsid w:val="00E75B20"/>
    <w:rsid w:val="00E75B51"/>
    <w:rsid w:val="00E75BB2"/>
    <w:rsid w:val="00E75C2B"/>
    <w:rsid w:val="00E75C4F"/>
    <w:rsid w:val="00E75CD8"/>
    <w:rsid w:val="00E75E2F"/>
    <w:rsid w:val="00E75E99"/>
    <w:rsid w:val="00E75F55"/>
    <w:rsid w:val="00E76002"/>
    <w:rsid w:val="00E76091"/>
    <w:rsid w:val="00E76129"/>
    <w:rsid w:val="00E76356"/>
    <w:rsid w:val="00E76495"/>
    <w:rsid w:val="00E76582"/>
    <w:rsid w:val="00E76768"/>
    <w:rsid w:val="00E76C95"/>
    <w:rsid w:val="00E76CFE"/>
    <w:rsid w:val="00E76E02"/>
    <w:rsid w:val="00E76E4F"/>
    <w:rsid w:val="00E76E75"/>
    <w:rsid w:val="00E76F3B"/>
    <w:rsid w:val="00E76F9D"/>
    <w:rsid w:val="00E76FDE"/>
    <w:rsid w:val="00E77040"/>
    <w:rsid w:val="00E770F2"/>
    <w:rsid w:val="00E771B5"/>
    <w:rsid w:val="00E771BC"/>
    <w:rsid w:val="00E772FC"/>
    <w:rsid w:val="00E77310"/>
    <w:rsid w:val="00E7738F"/>
    <w:rsid w:val="00E7755F"/>
    <w:rsid w:val="00E77581"/>
    <w:rsid w:val="00E77703"/>
    <w:rsid w:val="00E777B7"/>
    <w:rsid w:val="00E77862"/>
    <w:rsid w:val="00E778B5"/>
    <w:rsid w:val="00E7796E"/>
    <w:rsid w:val="00E77BB2"/>
    <w:rsid w:val="00E77BEB"/>
    <w:rsid w:val="00E77C8B"/>
    <w:rsid w:val="00E77D03"/>
    <w:rsid w:val="00E77E05"/>
    <w:rsid w:val="00E77E18"/>
    <w:rsid w:val="00E77E50"/>
    <w:rsid w:val="00E77E90"/>
    <w:rsid w:val="00E800E2"/>
    <w:rsid w:val="00E80176"/>
    <w:rsid w:val="00E80283"/>
    <w:rsid w:val="00E80307"/>
    <w:rsid w:val="00E803AF"/>
    <w:rsid w:val="00E80440"/>
    <w:rsid w:val="00E8054A"/>
    <w:rsid w:val="00E80698"/>
    <w:rsid w:val="00E807E4"/>
    <w:rsid w:val="00E80864"/>
    <w:rsid w:val="00E80943"/>
    <w:rsid w:val="00E80BF6"/>
    <w:rsid w:val="00E80EE4"/>
    <w:rsid w:val="00E80F9A"/>
    <w:rsid w:val="00E810AE"/>
    <w:rsid w:val="00E8147D"/>
    <w:rsid w:val="00E81610"/>
    <w:rsid w:val="00E816CE"/>
    <w:rsid w:val="00E81973"/>
    <w:rsid w:val="00E81C0C"/>
    <w:rsid w:val="00E81D25"/>
    <w:rsid w:val="00E81D99"/>
    <w:rsid w:val="00E81DE1"/>
    <w:rsid w:val="00E81E04"/>
    <w:rsid w:val="00E81E28"/>
    <w:rsid w:val="00E81E8D"/>
    <w:rsid w:val="00E81F3E"/>
    <w:rsid w:val="00E823A4"/>
    <w:rsid w:val="00E82404"/>
    <w:rsid w:val="00E82453"/>
    <w:rsid w:val="00E825C1"/>
    <w:rsid w:val="00E82652"/>
    <w:rsid w:val="00E82715"/>
    <w:rsid w:val="00E827C1"/>
    <w:rsid w:val="00E8282B"/>
    <w:rsid w:val="00E82912"/>
    <w:rsid w:val="00E82A92"/>
    <w:rsid w:val="00E82AE1"/>
    <w:rsid w:val="00E82BC5"/>
    <w:rsid w:val="00E82E2F"/>
    <w:rsid w:val="00E82EF9"/>
    <w:rsid w:val="00E82F25"/>
    <w:rsid w:val="00E82F7B"/>
    <w:rsid w:val="00E830DF"/>
    <w:rsid w:val="00E83127"/>
    <w:rsid w:val="00E83584"/>
    <w:rsid w:val="00E83595"/>
    <w:rsid w:val="00E83617"/>
    <w:rsid w:val="00E8369E"/>
    <w:rsid w:val="00E83702"/>
    <w:rsid w:val="00E8373A"/>
    <w:rsid w:val="00E83750"/>
    <w:rsid w:val="00E837D7"/>
    <w:rsid w:val="00E8393E"/>
    <w:rsid w:val="00E83A26"/>
    <w:rsid w:val="00E83B38"/>
    <w:rsid w:val="00E83BBE"/>
    <w:rsid w:val="00E83E8D"/>
    <w:rsid w:val="00E841D4"/>
    <w:rsid w:val="00E84518"/>
    <w:rsid w:val="00E8464D"/>
    <w:rsid w:val="00E846CE"/>
    <w:rsid w:val="00E847B1"/>
    <w:rsid w:val="00E847B4"/>
    <w:rsid w:val="00E84812"/>
    <w:rsid w:val="00E84C68"/>
    <w:rsid w:val="00E84E04"/>
    <w:rsid w:val="00E84F4C"/>
    <w:rsid w:val="00E84FE5"/>
    <w:rsid w:val="00E84FE7"/>
    <w:rsid w:val="00E85044"/>
    <w:rsid w:val="00E8525A"/>
    <w:rsid w:val="00E85300"/>
    <w:rsid w:val="00E85321"/>
    <w:rsid w:val="00E85446"/>
    <w:rsid w:val="00E857A0"/>
    <w:rsid w:val="00E8581C"/>
    <w:rsid w:val="00E85868"/>
    <w:rsid w:val="00E85AEE"/>
    <w:rsid w:val="00E85D87"/>
    <w:rsid w:val="00E85DBD"/>
    <w:rsid w:val="00E85F9B"/>
    <w:rsid w:val="00E86202"/>
    <w:rsid w:val="00E86247"/>
    <w:rsid w:val="00E8645D"/>
    <w:rsid w:val="00E8650A"/>
    <w:rsid w:val="00E866A0"/>
    <w:rsid w:val="00E86743"/>
    <w:rsid w:val="00E86854"/>
    <w:rsid w:val="00E868A8"/>
    <w:rsid w:val="00E869D8"/>
    <w:rsid w:val="00E86A19"/>
    <w:rsid w:val="00E86AA8"/>
    <w:rsid w:val="00E86CB3"/>
    <w:rsid w:val="00E86CD7"/>
    <w:rsid w:val="00E86E35"/>
    <w:rsid w:val="00E87054"/>
    <w:rsid w:val="00E87351"/>
    <w:rsid w:val="00E87445"/>
    <w:rsid w:val="00E874A8"/>
    <w:rsid w:val="00E877ED"/>
    <w:rsid w:val="00E87914"/>
    <w:rsid w:val="00E87933"/>
    <w:rsid w:val="00E87A19"/>
    <w:rsid w:val="00E87A7C"/>
    <w:rsid w:val="00E87E87"/>
    <w:rsid w:val="00E900AD"/>
    <w:rsid w:val="00E9090C"/>
    <w:rsid w:val="00E90923"/>
    <w:rsid w:val="00E909F9"/>
    <w:rsid w:val="00E90A30"/>
    <w:rsid w:val="00E90A38"/>
    <w:rsid w:val="00E90A88"/>
    <w:rsid w:val="00E90B79"/>
    <w:rsid w:val="00E90B89"/>
    <w:rsid w:val="00E90C13"/>
    <w:rsid w:val="00E90E31"/>
    <w:rsid w:val="00E90E99"/>
    <w:rsid w:val="00E90EE3"/>
    <w:rsid w:val="00E90EF4"/>
    <w:rsid w:val="00E9108B"/>
    <w:rsid w:val="00E912AD"/>
    <w:rsid w:val="00E919FC"/>
    <w:rsid w:val="00E91A7A"/>
    <w:rsid w:val="00E91B0A"/>
    <w:rsid w:val="00E91B7B"/>
    <w:rsid w:val="00E91C09"/>
    <w:rsid w:val="00E91C97"/>
    <w:rsid w:val="00E91F4C"/>
    <w:rsid w:val="00E91FC2"/>
    <w:rsid w:val="00E9202E"/>
    <w:rsid w:val="00E92076"/>
    <w:rsid w:val="00E920F5"/>
    <w:rsid w:val="00E921D1"/>
    <w:rsid w:val="00E922B6"/>
    <w:rsid w:val="00E9243F"/>
    <w:rsid w:val="00E9257D"/>
    <w:rsid w:val="00E925FE"/>
    <w:rsid w:val="00E926E1"/>
    <w:rsid w:val="00E92879"/>
    <w:rsid w:val="00E928EF"/>
    <w:rsid w:val="00E92957"/>
    <w:rsid w:val="00E929C1"/>
    <w:rsid w:val="00E92A08"/>
    <w:rsid w:val="00E92C25"/>
    <w:rsid w:val="00E93029"/>
    <w:rsid w:val="00E930A3"/>
    <w:rsid w:val="00E930CC"/>
    <w:rsid w:val="00E93133"/>
    <w:rsid w:val="00E9317E"/>
    <w:rsid w:val="00E9333D"/>
    <w:rsid w:val="00E9341B"/>
    <w:rsid w:val="00E93447"/>
    <w:rsid w:val="00E9352F"/>
    <w:rsid w:val="00E9362A"/>
    <w:rsid w:val="00E93695"/>
    <w:rsid w:val="00E93706"/>
    <w:rsid w:val="00E9373C"/>
    <w:rsid w:val="00E937BE"/>
    <w:rsid w:val="00E93897"/>
    <w:rsid w:val="00E938B8"/>
    <w:rsid w:val="00E93970"/>
    <w:rsid w:val="00E939C5"/>
    <w:rsid w:val="00E93BB0"/>
    <w:rsid w:val="00E93BE0"/>
    <w:rsid w:val="00E93BE6"/>
    <w:rsid w:val="00E93C20"/>
    <w:rsid w:val="00E93D24"/>
    <w:rsid w:val="00E93D7F"/>
    <w:rsid w:val="00E93DE8"/>
    <w:rsid w:val="00E93E2D"/>
    <w:rsid w:val="00E94009"/>
    <w:rsid w:val="00E94013"/>
    <w:rsid w:val="00E9417A"/>
    <w:rsid w:val="00E942AA"/>
    <w:rsid w:val="00E942AF"/>
    <w:rsid w:val="00E942F1"/>
    <w:rsid w:val="00E94606"/>
    <w:rsid w:val="00E9465A"/>
    <w:rsid w:val="00E948B2"/>
    <w:rsid w:val="00E948E1"/>
    <w:rsid w:val="00E949B3"/>
    <w:rsid w:val="00E94AD3"/>
    <w:rsid w:val="00E94AF4"/>
    <w:rsid w:val="00E94B84"/>
    <w:rsid w:val="00E94CA6"/>
    <w:rsid w:val="00E94D33"/>
    <w:rsid w:val="00E94DA5"/>
    <w:rsid w:val="00E94E45"/>
    <w:rsid w:val="00E94EB1"/>
    <w:rsid w:val="00E94ED8"/>
    <w:rsid w:val="00E95047"/>
    <w:rsid w:val="00E954FF"/>
    <w:rsid w:val="00E9561F"/>
    <w:rsid w:val="00E95761"/>
    <w:rsid w:val="00E95A73"/>
    <w:rsid w:val="00E95B02"/>
    <w:rsid w:val="00E95BE6"/>
    <w:rsid w:val="00E95D21"/>
    <w:rsid w:val="00E95F18"/>
    <w:rsid w:val="00E96117"/>
    <w:rsid w:val="00E9617D"/>
    <w:rsid w:val="00E96186"/>
    <w:rsid w:val="00E961CE"/>
    <w:rsid w:val="00E961E2"/>
    <w:rsid w:val="00E96303"/>
    <w:rsid w:val="00E9630F"/>
    <w:rsid w:val="00E96372"/>
    <w:rsid w:val="00E963EB"/>
    <w:rsid w:val="00E9642E"/>
    <w:rsid w:val="00E96750"/>
    <w:rsid w:val="00E969B4"/>
    <w:rsid w:val="00E96BCC"/>
    <w:rsid w:val="00E96BE0"/>
    <w:rsid w:val="00E96E57"/>
    <w:rsid w:val="00E96EA5"/>
    <w:rsid w:val="00E97078"/>
    <w:rsid w:val="00E970B0"/>
    <w:rsid w:val="00E97338"/>
    <w:rsid w:val="00E97525"/>
    <w:rsid w:val="00E9785F"/>
    <w:rsid w:val="00E978BA"/>
    <w:rsid w:val="00E979EE"/>
    <w:rsid w:val="00E97CCC"/>
    <w:rsid w:val="00E97F00"/>
    <w:rsid w:val="00EA042E"/>
    <w:rsid w:val="00EA0490"/>
    <w:rsid w:val="00EA055B"/>
    <w:rsid w:val="00EA08F1"/>
    <w:rsid w:val="00EA0911"/>
    <w:rsid w:val="00EA0921"/>
    <w:rsid w:val="00EA0989"/>
    <w:rsid w:val="00EA0A42"/>
    <w:rsid w:val="00EA0AB3"/>
    <w:rsid w:val="00EA0D73"/>
    <w:rsid w:val="00EA0E62"/>
    <w:rsid w:val="00EA0E9C"/>
    <w:rsid w:val="00EA11C6"/>
    <w:rsid w:val="00EA1239"/>
    <w:rsid w:val="00EA1818"/>
    <w:rsid w:val="00EA199A"/>
    <w:rsid w:val="00EA1A26"/>
    <w:rsid w:val="00EA1CF3"/>
    <w:rsid w:val="00EA1E1A"/>
    <w:rsid w:val="00EA1E8E"/>
    <w:rsid w:val="00EA20EF"/>
    <w:rsid w:val="00EA2307"/>
    <w:rsid w:val="00EA2501"/>
    <w:rsid w:val="00EA2748"/>
    <w:rsid w:val="00EA28B2"/>
    <w:rsid w:val="00EA29D7"/>
    <w:rsid w:val="00EA29E7"/>
    <w:rsid w:val="00EA2AA4"/>
    <w:rsid w:val="00EA2B78"/>
    <w:rsid w:val="00EA2E39"/>
    <w:rsid w:val="00EA2EF8"/>
    <w:rsid w:val="00EA2F0D"/>
    <w:rsid w:val="00EA2FC0"/>
    <w:rsid w:val="00EA3021"/>
    <w:rsid w:val="00EA3034"/>
    <w:rsid w:val="00EA31C5"/>
    <w:rsid w:val="00EA3301"/>
    <w:rsid w:val="00EA340E"/>
    <w:rsid w:val="00EA346A"/>
    <w:rsid w:val="00EA3561"/>
    <w:rsid w:val="00EA3694"/>
    <w:rsid w:val="00EA36FE"/>
    <w:rsid w:val="00EA387B"/>
    <w:rsid w:val="00EA39AA"/>
    <w:rsid w:val="00EA3A4A"/>
    <w:rsid w:val="00EA3A7D"/>
    <w:rsid w:val="00EA3A93"/>
    <w:rsid w:val="00EA3B0D"/>
    <w:rsid w:val="00EA3B3B"/>
    <w:rsid w:val="00EA3CD0"/>
    <w:rsid w:val="00EA3D41"/>
    <w:rsid w:val="00EA3D63"/>
    <w:rsid w:val="00EA3D99"/>
    <w:rsid w:val="00EA3F51"/>
    <w:rsid w:val="00EA3FBB"/>
    <w:rsid w:val="00EA41BC"/>
    <w:rsid w:val="00EA4323"/>
    <w:rsid w:val="00EA454D"/>
    <w:rsid w:val="00EA464B"/>
    <w:rsid w:val="00EA46B6"/>
    <w:rsid w:val="00EA4760"/>
    <w:rsid w:val="00EA4882"/>
    <w:rsid w:val="00EA4987"/>
    <w:rsid w:val="00EA49BC"/>
    <w:rsid w:val="00EA4A80"/>
    <w:rsid w:val="00EA4B89"/>
    <w:rsid w:val="00EA4D38"/>
    <w:rsid w:val="00EA4E27"/>
    <w:rsid w:val="00EA4F22"/>
    <w:rsid w:val="00EA4F6F"/>
    <w:rsid w:val="00EA5047"/>
    <w:rsid w:val="00EA52D5"/>
    <w:rsid w:val="00EA5365"/>
    <w:rsid w:val="00EA54AB"/>
    <w:rsid w:val="00EA5A04"/>
    <w:rsid w:val="00EA5AA8"/>
    <w:rsid w:val="00EA5C73"/>
    <w:rsid w:val="00EA5D17"/>
    <w:rsid w:val="00EA5D8D"/>
    <w:rsid w:val="00EA5E24"/>
    <w:rsid w:val="00EA5E72"/>
    <w:rsid w:val="00EA5F11"/>
    <w:rsid w:val="00EA5F8F"/>
    <w:rsid w:val="00EA5FF8"/>
    <w:rsid w:val="00EA62AA"/>
    <w:rsid w:val="00EA6525"/>
    <w:rsid w:val="00EA661E"/>
    <w:rsid w:val="00EA662C"/>
    <w:rsid w:val="00EA66B8"/>
    <w:rsid w:val="00EA678F"/>
    <w:rsid w:val="00EA68DF"/>
    <w:rsid w:val="00EA6960"/>
    <w:rsid w:val="00EA6A01"/>
    <w:rsid w:val="00EA6ACA"/>
    <w:rsid w:val="00EA6B39"/>
    <w:rsid w:val="00EA6B74"/>
    <w:rsid w:val="00EA6C6C"/>
    <w:rsid w:val="00EA6CD9"/>
    <w:rsid w:val="00EA6D39"/>
    <w:rsid w:val="00EA6D92"/>
    <w:rsid w:val="00EA6E05"/>
    <w:rsid w:val="00EA6E33"/>
    <w:rsid w:val="00EA6E75"/>
    <w:rsid w:val="00EA6F32"/>
    <w:rsid w:val="00EA6F90"/>
    <w:rsid w:val="00EA6FE0"/>
    <w:rsid w:val="00EA710B"/>
    <w:rsid w:val="00EA727F"/>
    <w:rsid w:val="00EA7455"/>
    <w:rsid w:val="00EA7505"/>
    <w:rsid w:val="00EA76DC"/>
    <w:rsid w:val="00EA77AB"/>
    <w:rsid w:val="00EA784B"/>
    <w:rsid w:val="00EA7A15"/>
    <w:rsid w:val="00EA7A5C"/>
    <w:rsid w:val="00EA7B0F"/>
    <w:rsid w:val="00EA7C16"/>
    <w:rsid w:val="00EA7D0C"/>
    <w:rsid w:val="00EA7D30"/>
    <w:rsid w:val="00EA7E3E"/>
    <w:rsid w:val="00EA7FA6"/>
    <w:rsid w:val="00EA7FE2"/>
    <w:rsid w:val="00EB003F"/>
    <w:rsid w:val="00EB0211"/>
    <w:rsid w:val="00EB02E7"/>
    <w:rsid w:val="00EB0338"/>
    <w:rsid w:val="00EB0421"/>
    <w:rsid w:val="00EB04C2"/>
    <w:rsid w:val="00EB051E"/>
    <w:rsid w:val="00EB06D3"/>
    <w:rsid w:val="00EB0749"/>
    <w:rsid w:val="00EB08C4"/>
    <w:rsid w:val="00EB0975"/>
    <w:rsid w:val="00EB0A4D"/>
    <w:rsid w:val="00EB0BB9"/>
    <w:rsid w:val="00EB0CE2"/>
    <w:rsid w:val="00EB0ED3"/>
    <w:rsid w:val="00EB0F6C"/>
    <w:rsid w:val="00EB1023"/>
    <w:rsid w:val="00EB1109"/>
    <w:rsid w:val="00EB12CD"/>
    <w:rsid w:val="00EB1456"/>
    <w:rsid w:val="00EB1465"/>
    <w:rsid w:val="00EB168E"/>
    <w:rsid w:val="00EB18B4"/>
    <w:rsid w:val="00EB1CEC"/>
    <w:rsid w:val="00EB1DD8"/>
    <w:rsid w:val="00EB1E07"/>
    <w:rsid w:val="00EB1F16"/>
    <w:rsid w:val="00EB2175"/>
    <w:rsid w:val="00EB2317"/>
    <w:rsid w:val="00EB232D"/>
    <w:rsid w:val="00EB2773"/>
    <w:rsid w:val="00EB2813"/>
    <w:rsid w:val="00EB2851"/>
    <w:rsid w:val="00EB2854"/>
    <w:rsid w:val="00EB2A08"/>
    <w:rsid w:val="00EB2AFE"/>
    <w:rsid w:val="00EB2C14"/>
    <w:rsid w:val="00EB2C6C"/>
    <w:rsid w:val="00EB2D04"/>
    <w:rsid w:val="00EB2D0D"/>
    <w:rsid w:val="00EB2DA7"/>
    <w:rsid w:val="00EB2DCD"/>
    <w:rsid w:val="00EB2DD7"/>
    <w:rsid w:val="00EB3060"/>
    <w:rsid w:val="00EB30CF"/>
    <w:rsid w:val="00EB3256"/>
    <w:rsid w:val="00EB32E4"/>
    <w:rsid w:val="00EB337E"/>
    <w:rsid w:val="00EB3686"/>
    <w:rsid w:val="00EB3840"/>
    <w:rsid w:val="00EB3923"/>
    <w:rsid w:val="00EB3A16"/>
    <w:rsid w:val="00EB3C2E"/>
    <w:rsid w:val="00EB3D5B"/>
    <w:rsid w:val="00EB3E28"/>
    <w:rsid w:val="00EB3EA0"/>
    <w:rsid w:val="00EB4403"/>
    <w:rsid w:val="00EB4456"/>
    <w:rsid w:val="00EB44E9"/>
    <w:rsid w:val="00EB4600"/>
    <w:rsid w:val="00EB49CA"/>
    <w:rsid w:val="00EB4A65"/>
    <w:rsid w:val="00EB4F8C"/>
    <w:rsid w:val="00EB4FDD"/>
    <w:rsid w:val="00EB4FFF"/>
    <w:rsid w:val="00EB5015"/>
    <w:rsid w:val="00EB5108"/>
    <w:rsid w:val="00EB51C1"/>
    <w:rsid w:val="00EB532F"/>
    <w:rsid w:val="00EB54E0"/>
    <w:rsid w:val="00EB552E"/>
    <w:rsid w:val="00EB56E9"/>
    <w:rsid w:val="00EB592F"/>
    <w:rsid w:val="00EB594E"/>
    <w:rsid w:val="00EB5AD0"/>
    <w:rsid w:val="00EB5B8B"/>
    <w:rsid w:val="00EB5BBF"/>
    <w:rsid w:val="00EB5BD5"/>
    <w:rsid w:val="00EB5E05"/>
    <w:rsid w:val="00EB5EBE"/>
    <w:rsid w:val="00EB620D"/>
    <w:rsid w:val="00EB6461"/>
    <w:rsid w:val="00EB6499"/>
    <w:rsid w:val="00EB6676"/>
    <w:rsid w:val="00EB680E"/>
    <w:rsid w:val="00EB69F0"/>
    <w:rsid w:val="00EB6D0E"/>
    <w:rsid w:val="00EB6EB6"/>
    <w:rsid w:val="00EB6EC0"/>
    <w:rsid w:val="00EB6EC4"/>
    <w:rsid w:val="00EB6F52"/>
    <w:rsid w:val="00EB6FED"/>
    <w:rsid w:val="00EB70FF"/>
    <w:rsid w:val="00EB712D"/>
    <w:rsid w:val="00EB713B"/>
    <w:rsid w:val="00EB71D4"/>
    <w:rsid w:val="00EB7352"/>
    <w:rsid w:val="00EB74E7"/>
    <w:rsid w:val="00EB752A"/>
    <w:rsid w:val="00EB7611"/>
    <w:rsid w:val="00EB7632"/>
    <w:rsid w:val="00EB76CF"/>
    <w:rsid w:val="00EB76FE"/>
    <w:rsid w:val="00EB7777"/>
    <w:rsid w:val="00EB77AD"/>
    <w:rsid w:val="00EB7992"/>
    <w:rsid w:val="00EB7A78"/>
    <w:rsid w:val="00EB7AFF"/>
    <w:rsid w:val="00EB7B71"/>
    <w:rsid w:val="00EB7BC9"/>
    <w:rsid w:val="00EB7D33"/>
    <w:rsid w:val="00EB7DDE"/>
    <w:rsid w:val="00EC017E"/>
    <w:rsid w:val="00EC0449"/>
    <w:rsid w:val="00EC0474"/>
    <w:rsid w:val="00EC0651"/>
    <w:rsid w:val="00EC06BE"/>
    <w:rsid w:val="00EC0737"/>
    <w:rsid w:val="00EC0754"/>
    <w:rsid w:val="00EC0915"/>
    <w:rsid w:val="00EC092B"/>
    <w:rsid w:val="00EC0932"/>
    <w:rsid w:val="00EC09B8"/>
    <w:rsid w:val="00EC0C80"/>
    <w:rsid w:val="00EC0D5D"/>
    <w:rsid w:val="00EC0F44"/>
    <w:rsid w:val="00EC1184"/>
    <w:rsid w:val="00EC11B7"/>
    <w:rsid w:val="00EC12BB"/>
    <w:rsid w:val="00EC13C0"/>
    <w:rsid w:val="00EC1486"/>
    <w:rsid w:val="00EC164B"/>
    <w:rsid w:val="00EC1900"/>
    <w:rsid w:val="00EC1959"/>
    <w:rsid w:val="00EC1A02"/>
    <w:rsid w:val="00EC1A92"/>
    <w:rsid w:val="00EC1CE8"/>
    <w:rsid w:val="00EC1D02"/>
    <w:rsid w:val="00EC1E89"/>
    <w:rsid w:val="00EC1ED0"/>
    <w:rsid w:val="00EC1F17"/>
    <w:rsid w:val="00EC242E"/>
    <w:rsid w:val="00EC25E4"/>
    <w:rsid w:val="00EC27B6"/>
    <w:rsid w:val="00EC2832"/>
    <w:rsid w:val="00EC28B1"/>
    <w:rsid w:val="00EC28E9"/>
    <w:rsid w:val="00EC2906"/>
    <w:rsid w:val="00EC2B88"/>
    <w:rsid w:val="00EC2C28"/>
    <w:rsid w:val="00EC2CB4"/>
    <w:rsid w:val="00EC2D33"/>
    <w:rsid w:val="00EC2DD4"/>
    <w:rsid w:val="00EC2F98"/>
    <w:rsid w:val="00EC2FCB"/>
    <w:rsid w:val="00EC317A"/>
    <w:rsid w:val="00EC3266"/>
    <w:rsid w:val="00EC3473"/>
    <w:rsid w:val="00EC372B"/>
    <w:rsid w:val="00EC38AA"/>
    <w:rsid w:val="00EC38EE"/>
    <w:rsid w:val="00EC3925"/>
    <w:rsid w:val="00EC3983"/>
    <w:rsid w:val="00EC3A80"/>
    <w:rsid w:val="00EC3A91"/>
    <w:rsid w:val="00EC3B07"/>
    <w:rsid w:val="00EC3B41"/>
    <w:rsid w:val="00EC3BB3"/>
    <w:rsid w:val="00EC3CA9"/>
    <w:rsid w:val="00EC3D76"/>
    <w:rsid w:val="00EC3D9F"/>
    <w:rsid w:val="00EC3F3D"/>
    <w:rsid w:val="00EC3F46"/>
    <w:rsid w:val="00EC3F79"/>
    <w:rsid w:val="00EC3FA2"/>
    <w:rsid w:val="00EC4047"/>
    <w:rsid w:val="00EC41BA"/>
    <w:rsid w:val="00EC41EC"/>
    <w:rsid w:val="00EC42D9"/>
    <w:rsid w:val="00EC4362"/>
    <w:rsid w:val="00EC4568"/>
    <w:rsid w:val="00EC45FB"/>
    <w:rsid w:val="00EC4703"/>
    <w:rsid w:val="00EC470C"/>
    <w:rsid w:val="00EC4739"/>
    <w:rsid w:val="00EC478B"/>
    <w:rsid w:val="00EC47A8"/>
    <w:rsid w:val="00EC48AC"/>
    <w:rsid w:val="00EC48C5"/>
    <w:rsid w:val="00EC49E4"/>
    <w:rsid w:val="00EC4A0D"/>
    <w:rsid w:val="00EC4A41"/>
    <w:rsid w:val="00EC4B39"/>
    <w:rsid w:val="00EC4F22"/>
    <w:rsid w:val="00EC4F7F"/>
    <w:rsid w:val="00EC5022"/>
    <w:rsid w:val="00EC504F"/>
    <w:rsid w:val="00EC50C7"/>
    <w:rsid w:val="00EC5221"/>
    <w:rsid w:val="00EC527F"/>
    <w:rsid w:val="00EC53AB"/>
    <w:rsid w:val="00EC5458"/>
    <w:rsid w:val="00EC560D"/>
    <w:rsid w:val="00EC563B"/>
    <w:rsid w:val="00EC56E3"/>
    <w:rsid w:val="00EC57EC"/>
    <w:rsid w:val="00EC5826"/>
    <w:rsid w:val="00EC5A3A"/>
    <w:rsid w:val="00EC5AA9"/>
    <w:rsid w:val="00EC5ABB"/>
    <w:rsid w:val="00EC5AC8"/>
    <w:rsid w:val="00EC5B8C"/>
    <w:rsid w:val="00EC5B9B"/>
    <w:rsid w:val="00EC5DF8"/>
    <w:rsid w:val="00EC5E83"/>
    <w:rsid w:val="00EC5F6B"/>
    <w:rsid w:val="00EC632D"/>
    <w:rsid w:val="00EC6356"/>
    <w:rsid w:val="00EC6388"/>
    <w:rsid w:val="00EC63B4"/>
    <w:rsid w:val="00EC6497"/>
    <w:rsid w:val="00EC653A"/>
    <w:rsid w:val="00EC6562"/>
    <w:rsid w:val="00EC66E1"/>
    <w:rsid w:val="00EC671C"/>
    <w:rsid w:val="00EC686F"/>
    <w:rsid w:val="00EC6B28"/>
    <w:rsid w:val="00EC6B62"/>
    <w:rsid w:val="00EC6C56"/>
    <w:rsid w:val="00EC6CCF"/>
    <w:rsid w:val="00EC6FB8"/>
    <w:rsid w:val="00EC7007"/>
    <w:rsid w:val="00EC70D4"/>
    <w:rsid w:val="00EC70FB"/>
    <w:rsid w:val="00EC7279"/>
    <w:rsid w:val="00EC73BF"/>
    <w:rsid w:val="00EC75D6"/>
    <w:rsid w:val="00EC76C7"/>
    <w:rsid w:val="00EC7916"/>
    <w:rsid w:val="00EC79E0"/>
    <w:rsid w:val="00EC7D59"/>
    <w:rsid w:val="00EC7EB4"/>
    <w:rsid w:val="00EC7F6E"/>
    <w:rsid w:val="00ED017A"/>
    <w:rsid w:val="00ED02F9"/>
    <w:rsid w:val="00ED042B"/>
    <w:rsid w:val="00ED0463"/>
    <w:rsid w:val="00ED04BA"/>
    <w:rsid w:val="00ED05D0"/>
    <w:rsid w:val="00ED07C4"/>
    <w:rsid w:val="00ED07F7"/>
    <w:rsid w:val="00ED0B44"/>
    <w:rsid w:val="00ED0D2C"/>
    <w:rsid w:val="00ED0E2A"/>
    <w:rsid w:val="00ED0EB4"/>
    <w:rsid w:val="00ED0F28"/>
    <w:rsid w:val="00ED1144"/>
    <w:rsid w:val="00ED11F7"/>
    <w:rsid w:val="00ED137B"/>
    <w:rsid w:val="00ED1407"/>
    <w:rsid w:val="00ED1452"/>
    <w:rsid w:val="00ED1558"/>
    <w:rsid w:val="00ED15CB"/>
    <w:rsid w:val="00ED1704"/>
    <w:rsid w:val="00ED1A24"/>
    <w:rsid w:val="00ED205B"/>
    <w:rsid w:val="00ED2131"/>
    <w:rsid w:val="00ED21A3"/>
    <w:rsid w:val="00ED221A"/>
    <w:rsid w:val="00ED2226"/>
    <w:rsid w:val="00ED2246"/>
    <w:rsid w:val="00ED230E"/>
    <w:rsid w:val="00ED2366"/>
    <w:rsid w:val="00ED2401"/>
    <w:rsid w:val="00ED2424"/>
    <w:rsid w:val="00ED2451"/>
    <w:rsid w:val="00ED246A"/>
    <w:rsid w:val="00ED2471"/>
    <w:rsid w:val="00ED2712"/>
    <w:rsid w:val="00ED274F"/>
    <w:rsid w:val="00ED276E"/>
    <w:rsid w:val="00ED2872"/>
    <w:rsid w:val="00ED28EB"/>
    <w:rsid w:val="00ED294C"/>
    <w:rsid w:val="00ED2A5A"/>
    <w:rsid w:val="00ED2CBC"/>
    <w:rsid w:val="00ED2CC8"/>
    <w:rsid w:val="00ED2D57"/>
    <w:rsid w:val="00ED2DCC"/>
    <w:rsid w:val="00ED3006"/>
    <w:rsid w:val="00ED3084"/>
    <w:rsid w:val="00ED311E"/>
    <w:rsid w:val="00ED3187"/>
    <w:rsid w:val="00ED32C8"/>
    <w:rsid w:val="00ED34AB"/>
    <w:rsid w:val="00ED34BF"/>
    <w:rsid w:val="00ED3527"/>
    <w:rsid w:val="00ED357C"/>
    <w:rsid w:val="00ED35F5"/>
    <w:rsid w:val="00ED3609"/>
    <w:rsid w:val="00ED3774"/>
    <w:rsid w:val="00ED3840"/>
    <w:rsid w:val="00ED386E"/>
    <w:rsid w:val="00ED3886"/>
    <w:rsid w:val="00ED3904"/>
    <w:rsid w:val="00ED3B8F"/>
    <w:rsid w:val="00ED3C36"/>
    <w:rsid w:val="00ED3D71"/>
    <w:rsid w:val="00ED3F6B"/>
    <w:rsid w:val="00ED3FAF"/>
    <w:rsid w:val="00ED3FEB"/>
    <w:rsid w:val="00ED4180"/>
    <w:rsid w:val="00ED434B"/>
    <w:rsid w:val="00ED43D3"/>
    <w:rsid w:val="00ED43FB"/>
    <w:rsid w:val="00ED440B"/>
    <w:rsid w:val="00ED4558"/>
    <w:rsid w:val="00ED45C6"/>
    <w:rsid w:val="00ED4A19"/>
    <w:rsid w:val="00ED4B30"/>
    <w:rsid w:val="00ED4D59"/>
    <w:rsid w:val="00ED4D85"/>
    <w:rsid w:val="00ED4E94"/>
    <w:rsid w:val="00ED4ED3"/>
    <w:rsid w:val="00ED4EF8"/>
    <w:rsid w:val="00ED4FDF"/>
    <w:rsid w:val="00ED4FE7"/>
    <w:rsid w:val="00ED5091"/>
    <w:rsid w:val="00ED51BA"/>
    <w:rsid w:val="00ED51D3"/>
    <w:rsid w:val="00ED5272"/>
    <w:rsid w:val="00ED5370"/>
    <w:rsid w:val="00ED53AA"/>
    <w:rsid w:val="00ED5462"/>
    <w:rsid w:val="00ED5487"/>
    <w:rsid w:val="00ED54F7"/>
    <w:rsid w:val="00ED5500"/>
    <w:rsid w:val="00ED55E6"/>
    <w:rsid w:val="00ED573A"/>
    <w:rsid w:val="00ED57FB"/>
    <w:rsid w:val="00ED582E"/>
    <w:rsid w:val="00ED5A34"/>
    <w:rsid w:val="00ED5A3D"/>
    <w:rsid w:val="00ED5C2C"/>
    <w:rsid w:val="00ED5EAC"/>
    <w:rsid w:val="00ED5F25"/>
    <w:rsid w:val="00ED5FE5"/>
    <w:rsid w:val="00ED5FEE"/>
    <w:rsid w:val="00ED60C0"/>
    <w:rsid w:val="00ED60F8"/>
    <w:rsid w:val="00ED6111"/>
    <w:rsid w:val="00ED6191"/>
    <w:rsid w:val="00ED62C3"/>
    <w:rsid w:val="00ED63D0"/>
    <w:rsid w:val="00ED6478"/>
    <w:rsid w:val="00ED65A9"/>
    <w:rsid w:val="00ED65B9"/>
    <w:rsid w:val="00ED6672"/>
    <w:rsid w:val="00ED67DB"/>
    <w:rsid w:val="00ED684A"/>
    <w:rsid w:val="00ED6A67"/>
    <w:rsid w:val="00ED6A81"/>
    <w:rsid w:val="00ED6CD8"/>
    <w:rsid w:val="00ED6D06"/>
    <w:rsid w:val="00ED6D8D"/>
    <w:rsid w:val="00ED6EC5"/>
    <w:rsid w:val="00ED6F13"/>
    <w:rsid w:val="00ED6F37"/>
    <w:rsid w:val="00ED6F3B"/>
    <w:rsid w:val="00ED7122"/>
    <w:rsid w:val="00ED7310"/>
    <w:rsid w:val="00ED742D"/>
    <w:rsid w:val="00ED7513"/>
    <w:rsid w:val="00ED7695"/>
    <w:rsid w:val="00ED777C"/>
    <w:rsid w:val="00ED7932"/>
    <w:rsid w:val="00ED798D"/>
    <w:rsid w:val="00ED79D0"/>
    <w:rsid w:val="00ED79E3"/>
    <w:rsid w:val="00ED7A79"/>
    <w:rsid w:val="00ED7E43"/>
    <w:rsid w:val="00ED7F38"/>
    <w:rsid w:val="00ED7F40"/>
    <w:rsid w:val="00ED7FAA"/>
    <w:rsid w:val="00EE00E4"/>
    <w:rsid w:val="00EE01F9"/>
    <w:rsid w:val="00EE0279"/>
    <w:rsid w:val="00EE02B3"/>
    <w:rsid w:val="00EE0349"/>
    <w:rsid w:val="00EE0A74"/>
    <w:rsid w:val="00EE0ABF"/>
    <w:rsid w:val="00EE0AEB"/>
    <w:rsid w:val="00EE0B2B"/>
    <w:rsid w:val="00EE0C51"/>
    <w:rsid w:val="00EE0CDB"/>
    <w:rsid w:val="00EE0E06"/>
    <w:rsid w:val="00EE0E17"/>
    <w:rsid w:val="00EE0E85"/>
    <w:rsid w:val="00EE0F0F"/>
    <w:rsid w:val="00EE1128"/>
    <w:rsid w:val="00EE12AE"/>
    <w:rsid w:val="00EE12DF"/>
    <w:rsid w:val="00EE13F3"/>
    <w:rsid w:val="00EE1427"/>
    <w:rsid w:val="00EE1492"/>
    <w:rsid w:val="00EE1571"/>
    <w:rsid w:val="00EE1576"/>
    <w:rsid w:val="00EE1900"/>
    <w:rsid w:val="00EE1BA1"/>
    <w:rsid w:val="00EE203A"/>
    <w:rsid w:val="00EE226B"/>
    <w:rsid w:val="00EE23C8"/>
    <w:rsid w:val="00EE23E4"/>
    <w:rsid w:val="00EE2499"/>
    <w:rsid w:val="00EE252D"/>
    <w:rsid w:val="00EE253D"/>
    <w:rsid w:val="00EE2663"/>
    <w:rsid w:val="00EE2878"/>
    <w:rsid w:val="00EE28C0"/>
    <w:rsid w:val="00EE2BC9"/>
    <w:rsid w:val="00EE2D59"/>
    <w:rsid w:val="00EE2DE4"/>
    <w:rsid w:val="00EE2E04"/>
    <w:rsid w:val="00EE2E13"/>
    <w:rsid w:val="00EE2F73"/>
    <w:rsid w:val="00EE2FEE"/>
    <w:rsid w:val="00EE30BC"/>
    <w:rsid w:val="00EE324F"/>
    <w:rsid w:val="00EE3256"/>
    <w:rsid w:val="00EE333C"/>
    <w:rsid w:val="00EE34DF"/>
    <w:rsid w:val="00EE3553"/>
    <w:rsid w:val="00EE37CE"/>
    <w:rsid w:val="00EE3959"/>
    <w:rsid w:val="00EE3996"/>
    <w:rsid w:val="00EE3AEA"/>
    <w:rsid w:val="00EE3C25"/>
    <w:rsid w:val="00EE3EC2"/>
    <w:rsid w:val="00EE404F"/>
    <w:rsid w:val="00EE41D6"/>
    <w:rsid w:val="00EE424A"/>
    <w:rsid w:val="00EE4277"/>
    <w:rsid w:val="00EE42C1"/>
    <w:rsid w:val="00EE4648"/>
    <w:rsid w:val="00EE47B4"/>
    <w:rsid w:val="00EE47FB"/>
    <w:rsid w:val="00EE4817"/>
    <w:rsid w:val="00EE487A"/>
    <w:rsid w:val="00EE48DC"/>
    <w:rsid w:val="00EE48F6"/>
    <w:rsid w:val="00EE4AC3"/>
    <w:rsid w:val="00EE4C1F"/>
    <w:rsid w:val="00EE4E1C"/>
    <w:rsid w:val="00EE4E57"/>
    <w:rsid w:val="00EE4F61"/>
    <w:rsid w:val="00EE4F9E"/>
    <w:rsid w:val="00EE5020"/>
    <w:rsid w:val="00EE5056"/>
    <w:rsid w:val="00EE50EF"/>
    <w:rsid w:val="00EE5205"/>
    <w:rsid w:val="00EE5359"/>
    <w:rsid w:val="00EE5416"/>
    <w:rsid w:val="00EE549C"/>
    <w:rsid w:val="00EE54EB"/>
    <w:rsid w:val="00EE5596"/>
    <w:rsid w:val="00EE559D"/>
    <w:rsid w:val="00EE5621"/>
    <w:rsid w:val="00EE5655"/>
    <w:rsid w:val="00EE57C4"/>
    <w:rsid w:val="00EE583C"/>
    <w:rsid w:val="00EE593C"/>
    <w:rsid w:val="00EE5A45"/>
    <w:rsid w:val="00EE5B63"/>
    <w:rsid w:val="00EE5BB6"/>
    <w:rsid w:val="00EE5D1D"/>
    <w:rsid w:val="00EE5F35"/>
    <w:rsid w:val="00EE5F36"/>
    <w:rsid w:val="00EE6083"/>
    <w:rsid w:val="00EE6199"/>
    <w:rsid w:val="00EE63B2"/>
    <w:rsid w:val="00EE63E3"/>
    <w:rsid w:val="00EE666F"/>
    <w:rsid w:val="00EE6739"/>
    <w:rsid w:val="00EE691B"/>
    <w:rsid w:val="00EE6A15"/>
    <w:rsid w:val="00EE6B57"/>
    <w:rsid w:val="00EE7003"/>
    <w:rsid w:val="00EE70A7"/>
    <w:rsid w:val="00EE70BC"/>
    <w:rsid w:val="00EE731F"/>
    <w:rsid w:val="00EE736C"/>
    <w:rsid w:val="00EE74B0"/>
    <w:rsid w:val="00EE74D4"/>
    <w:rsid w:val="00EE75DD"/>
    <w:rsid w:val="00EE75F6"/>
    <w:rsid w:val="00EE75F9"/>
    <w:rsid w:val="00EE7797"/>
    <w:rsid w:val="00EE7887"/>
    <w:rsid w:val="00EE792D"/>
    <w:rsid w:val="00EE7AAF"/>
    <w:rsid w:val="00EE7B6B"/>
    <w:rsid w:val="00EE7C14"/>
    <w:rsid w:val="00EE7CB8"/>
    <w:rsid w:val="00EE7FEF"/>
    <w:rsid w:val="00EF0118"/>
    <w:rsid w:val="00EF04BE"/>
    <w:rsid w:val="00EF05C1"/>
    <w:rsid w:val="00EF0703"/>
    <w:rsid w:val="00EF088F"/>
    <w:rsid w:val="00EF0917"/>
    <w:rsid w:val="00EF09E4"/>
    <w:rsid w:val="00EF09F5"/>
    <w:rsid w:val="00EF0A25"/>
    <w:rsid w:val="00EF0A6A"/>
    <w:rsid w:val="00EF0ACE"/>
    <w:rsid w:val="00EF0DA0"/>
    <w:rsid w:val="00EF0DBC"/>
    <w:rsid w:val="00EF0E7C"/>
    <w:rsid w:val="00EF113E"/>
    <w:rsid w:val="00EF128D"/>
    <w:rsid w:val="00EF1343"/>
    <w:rsid w:val="00EF134C"/>
    <w:rsid w:val="00EF1614"/>
    <w:rsid w:val="00EF169F"/>
    <w:rsid w:val="00EF1707"/>
    <w:rsid w:val="00EF1732"/>
    <w:rsid w:val="00EF1775"/>
    <w:rsid w:val="00EF1B98"/>
    <w:rsid w:val="00EF1C50"/>
    <w:rsid w:val="00EF1D71"/>
    <w:rsid w:val="00EF1EB6"/>
    <w:rsid w:val="00EF1FBD"/>
    <w:rsid w:val="00EF20CD"/>
    <w:rsid w:val="00EF22BB"/>
    <w:rsid w:val="00EF22C6"/>
    <w:rsid w:val="00EF238E"/>
    <w:rsid w:val="00EF24A3"/>
    <w:rsid w:val="00EF2526"/>
    <w:rsid w:val="00EF287A"/>
    <w:rsid w:val="00EF296D"/>
    <w:rsid w:val="00EF29B0"/>
    <w:rsid w:val="00EF29F5"/>
    <w:rsid w:val="00EF2C3D"/>
    <w:rsid w:val="00EF2D61"/>
    <w:rsid w:val="00EF2E7C"/>
    <w:rsid w:val="00EF2EED"/>
    <w:rsid w:val="00EF30A1"/>
    <w:rsid w:val="00EF3227"/>
    <w:rsid w:val="00EF370B"/>
    <w:rsid w:val="00EF3952"/>
    <w:rsid w:val="00EF3B3C"/>
    <w:rsid w:val="00EF3BCD"/>
    <w:rsid w:val="00EF3D78"/>
    <w:rsid w:val="00EF3E20"/>
    <w:rsid w:val="00EF3E42"/>
    <w:rsid w:val="00EF3F61"/>
    <w:rsid w:val="00EF3F89"/>
    <w:rsid w:val="00EF3FB3"/>
    <w:rsid w:val="00EF40ED"/>
    <w:rsid w:val="00EF4123"/>
    <w:rsid w:val="00EF416E"/>
    <w:rsid w:val="00EF4241"/>
    <w:rsid w:val="00EF42FB"/>
    <w:rsid w:val="00EF4562"/>
    <w:rsid w:val="00EF47CA"/>
    <w:rsid w:val="00EF4824"/>
    <w:rsid w:val="00EF4898"/>
    <w:rsid w:val="00EF4997"/>
    <w:rsid w:val="00EF4A74"/>
    <w:rsid w:val="00EF4C13"/>
    <w:rsid w:val="00EF4C20"/>
    <w:rsid w:val="00EF4F6A"/>
    <w:rsid w:val="00EF50EA"/>
    <w:rsid w:val="00EF511B"/>
    <w:rsid w:val="00EF51AC"/>
    <w:rsid w:val="00EF54AD"/>
    <w:rsid w:val="00EF5586"/>
    <w:rsid w:val="00EF55E8"/>
    <w:rsid w:val="00EF565E"/>
    <w:rsid w:val="00EF5699"/>
    <w:rsid w:val="00EF57BF"/>
    <w:rsid w:val="00EF5D3A"/>
    <w:rsid w:val="00EF5E32"/>
    <w:rsid w:val="00EF5E9E"/>
    <w:rsid w:val="00EF5ECC"/>
    <w:rsid w:val="00EF61B9"/>
    <w:rsid w:val="00EF628D"/>
    <w:rsid w:val="00EF644D"/>
    <w:rsid w:val="00EF64D6"/>
    <w:rsid w:val="00EF6648"/>
    <w:rsid w:val="00EF6752"/>
    <w:rsid w:val="00EF699A"/>
    <w:rsid w:val="00EF6A0B"/>
    <w:rsid w:val="00EF6B70"/>
    <w:rsid w:val="00EF6CB0"/>
    <w:rsid w:val="00EF6DB6"/>
    <w:rsid w:val="00EF704F"/>
    <w:rsid w:val="00EF71CC"/>
    <w:rsid w:val="00EF71F8"/>
    <w:rsid w:val="00EF7203"/>
    <w:rsid w:val="00EF7375"/>
    <w:rsid w:val="00EF7397"/>
    <w:rsid w:val="00EF74F0"/>
    <w:rsid w:val="00EF7557"/>
    <w:rsid w:val="00EF76F7"/>
    <w:rsid w:val="00EF786F"/>
    <w:rsid w:val="00EF793E"/>
    <w:rsid w:val="00EF7B3B"/>
    <w:rsid w:val="00EF7B42"/>
    <w:rsid w:val="00EF7B93"/>
    <w:rsid w:val="00EF7BA5"/>
    <w:rsid w:val="00EF7D24"/>
    <w:rsid w:val="00EF7FBD"/>
    <w:rsid w:val="00EF7FEB"/>
    <w:rsid w:val="00F00405"/>
    <w:rsid w:val="00F00447"/>
    <w:rsid w:val="00F0056D"/>
    <w:rsid w:val="00F005BC"/>
    <w:rsid w:val="00F005F5"/>
    <w:rsid w:val="00F00643"/>
    <w:rsid w:val="00F009BE"/>
    <w:rsid w:val="00F00ACD"/>
    <w:rsid w:val="00F00AF0"/>
    <w:rsid w:val="00F00C5C"/>
    <w:rsid w:val="00F00F02"/>
    <w:rsid w:val="00F00F17"/>
    <w:rsid w:val="00F00F35"/>
    <w:rsid w:val="00F00FB2"/>
    <w:rsid w:val="00F010FF"/>
    <w:rsid w:val="00F011D6"/>
    <w:rsid w:val="00F01340"/>
    <w:rsid w:val="00F0134F"/>
    <w:rsid w:val="00F01383"/>
    <w:rsid w:val="00F01691"/>
    <w:rsid w:val="00F01787"/>
    <w:rsid w:val="00F0183A"/>
    <w:rsid w:val="00F0189D"/>
    <w:rsid w:val="00F01982"/>
    <w:rsid w:val="00F01B59"/>
    <w:rsid w:val="00F01E03"/>
    <w:rsid w:val="00F01E29"/>
    <w:rsid w:val="00F01E64"/>
    <w:rsid w:val="00F01FDF"/>
    <w:rsid w:val="00F02047"/>
    <w:rsid w:val="00F020EC"/>
    <w:rsid w:val="00F0218E"/>
    <w:rsid w:val="00F0228B"/>
    <w:rsid w:val="00F024B7"/>
    <w:rsid w:val="00F024EA"/>
    <w:rsid w:val="00F0251D"/>
    <w:rsid w:val="00F02548"/>
    <w:rsid w:val="00F026F9"/>
    <w:rsid w:val="00F0280A"/>
    <w:rsid w:val="00F028B8"/>
    <w:rsid w:val="00F0290F"/>
    <w:rsid w:val="00F02ABC"/>
    <w:rsid w:val="00F02AF6"/>
    <w:rsid w:val="00F02B89"/>
    <w:rsid w:val="00F02BD9"/>
    <w:rsid w:val="00F02C49"/>
    <w:rsid w:val="00F02D61"/>
    <w:rsid w:val="00F02FFE"/>
    <w:rsid w:val="00F0302D"/>
    <w:rsid w:val="00F03088"/>
    <w:rsid w:val="00F03246"/>
    <w:rsid w:val="00F0326E"/>
    <w:rsid w:val="00F03376"/>
    <w:rsid w:val="00F034B7"/>
    <w:rsid w:val="00F035F4"/>
    <w:rsid w:val="00F03725"/>
    <w:rsid w:val="00F037D1"/>
    <w:rsid w:val="00F038FA"/>
    <w:rsid w:val="00F0390A"/>
    <w:rsid w:val="00F03941"/>
    <w:rsid w:val="00F03A45"/>
    <w:rsid w:val="00F03BB6"/>
    <w:rsid w:val="00F03BE0"/>
    <w:rsid w:val="00F03CBB"/>
    <w:rsid w:val="00F03DF3"/>
    <w:rsid w:val="00F03F9B"/>
    <w:rsid w:val="00F0403C"/>
    <w:rsid w:val="00F041F6"/>
    <w:rsid w:val="00F04443"/>
    <w:rsid w:val="00F0460B"/>
    <w:rsid w:val="00F0473F"/>
    <w:rsid w:val="00F04802"/>
    <w:rsid w:val="00F04882"/>
    <w:rsid w:val="00F04BC3"/>
    <w:rsid w:val="00F04CED"/>
    <w:rsid w:val="00F04D23"/>
    <w:rsid w:val="00F050BC"/>
    <w:rsid w:val="00F05139"/>
    <w:rsid w:val="00F05164"/>
    <w:rsid w:val="00F051FD"/>
    <w:rsid w:val="00F0527C"/>
    <w:rsid w:val="00F0533B"/>
    <w:rsid w:val="00F056E9"/>
    <w:rsid w:val="00F057A9"/>
    <w:rsid w:val="00F05A60"/>
    <w:rsid w:val="00F05AF3"/>
    <w:rsid w:val="00F05C00"/>
    <w:rsid w:val="00F05CF1"/>
    <w:rsid w:val="00F05D16"/>
    <w:rsid w:val="00F05D49"/>
    <w:rsid w:val="00F05DAB"/>
    <w:rsid w:val="00F05E5A"/>
    <w:rsid w:val="00F05E6B"/>
    <w:rsid w:val="00F05EE6"/>
    <w:rsid w:val="00F05F62"/>
    <w:rsid w:val="00F06059"/>
    <w:rsid w:val="00F060C0"/>
    <w:rsid w:val="00F06201"/>
    <w:rsid w:val="00F06222"/>
    <w:rsid w:val="00F06470"/>
    <w:rsid w:val="00F064B4"/>
    <w:rsid w:val="00F0659D"/>
    <w:rsid w:val="00F06673"/>
    <w:rsid w:val="00F0679B"/>
    <w:rsid w:val="00F0698A"/>
    <w:rsid w:val="00F0698F"/>
    <w:rsid w:val="00F06D0E"/>
    <w:rsid w:val="00F06D0F"/>
    <w:rsid w:val="00F06D2A"/>
    <w:rsid w:val="00F06D74"/>
    <w:rsid w:val="00F06F20"/>
    <w:rsid w:val="00F0722D"/>
    <w:rsid w:val="00F0745E"/>
    <w:rsid w:val="00F074F2"/>
    <w:rsid w:val="00F0772D"/>
    <w:rsid w:val="00F0775A"/>
    <w:rsid w:val="00F077F1"/>
    <w:rsid w:val="00F07AA0"/>
    <w:rsid w:val="00F07AA4"/>
    <w:rsid w:val="00F07ACD"/>
    <w:rsid w:val="00F07C8B"/>
    <w:rsid w:val="00F07C93"/>
    <w:rsid w:val="00F07EB7"/>
    <w:rsid w:val="00F07FED"/>
    <w:rsid w:val="00F10141"/>
    <w:rsid w:val="00F1047A"/>
    <w:rsid w:val="00F1052A"/>
    <w:rsid w:val="00F10687"/>
    <w:rsid w:val="00F106FF"/>
    <w:rsid w:val="00F1081E"/>
    <w:rsid w:val="00F10D16"/>
    <w:rsid w:val="00F10D3A"/>
    <w:rsid w:val="00F10D6C"/>
    <w:rsid w:val="00F10F7D"/>
    <w:rsid w:val="00F11057"/>
    <w:rsid w:val="00F11279"/>
    <w:rsid w:val="00F112BA"/>
    <w:rsid w:val="00F1135A"/>
    <w:rsid w:val="00F11407"/>
    <w:rsid w:val="00F114B6"/>
    <w:rsid w:val="00F11566"/>
    <w:rsid w:val="00F1158F"/>
    <w:rsid w:val="00F115CA"/>
    <w:rsid w:val="00F11817"/>
    <w:rsid w:val="00F11907"/>
    <w:rsid w:val="00F11B9A"/>
    <w:rsid w:val="00F11D73"/>
    <w:rsid w:val="00F11EB8"/>
    <w:rsid w:val="00F11F4E"/>
    <w:rsid w:val="00F1216F"/>
    <w:rsid w:val="00F124F8"/>
    <w:rsid w:val="00F126DD"/>
    <w:rsid w:val="00F127EF"/>
    <w:rsid w:val="00F128EE"/>
    <w:rsid w:val="00F1298E"/>
    <w:rsid w:val="00F12BAC"/>
    <w:rsid w:val="00F12DFA"/>
    <w:rsid w:val="00F13071"/>
    <w:rsid w:val="00F13299"/>
    <w:rsid w:val="00F132CC"/>
    <w:rsid w:val="00F133E6"/>
    <w:rsid w:val="00F13539"/>
    <w:rsid w:val="00F13614"/>
    <w:rsid w:val="00F137C8"/>
    <w:rsid w:val="00F13810"/>
    <w:rsid w:val="00F13B46"/>
    <w:rsid w:val="00F13BA2"/>
    <w:rsid w:val="00F13C79"/>
    <w:rsid w:val="00F13C9D"/>
    <w:rsid w:val="00F13EB4"/>
    <w:rsid w:val="00F13F5B"/>
    <w:rsid w:val="00F141AB"/>
    <w:rsid w:val="00F141DA"/>
    <w:rsid w:val="00F141DC"/>
    <w:rsid w:val="00F143E0"/>
    <w:rsid w:val="00F1450D"/>
    <w:rsid w:val="00F14541"/>
    <w:rsid w:val="00F1461B"/>
    <w:rsid w:val="00F14623"/>
    <w:rsid w:val="00F14737"/>
    <w:rsid w:val="00F1481B"/>
    <w:rsid w:val="00F14949"/>
    <w:rsid w:val="00F14A03"/>
    <w:rsid w:val="00F14B4F"/>
    <w:rsid w:val="00F14B83"/>
    <w:rsid w:val="00F14D27"/>
    <w:rsid w:val="00F14E0C"/>
    <w:rsid w:val="00F14F60"/>
    <w:rsid w:val="00F14F83"/>
    <w:rsid w:val="00F15402"/>
    <w:rsid w:val="00F15422"/>
    <w:rsid w:val="00F157AB"/>
    <w:rsid w:val="00F15800"/>
    <w:rsid w:val="00F15802"/>
    <w:rsid w:val="00F159B1"/>
    <w:rsid w:val="00F15BF4"/>
    <w:rsid w:val="00F15C7A"/>
    <w:rsid w:val="00F15CDA"/>
    <w:rsid w:val="00F15DC3"/>
    <w:rsid w:val="00F15ED9"/>
    <w:rsid w:val="00F15EEB"/>
    <w:rsid w:val="00F15F4D"/>
    <w:rsid w:val="00F160A7"/>
    <w:rsid w:val="00F16199"/>
    <w:rsid w:val="00F1650B"/>
    <w:rsid w:val="00F1652C"/>
    <w:rsid w:val="00F16542"/>
    <w:rsid w:val="00F166F9"/>
    <w:rsid w:val="00F16732"/>
    <w:rsid w:val="00F1683F"/>
    <w:rsid w:val="00F16996"/>
    <w:rsid w:val="00F169BC"/>
    <w:rsid w:val="00F169E0"/>
    <w:rsid w:val="00F16A44"/>
    <w:rsid w:val="00F16B50"/>
    <w:rsid w:val="00F16B70"/>
    <w:rsid w:val="00F16C20"/>
    <w:rsid w:val="00F16ED8"/>
    <w:rsid w:val="00F16F34"/>
    <w:rsid w:val="00F170ED"/>
    <w:rsid w:val="00F1712B"/>
    <w:rsid w:val="00F1712E"/>
    <w:rsid w:val="00F171C3"/>
    <w:rsid w:val="00F17221"/>
    <w:rsid w:val="00F172A5"/>
    <w:rsid w:val="00F172CB"/>
    <w:rsid w:val="00F1732B"/>
    <w:rsid w:val="00F1747D"/>
    <w:rsid w:val="00F17516"/>
    <w:rsid w:val="00F17599"/>
    <w:rsid w:val="00F17697"/>
    <w:rsid w:val="00F1769E"/>
    <w:rsid w:val="00F177B5"/>
    <w:rsid w:val="00F1794C"/>
    <w:rsid w:val="00F17B62"/>
    <w:rsid w:val="00F17BA9"/>
    <w:rsid w:val="00F17C6A"/>
    <w:rsid w:val="00F17D2A"/>
    <w:rsid w:val="00F2012E"/>
    <w:rsid w:val="00F203C5"/>
    <w:rsid w:val="00F204D8"/>
    <w:rsid w:val="00F20664"/>
    <w:rsid w:val="00F20682"/>
    <w:rsid w:val="00F207F1"/>
    <w:rsid w:val="00F208A0"/>
    <w:rsid w:val="00F208C0"/>
    <w:rsid w:val="00F20A92"/>
    <w:rsid w:val="00F20DDD"/>
    <w:rsid w:val="00F20E16"/>
    <w:rsid w:val="00F20E9C"/>
    <w:rsid w:val="00F21099"/>
    <w:rsid w:val="00F211E8"/>
    <w:rsid w:val="00F214A1"/>
    <w:rsid w:val="00F2163D"/>
    <w:rsid w:val="00F21758"/>
    <w:rsid w:val="00F217E1"/>
    <w:rsid w:val="00F2181C"/>
    <w:rsid w:val="00F218E4"/>
    <w:rsid w:val="00F219C3"/>
    <w:rsid w:val="00F21C23"/>
    <w:rsid w:val="00F21C41"/>
    <w:rsid w:val="00F21E6D"/>
    <w:rsid w:val="00F21EBA"/>
    <w:rsid w:val="00F21EC2"/>
    <w:rsid w:val="00F220A6"/>
    <w:rsid w:val="00F2211A"/>
    <w:rsid w:val="00F2211C"/>
    <w:rsid w:val="00F22138"/>
    <w:rsid w:val="00F22191"/>
    <w:rsid w:val="00F22217"/>
    <w:rsid w:val="00F224FA"/>
    <w:rsid w:val="00F22566"/>
    <w:rsid w:val="00F22724"/>
    <w:rsid w:val="00F22907"/>
    <w:rsid w:val="00F229D9"/>
    <w:rsid w:val="00F22A43"/>
    <w:rsid w:val="00F22AA9"/>
    <w:rsid w:val="00F22B92"/>
    <w:rsid w:val="00F22DC8"/>
    <w:rsid w:val="00F22ED7"/>
    <w:rsid w:val="00F22FFE"/>
    <w:rsid w:val="00F230EE"/>
    <w:rsid w:val="00F231AA"/>
    <w:rsid w:val="00F231AE"/>
    <w:rsid w:val="00F231C8"/>
    <w:rsid w:val="00F2320B"/>
    <w:rsid w:val="00F232A9"/>
    <w:rsid w:val="00F2340C"/>
    <w:rsid w:val="00F23476"/>
    <w:rsid w:val="00F238B7"/>
    <w:rsid w:val="00F23977"/>
    <w:rsid w:val="00F23A85"/>
    <w:rsid w:val="00F23C19"/>
    <w:rsid w:val="00F23DCF"/>
    <w:rsid w:val="00F23E11"/>
    <w:rsid w:val="00F23EE8"/>
    <w:rsid w:val="00F23F90"/>
    <w:rsid w:val="00F240FA"/>
    <w:rsid w:val="00F242C1"/>
    <w:rsid w:val="00F245BE"/>
    <w:rsid w:val="00F24611"/>
    <w:rsid w:val="00F24644"/>
    <w:rsid w:val="00F24764"/>
    <w:rsid w:val="00F247DB"/>
    <w:rsid w:val="00F2487E"/>
    <w:rsid w:val="00F248E5"/>
    <w:rsid w:val="00F24B3C"/>
    <w:rsid w:val="00F24B55"/>
    <w:rsid w:val="00F24B90"/>
    <w:rsid w:val="00F24CEC"/>
    <w:rsid w:val="00F24E2E"/>
    <w:rsid w:val="00F254DF"/>
    <w:rsid w:val="00F25684"/>
    <w:rsid w:val="00F2574E"/>
    <w:rsid w:val="00F257FE"/>
    <w:rsid w:val="00F25AF3"/>
    <w:rsid w:val="00F25B6C"/>
    <w:rsid w:val="00F25BEF"/>
    <w:rsid w:val="00F25C4D"/>
    <w:rsid w:val="00F25DC9"/>
    <w:rsid w:val="00F25E12"/>
    <w:rsid w:val="00F260DB"/>
    <w:rsid w:val="00F26174"/>
    <w:rsid w:val="00F26365"/>
    <w:rsid w:val="00F263E2"/>
    <w:rsid w:val="00F26424"/>
    <w:rsid w:val="00F2645A"/>
    <w:rsid w:val="00F2662D"/>
    <w:rsid w:val="00F2666E"/>
    <w:rsid w:val="00F26768"/>
    <w:rsid w:val="00F2687D"/>
    <w:rsid w:val="00F26892"/>
    <w:rsid w:val="00F268BB"/>
    <w:rsid w:val="00F26909"/>
    <w:rsid w:val="00F26BBC"/>
    <w:rsid w:val="00F26C2E"/>
    <w:rsid w:val="00F26C9F"/>
    <w:rsid w:val="00F26D35"/>
    <w:rsid w:val="00F26D3F"/>
    <w:rsid w:val="00F26F0A"/>
    <w:rsid w:val="00F27086"/>
    <w:rsid w:val="00F270E7"/>
    <w:rsid w:val="00F27191"/>
    <w:rsid w:val="00F271A0"/>
    <w:rsid w:val="00F272B2"/>
    <w:rsid w:val="00F273D4"/>
    <w:rsid w:val="00F2748B"/>
    <w:rsid w:val="00F274E1"/>
    <w:rsid w:val="00F275A2"/>
    <w:rsid w:val="00F27659"/>
    <w:rsid w:val="00F27772"/>
    <w:rsid w:val="00F278F9"/>
    <w:rsid w:val="00F27A19"/>
    <w:rsid w:val="00F27A62"/>
    <w:rsid w:val="00F27B6E"/>
    <w:rsid w:val="00F27BB7"/>
    <w:rsid w:val="00F27C70"/>
    <w:rsid w:val="00F27E21"/>
    <w:rsid w:val="00F27E5F"/>
    <w:rsid w:val="00F27F55"/>
    <w:rsid w:val="00F27FF0"/>
    <w:rsid w:val="00F27FF5"/>
    <w:rsid w:val="00F27FFE"/>
    <w:rsid w:val="00F30227"/>
    <w:rsid w:val="00F30275"/>
    <w:rsid w:val="00F3039D"/>
    <w:rsid w:val="00F306D0"/>
    <w:rsid w:val="00F30722"/>
    <w:rsid w:val="00F307DE"/>
    <w:rsid w:val="00F30A9C"/>
    <w:rsid w:val="00F30B3A"/>
    <w:rsid w:val="00F30CAD"/>
    <w:rsid w:val="00F30D1C"/>
    <w:rsid w:val="00F30D40"/>
    <w:rsid w:val="00F30FA3"/>
    <w:rsid w:val="00F31028"/>
    <w:rsid w:val="00F31196"/>
    <w:rsid w:val="00F312C7"/>
    <w:rsid w:val="00F31316"/>
    <w:rsid w:val="00F316E8"/>
    <w:rsid w:val="00F31705"/>
    <w:rsid w:val="00F31770"/>
    <w:rsid w:val="00F31821"/>
    <w:rsid w:val="00F31A08"/>
    <w:rsid w:val="00F31B50"/>
    <w:rsid w:val="00F31B65"/>
    <w:rsid w:val="00F31BA4"/>
    <w:rsid w:val="00F31CE6"/>
    <w:rsid w:val="00F31DD5"/>
    <w:rsid w:val="00F31DF3"/>
    <w:rsid w:val="00F320BE"/>
    <w:rsid w:val="00F32289"/>
    <w:rsid w:val="00F32320"/>
    <w:rsid w:val="00F32548"/>
    <w:rsid w:val="00F325B7"/>
    <w:rsid w:val="00F3268F"/>
    <w:rsid w:val="00F326C6"/>
    <w:rsid w:val="00F327CD"/>
    <w:rsid w:val="00F3288A"/>
    <w:rsid w:val="00F32937"/>
    <w:rsid w:val="00F32959"/>
    <w:rsid w:val="00F32963"/>
    <w:rsid w:val="00F329AC"/>
    <w:rsid w:val="00F32A3D"/>
    <w:rsid w:val="00F32C2F"/>
    <w:rsid w:val="00F32CAA"/>
    <w:rsid w:val="00F32D1F"/>
    <w:rsid w:val="00F32F5B"/>
    <w:rsid w:val="00F32FA6"/>
    <w:rsid w:val="00F32FF2"/>
    <w:rsid w:val="00F33007"/>
    <w:rsid w:val="00F33362"/>
    <w:rsid w:val="00F334C1"/>
    <w:rsid w:val="00F33511"/>
    <w:rsid w:val="00F33805"/>
    <w:rsid w:val="00F33A92"/>
    <w:rsid w:val="00F33AC0"/>
    <w:rsid w:val="00F33CD9"/>
    <w:rsid w:val="00F33D36"/>
    <w:rsid w:val="00F33D89"/>
    <w:rsid w:val="00F33E29"/>
    <w:rsid w:val="00F33FC5"/>
    <w:rsid w:val="00F34045"/>
    <w:rsid w:val="00F342F0"/>
    <w:rsid w:val="00F343CA"/>
    <w:rsid w:val="00F3458D"/>
    <w:rsid w:val="00F3487B"/>
    <w:rsid w:val="00F34928"/>
    <w:rsid w:val="00F349CC"/>
    <w:rsid w:val="00F34ACF"/>
    <w:rsid w:val="00F34B86"/>
    <w:rsid w:val="00F34C36"/>
    <w:rsid w:val="00F34C56"/>
    <w:rsid w:val="00F34F4D"/>
    <w:rsid w:val="00F351BC"/>
    <w:rsid w:val="00F35590"/>
    <w:rsid w:val="00F3573E"/>
    <w:rsid w:val="00F35894"/>
    <w:rsid w:val="00F358A0"/>
    <w:rsid w:val="00F35992"/>
    <w:rsid w:val="00F359A7"/>
    <w:rsid w:val="00F359C6"/>
    <w:rsid w:val="00F35B44"/>
    <w:rsid w:val="00F35C9D"/>
    <w:rsid w:val="00F35E8A"/>
    <w:rsid w:val="00F35FC4"/>
    <w:rsid w:val="00F36250"/>
    <w:rsid w:val="00F36289"/>
    <w:rsid w:val="00F3630A"/>
    <w:rsid w:val="00F36376"/>
    <w:rsid w:val="00F363B4"/>
    <w:rsid w:val="00F3648F"/>
    <w:rsid w:val="00F36548"/>
    <w:rsid w:val="00F3656B"/>
    <w:rsid w:val="00F365B6"/>
    <w:rsid w:val="00F365EA"/>
    <w:rsid w:val="00F3679A"/>
    <w:rsid w:val="00F36955"/>
    <w:rsid w:val="00F36C18"/>
    <w:rsid w:val="00F36D06"/>
    <w:rsid w:val="00F36D48"/>
    <w:rsid w:val="00F36E1D"/>
    <w:rsid w:val="00F37065"/>
    <w:rsid w:val="00F371FB"/>
    <w:rsid w:val="00F372C8"/>
    <w:rsid w:val="00F372E2"/>
    <w:rsid w:val="00F3731E"/>
    <w:rsid w:val="00F373D8"/>
    <w:rsid w:val="00F3741A"/>
    <w:rsid w:val="00F379BD"/>
    <w:rsid w:val="00F37B74"/>
    <w:rsid w:val="00F37C31"/>
    <w:rsid w:val="00F37C5D"/>
    <w:rsid w:val="00F37C91"/>
    <w:rsid w:val="00F37F51"/>
    <w:rsid w:val="00F37F8B"/>
    <w:rsid w:val="00F4004F"/>
    <w:rsid w:val="00F401A1"/>
    <w:rsid w:val="00F4028E"/>
    <w:rsid w:val="00F40569"/>
    <w:rsid w:val="00F405A0"/>
    <w:rsid w:val="00F405DB"/>
    <w:rsid w:val="00F40672"/>
    <w:rsid w:val="00F406D9"/>
    <w:rsid w:val="00F406FB"/>
    <w:rsid w:val="00F40A83"/>
    <w:rsid w:val="00F40D02"/>
    <w:rsid w:val="00F40E67"/>
    <w:rsid w:val="00F40F0F"/>
    <w:rsid w:val="00F41394"/>
    <w:rsid w:val="00F413CE"/>
    <w:rsid w:val="00F41449"/>
    <w:rsid w:val="00F414F0"/>
    <w:rsid w:val="00F416B5"/>
    <w:rsid w:val="00F416D9"/>
    <w:rsid w:val="00F41B24"/>
    <w:rsid w:val="00F41D66"/>
    <w:rsid w:val="00F41E6F"/>
    <w:rsid w:val="00F41F32"/>
    <w:rsid w:val="00F41FB7"/>
    <w:rsid w:val="00F420BA"/>
    <w:rsid w:val="00F420D5"/>
    <w:rsid w:val="00F421DB"/>
    <w:rsid w:val="00F42297"/>
    <w:rsid w:val="00F4230A"/>
    <w:rsid w:val="00F4237B"/>
    <w:rsid w:val="00F42486"/>
    <w:rsid w:val="00F42584"/>
    <w:rsid w:val="00F4258F"/>
    <w:rsid w:val="00F42590"/>
    <w:rsid w:val="00F42784"/>
    <w:rsid w:val="00F428FA"/>
    <w:rsid w:val="00F42950"/>
    <w:rsid w:val="00F429CA"/>
    <w:rsid w:val="00F42A66"/>
    <w:rsid w:val="00F42AB3"/>
    <w:rsid w:val="00F42B12"/>
    <w:rsid w:val="00F42D67"/>
    <w:rsid w:val="00F42DC7"/>
    <w:rsid w:val="00F42EEC"/>
    <w:rsid w:val="00F42F0E"/>
    <w:rsid w:val="00F42F2B"/>
    <w:rsid w:val="00F42F4E"/>
    <w:rsid w:val="00F42FED"/>
    <w:rsid w:val="00F4306A"/>
    <w:rsid w:val="00F430C4"/>
    <w:rsid w:val="00F4321E"/>
    <w:rsid w:val="00F43286"/>
    <w:rsid w:val="00F43415"/>
    <w:rsid w:val="00F435AD"/>
    <w:rsid w:val="00F435D2"/>
    <w:rsid w:val="00F437C1"/>
    <w:rsid w:val="00F437CF"/>
    <w:rsid w:val="00F43872"/>
    <w:rsid w:val="00F4390A"/>
    <w:rsid w:val="00F43956"/>
    <w:rsid w:val="00F439DB"/>
    <w:rsid w:val="00F43A7D"/>
    <w:rsid w:val="00F43FE1"/>
    <w:rsid w:val="00F43FF2"/>
    <w:rsid w:val="00F44431"/>
    <w:rsid w:val="00F44505"/>
    <w:rsid w:val="00F44515"/>
    <w:rsid w:val="00F44569"/>
    <w:rsid w:val="00F447E4"/>
    <w:rsid w:val="00F448FB"/>
    <w:rsid w:val="00F44B1C"/>
    <w:rsid w:val="00F44BDE"/>
    <w:rsid w:val="00F44C1B"/>
    <w:rsid w:val="00F44D0F"/>
    <w:rsid w:val="00F44D1F"/>
    <w:rsid w:val="00F44D96"/>
    <w:rsid w:val="00F44E96"/>
    <w:rsid w:val="00F44EDA"/>
    <w:rsid w:val="00F451F2"/>
    <w:rsid w:val="00F453FD"/>
    <w:rsid w:val="00F4542C"/>
    <w:rsid w:val="00F454A0"/>
    <w:rsid w:val="00F455B3"/>
    <w:rsid w:val="00F45891"/>
    <w:rsid w:val="00F45951"/>
    <w:rsid w:val="00F45B49"/>
    <w:rsid w:val="00F45F0D"/>
    <w:rsid w:val="00F46066"/>
    <w:rsid w:val="00F46101"/>
    <w:rsid w:val="00F46131"/>
    <w:rsid w:val="00F46166"/>
    <w:rsid w:val="00F46196"/>
    <w:rsid w:val="00F46277"/>
    <w:rsid w:val="00F46835"/>
    <w:rsid w:val="00F46994"/>
    <w:rsid w:val="00F46A0E"/>
    <w:rsid w:val="00F46A4E"/>
    <w:rsid w:val="00F46D20"/>
    <w:rsid w:val="00F46D49"/>
    <w:rsid w:val="00F46F27"/>
    <w:rsid w:val="00F46FD3"/>
    <w:rsid w:val="00F473EE"/>
    <w:rsid w:val="00F47502"/>
    <w:rsid w:val="00F47638"/>
    <w:rsid w:val="00F47752"/>
    <w:rsid w:val="00F47947"/>
    <w:rsid w:val="00F47A36"/>
    <w:rsid w:val="00F47A90"/>
    <w:rsid w:val="00F47D10"/>
    <w:rsid w:val="00F47D94"/>
    <w:rsid w:val="00F47FDD"/>
    <w:rsid w:val="00F5001E"/>
    <w:rsid w:val="00F5011C"/>
    <w:rsid w:val="00F502E9"/>
    <w:rsid w:val="00F50590"/>
    <w:rsid w:val="00F507BF"/>
    <w:rsid w:val="00F509B2"/>
    <w:rsid w:val="00F50B0E"/>
    <w:rsid w:val="00F50BE2"/>
    <w:rsid w:val="00F50DE2"/>
    <w:rsid w:val="00F50DFC"/>
    <w:rsid w:val="00F50E9B"/>
    <w:rsid w:val="00F50F17"/>
    <w:rsid w:val="00F50F61"/>
    <w:rsid w:val="00F510CE"/>
    <w:rsid w:val="00F510D9"/>
    <w:rsid w:val="00F5113B"/>
    <w:rsid w:val="00F51288"/>
    <w:rsid w:val="00F514C9"/>
    <w:rsid w:val="00F514FA"/>
    <w:rsid w:val="00F51565"/>
    <w:rsid w:val="00F51574"/>
    <w:rsid w:val="00F515E8"/>
    <w:rsid w:val="00F51697"/>
    <w:rsid w:val="00F51724"/>
    <w:rsid w:val="00F51A12"/>
    <w:rsid w:val="00F51BD4"/>
    <w:rsid w:val="00F51D6F"/>
    <w:rsid w:val="00F51D7D"/>
    <w:rsid w:val="00F51E7E"/>
    <w:rsid w:val="00F51FE9"/>
    <w:rsid w:val="00F52123"/>
    <w:rsid w:val="00F5226E"/>
    <w:rsid w:val="00F522B1"/>
    <w:rsid w:val="00F52349"/>
    <w:rsid w:val="00F523EB"/>
    <w:rsid w:val="00F525B6"/>
    <w:rsid w:val="00F526CD"/>
    <w:rsid w:val="00F52707"/>
    <w:rsid w:val="00F527BA"/>
    <w:rsid w:val="00F527F9"/>
    <w:rsid w:val="00F52809"/>
    <w:rsid w:val="00F52831"/>
    <w:rsid w:val="00F52996"/>
    <w:rsid w:val="00F53329"/>
    <w:rsid w:val="00F5335D"/>
    <w:rsid w:val="00F53407"/>
    <w:rsid w:val="00F53489"/>
    <w:rsid w:val="00F534F7"/>
    <w:rsid w:val="00F53624"/>
    <w:rsid w:val="00F53660"/>
    <w:rsid w:val="00F53712"/>
    <w:rsid w:val="00F53731"/>
    <w:rsid w:val="00F537C9"/>
    <w:rsid w:val="00F53990"/>
    <w:rsid w:val="00F53D4D"/>
    <w:rsid w:val="00F53F5C"/>
    <w:rsid w:val="00F54131"/>
    <w:rsid w:val="00F5418C"/>
    <w:rsid w:val="00F542DF"/>
    <w:rsid w:val="00F543EA"/>
    <w:rsid w:val="00F543FD"/>
    <w:rsid w:val="00F54497"/>
    <w:rsid w:val="00F54738"/>
    <w:rsid w:val="00F5477B"/>
    <w:rsid w:val="00F548BB"/>
    <w:rsid w:val="00F54A47"/>
    <w:rsid w:val="00F54AD0"/>
    <w:rsid w:val="00F54D16"/>
    <w:rsid w:val="00F54EA8"/>
    <w:rsid w:val="00F54F15"/>
    <w:rsid w:val="00F54F3E"/>
    <w:rsid w:val="00F551B9"/>
    <w:rsid w:val="00F552FC"/>
    <w:rsid w:val="00F5549C"/>
    <w:rsid w:val="00F5567C"/>
    <w:rsid w:val="00F5587A"/>
    <w:rsid w:val="00F559C7"/>
    <w:rsid w:val="00F55AB3"/>
    <w:rsid w:val="00F55B6C"/>
    <w:rsid w:val="00F55C9C"/>
    <w:rsid w:val="00F55FBE"/>
    <w:rsid w:val="00F56312"/>
    <w:rsid w:val="00F5637D"/>
    <w:rsid w:val="00F565E2"/>
    <w:rsid w:val="00F56619"/>
    <w:rsid w:val="00F56733"/>
    <w:rsid w:val="00F56784"/>
    <w:rsid w:val="00F56C3E"/>
    <w:rsid w:val="00F56D0E"/>
    <w:rsid w:val="00F57023"/>
    <w:rsid w:val="00F57237"/>
    <w:rsid w:val="00F572C4"/>
    <w:rsid w:val="00F57334"/>
    <w:rsid w:val="00F573AF"/>
    <w:rsid w:val="00F57411"/>
    <w:rsid w:val="00F5746E"/>
    <w:rsid w:val="00F575D6"/>
    <w:rsid w:val="00F57785"/>
    <w:rsid w:val="00F577EC"/>
    <w:rsid w:val="00F5793C"/>
    <w:rsid w:val="00F5797E"/>
    <w:rsid w:val="00F57B57"/>
    <w:rsid w:val="00F57C60"/>
    <w:rsid w:val="00F57D89"/>
    <w:rsid w:val="00F57DCE"/>
    <w:rsid w:val="00F57DE6"/>
    <w:rsid w:val="00F57EEF"/>
    <w:rsid w:val="00F602A8"/>
    <w:rsid w:val="00F604C7"/>
    <w:rsid w:val="00F60682"/>
    <w:rsid w:val="00F606AF"/>
    <w:rsid w:val="00F6073A"/>
    <w:rsid w:val="00F6097F"/>
    <w:rsid w:val="00F609C2"/>
    <w:rsid w:val="00F60B05"/>
    <w:rsid w:val="00F60B52"/>
    <w:rsid w:val="00F60C5B"/>
    <w:rsid w:val="00F60E44"/>
    <w:rsid w:val="00F60EAE"/>
    <w:rsid w:val="00F60F34"/>
    <w:rsid w:val="00F60FC6"/>
    <w:rsid w:val="00F60FF7"/>
    <w:rsid w:val="00F61026"/>
    <w:rsid w:val="00F610F4"/>
    <w:rsid w:val="00F6118C"/>
    <w:rsid w:val="00F6129E"/>
    <w:rsid w:val="00F61304"/>
    <w:rsid w:val="00F61526"/>
    <w:rsid w:val="00F615D6"/>
    <w:rsid w:val="00F616DF"/>
    <w:rsid w:val="00F61907"/>
    <w:rsid w:val="00F61CEB"/>
    <w:rsid w:val="00F61D7B"/>
    <w:rsid w:val="00F61D8D"/>
    <w:rsid w:val="00F61EB2"/>
    <w:rsid w:val="00F61F04"/>
    <w:rsid w:val="00F61F39"/>
    <w:rsid w:val="00F61F84"/>
    <w:rsid w:val="00F620A6"/>
    <w:rsid w:val="00F620BD"/>
    <w:rsid w:val="00F620E6"/>
    <w:rsid w:val="00F622A8"/>
    <w:rsid w:val="00F6231C"/>
    <w:rsid w:val="00F623AF"/>
    <w:rsid w:val="00F62401"/>
    <w:rsid w:val="00F625DA"/>
    <w:rsid w:val="00F6263C"/>
    <w:rsid w:val="00F62751"/>
    <w:rsid w:val="00F6284D"/>
    <w:rsid w:val="00F628B6"/>
    <w:rsid w:val="00F62A35"/>
    <w:rsid w:val="00F62BE7"/>
    <w:rsid w:val="00F62D6A"/>
    <w:rsid w:val="00F62EA6"/>
    <w:rsid w:val="00F62ECA"/>
    <w:rsid w:val="00F62F44"/>
    <w:rsid w:val="00F62FFA"/>
    <w:rsid w:val="00F63064"/>
    <w:rsid w:val="00F63068"/>
    <w:rsid w:val="00F630BF"/>
    <w:rsid w:val="00F632A6"/>
    <w:rsid w:val="00F63583"/>
    <w:rsid w:val="00F63586"/>
    <w:rsid w:val="00F635DB"/>
    <w:rsid w:val="00F635DD"/>
    <w:rsid w:val="00F635FE"/>
    <w:rsid w:val="00F63663"/>
    <w:rsid w:val="00F63664"/>
    <w:rsid w:val="00F6371E"/>
    <w:rsid w:val="00F63A60"/>
    <w:rsid w:val="00F63ACA"/>
    <w:rsid w:val="00F63D4E"/>
    <w:rsid w:val="00F64139"/>
    <w:rsid w:val="00F64325"/>
    <w:rsid w:val="00F645EB"/>
    <w:rsid w:val="00F6463C"/>
    <w:rsid w:val="00F647CC"/>
    <w:rsid w:val="00F648F5"/>
    <w:rsid w:val="00F649E1"/>
    <w:rsid w:val="00F64ADD"/>
    <w:rsid w:val="00F64C53"/>
    <w:rsid w:val="00F64D88"/>
    <w:rsid w:val="00F64DF1"/>
    <w:rsid w:val="00F64E44"/>
    <w:rsid w:val="00F64EE1"/>
    <w:rsid w:val="00F64F71"/>
    <w:rsid w:val="00F6507D"/>
    <w:rsid w:val="00F650BA"/>
    <w:rsid w:val="00F653DD"/>
    <w:rsid w:val="00F65404"/>
    <w:rsid w:val="00F65412"/>
    <w:rsid w:val="00F65743"/>
    <w:rsid w:val="00F657DB"/>
    <w:rsid w:val="00F657FD"/>
    <w:rsid w:val="00F6587D"/>
    <w:rsid w:val="00F65BB5"/>
    <w:rsid w:val="00F65C07"/>
    <w:rsid w:val="00F65D21"/>
    <w:rsid w:val="00F65FE7"/>
    <w:rsid w:val="00F66037"/>
    <w:rsid w:val="00F66281"/>
    <w:rsid w:val="00F66400"/>
    <w:rsid w:val="00F6644C"/>
    <w:rsid w:val="00F6661D"/>
    <w:rsid w:val="00F666E4"/>
    <w:rsid w:val="00F66880"/>
    <w:rsid w:val="00F6690A"/>
    <w:rsid w:val="00F66A37"/>
    <w:rsid w:val="00F66BD7"/>
    <w:rsid w:val="00F66CAA"/>
    <w:rsid w:val="00F66D2B"/>
    <w:rsid w:val="00F66D4D"/>
    <w:rsid w:val="00F66DFB"/>
    <w:rsid w:val="00F66E82"/>
    <w:rsid w:val="00F66E8D"/>
    <w:rsid w:val="00F66F0E"/>
    <w:rsid w:val="00F66FF1"/>
    <w:rsid w:val="00F671CD"/>
    <w:rsid w:val="00F67220"/>
    <w:rsid w:val="00F673A8"/>
    <w:rsid w:val="00F67429"/>
    <w:rsid w:val="00F6746F"/>
    <w:rsid w:val="00F67498"/>
    <w:rsid w:val="00F67516"/>
    <w:rsid w:val="00F677F3"/>
    <w:rsid w:val="00F678FA"/>
    <w:rsid w:val="00F67924"/>
    <w:rsid w:val="00F6792A"/>
    <w:rsid w:val="00F67ACB"/>
    <w:rsid w:val="00F67C32"/>
    <w:rsid w:val="00F67EA5"/>
    <w:rsid w:val="00F67FA9"/>
    <w:rsid w:val="00F70025"/>
    <w:rsid w:val="00F70170"/>
    <w:rsid w:val="00F7021B"/>
    <w:rsid w:val="00F7072D"/>
    <w:rsid w:val="00F7074A"/>
    <w:rsid w:val="00F707A2"/>
    <w:rsid w:val="00F70848"/>
    <w:rsid w:val="00F70B69"/>
    <w:rsid w:val="00F70C6F"/>
    <w:rsid w:val="00F70CF6"/>
    <w:rsid w:val="00F70D78"/>
    <w:rsid w:val="00F7128F"/>
    <w:rsid w:val="00F71492"/>
    <w:rsid w:val="00F71590"/>
    <w:rsid w:val="00F717E4"/>
    <w:rsid w:val="00F71858"/>
    <w:rsid w:val="00F71A1E"/>
    <w:rsid w:val="00F71AEF"/>
    <w:rsid w:val="00F71E07"/>
    <w:rsid w:val="00F72263"/>
    <w:rsid w:val="00F7226D"/>
    <w:rsid w:val="00F722F9"/>
    <w:rsid w:val="00F72308"/>
    <w:rsid w:val="00F7232C"/>
    <w:rsid w:val="00F72343"/>
    <w:rsid w:val="00F7235D"/>
    <w:rsid w:val="00F724BD"/>
    <w:rsid w:val="00F72593"/>
    <w:rsid w:val="00F7274A"/>
    <w:rsid w:val="00F727F6"/>
    <w:rsid w:val="00F72912"/>
    <w:rsid w:val="00F7292B"/>
    <w:rsid w:val="00F729F2"/>
    <w:rsid w:val="00F72A53"/>
    <w:rsid w:val="00F72B96"/>
    <w:rsid w:val="00F72BA2"/>
    <w:rsid w:val="00F72BAB"/>
    <w:rsid w:val="00F72D6C"/>
    <w:rsid w:val="00F72DAC"/>
    <w:rsid w:val="00F72DC6"/>
    <w:rsid w:val="00F72DEE"/>
    <w:rsid w:val="00F72EE6"/>
    <w:rsid w:val="00F72F04"/>
    <w:rsid w:val="00F72F8E"/>
    <w:rsid w:val="00F73143"/>
    <w:rsid w:val="00F7320E"/>
    <w:rsid w:val="00F733E0"/>
    <w:rsid w:val="00F735FA"/>
    <w:rsid w:val="00F73656"/>
    <w:rsid w:val="00F73774"/>
    <w:rsid w:val="00F7395F"/>
    <w:rsid w:val="00F73BD5"/>
    <w:rsid w:val="00F73D1F"/>
    <w:rsid w:val="00F73FA6"/>
    <w:rsid w:val="00F74067"/>
    <w:rsid w:val="00F741AD"/>
    <w:rsid w:val="00F7443A"/>
    <w:rsid w:val="00F74463"/>
    <w:rsid w:val="00F74581"/>
    <w:rsid w:val="00F74727"/>
    <w:rsid w:val="00F74869"/>
    <w:rsid w:val="00F748BC"/>
    <w:rsid w:val="00F748CF"/>
    <w:rsid w:val="00F74958"/>
    <w:rsid w:val="00F74A40"/>
    <w:rsid w:val="00F74A54"/>
    <w:rsid w:val="00F74A6A"/>
    <w:rsid w:val="00F74B90"/>
    <w:rsid w:val="00F74C2C"/>
    <w:rsid w:val="00F74D10"/>
    <w:rsid w:val="00F74E64"/>
    <w:rsid w:val="00F74E75"/>
    <w:rsid w:val="00F74E87"/>
    <w:rsid w:val="00F74FA7"/>
    <w:rsid w:val="00F74FB8"/>
    <w:rsid w:val="00F74FC2"/>
    <w:rsid w:val="00F7510F"/>
    <w:rsid w:val="00F75457"/>
    <w:rsid w:val="00F75664"/>
    <w:rsid w:val="00F756FA"/>
    <w:rsid w:val="00F75738"/>
    <w:rsid w:val="00F75959"/>
    <w:rsid w:val="00F75B1C"/>
    <w:rsid w:val="00F75B53"/>
    <w:rsid w:val="00F75BD3"/>
    <w:rsid w:val="00F75C82"/>
    <w:rsid w:val="00F76080"/>
    <w:rsid w:val="00F760C5"/>
    <w:rsid w:val="00F76245"/>
    <w:rsid w:val="00F76261"/>
    <w:rsid w:val="00F76460"/>
    <w:rsid w:val="00F76506"/>
    <w:rsid w:val="00F767D1"/>
    <w:rsid w:val="00F76D38"/>
    <w:rsid w:val="00F76F73"/>
    <w:rsid w:val="00F771A9"/>
    <w:rsid w:val="00F771E0"/>
    <w:rsid w:val="00F772AE"/>
    <w:rsid w:val="00F77377"/>
    <w:rsid w:val="00F77855"/>
    <w:rsid w:val="00F778BB"/>
    <w:rsid w:val="00F77A11"/>
    <w:rsid w:val="00F77A2D"/>
    <w:rsid w:val="00F77A8E"/>
    <w:rsid w:val="00F77AEB"/>
    <w:rsid w:val="00F77AFD"/>
    <w:rsid w:val="00F77FB5"/>
    <w:rsid w:val="00F80003"/>
    <w:rsid w:val="00F800B5"/>
    <w:rsid w:val="00F80169"/>
    <w:rsid w:val="00F801BB"/>
    <w:rsid w:val="00F801D7"/>
    <w:rsid w:val="00F8021F"/>
    <w:rsid w:val="00F80417"/>
    <w:rsid w:val="00F80564"/>
    <w:rsid w:val="00F80589"/>
    <w:rsid w:val="00F80681"/>
    <w:rsid w:val="00F808D5"/>
    <w:rsid w:val="00F80A7B"/>
    <w:rsid w:val="00F80C77"/>
    <w:rsid w:val="00F80D8D"/>
    <w:rsid w:val="00F80E03"/>
    <w:rsid w:val="00F80E11"/>
    <w:rsid w:val="00F81028"/>
    <w:rsid w:val="00F811B6"/>
    <w:rsid w:val="00F814F6"/>
    <w:rsid w:val="00F81846"/>
    <w:rsid w:val="00F81B34"/>
    <w:rsid w:val="00F81B90"/>
    <w:rsid w:val="00F81C48"/>
    <w:rsid w:val="00F81CC8"/>
    <w:rsid w:val="00F81DD5"/>
    <w:rsid w:val="00F81EE9"/>
    <w:rsid w:val="00F82082"/>
    <w:rsid w:val="00F821DF"/>
    <w:rsid w:val="00F825F3"/>
    <w:rsid w:val="00F825F5"/>
    <w:rsid w:val="00F8266F"/>
    <w:rsid w:val="00F827E1"/>
    <w:rsid w:val="00F82864"/>
    <w:rsid w:val="00F82BCD"/>
    <w:rsid w:val="00F82C54"/>
    <w:rsid w:val="00F82D5A"/>
    <w:rsid w:val="00F82E24"/>
    <w:rsid w:val="00F82F4C"/>
    <w:rsid w:val="00F82F63"/>
    <w:rsid w:val="00F82FC9"/>
    <w:rsid w:val="00F82FE4"/>
    <w:rsid w:val="00F8300A"/>
    <w:rsid w:val="00F83285"/>
    <w:rsid w:val="00F83467"/>
    <w:rsid w:val="00F834FC"/>
    <w:rsid w:val="00F8350C"/>
    <w:rsid w:val="00F83583"/>
    <w:rsid w:val="00F83739"/>
    <w:rsid w:val="00F83933"/>
    <w:rsid w:val="00F839D8"/>
    <w:rsid w:val="00F83B9D"/>
    <w:rsid w:val="00F84111"/>
    <w:rsid w:val="00F84129"/>
    <w:rsid w:val="00F84179"/>
    <w:rsid w:val="00F8421A"/>
    <w:rsid w:val="00F8423A"/>
    <w:rsid w:val="00F842D7"/>
    <w:rsid w:val="00F84549"/>
    <w:rsid w:val="00F84A5F"/>
    <w:rsid w:val="00F84A75"/>
    <w:rsid w:val="00F84B17"/>
    <w:rsid w:val="00F84B32"/>
    <w:rsid w:val="00F84C5A"/>
    <w:rsid w:val="00F84D10"/>
    <w:rsid w:val="00F84E9D"/>
    <w:rsid w:val="00F84F1E"/>
    <w:rsid w:val="00F85039"/>
    <w:rsid w:val="00F85167"/>
    <w:rsid w:val="00F852C7"/>
    <w:rsid w:val="00F85394"/>
    <w:rsid w:val="00F85567"/>
    <w:rsid w:val="00F855A2"/>
    <w:rsid w:val="00F85750"/>
    <w:rsid w:val="00F85826"/>
    <w:rsid w:val="00F85965"/>
    <w:rsid w:val="00F85973"/>
    <w:rsid w:val="00F85B4F"/>
    <w:rsid w:val="00F85C04"/>
    <w:rsid w:val="00F85C2D"/>
    <w:rsid w:val="00F85D04"/>
    <w:rsid w:val="00F85EC6"/>
    <w:rsid w:val="00F86059"/>
    <w:rsid w:val="00F86178"/>
    <w:rsid w:val="00F86393"/>
    <w:rsid w:val="00F8645A"/>
    <w:rsid w:val="00F86AEE"/>
    <w:rsid w:val="00F86BCD"/>
    <w:rsid w:val="00F86F9E"/>
    <w:rsid w:val="00F8701B"/>
    <w:rsid w:val="00F8722A"/>
    <w:rsid w:val="00F872FF"/>
    <w:rsid w:val="00F875AB"/>
    <w:rsid w:val="00F875C0"/>
    <w:rsid w:val="00F8771D"/>
    <w:rsid w:val="00F8779F"/>
    <w:rsid w:val="00F8791C"/>
    <w:rsid w:val="00F87932"/>
    <w:rsid w:val="00F87986"/>
    <w:rsid w:val="00F87A01"/>
    <w:rsid w:val="00F87B9D"/>
    <w:rsid w:val="00F87BEB"/>
    <w:rsid w:val="00F87BFF"/>
    <w:rsid w:val="00F87D3E"/>
    <w:rsid w:val="00F87D80"/>
    <w:rsid w:val="00F87E6A"/>
    <w:rsid w:val="00F87F90"/>
    <w:rsid w:val="00F87FAC"/>
    <w:rsid w:val="00F9010E"/>
    <w:rsid w:val="00F90359"/>
    <w:rsid w:val="00F90426"/>
    <w:rsid w:val="00F90531"/>
    <w:rsid w:val="00F905C0"/>
    <w:rsid w:val="00F90684"/>
    <w:rsid w:val="00F9071D"/>
    <w:rsid w:val="00F90AD3"/>
    <w:rsid w:val="00F90D98"/>
    <w:rsid w:val="00F90DD1"/>
    <w:rsid w:val="00F90ED0"/>
    <w:rsid w:val="00F90EE9"/>
    <w:rsid w:val="00F91212"/>
    <w:rsid w:val="00F91264"/>
    <w:rsid w:val="00F91470"/>
    <w:rsid w:val="00F914B1"/>
    <w:rsid w:val="00F91517"/>
    <w:rsid w:val="00F9174C"/>
    <w:rsid w:val="00F917A7"/>
    <w:rsid w:val="00F918D7"/>
    <w:rsid w:val="00F91A09"/>
    <w:rsid w:val="00F91AAD"/>
    <w:rsid w:val="00F91BCE"/>
    <w:rsid w:val="00F91C6B"/>
    <w:rsid w:val="00F91CA1"/>
    <w:rsid w:val="00F91CD9"/>
    <w:rsid w:val="00F91CEE"/>
    <w:rsid w:val="00F91D88"/>
    <w:rsid w:val="00F91DBA"/>
    <w:rsid w:val="00F91F4E"/>
    <w:rsid w:val="00F91F9D"/>
    <w:rsid w:val="00F91FD0"/>
    <w:rsid w:val="00F91FED"/>
    <w:rsid w:val="00F921AE"/>
    <w:rsid w:val="00F92277"/>
    <w:rsid w:val="00F9229B"/>
    <w:rsid w:val="00F9230F"/>
    <w:rsid w:val="00F92312"/>
    <w:rsid w:val="00F9239D"/>
    <w:rsid w:val="00F924EA"/>
    <w:rsid w:val="00F92500"/>
    <w:rsid w:val="00F92559"/>
    <w:rsid w:val="00F92565"/>
    <w:rsid w:val="00F925BB"/>
    <w:rsid w:val="00F926E2"/>
    <w:rsid w:val="00F926EC"/>
    <w:rsid w:val="00F92752"/>
    <w:rsid w:val="00F92839"/>
    <w:rsid w:val="00F92850"/>
    <w:rsid w:val="00F928B2"/>
    <w:rsid w:val="00F9290F"/>
    <w:rsid w:val="00F929FF"/>
    <w:rsid w:val="00F92A47"/>
    <w:rsid w:val="00F92C2B"/>
    <w:rsid w:val="00F92D1E"/>
    <w:rsid w:val="00F92DA4"/>
    <w:rsid w:val="00F92E2D"/>
    <w:rsid w:val="00F92E43"/>
    <w:rsid w:val="00F92F2A"/>
    <w:rsid w:val="00F9305B"/>
    <w:rsid w:val="00F931CC"/>
    <w:rsid w:val="00F932CA"/>
    <w:rsid w:val="00F93541"/>
    <w:rsid w:val="00F935DC"/>
    <w:rsid w:val="00F9369D"/>
    <w:rsid w:val="00F93779"/>
    <w:rsid w:val="00F93860"/>
    <w:rsid w:val="00F938CF"/>
    <w:rsid w:val="00F93A76"/>
    <w:rsid w:val="00F93BC8"/>
    <w:rsid w:val="00F93DCF"/>
    <w:rsid w:val="00F93F8C"/>
    <w:rsid w:val="00F94019"/>
    <w:rsid w:val="00F941B5"/>
    <w:rsid w:val="00F94231"/>
    <w:rsid w:val="00F94243"/>
    <w:rsid w:val="00F943B7"/>
    <w:rsid w:val="00F94489"/>
    <w:rsid w:val="00F94572"/>
    <w:rsid w:val="00F945B2"/>
    <w:rsid w:val="00F948B6"/>
    <w:rsid w:val="00F94A11"/>
    <w:rsid w:val="00F94C97"/>
    <w:rsid w:val="00F94D41"/>
    <w:rsid w:val="00F94DD7"/>
    <w:rsid w:val="00F94F08"/>
    <w:rsid w:val="00F94F84"/>
    <w:rsid w:val="00F951A1"/>
    <w:rsid w:val="00F952D1"/>
    <w:rsid w:val="00F953CD"/>
    <w:rsid w:val="00F955EE"/>
    <w:rsid w:val="00F956B6"/>
    <w:rsid w:val="00F956DF"/>
    <w:rsid w:val="00F95772"/>
    <w:rsid w:val="00F95790"/>
    <w:rsid w:val="00F957E9"/>
    <w:rsid w:val="00F959E6"/>
    <w:rsid w:val="00F95A85"/>
    <w:rsid w:val="00F95E1D"/>
    <w:rsid w:val="00F95FFB"/>
    <w:rsid w:val="00F96014"/>
    <w:rsid w:val="00F964E4"/>
    <w:rsid w:val="00F96593"/>
    <w:rsid w:val="00F96745"/>
    <w:rsid w:val="00F968F8"/>
    <w:rsid w:val="00F96A12"/>
    <w:rsid w:val="00F96CCD"/>
    <w:rsid w:val="00F96D05"/>
    <w:rsid w:val="00F96FB6"/>
    <w:rsid w:val="00F971AA"/>
    <w:rsid w:val="00F97250"/>
    <w:rsid w:val="00F97260"/>
    <w:rsid w:val="00F972AD"/>
    <w:rsid w:val="00F972F3"/>
    <w:rsid w:val="00F9732B"/>
    <w:rsid w:val="00F97386"/>
    <w:rsid w:val="00F9749D"/>
    <w:rsid w:val="00F974CD"/>
    <w:rsid w:val="00F97506"/>
    <w:rsid w:val="00F975A5"/>
    <w:rsid w:val="00F976F6"/>
    <w:rsid w:val="00F977FC"/>
    <w:rsid w:val="00F978EF"/>
    <w:rsid w:val="00F97960"/>
    <w:rsid w:val="00F97A7C"/>
    <w:rsid w:val="00F97AB2"/>
    <w:rsid w:val="00F97B1D"/>
    <w:rsid w:val="00F97C08"/>
    <w:rsid w:val="00F97CCF"/>
    <w:rsid w:val="00F97D6B"/>
    <w:rsid w:val="00F97F5F"/>
    <w:rsid w:val="00FA003F"/>
    <w:rsid w:val="00FA0232"/>
    <w:rsid w:val="00FA030A"/>
    <w:rsid w:val="00FA03CC"/>
    <w:rsid w:val="00FA0531"/>
    <w:rsid w:val="00FA0567"/>
    <w:rsid w:val="00FA0588"/>
    <w:rsid w:val="00FA06B0"/>
    <w:rsid w:val="00FA07EC"/>
    <w:rsid w:val="00FA082F"/>
    <w:rsid w:val="00FA08C4"/>
    <w:rsid w:val="00FA0956"/>
    <w:rsid w:val="00FA0A05"/>
    <w:rsid w:val="00FA0B0E"/>
    <w:rsid w:val="00FA0E2C"/>
    <w:rsid w:val="00FA0EE8"/>
    <w:rsid w:val="00FA0FAF"/>
    <w:rsid w:val="00FA108F"/>
    <w:rsid w:val="00FA116E"/>
    <w:rsid w:val="00FA11B4"/>
    <w:rsid w:val="00FA12B7"/>
    <w:rsid w:val="00FA13F1"/>
    <w:rsid w:val="00FA144C"/>
    <w:rsid w:val="00FA169B"/>
    <w:rsid w:val="00FA17E7"/>
    <w:rsid w:val="00FA1834"/>
    <w:rsid w:val="00FA188D"/>
    <w:rsid w:val="00FA194C"/>
    <w:rsid w:val="00FA19FC"/>
    <w:rsid w:val="00FA1B5A"/>
    <w:rsid w:val="00FA1C66"/>
    <w:rsid w:val="00FA1D56"/>
    <w:rsid w:val="00FA1DE6"/>
    <w:rsid w:val="00FA2018"/>
    <w:rsid w:val="00FA201F"/>
    <w:rsid w:val="00FA20AF"/>
    <w:rsid w:val="00FA2145"/>
    <w:rsid w:val="00FA2196"/>
    <w:rsid w:val="00FA21C0"/>
    <w:rsid w:val="00FA22FE"/>
    <w:rsid w:val="00FA2402"/>
    <w:rsid w:val="00FA24CA"/>
    <w:rsid w:val="00FA24EC"/>
    <w:rsid w:val="00FA2547"/>
    <w:rsid w:val="00FA2565"/>
    <w:rsid w:val="00FA2592"/>
    <w:rsid w:val="00FA25D9"/>
    <w:rsid w:val="00FA2606"/>
    <w:rsid w:val="00FA263C"/>
    <w:rsid w:val="00FA26E3"/>
    <w:rsid w:val="00FA2714"/>
    <w:rsid w:val="00FA2744"/>
    <w:rsid w:val="00FA2956"/>
    <w:rsid w:val="00FA298A"/>
    <w:rsid w:val="00FA29FC"/>
    <w:rsid w:val="00FA2A6D"/>
    <w:rsid w:val="00FA2B14"/>
    <w:rsid w:val="00FA2B4C"/>
    <w:rsid w:val="00FA2B8C"/>
    <w:rsid w:val="00FA2D62"/>
    <w:rsid w:val="00FA2DA5"/>
    <w:rsid w:val="00FA2E49"/>
    <w:rsid w:val="00FA2EB7"/>
    <w:rsid w:val="00FA2EF4"/>
    <w:rsid w:val="00FA304A"/>
    <w:rsid w:val="00FA3172"/>
    <w:rsid w:val="00FA3480"/>
    <w:rsid w:val="00FA357A"/>
    <w:rsid w:val="00FA372A"/>
    <w:rsid w:val="00FA37DB"/>
    <w:rsid w:val="00FA3865"/>
    <w:rsid w:val="00FA3CC4"/>
    <w:rsid w:val="00FA3D38"/>
    <w:rsid w:val="00FA3D89"/>
    <w:rsid w:val="00FA3E15"/>
    <w:rsid w:val="00FA3E86"/>
    <w:rsid w:val="00FA3EE1"/>
    <w:rsid w:val="00FA415E"/>
    <w:rsid w:val="00FA436E"/>
    <w:rsid w:val="00FA43B0"/>
    <w:rsid w:val="00FA43E3"/>
    <w:rsid w:val="00FA4441"/>
    <w:rsid w:val="00FA44AC"/>
    <w:rsid w:val="00FA462F"/>
    <w:rsid w:val="00FA4753"/>
    <w:rsid w:val="00FA477C"/>
    <w:rsid w:val="00FA4B00"/>
    <w:rsid w:val="00FA4C3F"/>
    <w:rsid w:val="00FA4CA2"/>
    <w:rsid w:val="00FA4D1D"/>
    <w:rsid w:val="00FA4DCE"/>
    <w:rsid w:val="00FA50AB"/>
    <w:rsid w:val="00FA5299"/>
    <w:rsid w:val="00FA54CC"/>
    <w:rsid w:val="00FA54EE"/>
    <w:rsid w:val="00FA565F"/>
    <w:rsid w:val="00FA56FF"/>
    <w:rsid w:val="00FA59A6"/>
    <w:rsid w:val="00FA59E6"/>
    <w:rsid w:val="00FA59ED"/>
    <w:rsid w:val="00FA5A94"/>
    <w:rsid w:val="00FA5B9D"/>
    <w:rsid w:val="00FA5BF0"/>
    <w:rsid w:val="00FA5C1E"/>
    <w:rsid w:val="00FA5C90"/>
    <w:rsid w:val="00FA5CBC"/>
    <w:rsid w:val="00FA5CDD"/>
    <w:rsid w:val="00FA5F83"/>
    <w:rsid w:val="00FA606B"/>
    <w:rsid w:val="00FA60C5"/>
    <w:rsid w:val="00FA61AF"/>
    <w:rsid w:val="00FA61F2"/>
    <w:rsid w:val="00FA622C"/>
    <w:rsid w:val="00FA6480"/>
    <w:rsid w:val="00FA64F4"/>
    <w:rsid w:val="00FA655F"/>
    <w:rsid w:val="00FA65EE"/>
    <w:rsid w:val="00FA66D3"/>
    <w:rsid w:val="00FA6B39"/>
    <w:rsid w:val="00FA6B4E"/>
    <w:rsid w:val="00FA6BA0"/>
    <w:rsid w:val="00FA6BB5"/>
    <w:rsid w:val="00FA6CAD"/>
    <w:rsid w:val="00FA6D13"/>
    <w:rsid w:val="00FA6F6C"/>
    <w:rsid w:val="00FA7178"/>
    <w:rsid w:val="00FA7326"/>
    <w:rsid w:val="00FA759C"/>
    <w:rsid w:val="00FA759D"/>
    <w:rsid w:val="00FA780E"/>
    <w:rsid w:val="00FA7923"/>
    <w:rsid w:val="00FA79D8"/>
    <w:rsid w:val="00FA7A61"/>
    <w:rsid w:val="00FA7B9C"/>
    <w:rsid w:val="00FA7CC8"/>
    <w:rsid w:val="00FA7E05"/>
    <w:rsid w:val="00FA7E79"/>
    <w:rsid w:val="00FA7FF1"/>
    <w:rsid w:val="00FB0108"/>
    <w:rsid w:val="00FB0156"/>
    <w:rsid w:val="00FB0220"/>
    <w:rsid w:val="00FB045C"/>
    <w:rsid w:val="00FB04C4"/>
    <w:rsid w:val="00FB0615"/>
    <w:rsid w:val="00FB0692"/>
    <w:rsid w:val="00FB06B8"/>
    <w:rsid w:val="00FB071C"/>
    <w:rsid w:val="00FB0730"/>
    <w:rsid w:val="00FB098D"/>
    <w:rsid w:val="00FB09DC"/>
    <w:rsid w:val="00FB0A54"/>
    <w:rsid w:val="00FB0C59"/>
    <w:rsid w:val="00FB0C7D"/>
    <w:rsid w:val="00FB0CCA"/>
    <w:rsid w:val="00FB0DB4"/>
    <w:rsid w:val="00FB0E86"/>
    <w:rsid w:val="00FB0EBC"/>
    <w:rsid w:val="00FB12D3"/>
    <w:rsid w:val="00FB138E"/>
    <w:rsid w:val="00FB1452"/>
    <w:rsid w:val="00FB14EC"/>
    <w:rsid w:val="00FB1560"/>
    <w:rsid w:val="00FB15FF"/>
    <w:rsid w:val="00FB1633"/>
    <w:rsid w:val="00FB1A64"/>
    <w:rsid w:val="00FB1E13"/>
    <w:rsid w:val="00FB1EBE"/>
    <w:rsid w:val="00FB20C4"/>
    <w:rsid w:val="00FB20DB"/>
    <w:rsid w:val="00FB21F7"/>
    <w:rsid w:val="00FB223F"/>
    <w:rsid w:val="00FB23AB"/>
    <w:rsid w:val="00FB2402"/>
    <w:rsid w:val="00FB258C"/>
    <w:rsid w:val="00FB25CE"/>
    <w:rsid w:val="00FB2613"/>
    <w:rsid w:val="00FB26AA"/>
    <w:rsid w:val="00FB28B5"/>
    <w:rsid w:val="00FB28FE"/>
    <w:rsid w:val="00FB2A45"/>
    <w:rsid w:val="00FB2AFF"/>
    <w:rsid w:val="00FB2B07"/>
    <w:rsid w:val="00FB2BD1"/>
    <w:rsid w:val="00FB2D89"/>
    <w:rsid w:val="00FB2E55"/>
    <w:rsid w:val="00FB2EFB"/>
    <w:rsid w:val="00FB3083"/>
    <w:rsid w:val="00FB30E2"/>
    <w:rsid w:val="00FB30E4"/>
    <w:rsid w:val="00FB3113"/>
    <w:rsid w:val="00FB3490"/>
    <w:rsid w:val="00FB34B1"/>
    <w:rsid w:val="00FB3601"/>
    <w:rsid w:val="00FB3634"/>
    <w:rsid w:val="00FB3B22"/>
    <w:rsid w:val="00FB3C42"/>
    <w:rsid w:val="00FB3F09"/>
    <w:rsid w:val="00FB3F5A"/>
    <w:rsid w:val="00FB3FAE"/>
    <w:rsid w:val="00FB416B"/>
    <w:rsid w:val="00FB41B5"/>
    <w:rsid w:val="00FB4234"/>
    <w:rsid w:val="00FB42D4"/>
    <w:rsid w:val="00FB43C7"/>
    <w:rsid w:val="00FB43DB"/>
    <w:rsid w:val="00FB4942"/>
    <w:rsid w:val="00FB4AC3"/>
    <w:rsid w:val="00FB4B41"/>
    <w:rsid w:val="00FB4B60"/>
    <w:rsid w:val="00FB4B81"/>
    <w:rsid w:val="00FB4D74"/>
    <w:rsid w:val="00FB51C6"/>
    <w:rsid w:val="00FB51F5"/>
    <w:rsid w:val="00FB523F"/>
    <w:rsid w:val="00FB5315"/>
    <w:rsid w:val="00FB556C"/>
    <w:rsid w:val="00FB571C"/>
    <w:rsid w:val="00FB5798"/>
    <w:rsid w:val="00FB58BB"/>
    <w:rsid w:val="00FB5903"/>
    <w:rsid w:val="00FB5AAF"/>
    <w:rsid w:val="00FB5B7D"/>
    <w:rsid w:val="00FB5E83"/>
    <w:rsid w:val="00FB5F5D"/>
    <w:rsid w:val="00FB5F9F"/>
    <w:rsid w:val="00FB603C"/>
    <w:rsid w:val="00FB606C"/>
    <w:rsid w:val="00FB61A5"/>
    <w:rsid w:val="00FB61CC"/>
    <w:rsid w:val="00FB6570"/>
    <w:rsid w:val="00FB65CC"/>
    <w:rsid w:val="00FB65DD"/>
    <w:rsid w:val="00FB6673"/>
    <w:rsid w:val="00FB66AC"/>
    <w:rsid w:val="00FB682D"/>
    <w:rsid w:val="00FB6853"/>
    <w:rsid w:val="00FB6AC4"/>
    <w:rsid w:val="00FB6ADD"/>
    <w:rsid w:val="00FB6B3F"/>
    <w:rsid w:val="00FB6B98"/>
    <w:rsid w:val="00FB6CD7"/>
    <w:rsid w:val="00FB6D82"/>
    <w:rsid w:val="00FB73A7"/>
    <w:rsid w:val="00FB74C1"/>
    <w:rsid w:val="00FB74D1"/>
    <w:rsid w:val="00FB74EA"/>
    <w:rsid w:val="00FB76EF"/>
    <w:rsid w:val="00FB7740"/>
    <w:rsid w:val="00FB79AA"/>
    <w:rsid w:val="00FB79AD"/>
    <w:rsid w:val="00FB79EC"/>
    <w:rsid w:val="00FB7AD7"/>
    <w:rsid w:val="00FB7D28"/>
    <w:rsid w:val="00FB7F55"/>
    <w:rsid w:val="00FC00EC"/>
    <w:rsid w:val="00FC0138"/>
    <w:rsid w:val="00FC03C2"/>
    <w:rsid w:val="00FC0596"/>
    <w:rsid w:val="00FC05CD"/>
    <w:rsid w:val="00FC088C"/>
    <w:rsid w:val="00FC0961"/>
    <w:rsid w:val="00FC0B0B"/>
    <w:rsid w:val="00FC0D91"/>
    <w:rsid w:val="00FC0DF9"/>
    <w:rsid w:val="00FC0E44"/>
    <w:rsid w:val="00FC0FB7"/>
    <w:rsid w:val="00FC1021"/>
    <w:rsid w:val="00FC105E"/>
    <w:rsid w:val="00FC10C0"/>
    <w:rsid w:val="00FC1165"/>
    <w:rsid w:val="00FC14FC"/>
    <w:rsid w:val="00FC150C"/>
    <w:rsid w:val="00FC1586"/>
    <w:rsid w:val="00FC160B"/>
    <w:rsid w:val="00FC1693"/>
    <w:rsid w:val="00FC16A9"/>
    <w:rsid w:val="00FC177A"/>
    <w:rsid w:val="00FC1A22"/>
    <w:rsid w:val="00FC1AB5"/>
    <w:rsid w:val="00FC1B61"/>
    <w:rsid w:val="00FC1BE0"/>
    <w:rsid w:val="00FC2077"/>
    <w:rsid w:val="00FC21BC"/>
    <w:rsid w:val="00FC22D8"/>
    <w:rsid w:val="00FC270C"/>
    <w:rsid w:val="00FC27DA"/>
    <w:rsid w:val="00FC2914"/>
    <w:rsid w:val="00FC2C5F"/>
    <w:rsid w:val="00FC2DDA"/>
    <w:rsid w:val="00FC2F02"/>
    <w:rsid w:val="00FC304C"/>
    <w:rsid w:val="00FC30B2"/>
    <w:rsid w:val="00FC3109"/>
    <w:rsid w:val="00FC31A6"/>
    <w:rsid w:val="00FC3238"/>
    <w:rsid w:val="00FC328C"/>
    <w:rsid w:val="00FC332F"/>
    <w:rsid w:val="00FC34C7"/>
    <w:rsid w:val="00FC35F8"/>
    <w:rsid w:val="00FC3679"/>
    <w:rsid w:val="00FC37D6"/>
    <w:rsid w:val="00FC3A18"/>
    <w:rsid w:val="00FC3BD8"/>
    <w:rsid w:val="00FC3C18"/>
    <w:rsid w:val="00FC3C4C"/>
    <w:rsid w:val="00FC3E95"/>
    <w:rsid w:val="00FC3EE7"/>
    <w:rsid w:val="00FC3F0C"/>
    <w:rsid w:val="00FC3F60"/>
    <w:rsid w:val="00FC3FC0"/>
    <w:rsid w:val="00FC4011"/>
    <w:rsid w:val="00FC4041"/>
    <w:rsid w:val="00FC42D6"/>
    <w:rsid w:val="00FC4398"/>
    <w:rsid w:val="00FC43DD"/>
    <w:rsid w:val="00FC4856"/>
    <w:rsid w:val="00FC48F2"/>
    <w:rsid w:val="00FC4932"/>
    <w:rsid w:val="00FC497C"/>
    <w:rsid w:val="00FC4C32"/>
    <w:rsid w:val="00FC4C4F"/>
    <w:rsid w:val="00FC4D28"/>
    <w:rsid w:val="00FC4DE0"/>
    <w:rsid w:val="00FC4FE1"/>
    <w:rsid w:val="00FC5084"/>
    <w:rsid w:val="00FC5252"/>
    <w:rsid w:val="00FC5286"/>
    <w:rsid w:val="00FC5333"/>
    <w:rsid w:val="00FC5359"/>
    <w:rsid w:val="00FC565A"/>
    <w:rsid w:val="00FC56A8"/>
    <w:rsid w:val="00FC5707"/>
    <w:rsid w:val="00FC5870"/>
    <w:rsid w:val="00FC5971"/>
    <w:rsid w:val="00FC5A33"/>
    <w:rsid w:val="00FC5D0B"/>
    <w:rsid w:val="00FC5E4F"/>
    <w:rsid w:val="00FC5EF9"/>
    <w:rsid w:val="00FC60CF"/>
    <w:rsid w:val="00FC60F9"/>
    <w:rsid w:val="00FC6485"/>
    <w:rsid w:val="00FC64F6"/>
    <w:rsid w:val="00FC64FC"/>
    <w:rsid w:val="00FC66D9"/>
    <w:rsid w:val="00FC67D4"/>
    <w:rsid w:val="00FC6AD2"/>
    <w:rsid w:val="00FC6E2F"/>
    <w:rsid w:val="00FC6FFF"/>
    <w:rsid w:val="00FC704A"/>
    <w:rsid w:val="00FC7087"/>
    <w:rsid w:val="00FC71A6"/>
    <w:rsid w:val="00FC7253"/>
    <w:rsid w:val="00FC73BE"/>
    <w:rsid w:val="00FC7509"/>
    <w:rsid w:val="00FC762F"/>
    <w:rsid w:val="00FC7748"/>
    <w:rsid w:val="00FC77A9"/>
    <w:rsid w:val="00FC77DC"/>
    <w:rsid w:val="00FC77FF"/>
    <w:rsid w:val="00FC7AFA"/>
    <w:rsid w:val="00FC7B1A"/>
    <w:rsid w:val="00FC7B91"/>
    <w:rsid w:val="00FC7C00"/>
    <w:rsid w:val="00FC7D75"/>
    <w:rsid w:val="00FC7E2F"/>
    <w:rsid w:val="00FC7E47"/>
    <w:rsid w:val="00FC7E4B"/>
    <w:rsid w:val="00FC7E9F"/>
    <w:rsid w:val="00FC7F83"/>
    <w:rsid w:val="00FD012B"/>
    <w:rsid w:val="00FD01CC"/>
    <w:rsid w:val="00FD01DD"/>
    <w:rsid w:val="00FD0233"/>
    <w:rsid w:val="00FD0437"/>
    <w:rsid w:val="00FD0526"/>
    <w:rsid w:val="00FD052A"/>
    <w:rsid w:val="00FD0624"/>
    <w:rsid w:val="00FD062C"/>
    <w:rsid w:val="00FD0845"/>
    <w:rsid w:val="00FD085F"/>
    <w:rsid w:val="00FD0A4D"/>
    <w:rsid w:val="00FD0A8B"/>
    <w:rsid w:val="00FD0AF8"/>
    <w:rsid w:val="00FD0D46"/>
    <w:rsid w:val="00FD0FE2"/>
    <w:rsid w:val="00FD1002"/>
    <w:rsid w:val="00FD12D4"/>
    <w:rsid w:val="00FD133C"/>
    <w:rsid w:val="00FD142B"/>
    <w:rsid w:val="00FD18AB"/>
    <w:rsid w:val="00FD1917"/>
    <w:rsid w:val="00FD1932"/>
    <w:rsid w:val="00FD1940"/>
    <w:rsid w:val="00FD1B9C"/>
    <w:rsid w:val="00FD1D56"/>
    <w:rsid w:val="00FD1E2F"/>
    <w:rsid w:val="00FD1F97"/>
    <w:rsid w:val="00FD2200"/>
    <w:rsid w:val="00FD231E"/>
    <w:rsid w:val="00FD2363"/>
    <w:rsid w:val="00FD2437"/>
    <w:rsid w:val="00FD25EF"/>
    <w:rsid w:val="00FD269F"/>
    <w:rsid w:val="00FD27FC"/>
    <w:rsid w:val="00FD2833"/>
    <w:rsid w:val="00FD2839"/>
    <w:rsid w:val="00FD28B0"/>
    <w:rsid w:val="00FD28D0"/>
    <w:rsid w:val="00FD29D0"/>
    <w:rsid w:val="00FD29EE"/>
    <w:rsid w:val="00FD2A52"/>
    <w:rsid w:val="00FD2ACC"/>
    <w:rsid w:val="00FD2B18"/>
    <w:rsid w:val="00FD2C28"/>
    <w:rsid w:val="00FD2CB6"/>
    <w:rsid w:val="00FD2CBD"/>
    <w:rsid w:val="00FD2D0D"/>
    <w:rsid w:val="00FD2D6E"/>
    <w:rsid w:val="00FD2DE9"/>
    <w:rsid w:val="00FD2E5B"/>
    <w:rsid w:val="00FD2EEB"/>
    <w:rsid w:val="00FD2F88"/>
    <w:rsid w:val="00FD3079"/>
    <w:rsid w:val="00FD3474"/>
    <w:rsid w:val="00FD3513"/>
    <w:rsid w:val="00FD35F0"/>
    <w:rsid w:val="00FD365F"/>
    <w:rsid w:val="00FD3689"/>
    <w:rsid w:val="00FD36CB"/>
    <w:rsid w:val="00FD36DC"/>
    <w:rsid w:val="00FD38B8"/>
    <w:rsid w:val="00FD393D"/>
    <w:rsid w:val="00FD3A78"/>
    <w:rsid w:val="00FD3C86"/>
    <w:rsid w:val="00FD3CDB"/>
    <w:rsid w:val="00FD3EC5"/>
    <w:rsid w:val="00FD3EE3"/>
    <w:rsid w:val="00FD41D7"/>
    <w:rsid w:val="00FD436B"/>
    <w:rsid w:val="00FD450B"/>
    <w:rsid w:val="00FD4796"/>
    <w:rsid w:val="00FD480D"/>
    <w:rsid w:val="00FD4891"/>
    <w:rsid w:val="00FD4A61"/>
    <w:rsid w:val="00FD4AA7"/>
    <w:rsid w:val="00FD4D69"/>
    <w:rsid w:val="00FD4D8A"/>
    <w:rsid w:val="00FD4DB1"/>
    <w:rsid w:val="00FD5081"/>
    <w:rsid w:val="00FD5100"/>
    <w:rsid w:val="00FD52AA"/>
    <w:rsid w:val="00FD5393"/>
    <w:rsid w:val="00FD53E2"/>
    <w:rsid w:val="00FD5412"/>
    <w:rsid w:val="00FD542F"/>
    <w:rsid w:val="00FD5471"/>
    <w:rsid w:val="00FD55BF"/>
    <w:rsid w:val="00FD582A"/>
    <w:rsid w:val="00FD59F3"/>
    <w:rsid w:val="00FD5B6E"/>
    <w:rsid w:val="00FD5BE6"/>
    <w:rsid w:val="00FD5BFD"/>
    <w:rsid w:val="00FD5D78"/>
    <w:rsid w:val="00FD5E04"/>
    <w:rsid w:val="00FD6261"/>
    <w:rsid w:val="00FD6682"/>
    <w:rsid w:val="00FD66A6"/>
    <w:rsid w:val="00FD683B"/>
    <w:rsid w:val="00FD6984"/>
    <w:rsid w:val="00FD6BDE"/>
    <w:rsid w:val="00FD6D2C"/>
    <w:rsid w:val="00FD6F1B"/>
    <w:rsid w:val="00FD6F49"/>
    <w:rsid w:val="00FD6FA5"/>
    <w:rsid w:val="00FD7081"/>
    <w:rsid w:val="00FD70BA"/>
    <w:rsid w:val="00FD7114"/>
    <w:rsid w:val="00FD71B4"/>
    <w:rsid w:val="00FD7344"/>
    <w:rsid w:val="00FD7383"/>
    <w:rsid w:val="00FD73C3"/>
    <w:rsid w:val="00FD7413"/>
    <w:rsid w:val="00FD75C8"/>
    <w:rsid w:val="00FD780A"/>
    <w:rsid w:val="00FD7B46"/>
    <w:rsid w:val="00FD7DAD"/>
    <w:rsid w:val="00FD7E83"/>
    <w:rsid w:val="00FD7FF0"/>
    <w:rsid w:val="00FE0540"/>
    <w:rsid w:val="00FE05FA"/>
    <w:rsid w:val="00FE062C"/>
    <w:rsid w:val="00FE0644"/>
    <w:rsid w:val="00FE064F"/>
    <w:rsid w:val="00FE06FB"/>
    <w:rsid w:val="00FE0974"/>
    <w:rsid w:val="00FE0B8B"/>
    <w:rsid w:val="00FE0CCD"/>
    <w:rsid w:val="00FE0CD2"/>
    <w:rsid w:val="00FE0E1E"/>
    <w:rsid w:val="00FE1051"/>
    <w:rsid w:val="00FE1164"/>
    <w:rsid w:val="00FE1174"/>
    <w:rsid w:val="00FE12A3"/>
    <w:rsid w:val="00FE138D"/>
    <w:rsid w:val="00FE155C"/>
    <w:rsid w:val="00FE1776"/>
    <w:rsid w:val="00FE17BB"/>
    <w:rsid w:val="00FE1BE5"/>
    <w:rsid w:val="00FE1D9C"/>
    <w:rsid w:val="00FE1E2E"/>
    <w:rsid w:val="00FE1E39"/>
    <w:rsid w:val="00FE2056"/>
    <w:rsid w:val="00FE2159"/>
    <w:rsid w:val="00FE2233"/>
    <w:rsid w:val="00FE22AB"/>
    <w:rsid w:val="00FE2311"/>
    <w:rsid w:val="00FE2341"/>
    <w:rsid w:val="00FE23A7"/>
    <w:rsid w:val="00FE242C"/>
    <w:rsid w:val="00FE2674"/>
    <w:rsid w:val="00FE2B8C"/>
    <w:rsid w:val="00FE2BF0"/>
    <w:rsid w:val="00FE2CB3"/>
    <w:rsid w:val="00FE2E50"/>
    <w:rsid w:val="00FE2F0F"/>
    <w:rsid w:val="00FE2F7B"/>
    <w:rsid w:val="00FE2FAA"/>
    <w:rsid w:val="00FE3108"/>
    <w:rsid w:val="00FE317C"/>
    <w:rsid w:val="00FE3358"/>
    <w:rsid w:val="00FE3364"/>
    <w:rsid w:val="00FE3443"/>
    <w:rsid w:val="00FE391F"/>
    <w:rsid w:val="00FE39D5"/>
    <w:rsid w:val="00FE3C1E"/>
    <w:rsid w:val="00FE3D7C"/>
    <w:rsid w:val="00FE3D89"/>
    <w:rsid w:val="00FE41E0"/>
    <w:rsid w:val="00FE437A"/>
    <w:rsid w:val="00FE43CD"/>
    <w:rsid w:val="00FE44D7"/>
    <w:rsid w:val="00FE4617"/>
    <w:rsid w:val="00FE462D"/>
    <w:rsid w:val="00FE4672"/>
    <w:rsid w:val="00FE46BF"/>
    <w:rsid w:val="00FE4791"/>
    <w:rsid w:val="00FE479F"/>
    <w:rsid w:val="00FE47F2"/>
    <w:rsid w:val="00FE4989"/>
    <w:rsid w:val="00FE49CD"/>
    <w:rsid w:val="00FE4D4E"/>
    <w:rsid w:val="00FE4E74"/>
    <w:rsid w:val="00FE4F00"/>
    <w:rsid w:val="00FE50FF"/>
    <w:rsid w:val="00FE5212"/>
    <w:rsid w:val="00FE542B"/>
    <w:rsid w:val="00FE588F"/>
    <w:rsid w:val="00FE58BA"/>
    <w:rsid w:val="00FE5A0A"/>
    <w:rsid w:val="00FE5A43"/>
    <w:rsid w:val="00FE5A88"/>
    <w:rsid w:val="00FE5C6D"/>
    <w:rsid w:val="00FE5C7C"/>
    <w:rsid w:val="00FE5C8D"/>
    <w:rsid w:val="00FE5DB1"/>
    <w:rsid w:val="00FE62A8"/>
    <w:rsid w:val="00FE62C2"/>
    <w:rsid w:val="00FE6582"/>
    <w:rsid w:val="00FE65AE"/>
    <w:rsid w:val="00FE6664"/>
    <w:rsid w:val="00FE678C"/>
    <w:rsid w:val="00FE679B"/>
    <w:rsid w:val="00FE68EF"/>
    <w:rsid w:val="00FE6B47"/>
    <w:rsid w:val="00FE6D50"/>
    <w:rsid w:val="00FE6D52"/>
    <w:rsid w:val="00FE6F26"/>
    <w:rsid w:val="00FE7068"/>
    <w:rsid w:val="00FE70DE"/>
    <w:rsid w:val="00FE72A4"/>
    <w:rsid w:val="00FE72CD"/>
    <w:rsid w:val="00FE733B"/>
    <w:rsid w:val="00FE75B2"/>
    <w:rsid w:val="00FE770F"/>
    <w:rsid w:val="00FE7768"/>
    <w:rsid w:val="00FE77B6"/>
    <w:rsid w:val="00FE79E6"/>
    <w:rsid w:val="00FE7BD7"/>
    <w:rsid w:val="00FE7D69"/>
    <w:rsid w:val="00FE7E02"/>
    <w:rsid w:val="00FF005F"/>
    <w:rsid w:val="00FF0081"/>
    <w:rsid w:val="00FF00B2"/>
    <w:rsid w:val="00FF023C"/>
    <w:rsid w:val="00FF0625"/>
    <w:rsid w:val="00FF0687"/>
    <w:rsid w:val="00FF086A"/>
    <w:rsid w:val="00FF0A3C"/>
    <w:rsid w:val="00FF0BF1"/>
    <w:rsid w:val="00FF0CD1"/>
    <w:rsid w:val="00FF0DBF"/>
    <w:rsid w:val="00FF0E0A"/>
    <w:rsid w:val="00FF0E6D"/>
    <w:rsid w:val="00FF0F8B"/>
    <w:rsid w:val="00FF11AD"/>
    <w:rsid w:val="00FF122E"/>
    <w:rsid w:val="00FF13C2"/>
    <w:rsid w:val="00FF14A9"/>
    <w:rsid w:val="00FF1520"/>
    <w:rsid w:val="00FF17B1"/>
    <w:rsid w:val="00FF184E"/>
    <w:rsid w:val="00FF191C"/>
    <w:rsid w:val="00FF195E"/>
    <w:rsid w:val="00FF1988"/>
    <w:rsid w:val="00FF1ADB"/>
    <w:rsid w:val="00FF1B99"/>
    <w:rsid w:val="00FF1C95"/>
    <w:rsid w:val="00FF1D30"/>
    <w:rsid w:val="00FF1D55"/>
    <w:rsid w:val="00FF1DF2"/>
    <w:rsid w:val="00FF1E64"/>
    <w:rsid w:val="00FF205B"/>
    <w:rsid w:val="00FF2330"/>
    <w:rsid w:val="00FF235A"/>
    <w:rsid w:val="00FF23CD"/>
    <w:rsid w:val="00FF247C"/>
    <w:rsid w:val="00FF2513"/>
    <w:rsid w:val="00FF26F0"/>
    <w:rsid w:val="00FF28B7"/>
    <w:rsid w:val="00FF2938"/>
    <w:rsid w:val="00FF2998"/>
    <w:rsid w:val="00FF2C08"/>
    <w:rsid w:val="00FF2D07"/>
    <w:rsid w:val="00FF2DFF"/>
    <w:rsid w:val="00FF30C3"/>
    <w:rsid w:val="00FF31FE"/>
    <w:rsid w:val="00FF34DC"/>
    <w:rsid w:val="00FF3728"/>
    <w:rsid w:val="00FF376F"/>
    <w:rsid w:val="00FF3785"/>
    <w:rsid w:val="00FF37B0"/>
    <w:rsid w:val="00FF37D1"/>
    <w:rsid w:val="00FF37EC"/>
    <w:rsid w:val="00FF37F0"/>
    <w:rsid w:val="00FF3BDD"/>
    <w:rsid w:val="00FF3BF1"/>
    <w:rsid w:val="00FF3BFF"/>
    <w:rsid w:val="00FF3E86"/>
    <w:rsid w:val="00FF3EB8"/>
    <w:rsid w:val="00FF3EC5"/>
    <w:rsid w:val="00FF4029"/>
    <w:rsid w:val="00FF4276"/>
    <w:rsid w:val="00FF42D9"/>
    <w:rsid w:val="00FF43E1"/>
    <w:rsid w:val="00FF43E4"/>
    <w:rsid w:val="00FF4416"/>
    <w:rsid w:val="00FF4528"/>
    <w:rsid w:val="00FF48BC"/>
    <w:rsid w:val="00FF491C"/>
    <w:rsid w:val="00FF4B2A"/>
    <w:rsid w:val="00FF4B82"/>
    <w:rsid w:val="00FF4BAB"/>
    <w:rsid w:val="00FF4BC1"/>
    <w:rsid w:val="00FF4BE4"/>
    <w:rsid w:val="00FF4C43"/>
    <w:rsid w:val="00FF4C49"/>
    <w:rsid w:val="00FF52FE"/>
    <w:rsid w:val="00FF5370"/>
    <w:rsid w:val="00FF54D7"/>
    <w:rsid w:val="00FF551E"/>
    <w:rsid w:val="00FF5565"/>
    <w:rsid w:val="00FF5784"/>
    <w:rsid w:val="00FF5AF7"/>
    <w:rsid w:val="00FF5BC4"/>
    <w:rsid w:val="00FF5C3A"/>
    <w:rsid w:val="00FF5D5E"/>
    <w:rsid w:val="00FF5D80"/>
    <w:rsid w:val="00FF5DDD"/>
    <w:rsid w:val="00FF5DEB"/>
    <w:rsid w:val="00FF5EA0"/>
    <w:rsid w:val="00FF60C0"/>
    <w:rsid w:val="00FF621C"/>
    <w:rsid w:val="00FF63FD"/>
    <w:rsid w:val="00FF6526"/>
    <w:rsid w:val="00FF668E"/>
    <w:rsid w:val="00FF6901"/>
    <w:rsid w:val="00FF6A9D"/>
    <w:rsid w:val="00FF6CD8"/>
    <w:rsid w:val="00FF6D0B"/>
    <w:rsid w:val="00FF6D29"/>
    <w:rsid w:val="00FF6D61"/>
    <w:rsid w:val="00FF7035"/>
    <w:rsid w:val="00FF706F"/>
    <w:rsid w:val="00FF7144"/>
    <w:rsid w:val="00FF73F9"/>
    <w:rsid w:val="00FF744A"/>
    <w:rsid w:val="00FF7603"/>
    <w:rsid w:val="00FF77A7"/>
    <w:rsid w:val="00FF7992"/>
    <w:rsid w:val="00FF79CE"/>
    <w:rsid w:val="00FF79D7"/>
    <w:rsid w:val="00FF7B35"/>
    <w:rsid w:val="00FF7BB5"/>
    <w:rsid w:val="00FF7BB8"/>
    <w:rsid w:val="00FF7D6E"/>
    <w:rsid w:val="00FF7E21"/>
    <w:rsid w:val="00FF7E2A"/>
    <w:rsid w:val="00FF7EE5"/>
    <w:rsid w:val="00FF7FCB"/>
    <w:rsid w:val="01691C66"/>
    <w:rsid w:val="01900FB5"/>
    <w:rsid w:val="02CB1CF7"/>
    <w:rsid w:val="03CC3F79"/>
    <w:rsid w:val="046D6EB8"/>
    <w:rsid w:val="070007AB"/>
    <w:rsid w:val="079166EF"/>
    <w:rsid w:val="082E2BFB"/>
    <w:rsid w:val="08B01066"/>
    <w:rsid w:val="08BF5E5A"/>
    <w:rsid w:val="08D2195C"/>
    <w:rsid w:val="08E110C3"/>
    <w:rsid w:val="092B7994"/>
    <w:rsid w:val="0A8F1AA8"/>
    <w:rsid w:val="0B4765EF"/>
    <w:rsid w:val="0B670B3B"/>
    <w:rsid w:val="0BD062B3"/>
    <w:rsid w:val="0C525237"/>
    <w:rsid w:val="0C724660"/>
    <w:rsid w:val="0CA47C69"/>
    <w:rsid w:val="0CE9251C"/>
    <w:rsid w:val="0CFD1F16"/>
    <w:rsid w:val="0DEF0655"/>
    <w:rsid w:val="0E2B4304"/>
    <w:rsid w:val="0E367F50"/>
    <w:rsid w:val="0EDD1184"/>
    <w:rsid w:val="0EF1530F"/>
    <w:rsid w:val="0F773AC2"/>
    <w:rsid w:val="11A227BD"/>
    <w:rsid w:val="11D25920"/>
    <w:rsid w:val="136038FC"/>
    <w:rsid w:val="13B169BF"/>
    <w:rsid w:val="14460EC7"/>
    <w:rsid w:val="14493C95"/>
    <w:rsid w:val="152A78F5"/>
    <w:rsid w:val="16061F72"/>
    <w:rsid w:val="168227FD"/>
    <w:rsid w:val="16BD193D"/>
    <w:rsid w:val="176F2E6E"/>
    <w:rsid w:val="186F7922"/>
    <w:rsid w:val="18F02060"/>
    <w:rsid w:val="199C5415"/>
    <w:rsid w:val="19E11124"/>
    <w:rsid w:val="1A6620D1"/>
    <w:rsid w:val="1C555481"/>
    <w:rsid w:val="1D356404"/>
    <w:rsid w:val="1F0006DC"/>
    <w:rsid w:val="20E96C2A"/>
    <w:rsid w:val="2125266D"/>
    <w:rsid w:val="241E2177"/>
    <w:rsid w:val="24461D81"/>
    <w:rsid w:val="24C165A1"/>
    <w:rsid w:val="26C83B45"/>
    <w:rsid w:val="290F1DF3"/>
    <w:rsid w:val="294F2DD3"/>
    <w:rsid w:val="29A927B4"/>
    <w:rsid w:val="2A043ABC"/>
    <w:rsid w:val="2BCC5136"/>
    <w:rsid w:val="2CCD66EA"/>
    <w:rsid w:val="2E781596"/>
    <w:rsid w:val="2EBA75E8"/>
    <w:rsid w:val="2F1656E8"/>
    <w:rsid w:val="30024F9F"/>
    <w:rsid w:val="3112096E"/>
    <w:rsid w:val="3115220C"/>
    <w:rsid w:val="31F938DC"/>
    <w:rsid w:val="33FD7693"/>
    <w:rsid w:val="34E25F80"/>
    <w:rsid w:val="357C6CFE"/>
    <w:rsid w:val="35F53DAF"/>
    <w:rsid w:val="36A767A8"/>
    <w:rsid w:val="36AE04E4"/>
    <w:rsid w:val="37EA11A1"/>
    <w:rsid w:val="389E681A"/>
    <w:rsid w:val="390C7982"/>
    <w:rsid w:val="394C60C9"/>
    <w:rsid w:val="39E210F9"/>
    <w:rsid w:val="3B1672AC"/>
    <w:rsid w:val="3B632998"/>
    <w:rsid w:val="3C12335E"/>
    <w:rsid w:val="3C260B37"/>
    <w:rsid w:val="3C265C15"/>
    <w:rsid w:val="3CBC1403"/>
    <w:rsid w:val="3F7C3C86"/>
    <w:rsid w:val="3FBF656F"/>
    <w:rsid w:val="3FE033A5"/>
    <w:rsid w:val="407C22A8"/>
    <w:rsid w:val="412F3DED"/>
    <w:rsid w:val="41624878"/>
    <w:rsid w:val="416B29FC"/>
    <w:rsid w:val="4250579A"/>
    <w:rsid w:val="42562684"/>
    <w:rsid w:val="4289706C"/>
    <w:rsid w:val="43BC2914"/>
    <w:rsid w:val="460466EC"/>
    <w:rsid w:val="467C5AC7"/>
    <w:rsid w:val="48013E62"/>
    <w:rsid w:val="48DA5A4B"/>
    <w:rsid w:val="494E1270"/>
    <w:rsid w:val="496438D9"/>
    <w:rsid w:val="49C34351"/>
    <w:rsid w:val="4A304379"/>
    <w:rsid w:val="4A3A4CEB"/>
    <w:rsid w:val="4A9C34F6"/>
    <w:rsid w:val="4AF3592B"/>
    <w:rsid w:val="4BFE5DF0"/>
    <w:rsid w:val="4D066715"/>
    <w:rsid w:val="4D7A31B0"/>
    <w:rsid w:val="4D7F2BD1"/>
    <w:rsid w:val="4E12250E"/>
    <w:rsid w:val="4E797E26"/>
    <w:rsid w:val="4F3B5DC7"/>
    <w:rsid w:val="4FE25898"/>
    <w:rsid w:val="51F15F26"/>
    <w:rsid w:val="5248325C"/>
    <w:rsid w:val="52EC2E6C"/>
    <w:rsid w:val="53316FD7"/>
    <w:rsid w:val="5394300C"/>
    <w:rsid w:val="53963CFA"/>
    <w:rsid w:val="53AF5093"/>
    <w:rsid w:val="53BB677C"/>
    <w:rsid w:val="53C702CA"/>
    <w:rsid w:val="545304B1"/>
    <w:rsid w:val="54A93D00"/>
    <w:rsid w:val="54B0076B"/>
    <w:rsid w:val="54B62B40"/>
    <w:rsid w:val="56E66275"/>
    <w:rsid w:val="57777A5D"/>
    <w:rsid w:val="5829669B"/>
    <w:rsid w:val="58F62F4B"/>
    <w:rsid w:val="593D7CFF"/>
    <w:rsid w:val="5A1A5AE2"/>
    <w:rsid w:val="5B391F98"/>
    <w:rsid w:val="5BF772AF"/>
    <w:rsid w:val="5C4D1BDE"/>
    <w:rsid w:val="5CF52DAA"/>
    <w:rsid w:val="5EC44FDC"/>
    <w:rsid w:val="5FE20607"/>
    <w:rsid w:val="60290A37"/>
    <w:rsid w:val="611F0815"/>
    <w:rsid w:val="61616C24"/>
    <w:rsid w:val="61C45317"/>
    <w:rsid w:val="61E2310F"/>
    <w:rsid w:val="62983005"/>
    <w:rsid w:val="62C566BB"/>
    <w:rsid w:val="639D7CBB"/>
    <w:rsid w:val="642A1B95"/>
    <w:rsid w:val="64324B50"/>
    <w:rsid w:val="64AE21CB"/>
    <w:rsid w:val="64FC4821"/>
    <w:rsid w:val="65700A02"/>
    <w:rsid w:val="65895FA7"/>
    <w:rsid w:val="659D3FA3"/>
    <w:rsid w:val="65CA2969"/>
    <w:rsid w:val="66466012"/>
    <w:rsid w:val="66983372"/>
    <w:rsid w:val="66AA6977"/>
    <w:rsid w:val="672A76D7"/>
    <w:rsid w:val="680941E0"/>
    <w:rsid w:val="68761499"/>
    <w:rsid w:val="68E1689C"/>
    <w:rsid w:val="69270A40"/>
    <w:rsid w:val="69E93C5A"/>
    <w:rsid w:val="6ACB15B2"/>
    <w:rsid w:val="6C2109BB"/>
    <w:rsid w:val="6C8805AF"/>
    <w:rsid w:val="6C8A3088"/>
    <w:rsid w:val="6D295A0C"/>
    <w:rsid w:val="70220567"/>
    <w:rsid w:val="70FD7FEB"/>
    <w:rsid w:val="72E85D71"/>
    <w:rsid w:val="73155A33"/>
    <w:rsid w:val="73B41F37"/>
    <w:rsid w:val="74E05C5A"/>
    <w:rsid w:val="761C0F14"/>
    <w:rsid w:val="763B3141"/>
    <w:rsid w:val="765B5EE0"/>
    <w:rsid w:val="778356EE"/>
    <w:rsid w:val="783E33C3"/>
    <w:rsid w:val="78C151EE"/>
    <w:rsid w:val="79565B38"/>
    <w:rsid w:val="79A656C4"/>
    <w:rsid w:val="7A0D57EA"/>
    <w:rsid w:val="7A115641"/>
    <w:rsid w:val="7C6B24D9"/>
    <w:rsid w:val="7CBF3C51"/>
    <w:rsid w:val="7CC85481"/>
    <w:rsid w:val="7D0C6AD1"/>
    <w:rsid w:val="7D5E49B7"/>
    <w:rsid w:val="7DF50921"/>
    <w:rsid w:val="7E524CBF"/>
    <w:rsid w:val="7EE229BA"/>
    <w:rsid w:val="7F763DEA"/>
    <w:rsid w:val="7F8F5F71"/>
    <w:rsid w:val="7FB960F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3,4,5,6"/>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nhideWhenUsed="0" w:uiPriority="35"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99"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qFormat="1" w:unhideWhenUsed="0" w:uiPriority="0" w:semiHidden="0" w:name="macro"/>
    <w:lsdException w:qFormat="1" w:unhideWhenUsed="0" w:uiPriority="0" w:semiHidden="0" w:name="toa heading"/>
    <w:lsdException w:qFormat="1" w:unhideWhenUsed="0" w:uiPriority="0" w:semiHidden="0" w:name="List"/>
    <w:lsdException w:qFormat="1" w:uiPriority="99" w:semiHidden="0" w:name="List Bullet"/>
    <w:lsdException w:unhideWhenUsed="0" w:uiPriority="0" w:semiHidden="0" w:name="List Number"/>
    <w:lsdException w:unhideWhenUsed="0" w:uiPriority="0" w:semiHidden="0" w:name="List 2"/>
    <w:lsdException w:qFormat="1"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qFormat="1" w:uiPriority="99"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qFormat="1"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99" w:semiHidden="0" w:name="Hyperlink"/>
    <w:lsdException w:qFormat="1" w:unhideWhenUsed="0" w:uiPriority="99"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qFormat="1"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99" w:semiHidden="0" w:name="annotation subject"/>
    <w:lsdException w:uiPriority="0" w:name="Table Simple 1"/>
    <w:lsdException w:uiPriority="0" w:name="Table Simple 2"/>
    <w:lsdException w:uiPriority="0" w:name="Table Simple 3"/>
    <w:lsdException w:qFormat="1" w:unhideWhenUsed="0" w:uiPriority="0" w:semiHidden="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qFormat="1" w:unhideWhenUsed="0" w:uiPriority="0" w:semiHidden="0" w:name="Table Grid 1"/>
    <w:lsdException w:uiPriority="0" w:name="Table Grid 2"/>
    <w:lsdException w:uiPriority="0" w:name="Table Grid 3"/>
    <w:lsdException w:uiPriority="0" w:name="Table Grid 4"/>
    <w:lsdException w:qFormat="1" w:unhideWhenUsed="0" w:uiPriority="0" w:semiHidden="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qFormat="1" w:unhideWhenUsed="0" w:uiPriority="0" w:semiHidden="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link w:val="71"/>
    <w:qFormat/>
    <w:uiPriority w:val="0"/>
    <w:pPr>
      <w:keepNext/>
      <w:keepLines/>
      <w:numPr>
        <w:ilvl w:val="0"/>
        <w:numId w:val="1"/>
      </w:numPr>
      <w:spacing w:line="360" w:lineRule="auto"/>
      <w:outlineLvl w:val="0"/>
    </w:pPr>
    <w:rPr>
      <w:rFonts w:eastAsia="黑体"/>
      <w:bCs/>
      <w:kern w:val="44"/>
      <w:sz w:val="30"/>
      <w:szCs w:val="30"/>
    </w:rPr>
  </w:style>
  <w:style w:type="paragraph" w:styleId="4">
    <w:name w:val="heading 2"/>
    <w:basedOn w:val="1"/>
    <w:next w:val="1"/>
    <w:link w:val="72"/>
    <w:qFormat/>
    <w:uiPriority w:val="0"/>
    <w:pPr>
      <w:keepNext/>
      <w:keepLines/>
      <w:numPr>
        <w:ilvl w:val="1"/>
        <w:numId w:val="1"/>
      </w:numPr>
      <w:spacing w:line="360" w:lineRule="auto"/>
      <w:outlineLvl w:val="1"/>
    </w:pPr>
    <w:rPr>
      <w:rFonts w:eastAsia="黑体"/>
      <w:bCs/>
      <w:sz w:val="28"/>
      <w:szCs w:val="28"/>
    </w:rPr>
  </w:style>
  <w:style w:type="paragraph" w:styleId="5">
    <w:name w:val="heading 3"/>
    <w:basedOn w:val="1"/>
    <w:next w:val="1"/>
    <w:link w:val="73"/>
    <w:qFormat/>
    <w:uiPriority w:val="0"/>
    <w:pPr>
      <w:keepNext/>
      <w:keepLines/>
      <w:numPr>
        <w:ilvl w:val="2"/>
        <w:numId w:val="1"/>
      </w:numPr>
      <w:spacing w:line="360" w:lineRule="auto"/>
      <w:outlineLvl w:val="2"/>
    </w:pPr>
    <w:rPr>
      <w:rFonts w:eastAsia="黑体"/>
      <w:bCs/>
      <w:sz w:val="24"/>
    </w:rPr>
  </w:style>
  <w:style w:type="paragraph" w:styleId="6">
    <w:name w:val="heading 4"/>
    <w:basedOn w:val="1"/>
    <w:next w:val="1"/>
    <w:link w:val="518"/>
    <w:qFormat/>
    <w:uiPriority w:val="0"/>
    <w:pPr>
      <w:keepNext/>
      <w:keepLines/>
      <w:numPr>
        <w:ilvl w:val="3"/>
        <w:numId w:val="1"/>
      </w:numPr>
      <w:spacing w:line="360" w:lineRule="auto"/>
      <w:outlineLvl w:val="3"/>
    </w:pPr>
    <w:rPr>
      <w:bCs/>
      <w:sz w:val="24"/>
    </w:rPr>
  </w:style>
  <w:style w:type="paragraph" w:styleId="7">
    <w:name w:val="heading 5"/>
    <w:basedOn w:val="1"/>
    <w:next w:val="1"/>
    <w:link w:val="75"/>
    <w:qFormat/>
    <w:uiPriority w:val="0"/>
    <w:pPr>
      <w:keepNext/>
      <w:keepLines/>
      <w:spacing w:line="360" w:lineRule="auto"/>
      <w:outlineLvl w:val="4"/>
    </w:pPr>
    <w:rPr>
      <w:bCs/>
      <w:sz w:val="24"/>
    </w:rPr>
  </w:style>
  <w:style w:type="paragraph" w:styleId="8">
    <w:name w:val="heading 6"/>
    <w:basedOn w:val="1"/>
    <w:next w:val="1"/>
    <w:link w:val="76"/>
    <w:qFormat/>
    <w:uiPriority w:val="0"/>
    <w:pPr>
      <w:keepNext/>
      <w:keepLines/>
      <w:widowControl/>
      <w:tabs>
        <w:tab w:val="left" w:pos="1440"/>
      </w:tabs>
      <w:spacing w:before="240" w:after="64" w:line="319" w:lineRule="auto"/>
      <w:ind w:left="1152" w:hanging="1152"/>
      <w:jc w:val="left"/>
      <w:outlineLvl w:val="5"/>
    </w:pPr>
    <w:rPr>
      <w:rFonts w:ascii="Arial" w:hAnsi="Arial" w:eastAsia="黑体"/>
      <w:b/>
      <w:bCs/>
      <w:kern w:val="0"/>
      <w:sz w:val="24"/>
    </w:rPr>
  </w:style>
  <w:style w:type="paragraph" w:styleId="9">
    <w:name w:val="heading 7"/>
    <w:basedOn w:val="1"/>
    <w:next w:val="1"/>
    <w:link w:val="77"/>
    <w:qFormat/>
    <w:uiPriority w:val="0"/>
    <w:pPr>
      <w:keepNext/>
      <w:keepLines/>
      <w:spacing w:before="240" w:after="64" w:line="320" w:lineRule="auto"/>
      <w:outlineLvl w:val="6"/>
    </w:pPr>
    <w:rPr>
      <w:rFonts w:ascii="Calibri" w:hAnsi="Calibri"/>
      <w:b/>
      <w:bCs/>
      <w:sz w:val="24"/>
    </w:rPr>
  </w:style>
  <w:style w:type="paragraph" w:styleId="10">
    <w:name w:val="heading 8"/>
    <w:basedOn w:val="1"/>
    <w:next w:val="1"/>
    <w:link w:val="78"/>
    <w:qFormat/>
    <w:uiPriority w:val="0"/>
    <w:pPr>
      <w:keepNext/>
      <w:keepLines/>
      <w:widowControl/>
      <w:tabs>
        <w:tab w:val="left" w:pos="1440"/>
      </w:tabs>
      <w:spacing w:before="240" w:after="64" w:line="319" w:lineRule="auto"/>
      <w:ind w:left="1440" w:hanging="1440"/>
      <w:jc w:val="left"/>
      <w:outlineLvl w:val="7"/>
    </w:pPr>
    <w:rPr>
      <w:rFonts w:ascii="Arial" w:hAnsi="Arial" w:eastAsia="黑体"/>
      <w:kern w:val="0"/>
      <w:sz w:val="24"/>
    </w:rPr>
  </w:style>
  <w:style w:type="paragraph" w:styleId="11">
    <w:name w:val="heading 9"/>
    <w:basedOn w:val="1"/>
    <w:next w:val="1"/>
    <w:link w:val="79"/>
    <w:qFormat/>
    <w:uiPriority w:val="0"/>
    <w:pPr>
      <w:keepNext/>
      <w:keepLines/>
      <w:spacing w:before="240" w:after="64" w:line="320" w:lineRule="auto"/>
      <w:outlineLvl w:val="8"/>
    </w:pPr>
    <w:rPr>
      <w:rFonts w:ascii="Cambria" w:hAnsi="Cambria"/>
      <w:szCs w:val="21"/>
    </w:rPr>
  </w:style>
  <w:style w:type="character" w:default="1" w:styleId="60">
    <w:name w:val="Default Paragraph Font"/>
    <w:semiHidden/>
    <w:unhideWhenUsed/>
    <w:qFormat/>
    <w:uiPriority w:val="1"/>
  </w:style>
  <w:style w:type="table" w:default="1" w:styleId="54">
    <w:name w:val="Normal Table"/>
    <w:semiHidden/>
    <w:unhideWhenUsed/>
    <w:qFormat/>
    <w:uiPriority w:val="99"/>
    <w:tblPr>
      <w:tblCellMar>
        <w:top w:w="0" w:type="dxa"/>
        <w:left w:w="108" w:type="dxa"/>
        <w:bottom w:w="0" w:type="dxa"/>
        <w:right w:w="108" w:type="dxa"/>
      </w:tblCellMar>
    </w:tblPr>
  </w:style>
  <w:style w:type="paragraph" w:styleId="2">
    <w:name w:val="macro"/>
    <w:link w:val="70"/>
    <w:qFormat/>
    <w:uiPriority w:val="0"/>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pPr>
    <w:rPr>
      <w:rFonts w:ascii="Courier New" w:hAnsi="Courier New" w:eastAsia="宋体" w:cs="Times New Roman"/>
      <w:kern w:val="2"/>
      <w:sz w:val="24"/>
      <w:szCs w:val="24"/>
      <w:lang w:val="en-US" w:eastAsia="zh-CN" w:bidi="ar-SA"/>
    </w:rPr>
  </w:style>
  <w:style w:type="paragraph" w:styleId="12">
    <w:name w:val="List 3"/>
    <w:basedOn w:val="1"/>
    <w:qFormat/>
    <w:uiPriority w:val="0"/>
    <w:pPr>
      <w:ind w:left="100" w:leftChars="400" w:hanging="200" w:hangingChars="200"/>
      <w:contextualSpacing/>
    </w:pPr>
  </w:style>
  <w:style w:type="paragraph" w:styleId="13">
    <w:name w:val="toc 7"/>
    <w:basedOn w:val="1"/>
    <w:next w:val="1"/>
    <w:qFormat/>
    <w:uiPriority w:val="39"/>
    <w:pPr>
      <w:ind w:left="2520" w:leftChars="1200"/>
    </w:pPr>
  </w:style>
  <w:style w:type="paragraph" w:styleId="14">
    <w:name w:val="Note Heading"/>
    <w:basedOn w:val="1"/>
    <w:next w:val="1"/>
    <w:link w:val="80"/>
    <w:unhideWhenUsed/>
    <w:qFormat/>
    <w:uiPriority w:val="0"/>
    <w:pPr>
      <w:jc w:val="center"/>
    </w:pPr>
    <w:rPr>
      <w:szCs w:val="20"/>
    </w:rPr>
  </w:style>
  <w:style w:type="paragraph" w:styleId="15">
    <w:name w:val="Normal Indent"/>
    <w:basedOn w:val="1"/>
    <w:link w:val="81"/>
    <w:qFormat/>
    <w:uiPriority w:val="0"/>
    <w:pPr>
      <w:spacing w:line="500" w:lineRule="exact"/>
      <w:ind w:firstLine="420"/>
    </w:pPr>
    <w:rPr>
      <w:rFonts w:eastAsia="仿宋_GB2312"/>
      <w:sz w:val="28"/>
      <w:szCs w:val="20"/>
    </w:rPr>
  </w:style>
  <w:style w:type="paragraph" w:styleId="16">
    <w:name w:val="caption"/>
    <w:basedOn w:val="1"/>
    <w:next w:val="1"/>
    <w:qFormat/>
    <w:uiPriority w:val="35"/>
    <w:pPr>
      <w:jc w:val="center"/>
    </w:pPr>
    <w:rPr>
      <w:rFonts w:eastAsia="黑体" w:cs="Arial"/>
      <w:sz w:val="24"/>
    </w:rPr>
  </w:style>
  <w:style w:type="paragraph" w:styleId="17">
    <w:name w:val="List Bullet"/>
    <w:basedOn w:val="1"/>
    <w:unhideWhenUsed/>
    <w:qFormat/>
    <w:uiPriority w:val="99"/>
    <w:pPr>
      <w:numPr>
        <w:ilvl w:val="0"/>
        <w:numId w:val="2"/>
      </w:numPr>
      <w:tabs>
        <w:tab w:val="left" w:pos="360"/>
      </w:tabs>
      <w:spacing w:line="360" w:lineRule="auto"/>
      <w:contextualSpacing/>
    </w:pPr>
    <w:rPr>
      <w:rFonts w:hAnsi="宋体"/>
      <w:color w:val="000000"/>
      <w:sz w:val="24"/>
    </w:rPr>
  </w:style>
  <w:style w:type="paragraph" w:styleId="18">
    <w:name w:val="Document Map"/>
    <w:basedOn w:val="1"/>
    <w:link w:val="82"/>
    <w:qFormat/>
    <w:uiPriority w:val="0"/>
    <w:pPr>
      <w:shd w:val="clear" w:color="auto" w:fill="000080"/>
      <w:spacing w:line="360" w:lineRule="exact"/>
    </w:pPr>
    <w:rPr>
      <w:sz w:val="18"/>
    </w:rPr>
  </w:style>
  <w:style w:type="paragraph" w:styleId="19">
    <w:name w:val="toa heading"/>
    <w:basedOn w:val="1"/>
    <w:next w:val="20"/>
    <w:qFormat/>
    <w:uiPriority w:val="0"/>
    <w:pPr>
      <w:overflowPunct w:val="0"/>
      <w:autoSpaceDE w:val="0"/>
      <w:autoSpaceDN w:val="0"/>
      <w:adjustRightInd w:val="0"/>
      <w:spacing w:before="120" w:after="120"/>
      <w:jc w:val="center"/>
      <w:textAlignment w:val="baseline"/>
    </w:pPr>
    <w:rPr>
      <w:rFonts w:ascii="Arial" w:hAnsi="Arial" w:eastAsia="黑体"/>
      <w:kern w:val="0"/>
      <w:sz w:val="44"/>
      <w:szCs w:val="20"/>
    </w:rPr>
  </w:style>
  <w:style w:type="paragraph" w:styleId="20">
    <w:name w:val="Body Text First Indent"/>
    <w:basedOn w:val="21"/>
    <w:next w:val="1"/>
    <w:link w:val="84"/>
    <w:qFormat/>
    <w:uiPriority w:val="0"/>
    <w:pPr>
      <w:ind w:firstLine="420" w:firstLineChars="100"/>
    </w:pPr>
  </w:style>
  <w:style w:type="paragraph" w:styleId="21">
    <w:name w:val="Body Text"/>
    <w:basedOn w:val="1"/>
    <w:next w:val="22"/>
    <w:link w:val="83"/>
    <w:qFormat/>
    <w:uiPriority w:val="0"/>
    <w:pPr>
      <w:spacing w:after="120"/>
    </w:pPr>
  </w:style>
  <w:style w:type="paragraph" w:customStyle="1" w:styleId="22">
    <w:name w:val="文本"/>
    <w:basedOn w:val="23"/>
    <w:qFormat/>
    <w:uiPriority w:val="0"/>
  </w:style>
  <w:style w:type="paragraph" w:customStyle="1" w:styleId="23">
    <w:name w:val="[1]正文"/>
    <w:basedOn w:val="1"/>
    <w:qFormat/>
    <w:uiPriority w:val="0"/>
    <w:pPr>
      <w:autoSpaceDE w:val="0"/>
      <w:autoSpaceDN w:val="0"/>
      <w:ind w:firstLine="200" w:firstLineChars="200"/>
    </w:pPr>
    <w:rPr>
      <w:color w:val="000000"/>
      <w:kern w:val="0"/>
      <w:lang w:val="zh-CN"/>
    </w:rPr>
  </w:style>
  <w:style w:type="paragraph" w:styleId="24">
    <w:name w:val="annotation text"/>
    <w:basedOn w:val="1"/>
    <w:link w:val="85"/>
    <w:qFormat/>
    <w:uiPriority w:val="0"/>
    <w:pPr>
      <w:jc w:val="left"/>
    </w:pPr>
  </w:style>
  <w:style w:type="paragraph" w:styleId="25">
    <w:name w:val="Salutation"/>
    <w:basedOn w:val="1"/>
    <w:next w:val="1"/>
    <w:link w:val="86"/>
    <w:unhideWhenUsed/>
    <w:qFormat/>
    <w:uiPriority w:val="99"/>
  </w:style>
  <w:style w:type="paragraph" w:styleId="26">
    <w:name w:val="Body Text 3"/>
    <w:basedOn w:val="1"/>
    <w:link w:val="87"/>
    <w:qFormat/>
    <w:uiPriority w:val="0"/>
    <w:pPr>
      <w:spacing w:after="120"/>
    </w:pPr>
    <w:rPr>
      <w:sz w:val="16"/>
      <w:szCs w:val="16"/>
    </w:rPr>
  </w:style>
  <w:style w:type="paragraph" w:styleId="27">
    <w:name w:val="Body Text Indent"/>
    <w:basedOn w:val="1"/>
    <w:next w:val="28"/>
    <w:link w:val="68"/>
    <w:qFormat/>
    <w:uiPriority w:val="0"/>
    <w:pPr>
      <w:spacing w:line="540" w:lineRule="exact"/>
      <w:ind w:firstLine="560" w:firstLineChars="200"/>
    </w:pPr>
    <w:rPr>
      <w:sz w:val="28"/>
      <w:szCs w:val="28"/>
    </w:rPr>
  </w:style>
  <w:style w:type="paragraph" w:customStyle="1" w:styleId="28">
    <w:name w:val="样式 正文文本缩进 + 行距: 1.5 倍行距"/>
    <w:basedOn w:val="1"/>
    <w:qFormat/>
    <w:uiPriority w:val="0"/>
    <w:pPr>
      <w:spacing w:after="120" w:line="360" w:lineRule="auto"/>
      <w:ind w:left="90" w:leftChars="32" w:firstLine="560" w:firstLineChars="200"/>
    </w:pPr>
    <w:rPr>
      <w:rFonts w:cs="宋体"/>
    </w:rPr>
  </w:style>
  <w:style w:type="paragraph" w:styleId="29">
    <w:name w:val="Block Text"/>
    <w:basedOn w:val="1"/>
    <w:qFormat/>
    <w:uiPriority w:val="0"/>
    <w:pPr>
      <w:adjustRightInd w:val="0"/>
      <w:snapToGrid w:val="0"/>
      <w:spacing w:line="460" w:lineRule="exact"/>
      <w:ind w:left="-425" w:right="-113" w:firstLine="200" w:firstLineChars="200"/>
    </w:pPr>
    <w:rPr>
      <w:rFonts w:ascii="仿宋_GB2312"/>
      <w:sz w:val="28"/>
    </w:rPr>
  </w:style>
  <w:style w:type="paragraph" w:styleId="30">
    <w:name w:val="toc 5"/>
    <w:basedOn w:val="1"/>
    <w:next w:val="1"/>
    <w:qFormat/>
    <w:uiPriority w:val="39"/>
    <w:pPr>
      <w:ind w:left="1680" w:leftChars="800"/>
    </w:pPr>
  </w:style>
  <w:style w:type="paragraph" w:styleId="31">
    <w:name w:val="toc 3"/>
    <w:basedOn w:val="1"/>
    <w:next w:val="1"/>
    <w:qFormat/>
    <w:uiPriority w:val="39"/>
    <w:pPr>
      <w:ind w:left="420"/>
      <w:jc w:val="left"/>
    </w:pPr>
    <w:rPr>
      <w:iCs/>
      <w:sz w:val="20"/>
    </w:rPr>
  </w:style>
  <w:style w:type="paragraph" w:styleId="32">
    <w:name w:val="Plain Text"/>
    <w:basedOn w:val="1"/>
    <w:next w:val="1"/>
    <w:link w:val="88"/>
    <w:qFormat/>
    <w:uiPriority w:val="0"/>
    <w:rPr>
      <w:rFonts w:ascii="宋体" w:hAnsi="Courier New"/>
      <w:sz w:val="28"/>
      <w:szCs w:val="20"/>
    </w:rPr>
  </w:style>
  <w:style w:type="paragraph" w:styleId="33">
    <w:name w:val="toc 8"/>
    <w:basedOn w:val="1"/>
    <w:next w:val="1"/>
    <w:qFormat/>
    <w:uiPriority w:val="39"/>
    <w:pPr>
      <w:ind w:left="2940" w:leftChars="1400"/>
    </w:pPr>
  </w:style>
  <w:style w:type="paragraph" w:styleId="34">
    <w:name w:val="Date"/>
    <w:basedOn w:val="1"/>
    <w:next w:val="1"/>
    <w:link w:val="89"/>
    <w:qFormat/>
    <w:uiPriority w:val="0"/>
    <w:pPr>
      <w:spacing w:line="500" w:lineRule="exact"/>
    </w:pPr>
    <w:rPr>
      <w:rFonts w:eastAsia="仿宋_GB2312"/>
      <w:b/>
      <w:sz w:val="32"/>
      <w:szCs w:val="20"/>
    </w:rPr>
  </w:style>
  <w:style w:type="paragraph" w:styleId="35">
    <w:name w:val="Body Text Indent 2"/>
    <w:basedOn w:val="1"/>
    <w:qFormat/>
    <w:uiPriority w:val="0"/>
    <w:pPr>
      <w:spacing w:after="120" w:line="480" w:lineRule="auto"/>
      <w:ind w:left="420" w:leftChars="200"/>
    </w:pPr>
  </w:style>
  <w:style w:type="paragraph" w:styleId="36">
    <w:name w:val="Balloon Text"/>
    <w:basedOn w:val="1"/>
    <w:link w:val="90"/>
    <w:qFormat/>
    <w:uiPriority w:val="0"/>
    <w:rPr>
      <w:sz w:val="18"/>
      <w:szCs w:val="18"/>
    </w:rPr>
  </w:style>
  <w:style w:type="paragraph" w:styleId="37">
    <w:name w:val="footer"/>
    <w:basedOn w:val="1"/>
    <w:link w:val="91"/>
    <w:qFormat/>
    <w:uiPriority w:val="0"/>
    <w:pPr>
      <w:tabs>
        <w:tab w:val="center" w:pos="4153"/>
        <w:tab w:val="right" w:pos="8306"/>
      </w:tabs>
      <w:snapToGrid w:val="0"/>
      <w:jc w:val="left"/>
    </w:pPr>
    <w:rPr>
      <w:sz w:val="18"/>
      <w:szCs w:val="18"/>
    </w:rPr>
  </w:style>
  <w:style w:type="paragraph" w:styleId="38">
    <w:name w:val="header"/>
    <w:basedOn w:val="1"/>
    <w:link w:val="92"/>
    <w:qFormat/>
    <w:uiPriority w:val="0"/>
    <w:pPr>
      <w:pBdr>
        <w:bottom w:val="single" w:color="auto" w:sz="6" w:space="1"/>
      </w:pBdr>
      <w:tabs>
        <w:tab w:val="center" w:pos="4153"/>
        <w:tab w:val="right" w:pos="8306"/>
      </w:tabs>
      <w:snapToGrid w:val="0"/>
      <w:jc w:val="center"/>
    </w:pPr>
    <w:rPr>
      <w:sz w:val="18"/>
      <w:szCs w:val="18"/>
    </w:rPr>
  </w:style>
  <w:style w:type="paragraph" w:styleId="39">
    <w:name w:val="toc 1"/>
    <w:basedOn w:val="1"/>
    <w:next w:val="1"/>
    <w:qFormat/>
    <w:uiPriority w:val="39"/>
    <w:pPr>
      <w:spacing w:before="120" w:after="120"/>
      <w:jc w:val="left"/>
    </w:pPr>
    <w:rPr>
      <w:b/>
      <w:bCs/>
      <w:caps/>
      <w:sz w:val="22"/>
      <w:szCs w:val="22"/>
    </w:rPr>
  </w:style>
  <w:style w:type="paragraph" w:styleId="40">
    <w:name w:val="toc 4"/>
    <w:basedOn w:val="1"/>
    <w:next w:val="1"/>
    <w:qFormat/>
    <w:uiPriority w:val="39"/>
    <w:pPr>
      <w:ind w:left="630"/>
      <w:jc w:val="left"/>
    </w:pPr>
    <w:rPr>
      <w:sz w:val="20"/>
      <w:szCs w:val="18"/>
    </w:rPr>
  </w:style>
  <w:style w:type="paragraph" w:styleId="41">
    <w:name w:val="Subtitle"/>
    <w:basedOn w:val="1"/>
    <w:next w:val="1"/>
    <w:link w:val="93"/>
    <w:qFormat/>
    <w:uiPriority w:val="0"/>
    <w:pPr>
      <w:spacing w:line="360" w:lineRule="auto"/>
      <w:jc w:val="left"/>
      <w:outlineLvl w:val="1"/>
    </w:pPr>
    <w:rPr>
      <w:rFonts w:ascii="Cambria" w:hAnsi="Cambria"/>
      <w:bCs/>
      <w:kern w:val="28"/>
      <w:sz w:val="30"/>
      <w:szCs w:val="32"/>
    </w:rPr>
  </w:style>
  <w:style w:type="paragraph" w:styleId="42">
    <w:name w:val="List"/>
    <w:basedOn w:val="1"/>
    <w:qFormat/>
    <w:uiPriority w:val="0"/>
    <w:pPr>
      <w:ind w:left="200" w:hanging="200" w:hangingChars="200"/>
    </w:pPr>
  </w:style>
  <w:style w:type="paragraph" w:styleId="43">
    <w:name w:val="toc 6"/>
    <w:basedOn w:val="1"/>
    <w:next w:val="1"/>
    <w:qFormat/>
    <w:uiPriority w:val="39"/>
    <w:pPr>
      <w:ind w:left="2100" w:leftChars="1000"/>
    </w:pPr>
  </w:style>
  <w:style w:type="paragraph" w:styleId="44">
    <w:name w:val="Body Text Indent 3"/>
    <w:basedOn w:val="1"/>
    <w:link w:val="94"/>
    <w:qFormat/>
    <w:uiPriority w:val="0"/>
    <w:pPr>
      <w:spacing w:after="120"/>
      <w:ind w:left="420" w:leftChars="200"/>
    </w:pPr>
    <w:rPr>
      <w:sz w:val="16"/>
      <w:szCs w:val="16"/>
    </w:rPr>
  </w:style>
  <w:style w:type="paragraph" w:styleId="45">
    <w:name w:val="toc 2"/>
    <w:basedOn w:val="1"/>
    <w:next w:val="1"/>
    <w:qFormat/>
    <w:uiPriority w:val="39"/>
    <w:pPr>
      <w:ind w:left="210"/>
      <w:jc w:val="left"/>
    </w:pPr>
    <w:rPr>
      <w:smallCaps/>
      <w:szCs w:val="21"/>
    </w:rPr>
  </w:style>
  <w:style w:type="paragraph" w:styleId="46">
    <w:name w:val="toc 9"/>
    <w:basedOn w:val="1"/>
    <w:next w:val="1"/>
    <w:qFormat/>
    <w:uiPriority w:val="39"/>
    <w:pPr>
      <w:ind w:left="3360" w:leftChars="1600"/>
    </w:pPr>
  </w:style>
  <w:style w:type="paragraph" w:styleId="47">
    <w:name w:val="Body Text 2"/>
    <w:basedOn w:val="1"/>
    <w:link w:val="95"/>
    <w:qFormat/>
    <w:uiPriority w:val="0"/>
    <w:pPr>
      <w:spacing w:after="120" w:line="480" w:lineRule="auto"/>
    </w:pPr>
  </w:style>
  <w:style w:type="paragraph" w:styleId="48">
    <w:name w:val="HTML Preformatted"/>
    <w:basedOn w:val="1"/>
    <w:link w:val="96"/>
    <w:unhideWhenUsed/>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99" w:lineRule="atLeast"/>
      <w:jc w:val="left"/>
    </w:pPr>
    <w:rPr>
      <w:rFonts w:ascii="Arial" w:hAnsi="Arial"/>
      <w:kern w:val="0"/>
      <w:sz w:val="19"/>
      <w:szCs w:val="19"/>
    </w:rPr>
  </w:style>
  <w:style w:type="paragraph" w:styleId="49">
    <w:name w:val="Normal (Web)"/>
    <w:basedOn w:val="1"/>
    <w:link w:val="97"/>
    <w:qFormat/>
    <w:uiPriority w:val="99"/>
    <w:pPr>
      <w:widowControl/>
      <w:spacing w:before="100" w:beforeAutospacing="1" w:after="100" w:afterAutospacing="1"/>
      <w:jc w:val="left"/>
    </w:pPr>
    <w:rPr>
      <w:rFonts w:ascii="宋体" w:hAnsi="宋体"/>
      <w:kern w:val="0"/>
    </w:rPr>
  </w:style>
  <w:style w:type="paragraph" w:styleId="50">
    <w:name w:val="index 1"/>
    <w:basedOn w:val="1"/>
    <w:next w:val="1"/>
    <w:unhideWhenUsed/>
    <w:qFormat/>
    <w:uiPriority w:val="0"/>
    <w:pPr>
      <w:spacing w:line="360" w:lineRule="auto"/>
      <w:jc w:val="center"/>
    </w:pPr>
    <w:rPr>
      <w:rFonts w:ascii="宋体" w:hAnsi="宋体"/>
      <w:sz w:val="24"/>
    </w:rPr>
  </w:style>
  <w:style w:type="paragraph" w:styleId="51">
    <w:name w:val="Title"/>
    <w:basedOn w:val="1"/>
    <w:link w:val="98"/>
    <w:qFormat/>
    <w:uiPriority w:val="0"/>
    <w:pPr>
      <w:spacing w:before="240" w:after="60"/>
      <w:jc w:val="center"/>
      <w:outlineLvl w:val="0"/>
    </w:pPr>
    <w:rPr>
      <w:rFonts w:ascii="Arial" w:hAnsi="Arial"/>
      <w:b/>
      <w:bCs/>
      <w:sz w:val="32"/>
      <w:szCs w:val="32"/>
    </w:rPr>
  </w:style>
  <w:style w:type="paragraph" w:styleId="52">
    <w:name w:val="annotation subject"/>
    <w:basedOn w:val="24"/>
    <w:next w:val="24"/>
    <w:link w:val="99"/>
    <w:qFormat/>
    <w:uiPriority w:val="99"/>
    <w:rPr>
      <w:b/>
      <w:bCs/>
    </w:rPr>
  </w:style>
  <w:style w:type="paragraph" w:styleId="53">
    <w:name w:val="Body Text First Indent 2"/>
    <w:basedOn w:val="27"/>
    <w:next w:val="1"/>
    <w:link w:val="69"/>
    <w:qFormat/>
    <w:uiPriority w:val="0"/>
    <w:pPr>
      <w:spacing w:line="360" w:lineRule="auto"/>
      <w:ind w:firstLine="0" w:firstLineChars="0"/>
    </w:pPr>
    <w:rPr>
      <w:sz w:val="24"/>
      <w:szCs w:val="24"/>
    </w:rPr>
  </w:style>
  <w:style w:type="table" w:styleId="55">
    <w:name w:val="Table Grid"/>
    <w:basedOn w:val="54"/>
    <w:qFormat/>
    <w:uiPriority w:val="0"/>
    <w:pPr>
      <w:widowControl w:val="0"/>
      <w:jc w:val="center"/>
    </w:pPr>
    <w:rPr>
      <w:kern w:val="2"/>
      <w:sz w:val="21"/>
      <w:szCs w:val="21"/>
    </w:rPr>
    <w:tblPr>
      <w:tblBorders>
        <w:top w:val="single" w:color="auto" w:sz="12" w:space="0"/>
        <w:bottom w:val="single" w:color="auto" w:sz="12" w:space="0"/>
        <w:insideH w:val="single" w:color="auto" w:sz="6" w:space="0"/>
        <w:insideV w:val="single" w:color="auto" w:sz="6" w:space="0"/>
      </w:tblBorders>
      <w:tblCellMar>
        <w:left w:w="28" w:type="dxa"/>
        <w:right w:w="28" w:type="dxa"/>
      </w:tblCellMar>
    </w:tblPr>
    <w:tcPr>
      <w:vAlign w:val="center"/>
    </w:tcPr>
  </w:style>
  <w:style w:type="table" w:styleId="56">
    <w:name w:val="Table Theme"/>
    <w:basedOn w:val="54"/>
    <w:qFormat/>
    <w:uiPriority w:val="0"/>
    <w:pPr>
      <w:widowControl w:val="0"/>
      <w:adjustRightInd w:val="0"/>
      <w:textAlignment w:val="baseline"/>
    </w:pPr>
    <w:rPr>
      <w:sz w:val="21"/>
    </w:rPr>
    <w:tblPr>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rPr>
      <w:jc w:val="center"/>
    </w:trPr>
    <w:tcPr>
      <w:vAlign w:val="center"/>
    </w:tcPr>
  </w:style>
  <w:style w:type="table" w:styleId="57">
    <w:name w:val="Table Classic 1"/>
    <w:basedOn w:val="54"/>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blPr/>
      <w:tcPr>
        <w:tcBorders>
          <w:top w:val="nil"/>
          <w:left w:val="nil"/>
          <w:bottom w:val="single" w:color="000000" w:sz="6" w:space="0"/>
          <w:right w:val="nil"/>
          <w:insideH w:val="nil"/>
          <w:insideV w:val="nil"/>
          <w:tl2br w:val="nil"/>
          <w:tr2bl w:val="nil"/>
        </w:tcBorders>
      </w:tcPr>
    </w:tblStylePr>
    <w:tblStylePr w:type="lastRow">
      <w:rPr>
        <w:color w:val="auto"/>
      </w:rPr>
      <w:tblPr/>
      <w:tcPr>
        <w:tcBorders>
          <w:top w:val="single" w:color="000000" w:sz="6" w:space="0"/>
          <w:left w:val="nil"/>
          <w:bottom w:val="nil"/>
          <w:right w:val="nil"/>
          <w:insideH w:val="nil"/>
          <w:insideV w:val="nil"/>
          <w:tl2br w:val="nil"/>
          <w:tr2bl w:val="nil"/>
        </w:tcBorders>
      </w:tcPr>
    </w:tblStylePr>
    <w:tblStylePr w:type="firstCol">
      <w:tblPr/>
      <w:tcPr>
        <w:tcBorders>
          <w:top w:val="nil"/>
          <w:left w:val="nil"/>
          <w:bottom w:val="nil"/>
          <w:right w:val="single" w:color="000000" w:sz="6" w:space="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58">
    <w:name w:val="Table Grid 1"/>
    <w:basedOn w:val="54"/>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table" w:styleId="59">
    <w:name w:val="Table Grid 5"/>
    <w:basedOn w:val="54"/>
    <w:qFormat/>
    <w:uiPriority w:val="0"/>
    <w:pPr>
      <w:widowControl w:val="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blPr/>
      <w:tcPr>
        <w:tcBorders>
          <w:top w:val="nil"/>
          <w:left w:val="nil"/>
          <w:bottom w:val="single" w:color="000000" w:sz="12" w:space="0"/>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character" w:styleId="61">
    <w:name w:val="Strong"/>
    <w:qFormat/>
    <w:uiPriority w:val="0"/>
    <w:rPr>
      <w:b/>
      <w:bCs/>
    </w:rPr>
  </w:style>
  <w:style w:type="character" w:styleId="62">
    <w:name w:val="page number"/>
    <w:qFormat/>
    <w:uiPriority w:val="0"/>
  </w:style>
  <w:style w:type="character" w:styleId="63">
    <w:name w:val="FollowedHyperlink"/>
    <w:qFormat/>
    <w:uiPriority w:val="99"/>
    <w:rPr>
      <w:color w:val="800080"/>
      <w:u w:val="single"/>
    </w:rPr>
  </w:style>
  <w:style w:type="character" w:styleId="64">
    <w:name w:val="Emphasis"/>
    <w:qFormat/>
    <w:uiPriority w:val="0"/>
    <w:rPr>
      <w:i/>
      <w:iCs/>
    </w:rPr>
  </w:style>
  <w:style w:type="character" w:styleId="65">
    <w:name w:val="Hyperlink"/>
    <w:qFormat/>
    <w:uiPriority w:val="99"/>
    <w:rPr>
      <w:rFonts w:hint="default" w:ascii="Arial" w:hAnsi="Arial" w:cs="Arial"/>
      <w:color w:val="0000CC"/>
      <w:u w:val="single"/>
    </w:rPr>
  </w:style>
  <w:style w:type="character" w:styleId="66">
    <w:name w:val="annotation reference"/>
    <w:qFormat/>
    <w:uiPriority w:val="99"/>
    <w:rPr>
      <w:sz w:val="21"/>
      <w:szCs w:val="21"/>
    </w:rPr>
  </w:style>
  <w:style w:type="character" w:styleId="67">
    <w:name w:val="HTML Cite"/>
    <w:qFormat/>
    <w:uiPriority w:val="0"/>
    <w:rPr>
      <w:i/>
      <w:iCs/>
    </w:rPr>
  </w:style>
  <w:style w:type="character" w:customStyle="1" w:styleId="68">
    <w:name w:val="正文文本缩进 字符"/>
    <w:link w:val="27"/>
    <w:qFormat/>
    <w:uiPriority w:val="0"/>
    <w:rPr>
      <w:kern w:val="2"/>
      <w:sz w:val="28"/>
      <w:szCs w:val="28"/>
    </w:rPr>
  </w:style>
  <w:style w:type="character" w:customStyle="1" w:styleId="69">
    <w:name w:val="正文文本首行缩进 2 字符"/>
    <w:link w:val="53"/>
    <w:qFormat/>
    <w:uiPriority w:val="0"/>
    <w:rPr>
      <w:kern w:val="2"/>
      <w:sz w:val="24"/>
      <w:szCs w:val="24"/>
    </w:rPr>
  </w:style>
  <w:style w:type="character" w:customStyle="1" w:styleId="70">
    <w:name w:val="宏文本 字符"/>
    <w:link w:val="2"/>
    <w:qFormat/>
    <w:uiPriority w:val="0"/>
    <w:rPr>
      <w:rFonts w:ascii="Courier New" w:hAnsi="Courier New"/>
      <w:kern w:val="2"/>
      <w:sz w:val="24"/>
      <w:szCs w:val="24"/>
      <w:lang w:val="en-US" w:eastAsia="zh-CN" w:bidi="ar-SA"/>
    </w:rPr>
  </w:style>
  <w:style w:type="character" w:customStyle="1" w:styleId="71">
    <w:name w:val="标题 1 字符"/>
    <w:link w:val="3"/>
    <w:qFormat/>
    <w:uiPriority w:val="0"/>
    <w:rPr>
      <w:rFonts w:eastAsia="黑体"/>
      <w:bCs/>
      <w:kern w:val="44"/>
      <w:sz w:val="30"/>
      <w:szCs w:val="30"/>
    </w:rPr>
  </w:style>
  <w:style w:type="character" w:customStyle="1" w:styleId="72">
    <w:name w:val="标题 2 字符"/>
    <w:link w:val="4"/>
    <w:qFormat/>
    <w:uiPriority w:val="0"/>
    <w:rPr>
      <w:rFonts w:eastAsia="黑体"/>
      <w:bCs/>
      <w:kern w:val="2"/>
      <w:sz w:val="28"/>
      <w:szCs w:val="28"/>
    </w:rPr>
  </w:style>
  <w:style w:type="character" w:customStyle="1" w:styleId="73">
    <w:name w:val="标题 3 字符"/>
    <w:link w:val="5"/>
    <w:qFormat/>
    <w:uiPriority w:val="0"/>
    <w:rPr>
      <w:rFonts w:eastAsia="黑体"/>
      <w:bCs/>
      <w:kern w:val="2"/>
      <w:sz w:val="24"/>
      <w:szCs w:val="24"/>
    </w:rPr>
  </w:style>
  <w:style w:type="character" w:customStyle="1" w:styleId="74">
    <w:name w:val="标题 4 字符"/>
    <w:link w:val="6"/>
    <w:qFormat/>
    <w:uiPriority w:val="0"/>
    <w:rPr>
      <w:bCs/>
      <w:kern w:val="2"/>
      <w:sz w:val="24"/>
      <w:szCs w:val="24"/>
    </w:rPr>
  </w:style>
  <w:style w:type="character" w:customStyle="1" w:styleId="75">
    <w:name w:val="标题 5 字符"/>
    <w:link w:val="7"/>
    <w:qFormat/>
    <w:uiPriority w:val="0"/>
    <w:rPr>
      <w:bCs/>
      <w:kern w:val="2"/>
      <w:sz w:val="24"/>
      <w:szCs w:val="24"/>
    </w:rPr>
  </w:style>
  <w:style w:type="character" w:customStyle="1" w:styleId="76">
    <w:name w:val="标题 6 字符"/>
    <w:link w:val="8"/>
    <w:qFormat/>
    <w:uiPriority w:val="0"/>
    <w:rPr>
      <w:rFonts w:ascii="Arial" w:hAnsi="Arial" w:eastAsia="黑体"/>
      <w:b/>
      <w:bCs/>
      <w:sz w:val="24"/>
      <w:szCs w:val="24"/>
    </w:rPr>
  </w:style>
  <w:style w:type="character" w:customStyle="1" w:styleId="77">
    <w:name w:val="标题 7 字符"/>
    <w:link w:val="9"/>
    <w:qFormat/>
    <w:uiPriority w:val="0"/>
    <w:rPr>
      <w:rFonts w:ascii="Calibri" w:hAnsi="Calibri" w:eastAsia="宋体" w:cs="Times New Roman"/>
      <w:b/>
      <w:bCs/>
      <w:kern w:val="2"/>
      <w:sz w:val="24"/>
      <w:szCs w:val="24"/>
    </w:rPr>
  </w:style>
  <w:style w:type="character" w:customStyle="1" w:styleId="78">
    <w:name w:val="标题 8 字符"/>
    <w:link w:val="10"/>
    <w:qFormat/>
    <w:uiPriority w:val="0"/>
    <w:rPr>
      <w:rFonts w:ascii="Arial" w:hAnsi="Arial" w:eastAsia="黑体"/>
      <w:sz w:val="24"/>
      <w:szCs w:val="24"/>
    </w:rPr>
  </w:style>
  <w:style w:type="character" w:customStyle="1" w:styleId="79">
    <w:name w:val="标题 9 字符"/>
    <w:link w:val="11"/>
    <w:qFormat/>
    <w:uiPriority w:val="0"/>
    <w:rPr>
      <w:rFonts w:ascii="Cambria" w:hAnsi="Cambria" w:eastAsia="宋体" w:cs="Times New Roman"/>
      <w:kern w:val="2"/>
      <w:sz w:val="21"/>
      <w:szCs w:val="21"/>
    </w:rPr>
  </w:style>
  <w:style w:type="character" w:customStyle="1" w:styleId="80">
    <w:name w:val="注释标题 字符"/>
    <w:link w:val="14"/>
    <w:qFormat/>
    <w:uiPriority w:val="0"/>
    <w:rPr>
      <w:kern w:val="2"/>
      <w:sz w:val="21"/>
    </w:rPr>
  </w:style>
  <w:style w:type="character" w:customStyle="1" w:styleId="81">
    <w:name w:val="正文缩进 字符"/>
    <w:link w:val="15"/>
    <w:qFormat/>
    <w:uiPriority w:val="0"/>
    <w:rPr>
      <w:rFonts w:eastAsia="仿宋_GB2312"/>
      <w:kern w:val="2"/>
      <w:sz w:val="28"/>
    </w:rPr>
  </w:style>
  <w:style w:type="character" w:customStyle="1" w:styleId="82">
    <w:name w:val="文档结构图 字符"/>
    <w:link w:val="18"/>
    <w:qFormat/>
    <w:uiPriority w:val="0"/>
    <w:rPr>
      <w:kern w:val="2"/>
      <w:sz w:val="18"/>
      <w:szCs w:val="24"/>
      <w:shd w:val="clear" w:color="auto" w:fill="000080"/>
    </w:rPr>
  </w:style>
  <w:style w:type="character" w:customStyle="1" w:styleId="83">
    <w:name w:val="正文文本 字符"/>
    <w:link w:val="21"/>
    <w:qFormat/>
    <w:uiPriority w:val="0"/>
    <w:rPr>
      <w:kern w:val="2"/>
      <w:sz w:val="21"/>
      <w:szCs w:val="24"/>
    </w:rPr>
  </w:style>
  <w:style w:type="character" w:customStyle="1" w:styleId="84">
    <w:name w:val="正文文本首行缩进 字符"/>
    <w:link w:val="20"/>
    <w:qFormat/>
    <w:uiPriority w:val="0"/>
  </w:style>
  <w:style w:type="character" w:customStyle="1" w:styleId="85">
    <w:name w:val="批注文字 字符"/>
    <w:link w:val="24"/>
    <w:qFormat/>
    <w:uiPriority w:val="0"/>
    <w:rPr>
      <w:kern w:val="2"/>
      <w:sz w:val="21"/>
      <w:szCs w:val="24"/>
    </w:rPr>
  </w:style>
  <w:style w:type="character" w:customStyle="1" w:styleId="86">
    <w:name w:val="称呼 字符"/>
    <w:link w:val="25"/>
    <w:qFormat/>
    <w:uiPriority w:val="99"/>
    <w:rPr>
      <w:kern w:val="2"/>
      <w:sz w:val="21"/>
      <w:szCs w:val="24"/>
    </w:rPr>
  </w:style>
  <w:style w:type="character" w:customStyle="1" w:styleId="87">
    <w:name w:val="正文文本 3 字符"/>
    <w:link w:val="26"/>
    <w:qFormat/>
    <w:locked/>
    <w:uiPriority w:val="0"/>
    <w:rPr>
      <w:kern w:val="2"/>
      <w:sz w:val="16"/>
      <w:szCs w:val="16"/>
    </w:rPr>
  </w:style>
  <w:style w:type="character" w:customStyle="1" w:styleId="88">
    <w:name w:val="纯文本 字符"/>
    <w:link w:val="32"/>
    <w:qFormat/>
    <w:locked/>
    <w:uiPriority w:val="0"/>
    <w:rPr>
      <w:rFonts w:ascii="宋体" w:hAnsi="Courier New"/>
      <w:kern w:val="2"/>
      <w:sz w:val="28"/>
    </w:rPr>
  </w:style>
  <w:style w:type="character" w:customStyle="1" w:styleId="89">
    <w:name w:val="日期 字符"/>
    <w:link w:val="34"/>
    <w:qFormat/>
    <w:uiPriority w:val="0"/>
    <w:rPr>
      <w:rFonts w:eastAsia="仿宋_GB2312"/>
      <w:b/>
      <w:kern w:val="2"/>
      <w:sz w:val="32"/>
      <w:lang w:val="en-US" w:eastAsia="zh-CN" w:bidi="ar-SA"/>
    </w:rPr>
  </w:style>
  <w:style w:type="character" w:customStyle="1" w:styleId="90">
    <w:name w:val="批注框文本 字符"/>
    <w:link w:val="36"/>
    <w:qFormat/>
    <w:uiPriority w:val="0"/>
    <w:rPr>
      <w:kern w:val="2"/>
      <w:sz w:val="18"/>
      <w:szCs w:val="18"/>
    </w:rPr>
  </w:style>
  <w:style w:type="character" w:customStyle="1" w:styleId="91">
    <w:name w:val="页脚 字符"/>
    <w:link w:val="37"/>
    <w:qFormat/>
    <w:uiPriority w:val="0"/>
    <w:rPr>
      <w:kern w:val="2"/>
      <w:sz w:val="18"/>
      <w:szCs w:val="18"/>
    </w:rPr>
  </w:style>
  <w:style w:type="character" w:customStyle="1" w:styleId="92">
    <w:name w:val="页眉 字符"/>
    <w:link w:val="38"/>
    <w:qFormat/>
    <w:uiPriority w:val="0"/>
    <w:rPr>
      <w:rFonts w:eastAsia="宋体"/>
      <w:kern w:val="2"/>
      <w:sz w:val="18"/>
      <w:szCs w:val="18"/>
      <w:lang w:val="en-US" w:eastAsia="zh-CN" w:bidi="ar-SA"/>
    </w:rPr>
  </w:style>
  <w:style w:type="character" w:customStyle="1" w:styleId="93">
    <w:name w:val="副标题 字符"/>
    <w:link w:val="41"/>
    <w:qFormat/>
    <w:uiPriority w:val="0"/>
    <w:rPr>
      <w:rFonts w:ascii="Cambria" w:hAnsi="Cambria"/>
      <w:bCs/>
      <w:kern w:val="28"/>
      <w:sz w:val="30"/>
      <w:szCs w:val="32"/>
    </w:rPr>
  </w:style>
  <w:style w:type="character" w:customStyle="1" w:styleId="94">
    <w:name w:val="正文文本缩进 3 字符"/>
    <w:link w:val="44"/>
    <w:qFormat/>
    <w:uiPriority w:val="0"/>
    <w:rPr>
      <w:kern w:val="2"/>
      <w:sz w:val="16"/>
      <w:szCs w:val="16"/>
    </w:rPr>
  </w:style>
  <w:style w:type="character" w:customStyle="1" w:styleId="95">
    <w:name w:val="正文文本 2 字符"/>
    <w:link w:val="47"/>
    <w:qFormat/>
    <w:uiPriority w:val="0"/>
    <w:rPr>
      <w:kern w:val="2"/>
      <w:sz w:val="21"/>
      <w:szCs w:val="24"/>
    </w:rPr>
  </w:style>
  <w:style w:type="character" w:customStyle="1" w:styleId="96">
    <w:name w:val="HTML 预设格式 字符"/>
    <w:link w:val="48"/>
    <w:qFormat/>
    <w:uiPriority w:val="0"/>
    <w:rPr>
      <w:rFonts w:ascii="Arial" w:hAnsi="Arial" w:cs="Arial"/>
      <w:sz w:val="19"/>
      <w:szCs w:val="19"/>
    </w:rPr>
  </w:style>
  <w:style w:type="character" w:customStyle="1" w:styleId="97">
    <w:name w:val="普通(网站) 字符"/>
    <w:link w:val="49"/>
    <w:qFormat/>
    <w:uiPriority w:val="99"/>
    <w:rPr>
      <w:rFonts w:ascii="宋体" w:hAnsi="宋体" w:cs="宋体"/>
      <w:sz w:val="21"/>
      <w:szCs w:val="24"/>
    </w:rPr>
  </w:style>
  <w:style w:type="character" w:customStyle="1" w:styleId="98">
    <w:name w:val="标题 字符"/>
    <w:link w:val="51"/>
    <w:qFormat/>
    <w:uiPriority w:val="0"/>
    <w:rPr>
      <w:rFonts w:ascii="Arial" w:hAnsi="Arial" w:cs="Arial"/>
      <w:b/>
      <w:bCs/>
      <w:kern w:val="2"/>
      <w:sz w:val="32"/>
      <w:szCs w:val="32"/>
    </w:rPr>
  </w:style>
  <w:style w:type="character" w:customStyle="1" w:styleId="99">
    <w:name w:val="批注主题 字符"/>
    <w:link w:val="52"/>
    <w:qFormat/>
    <w:uiPriority w:val="99"/>
    <w:rPr>
      <w:b/>
      <w:bCs/>
      <w:kern w:val="2"/>
      <w:sz w:val="21"/>
      <w:szCs w:val="24"/>
    </w:rPr>
  </w:style>
  <w:style w:type="character" w:customStyle="1" w:styleId="100">
    <w:name w:val="标题 4 Char1"/>
    <w:qFormat/>
    <w:uiPriority w:val="0"/>
    <w:rPr>
      <w:rFonts w:eastAsia="宋体"/>
      <w:bCs/>
      <w:kern w:val="2"/>
      <w:sz w:val="24"/>
      <w:szCs w:val="24"/>
      <w:lang w:val="en-US" w:eastAsia="zh-CN" w:bidi="ar-SA"/>
    </w:rPr>
  </w:style>
  <w:style w:type="character" w:customStyle="1" w:styleId="101">
    <w:name w:val="H3 Char Char"/>
    <w:qFormat/>
    <w:uiPriority w:val="0"/>
    <w:rPr>
      <w:rFonts w:eastAsia="黑体"/>
      <w:bCs/>
      <w:kern w:val="2"/>
      <w:sz w:val="24"/>
      <w:szCs w:val="24"/>
      <w:lang w:val="en-US" w:eastAsia="zh-CN" w:bidi="ar-SA"/>
    </w:rPr>
  </w:style>
  <w:style w:type="character" w:customStyle="1" w:styleId="102">
    <w:name w:val="样式 (西文) 宋体 小四"/>
    <w:qFormat/>
    <w:uiPriority w:val="0"/>
    <w:rPr>
      <w:rFonts w:ascii="宋体" w:hAnsi="宋体"/>
      <w:sz w:val="24"/>
    </w:rPr>
  </w:style>
  <w:style w:type="character" w:customStyle="1" w:styleId="103">
    <w:name w:val="CharAttribute6"/>
    <w:qFormat/>
    <w:uiPriority w:val="0"/>
    <w:rPr>
      <w:rFonts w:hint="eastAsia" w:ascii="宋体" w:hAnsi="宋体" w:eastAsia="宋体"/>
      <w:sz w:val="30"/>
      <w:vertAlign w:val="superscript"/>
    </w:rPr>
  </w:style>
  <w:style w:type="character" w:customStyle="1" w:styleId="104">
    <w:name w:val="表格15 Char Char"/>
    <w:link w:val="105"/>
    <w:qFormat/>
    <w:uiPriority w:val="0"/>
    <w:rPr>
      <w:rFonts w:ascii="宋体" w:eastAsia="宋体"/>
      <w:color w:val="000000"/>
      <w:kern w:val="2"/>
      <w:sz w:val="21"/>
      <w:szCs w:val="21"/>
      <w:lang w:val="en-US" w:eastAsia="zh-CN" w:bidi="ar-SA"/>
    </w:rPr>
  </w:style>
  <w:style w:type="paragraph" w:customStyle="1" w:styleId="105">
    <w:name w:val="表格15"/>
    <w:basedOn w:val="1"/>
    <w:link w:val="104"/>
    <w:qFormat/>
    <w:uiPriority w:val="0"/>
    <w:pPr>
      <w:widowControl/>
      <w:spacing w:before="50" w:line="300" w:lineRule="exact"/>
      <w:jc w:val="center"/>
    </w:pPr>
    <w:rPr>
      <w:rFonts w:ascii="宋体"/>
      <w:color w:val="000000"/>
      <w:szCs w:val="21"/>
    </w:rPr>
  </w:style>
  <w:style w:type="character" w:customStyle="1" w:styleId="106">
    <w:name w:val="样式 首行缩进:  2 字符 Char"/>
    <w:link w:val="107"/>
    <w:qFormat/>
    <w:uiPriority w:val="0"/>
    <w:rPr>
      <w:rFonts w:eastAsia="宋体" w:cs="宋体"/>
      <w:kern w:val="2"/>
      <w:sz w:val="28"/>
      <w:lang w:val="en-US" w:eastAsia="zh-CN" w:bidi="ar-SA"/>
    </w:rPr>
  </w:style>
  <w:style w:type="paragraph" w:customStyle="1" w:styleId="107">
    <w:name w:val="样式 首行缩进:  2 字符"/>
    <w:basedOn w:val="1"/>
    <w:link w:val="106"/>
    <w:qFormat/>
    <w:uiPriority w:val="0"/>
    <w:pPr>
      <w:spacing w:line="360" w:lineRule="auto"/>
      <w:ind w:firstLine="560" w:firstLineChars="200"/>
      <w:jc w:val="left"/>
    </w:pPr>
    <w:rPr>
      <w:rFonts w:cs="宋体"/>
      <w:sz w:val="28"/>
      <w:szCs w:val="20"/>
    </w:rPr>
  </w:style>
  <w:style w:type="character" w:customStyle="1" w:styleId="108">
    <w:name w:val="title13"/>
    <w:qFormat/>
    <w:uiPriority w:val="0"/>
  </w:style>
  <w:style w:type="character" w:customStyle="1" w:styleId="109">
    <w:name w:val="正文缩进2格 Char"/>
    <w:link w:val="110"/>
    <w:qFormat/>
    <w:locked/>
    <w:uiPriority w:val="0"/>
    <w:rPr>
      <w:rFonts w:ascii="仿宋_GB2312" w:hAnsi="宋体" w:eastAsia="仿宋_GB2312"/>
      <w:sz w:val="31"/>
    </w:rPr>
  </w:style>
  <w:style w:type="paragraph" w:customStyle="1" w:styleId="110">
    <w:name w:val="正文缩进2格"/>
    <w:basedOn w:val="1"/>
    <w:link w:val="109"/>
    <w:qFormat/>
    <w:uiPriority w:val="0"/>
    <w:pPr>
      <w:spacing w:line="600" w:lineRule="exact"/>
      <w:ind w:firstLine="639" w:firstLineChars="206"/>
    </w:pPr>
    <w:rPr>
      <w:rFonts w:ascii="仿宋_GB2312" w:hAnsi="宋体" w:eastAsia="仿宋_GB2312"/>
      <w:kern w:val="0"/>
      <w:sz w:val="31"/>
      <w:szCs w:val="20"/>
    </w:rPr>
  </w:style>
  <w:style w:type="character" w:customStyle="1" w:styleId="111">
    <w:name w:val="样式9 Char"/>
    <w:link w:val="112"/>
    <w:qFormat/>
    <w:locked/>
    <w:uiPriority w:val="0"/>
    <w:rPr>
      <w:rFonts w:ascii="Calibri" w:hAnsi="Calibri" w:eastAsia="宋体" w:cs="Times New Roman"/>
      <w:b/>
      <w:bCs/>
      <w:kern w:val="2"/>
      <w:sz w:val="24"/>
      <w:szCs w:val="24"/>
    </w:rPr>
  </w:style>
  <w:style w:type="paragraph" w:customStyle="1" w:styleId="112">
    <w:name w:val="样式9"/>
    <w:basedOn w:val="9"/>
    <w:next w:val="113"/>
    <w:link w:val="111"/>
    <w:qFormat/>
    <w:uiPriority w:val="0"/>
    <w:pPr>
      <w:keepNext w:val="0"/>
      <w:keepLines w:val="0"/>
      <w:tabs>
        <w:tab w:val="left" w:pos="2520"/>
      </w:tabs>
      <w:adjustRightInd w:val="0"/>
      <w:snapToGrid w:val="0"/>
      <w:spacing w:after="120" w:line="360" w:lineRule="auto"/>
      <w:jc w:val="left"/>
      <w:outlineLvl w:val="4"/>
    </w:pPr>
  </w:style>
  <w:style w:type="paragraph" w:customStyle="1" w:styleId="113">
    <w:name w:val="样式8"/>
    <w:basedOn w:val="1"/>
    <w:qFormat/>
    <w:uiPriority w:val="0"/>
    <w:pPr>
      <w:spacing w:line="440" w:lineRule="exact"/>
    </w:pPr>
    <w:rPr>
      <w:rFonts w:eastAsia="黑体"/>
      <w:b/>
      <w:sz w:val="24"/>
      <w:szCs w:val="30"/>
    </w:rPr>
  </w:style>
  <w:style w:type="character" w:customStyle="1" w:styleId="114">
    <w:name w:val="m3 Char"/>
    <w:link w:val="115"/>
    <w:qFormat/>
    <w:locked/>
    <w:uiPriority w:val="0"/>
    <w:rPr>
      <w:rFonts w:ascii="Calibri" w:hAnsi="Calibri"/>
      <w:b/>
      <w:sz w:val="28"/>
    </w:rPr>
  </w:style>
  <w:style w:type="paragraph" w:customStyle="1" w:styleId="115">
    <w:name w:val="m3"/>
    <w:basedOn w:val="1"/>
    <w:link w:val="114"/>
    <w:qFormat/>
    <w:uiPriority w:val="0"/>
    <w:pPr>
      <w:tabs>
        <w:tab w:val="left" w:pos="1823"/>
      </w:tabs>
      <w:ind w:left="1823" w:hanging="420"/>
    </w:pPr>
    <w:rPr>
      <w:rFonts w:ascii="Calibri" w:hAnsi="Calibri"/>
      <w:b/>
      <w:kern w:val="0"/>
      <w:sz w:val="28"/>
      <w:szCs w:val="20"/>
    </w:rPr>
  </w:style>
  <w:style w:type="character" w:customStyle="1" w:styleId="116">
    <w:name w:val="index Char1"/>
    <w:qFormat/>
    <w:uiPriority w:val="0"/>
    <w:rPr>
      <w:color w:val="000000"/>
      <w:sz w:val="18"/>
      <w:szCs w:val="18"/>
      <w:lang w:val="zh-CN"/>
    </w:rPr>
  </w:style>
  <w:style w:type="character" w:customStyle="1" w:styleId="117">
    <w:name w:val="CharAttribute5"/>
    <w:qFormat/>
    <w:uiPriority w:val="0"/>
    <w:rPr>
      <w:rFonts w:hint="eastAsia" w:ascii="宋体" w:hAnsi="宋体" w:eastAsia="宋体"/>
      <w:b/>
      <w:sz w:val="30"/>
      <w:vertAlign w:val="superscript"/>
    </w:rPr>
  </w:style>
  <w:style w:type="character" w:customStyle="1" w:styleId="118">
    <w:name w:val="图表标题 Char1"/>
    <w:link w:val="119"/>
    <w:qFormat/>
    <w:locked/>
    <w:uiPriority w:val="0"/>
    <w:rPr>
      <w:rFonts w:ascii="华文楷体" w:hAnsi="华文楷体" w:eastAsia="华文楷体"/>
      <w:sz w:val="24"/>
      <w:szCs w:val="24"/>
    </w:rPr>
  </w:style>
  <w:style w:type="paragraph" w:customStyle="1" w:styleId="119">
    <w:name w:val="图表标题"/>
    <w:basedOn w:val="16"/>
    <w:link w:val="118"/>
    <w:qFormat/>
    <w:uiPriority w:val="0"/>
    <w:pPr>
      <w:spacing w:line="360" w:lineRule="auto"/>
    </w:pPr>
    <w:rPr>
      <w:rFonts w:ascii="华文楷体" w:hAnsi="华文楷体" w:eastAsia="华文楷体" w:cs="Times New Roman"/>
      <w:kern w:val="0"/>
    </w:rPr>
  </w:style>
  <w:style w:type="character" w:customStyle="1" w:styleId="120">
    <w:name w:val="表格填充1 Char"/>
    <w:link w:val="121"/>
    <w:qFormat/>
    <w:locked/>
    <w:uiPriority w:val="0"/>
    <w:rPr>
      <w:snapToGrid w:val="0"/>
      <w:kern w:val="2"/>
      <w:sz w:val="18"/>
    </w:rPr>
  </w:style>
  <w:style w:type="paragraph" w:customStyle="1" w:styleId="121">
    <w:name w:val="表格填充1"/>
    <w:basedOn w:val="1"/>
    <w:link w:val="120"/>
    <w:qFormat/>
    <w:uiPriority w:val="0"/>
    <w:pPr>
      <w:adjustRightInd w:val="0"/>
      <w:snapToGrid w:val="0"/>
      <w:spacing w:line="400" w:lineRule="exact"/>
      <w:jc w:val="center"/>
    </w:pPr>
    <w:rPr>
      <w:snapToGrid w:val="0"/>
      <w:sz w:val="18"/>
      <w:szCs w:val="20"/>
    </w:rPr>
  </w:style>
  <w:style w:type="character" w:customStyle="1" w:styleId="122">
    <w:name w:val="段落 Char"/>
    <w:qFormat/>
    <w:uiPriority w:val="0"/>
    <w:rPr>
      <w:rFonts w:eastAsia="宋体"/>
      <w:color w:val="000000"/>
      <w:spacing w:val="6"/>
      <w:sz w:val="24"/>
      <w:szCs w:val="24"/>
      <w:lang w:val="en-US" w:eastAsia="zh-CN" w:bidi="ar-SA"/>
    </w:rPr>
  </w:style>
  <w:style w:type="character" w:customStyle="1" w:styleId="123">
    <w:name w:val="样式4 Char"/>
    <w:link w:val="124"/>
    <w:qFormat/>
    <w:locked/>
    <w:uiPriority w:val="0"/>
    <w:rPr>
      <w:rFonts w:ascii="Calibri" w:hAnsi="Calibri" w:eastAsia="宋体" w:cs="Times New Roman"/>
      <w:bCs/>
      <w:kern w:val="2"/>
      <w:sz w:val="21"/>
      <w:szCs w:val="22"/>
    </w:rPr>
  </w:style>
  <w:style w:type="paragraph" w:customStyle="1" w:styleId="124">
    <w:name w:val="样式4"/>
    <w:basedOn w:val="1"/>
    <w:link w:val="123"/>
    <w:qFormat/>
    <w:uiPriority w:val="0"/>
    <w:rPr>
      <w:rFonts w:ascii="Calibri" w:hAnsi="Calibri"/>
      <w:bCs/>
      <w:szCs w:val="22"/>
    </w:rPr>
  </w:style>
  <w:style w:type="character" w:customStyle="1" w:styleId="125">
    <w:name w:val="标题 2 Char2"/>
    <w:qFormat/>
    <w:uiPriority w:val="0"/>
    <w:rPr>
      <w:rFonts w:eastAsia="黑体"/>
      <w:bCs/>
      <w:kern w:val="2"/>
      <w:sz w:val="28"/>
      <w:szCs w:val="28"/>
      <w:lang w:val="en-US" w:eastAsia="zh-CN" w:bidi="ar-SA"/>
    </w:rPr>
  </w:style>
  <w:style w:type="character" w:customStyle="1" w:styleId="126">
    <w:name w:val="albumcount2"/>
    <w:qFormat/>
    <w:uiPriority w:val="0"/>
  </w:style>
  <w:style w:type="character" w:customStyle="1" w:styleId="127">
    <w:name w:val="h31"/>
    <w:qFormat/>
    <w:uiPriority w:val="0"/>
    <w:rPr>
      <w:sz w:val="28"/>
      <w:szCs w:val="28"/>
    </w:rPr>
  </w:style>
  <w:style w:type="character" w:customStyle="1" w:styleId="128">
    <w:name w:val="ENFI正文 Char Char"/>
    <w:link w:val="129"/>
    <w:qFormat/>
    <w:uiPriority w:val="0"/>
    <w:rPr>
      <w:rFonts w:eastAsia="仿宋_GB2312"/>
      <w:snapToGrid w:val="0"/>
      <w:color w:val="000000"/>
      <w:sz w:val="28"/>
    </w:rPr>
  </w:style>
  <w:style w:type="paragraph" w:customStyle="1" w:styleId="129">
    <w:name w:val="ENFI正文"/>
    <w:basedOn w:val="1"/>
    <w:link w:val="128"/>
    <w:qFormat/>
    <w:uiPriority w:val="0"/>
    <w:pPr>
      <w:adjustRightInd w:val="0"/>
      <w:snapToGrid w:val="0"/>
      <w:spacing w:line="500" w:lineRule="exact"/>
      <w:ind w:firstLine="567"/>
    </w:pPr>
    <w:rPr>
      <w:rFonts w:eastAsia="仿宋_GB2312"/>
      <w:snapToGrid w:val="0"/>
      <w:color w:val="000000"/>
      <w:kern w:val="0"/>
      <w:sz w:val="28"/>
      <w:szCs w:val="20"/>
    </w:rPr>
  </w:style>
  <w:style w:type="character" w:customStyle="1" w:styleId="130">
    <w:name w:val="breakword"/>
    <w:qFormat/>
    <w:uiPriority w:val="0"/>
  </w:style>
  <w:style w:type="character" w:customStyle="1" w:styleId="131">
    <w:name w:val="Char Char2"/>
    <w:qFormat/>
    <w:locked/>
    <w:uiPriority w:val="0"/>
    <w:rPr>
      <w:rFonts w:hint="eastAsia" w:ascii="幼圆" w:eastAsia="幼圆"/>
      <w:b/>
      <w:bCs/>
      <w:kern w:val="2"/>
      <w:sz w:val="24"/>
      <w:szCs w:val="24"/>
      <w:lang w:val="en-US" w:eastAsia="zh-CN" w:bidi="ar-SA"/>
    </w:rPr>
  </w:style>
  <w:style w:type="character" w:customStyle="1" w:styleId="132">
    <w:name w:val="正文11 Char"/>
    <w:link w:val="133"/>
    <w:qFormat/>
    <w:uiPriority w:val="0"/>
    <w:rPr>
      <w:rFonts w:eastAsia="宋体"/>
      <w:bCs/>
      <w:color w:val="000000"/>
      <w:sz w:val="24"/>
      <w:szCs w:val="24"/>
      <w:lang w:val="en-US" w:eastAsia="zh-CN" w:bidi="ar-SA"/>
    </w:rPr>
  </w:style>
  <w:style w:type="paragraph" w:customStyle="1" w:styleId="133">
    <w:name w:val="正文11"/>
    <w:basedOn w:val="1"/>
    <w:link w:val="132"/>
    <w:qFormat/>
    <w:uiPriority w:val="0"/>
    <w:pPr>
      <w:adjustRightInd w:val="0"/>
      <w:spacing w:line="360" w:lineRule="auto"/>
      <w:ind w:right="210" w:firstLine="480" w:firstLineChars="200"/>
    </w:pPr>
    <w:rPr>
      <w:bCs/>
      <w:color w:val="000000"/>
      <w:kern w:val="0"/>
      <w:sz w:val="24"/>
    </w:rPr>
  </w:style>
  <w:style w:type="character" w:customStyle="1" w:styleId="134">
    <w:name w:val="标题 1 Char3"/>
    <w:qFormat/>
    <w:locked/>
    <w:uiPriority w:val="0"/>
    <w:rPr>
      <w:rFonts w:ascii="宋体"/>
      <w:kern w:val="2"/>
      <w:sz w:val="28"/>
    </w:rPr>
  </w:style>
  <w:style w:type="character" w:customStyle="1" w:styleId="135">
    <w:name w:val="日期 Char1"/>
    <w:qFormat/>
    <w:uiPriority w:val="0"/>
    <w:rPr>
      <w:kern w:val="2"/>
      <w:sz w:val="21"/>
      <w:szCs w:val="24"/>
    </w:rPr>
  </w:style>
  <w:style w:type="character" w:customStyle="1" w:styleId="136">
    <w:name w:val="表格文字 Char Char"/>
    <w:qFormat/>
    <w:uiPriority w:val="0"/>
    <w:rPr>
      <w:color w:val="000000"/>
      <w:kern w:val="40"/>
      <w:sz w:val="21"/>
      <w:szCs w:val="30"/>
      <w:lang w:val="en-US" w:eastAsia="zh-CN"/>
    </w:rPr>
  </w:style>
  <w:style w:type="character" w:customStyle="1" w:styleId="137">
    <w:name w:val="m2 Char"/>
    <w:link w:val="138"/>
    <w:qFormat/>
    <w:locked/>
    <w:uiPriority w:val="0"/>
    <w:rPr>
      <w:rFonts w:ascii="Calibri" w:hAnsi="Calibri"/>
      <w:b/>
      <w:sz w:val="28"/>
    </w:rPr>
  </w:style>
  <w:style w:type="paragraph" w:customStyle="1" w:styleId="138">
    <w:name w:val="m2"/>
    <w:basedOn w:val="1"/>
    <w:link w:val="137"/>
    <w:qFormat/>
    <w:uiPriority w:val="0"/>
    <w:pPr>
      <w:tabs>
        <w:tab w:val="left" w:pos="1403"/>
      </w:tabs>
      <w:ind w:left="1403" w:hanging="420"/>
    </w:pPr>
    <w:rPr>
      <w:rFonts w:ascii="Calibri" w:hAnsi="Calibri"/>
      <w:b/>
      <w:kern w:val="0"/>
      <w:sz w:val="28"/>
      <w:szCs w:val="20"/>
    </w:rPr>
  </w:style>
  <w:style w:type="character" w:customStyle="1" w:styleId="139">
    <w:name w:val="205正文 Char"/>
    <w:link w:val="140"/>
    <w:qFormat/>
    <w:locked/>
    <w:uiPriority w:val="0"/>
    <w:rPr>
      <w:rFonts w:eastAsia="仿宋_GB2312"/>
      <w:color w:val="000000"/>
      <w:sz w:val="24"/>
      <w:szCs w:val="24"/>
    </w:rPr>
  </w:style>
  <w:style w:type="paragraph" w:customStyle="1" w:styleId="140">
    <w:name w:val="205正文"/>
    <w:basedOn w:val="1"/>
    <w:link w:val="139"/>
    <w:qFormat/>
    <w:uiPriority w:val="0"/>
    <w:pPr>
      <w:spacing w:line="360" w:lineRule="auto"/>
      <w:ind w:firstLine="480" w:firstLineChars="200"/>
    </w:pPr>
    <w:rPr>
      <w:rFonts w:eastAsia="仿宋_GB2312"/>
      <w:color w:val="000000"/>
      <w:kern w:val="0"/>
      <w:sz w:val="24"/>
    </w:rPr>
  </w:style>
  <w:style w:type="character" w:customStyle="1" w:styleId="141">
    <w:name w:val="List Paragraph Char"/>
    <w:link w:val="142"/>
    <w:qFormat/>
    <w:locked/>
    <w:uiPriority w:val="0"/>
    <w:rPr>
      <w:rFonts w:ascii="Calibri" w:hAnsi="Calibri" w:cs="Calibri"/>
      <w:color w:val="000000"/>
      <w:sz w:val="22"/>
    </w:rPr>
  </w:style>
  <w:style w:type="paragraph" w:customStyle="1" w:styleId="142">
    <w:name w:val="列出段落1"/>
    <w:basedOn w:val="1"/>
    <w:link w:val="141"/>
    <w:qFormat/>
    <w:uiPriority w:val="0"/>
    <w:pPr>
      <w:widowControl/>
      <w:spacing w:after="160" w:line="256" w:lineRule="auto"/>
      <w:ind w:firstLine="420" w:firstLineChars="200"/>
      <w:jc w:val="left"/>
    </w:pPr>
    <w:rPr>
      <w:rFonts w:ascii="Calibri" w:hAnsi="Calibri"/>
      <w:color w:val="000000"/>
      <w:kern w:val="0"/>
      <w:sz w:val="22"/>
      <w:szCs w:val="20"/>
    </w:rPr>
  </w:style>
  <w:style w:type="character" w:customStyle="1" w:styleId="143">
    <w:name w:val="中文正文 Char"/>
    <w:link w:val="144"/>
    <w:semiHidden/>
    <w:qFormat/>
    <w:locked/>
    <w:uiPriority w:val="0"/>
    <w:rPr>
      <w:sz w:val="24"/>
    </w:rPr>
  </w:style>
  <w:style w:type="paragraph" w:customStyle="1" w:styleId="144">
    <w:name w:val="中文正文"/>
    <w:basedOn w:val="1"/>
    <w:link w:val="143"/>
    <w:semiHidden/>
    <w:qFormat/>
    <w:uiPriority w:val="0"/>
    <w:pPr>
      <w:spacing w:beforeLines="50" w:line="360" w:lineRule="auto"/>
      <w:ind w:firstLine="480" w:firstLineChars="200"/>
    </w:pPr>
    <w:rPr>
      <w:kern w:val="0"/>
      <w:sz w:val="24"/>
      <w:szCs w:val="20"/>
    </w:rPr>
  </w:style>
  <w:style w:type="character" w:customStyle="1" w:styleId="145">
    <w:name w:val="font51"/>
    <w:qFormat/>
    <w:uiPriority w:val="0"/>
    <w:rPr>
      <w:rFonts w:hint="default" w:ascii="Times New Roman" w:hAnsi="Times New Roman" w:cs="Times New Roman"/>
      <w:color w:val="000000"/>
      <w:sz w:val="21"/>
      <w:szCs w:val="21"/>
      <w:u w:val="none"/>
      <w:vertAlign w:val="superscript"/>
    </w:rPr>
  </w:style>
  <w:style w:type="character" w:customStyle="1" w:styleId="146">
    <w:name w:val="headline-content4"/>
    <w:qFormat/>
    <w:uiPriority w:val="0"/>
  </w:style>
  <w:style w:type="character" w:customStyle="1" w:styleId="147">
    <w:name w:val="+列表编号 Char Char Char Char"/>
    <w:link w:val="148"/>
    <w:qFormat/>
    <w:locked/>
    <w:uiPriority w:val="0"/>
    <w:rPr>
      <w:rFonts w:ascii="黑体" w:hAnsi="黑体" w:eastAsia="黑体"/>
      <w:bCs/>
      <w:szCs w:val="21"/>
    </w:rPr>
  </w:style>
  <w:style w:type="paragraph" w:customStyle="1" w:styleId="148">
    <w:name w:val="+列表编号 Char Char"/>
    <w:basedOn w:val="1"/>
    <w:link w:val="147"/>
    <w:qFormat/>
    <w:uiPriority w:val="0"/>
    <w:pPr>
      <w:tabs>
        <w:tab w:val="center" w:pos="4200"/>
        <w:tab w:val="right" w:pos="8400"/>
      </w:tabs>
      <w:adjustRightInd w:val="0"/>
      <w:snapToGrid w:val="0"/>
      <w:spacing w:beforeLines="50" w:line="360" w:lineRule="auto"/>
      <w:jc w:val="center"/>
    </w:pPr>
    <w:rPr>
      <w:rFonts w:ascii="黑体" w:hAnsi="黑体" w:eastAsia="黑体"/>
      <w:bCs/>
      <w:kern w:val="0"/>
      <w:sz w:val="20"/>
      <w:szCs w:val="21"/>
    </w:rPr>
  </w:style>
  <w:style w:type="character" w:customStyle="1" w:styleId="149">
    <w:name w:val="样式5 Char Char"/>
    <w:qFormat/>
    <w:uiPriority w:val="0"/>
    <w:rPr>
      <w:kern w:val="2"/>
      <w:sz w:val="21"/>
      <w:szCs w:val="24"/>
    </w:rPr>
  </w:style>
  <w:style w:type="character" w:customStyle="1" w:styleId="150">
    <w:name w:val="正文首行缩进 Char2"/>
    <w:qFormat/>
    <w:uiPriority w:val="0"/>
    <w:rPr>
      <w:rFonts w:ascii="Times New Roman" w:hAnsi="Times New Roman" w:eastAsia="宋体" w:cs="Times New Roman"/>
      <w:szCs w:val="24"/>
    </w:rPr>
  </w:style>
  <w:style w:type="character" w:customStyle="1" w:styleId="151">
    <w:name w:val="正文文本缩进 Char2"/>
    <w:qFormat/>
    <w:uiPriority w:val="0"/>
    <w:rPr>
      <w:kern w:val="2"/>
      <w:sz w:val="21"/>
      <w:szCs w:val="24"/>
    </w:rPr>
  </w:style>
  <w:style w:type="character" w:customStyle="1" w:styleId="152">
    <w:name w:val="Char Char1"/>
    <w:qFormat/>
    <w:uiPriority w:val="0"/>
    <w:rPr>
      <w:rFonts w:hint="eastAsia" w:ascii="宋体" w:hAnsi="Courier New" w:eastAsia="宋体"/>
      <w:kern w:val="2"/>
      <w:sz w:val="21"/>
      <w:lang w:val="en-US" w:eastAsia="zh-CN" w:bidi="ar-SA"/>
    </w:rPr>
  </w:style>
  <w:style w:type="character" w:customStyle="1" w:styleId="153">
    <w:name w:val="Char Char11"/>
    <w:qFormat/>
    <w:uiPriority w:val="0"/>
    <w:rPr>
      <w:rFonts w:eastAsia="黑体"/>
      <w:bCs/>
      <w:kern w:val="2"/>
      <w:sz w:val="28"/>
      <w:szCs w:val="28"/>
      <w:lang w:val="en-US" w:eastAsia="zh-CN" w:bidi="ar-SA"/>
    </w:rPr>
  </w:style>
  <w:style w:type="paragraph" w:customStyle="1" w:styleId="154">
    <w:name w:val="样式 左"/>
    <w:basedOn w:val="1"/>
    <w:link w:val="155"/>
    <w:qFormat/>
    <w:uiPriority w:val="0"/>
    <w:pPr>
      <w:spacing w:line="360" w:lineRule="auto"/>
      <w:ind w:firstLine="200" w:firstLineChars="200"/>
      <w:jc w:val="left"/>
    </w:pPr>
    <w:rPr>
      <w:sz w:val="24"/>
      <w:szCs w:val="20"/>
    </w:rPr>
  </w:style>
  <w:style w:type="character" w:customStyle="1" w:styleId="155">
    <w:name w:val="样式 左 Char"/>
    <w:link w:val="154"/>
    <w:qFormat/>
    <w:uiPriority w:val="0"/>
    <w:rPr>
      <w:rFonts w:cs="宋体"/>
      <w:kern w:val="2"/>
      <w:sz w:val="24"/>
    </w:rPr>
  </w:style>
  <w:style w:type="character" w:customStyle="1" w:styleId="156">
    <w:name w:val="m1 Char"/>
    <w:link w:val="157"/>
    <w:qFormat/>
    <w:locked/>
    <w:uiPriority w:val="0"/>
    <w:rPr>
      <w:rFonts w:ascii="Calibri" w:hAnsi="Calibri"/>
      <w:b/>
      <w:sz w:val="32"/>
    </w:rPr>
  </w:style>
  <w:style w:type="paragraph" w:customStyle="1" w:styleId="157">
    <w:name w:val="m1"/>
    <w:basedOn w:val="1"/>
    <w:link w:val="156"/>
    <w:qFormat/>
    <w:uiPriority w:val="0"/>
    <w:pPr>
      <w:tabs>
        <w:tab w:val="left" w:pos="983"/>
      </w:tabs>
      <w:ind w:left="983" w:hanging="420"/>
    </w:pPr>
    <w:rPr>
      <w:rFonts w:ascii="Calibri" w:hAnsi="Calibri"/>
      <w:b/>
      <w:kern w:val="0"/>
      <w:sz w:val="32"/>
      <w:szCs w:val="20"/>
    </w:rPr>
  </w:style>
  <w:style w:type="character" w:customStyle="1" w:styleId="158">
    <w:name w:val="ENFI表体 Char Char"/>
    <w:link w:val="159"/>
    <w:qFormat/>
    <w:uiPriority w:val="0"/>
    <w:rPr>
      <w:rFonts w:ascii="Calibri" w:hAnsi="Calibri" w:eastAsia="仿宋_GB2312"/>
      <w:sz w:val="21"/>
      <w:szCs w:val="21"/>
    </w:rPr>
  </w:style>
  <w:style w:type="paragraph" w:customStyle="1" w:styleId="159">
    <w:name w:val="ENFI表体"/>
    <w:basedOn w:val="1"/>
    <w:link w:val="158"/>
    <w:qFormat/>
    <w:uiPriority w:val="0"/>
    <w:pPr>
      <w:widowControl/>
      <w:adjustRightInd w:val="0"/>
      <w:snapToGrid w:val="0"/>
      <w:spacing w:before="20"/>
      <w:jc w:val="center"/>
    </w:pPr>
    <w:rPr>
      <w:rFonts w:ascii="Calibri" w:hAnsi="Calibri" w:eastAsia="仿宋_GB2312"/>
      <w:kern w:val="0"/>
      <w:szCs w:val="21"/>
    </w:rPr>
  </w:style>
  <w:style w:type="character" w:customStyle="1" w:styleId="160">
    <w:name w:val="样式6 Char1"/>
    <w:qFormat/>
    <w:uiPriority w:val="0"/>
    <w:rPr>
      <w:kern w:val="2"/>
      <w:sz w:val="24"/>
      <w:szCs w:val="21"/>
    </w:rPr>
  </w:style>
  <w:style w:type="character" w:customStyle="1" w:styleId="161">
    <w:name w:val="样式5 Char"/>
    <w:qFormat/>
    <w:uiPriority w:val="0"/>
    <w:rPr>
      <w:rFonts w:eastAsia="宋体"/>
      <w:kern w:val="2"/>
      <w:sz w:val="24"/>
      <w:szCs w:val="24"/>
      <w:lang w:val="en-US" w:eastAsia="zh-CN" w:bidi="ar-SA"/>
    </w:rPr>
  </w:style>
  <w:style w:type="character" w:customStyle="1" w:styleId="162">
    <w:name w:val="表文字 Char"/>
    <w:link w:val="163"/>
    <w:qFormat/>
    <w:uiPriority w:val="0"/>
    <w:rPr>
      <w:rFonts w:eastAsia="宋体"/>
      <w:sz w:val="24"/>
      <w:lang w:val="en-US" w:eastAsia="zh-CN" w:bidi="ar-SA"/>
    </w:rPr>
  </w:style>
  <w:style w:type="paragraph" w:customStyle="1" w:styleId="163">
    <w:name w:val="表文字"/>
    <w:basedOn w:val="1"/>
    <w:link w:val="162"/>
    <w:qFormat/>
    <w:uiPriority w:val="0"/>
    <w:pPr>
      <w:overflowPunct w:val="0"/>
      <w:autoSpaceDE w:val="0"/>
      <w:autoSpaceDN w:val="0"/>
      <w:adjustRightInd w:val="0"/>
      <w:jc w:val="center"/>
    </w:pPr>
    <w:rPr>
      <w:kern w:val="0"/>
      <w:sz w:val="24"/>
      <w:szCs w:val="20"/>
    </w:rPr>
  </w:style>
  <w:style w:type="character" w:customStyle="1" w:styleId="164">
    <w:name w:val="xl26 Char"/>
    <w:link w:val="165"/>
    <w:qFormat/>
    <w:uiPriority w:val="0"/>
    <w:rPr>
      <w:rFonts w:eastAsia="宋体"/>
      <w:sz w:val="21"/>
      <w:lang w:val="en-US" w:eastAsia="zh-CN" w:bidi="ar-SA"/>
    </w:rPr>
  </w:style>
  <w:style w:type="paragraph" w:customStyle="1" w:styleId="165">
    <w:name w:val="xl26"/>
    <w:basedOn w:val="1"/>
    <w:link w:val="164"/>
    <w:qFormat/>
    <w:uiPriority w:val="0"/>
    <w:pPr>
      <w:widowControl/>
      <w:spacing w:before="100" w:after="100"/>
      <w:jc w:val="center"/>
    </w:pPr>
    <w:rPr>
      <w:kern w:val="0"/>
      <w:szCs w:val="20"/>
    </w:rPr>
  </w:style>
  <w:style w:type="character" w:customStyle="1" w:styleId="166">
    <w:name w:val="样式7 Char1"/>
    <w:link w:val="167"/>
    <w:qFormat/>
    <w:uiPriority w:val="0"/>
    <w:rPr>
      <w:kern w:val="2"/>
      <w:sz w:val="24"/>
      <w:szCs w:val="24"/>
    </w:rPr>
  </w:style>
  <w:style w:type="paragraph" w:customStyle="1" w:styleId="167">
    <w:name w:val="样式7"/>
    <w:basedOn w:val="1"/>
    <w:link w:val="166"/>
    <w:qFormat/>
    <w:uiPriority w:val="0"/>
    <w:pPr>
      <w:adjustRightInd w:val="0"/>
      <w:spacing w:line="440" w:lineRule="exact"/>
      <w:ind w:firstLine="200" w:firstLineChars="200"/>
    </w:pPr>
    <w:rPr>
      <w:sz w:val="24"/>
    </w:rPr>
  </w:style>
  <w:style w:type="character" w:customStyle="1" w:styleId="168">
    <w:name w:val="表格内容 Char Char"/>
    <w:qFormat/>
    <w:uiPriority w:val="0"/>
    <w:rPr>
      <w:rFonts w:eastAsia="宋体"/>
      <w:snapToGrid w:val="0"/>
      <w:spacing w:val="4"/>
      <w:kern w:val="2"/>
      <w:sz w:val="21"/>
      <w:szCs w:val="21"/>
      <w:lang w:val="en-US" w:eastAsia="zh-CN" w:bidi="ar-SA"/>
    </w:rPr>
  </w:style>
  <w:style w:type="character" w:customStyle="1" w:styleId="169">
    <w:name w:val="样式 四号 首行缩进:  0.99 厘米 行距: 固定值 25 磅1 Char"/>
    <w:link w:val="170"/>
    <w:qFormat/>
    <w:uiPriority w:val="0"/>
    <w:rPr>
      <w:rFonts w:eastAsia="宋体" w:cs="宋体"/>
      <w:kern w:val="2"/>
      <w:sz w:val="28"/>
      <w:lang w:val="en-US" w:eastAsia="zh-CN" w:bidi="ar-SA"/>
    </w:rPr>
  </w:style>
  <w:style w:type="paragraph" w:customStyle="1" w:styleId="170">
    <w:name w:val="样式 四号 首行缩进:  0.99 厘米 行距: 固定值 25 磅1"/>
    <w:basedOn w:val="1"/>
    <w:link w:val="169"/>
    <w:qFormat/>
    <w:uiPriority w:val="0"/>
    <w:pPr>
      <w:spacing w:line="500" w:lineRule="exact"/>
      <w:ind w:firstLine="560"/>
    </w:pPr>
    <w:rPr>
      <w:rFonts w:cs="宋体"/>
      <w:sz w:val="28"/>
      <w:szCs w:val="20"/>
    </w:rPr>
  </w:style>
  <w:style w:type="character" w:customStyle="1" w:styleId="171">
    <w:name w:val="网格型c Char"/>
    <w:qFormat/>
    <w:uiPriority w:val="0"/>
    <w:rPr>
      <w:rFonts w:eastAsia="宋体"/>
      <w:kern w:val="2"/>
      <w:sz w:val="21"/>
      <w:szCs w:val="21"/>
      <w:lang w:val="en-US" w:eastAsia="zh-CN" w:bidi="ar-SA"/>
    </w:rPr>
  </w:style>
  <w:style w:type="character" w:customStyle="1" w:styleId="172">
    <w:name w:val="0正文 Char"/>
    <w:qFormat/>
    <w:uiPriority w:val="0"/>
    <w:rPr>
      <w:rFonts w:hint="default" w:ascii="Arial" w:hAnsi="Arial" w:cs="Arial"/>
      <w:kern w:val="2"/>
      <w:sz w:val="21"/>
      <w:szCs w:val="21"/>
    </w:rPr>
  </w:style>
  <w:style w:type="character" w:customStyle="1" w:styleId="173">
    <w:name w:val="duanluo10pt"/>
    <w:qFormat/>
    <w:uiPriority w:val="0"/>
  </w:style>
  <w:style w:type="character" w:customStyle="1" w:styleId="174">
    <w:name w:val="正文文本缩进 2 Char"/>
    <w:qFormat/>
    <w:uiPriority w:val="0"/>
    <w:rPr>
      <w:rFonts w:eastAsia="宋体"/>
      <w:kern w:val="2"/>
      <w:sz w:val="28"/>
      <w:szCs w:val="24"/>
      <w:lang w:val="en-US" w:eastAsia="zh-CN" w:bidi="ar-SA"/>
    </w:rPr>
  </w:style>
  <w:style w:type="character" w:customStyle="1" w:styleId="175">
    <w:name w:val="标题2-无编号 Char"/>
    <w:link w:val="176"/>
    <w:qFormat/>
    <w:locked/>
    <w:uiPriority w:val="0"/>
    <w:rPr>
      <w:rFonts w:ascii="Cambria" w:hAnsi="Cambria" w:eastAsia="宋体" w:cs="Times New Roman"/>
      <w:b/>
      <w:bCs/>
      <w:kern w:val="2"/>
      <w:sz w:val="28"/>
      <w:szCs w:val="28"/>
    </w:rPr>
  </w:style>
  <w:style w:type="paragraph" w:customStyle="1" w:styleId="176">
    <w:name w:val="标题2-无编号"/>
    <w:basedOn w:val="4"/>
    <w:link w:val="175"/>
    <w:qFormat/>
    <w:uiPriority w:val="0"/>
    <w:pPr>
      <w:numPr>
        <w:ilvl w:val="0"/>
        <w:numId w:val="0"/>
      </w:numPr>
      <w:jc w:val="center"/>
    </w:pPr>
    <w:rPr>
      <w:rFonts w:ascii="Cambria" w:hAnsi="Cambria" w:eastAsia="宋体"/>
      <w:b/>
    </w:rPr>
  </w:style>
  <w:style w:type="character" w:customStyle="1" w:styleId="177">
    <w:name w:val="报告表正文 Char"/>
    <w:link w:val="178"/>
    <w:qFormat/>
    <w:uiPriority w:val="0"/>
    <w:rPr>
      <w:rFonts w:eastAsia="宋体"/>
      <w:kern w:val="2"/>
      <w:sz w:val="24"/>
      <w:szCs w:val="24"/>
      <w:lang w:val="en-US" w:eastAsia="zh-CN" w:bidi="ar-SA"/>
    </w:rPr>
  </w:style>
  <w:style w:type="paragraph" w:customStyle="1" w:styleId="178">
    <w:name w:val="报告表正文"/>
    <w:basedOn w:val="35"/>
    <w:next w:val="35"/>
    <w:link w:val="177"/>
    <w:qFormat/>
    <w:uiPriority w:val="0"/>
    <w:pPr>
      <w:spacing w:after="0" w:line="360" w:lineRule="auto"/>
      <w:ind w:left="0" w:leftChars="0" w:firstLine="200" w:firstLineChars="200"/>
    </w:pPr>
    <w:rPr>
      <w:sz w:val="24"/>
    </w:rPr>
  </w:style>
  <w:style w:type="character" w:customStyle="1" w:styleId="179">
    <w:name w:val="表格文字 Char"/>
    <w:link w:val="180"/>
    <w:qFormat/>
    <w:uiPriority w:val="0"/>
    <w:rPr>
      <w:rFonts w:eastAsia="宋体"/>
      <w:kern w:val="2"/>
      <w:sz w:val="21"/>
      <w:szCs w:val="21"/>
      <w:lang w:val="en-US" w:eastAsia="zh-CN" w:bidi="ar-SA"/>
    </w:rPr>
  </w:style>
  <w:style w:type="paragraph" w:customStyle="1" w:styleId="180">
    <w:name w:val="表格文字"/>
    <w:basedOn w:val="1"/>
    <w:link w:val="179"/>
    <w:qFormat/>
    <w:uiPriority w:val="0"/>
    <w:pPr>
      <w:snapToGrid w:val="0"/>
      <w:jc w:val="center"/>
    </w:pPr>
    <w:rPr>
      <w:szCs w:val="21"/>
    </w:rPr>
  </w:style>
  <w:style w:type="character" w:customStyle="1" w:styleId="181">
    <w:name w:val="宏文本 Char"/>
    <w:qFormat/>
    <w:uiPriority w:val="0"/>
    <w:rPr>
      <w:rFonts w:ascii="Courier New" w:hAnsi="Courier New" w:cs="Courier New"/>
      <w:kern w:val="2"/>
      <w:sz w:val="24"/>
      <w:szCs w:val="24"/>
    </w:rPr>
  </w:style>
  <w:style w:type="character" w:customStyle="1" w:styleId="182">
    <w:name w:val="样式6 Char"/>
    <w:link w:val="183"/>
    <w:qFormat/>
    <w:locked/>
    <w:uiPriority w:val="0"/>
    <w:rPr>
      <w:b/>
      <w:bCs/>
      <w:sz w:val="28"/>
      <w:szCs w:val="21"/>
    </w:rPr>
  </w:style>
  <w:style w:type="paragraph" w:customStyle="1" w:styleId="183">
    <w:name w:val="样式6"/>
    <w:basedOn w:val="6"/>
    <w:next w:val="1"/>
    <w:link w:val="182"/>
    <w:qFormat/>
    <w:uiPriority w:val="0"/>
    <w:pPr>
      <w:numPr>
        <w:ilvl w:val="0"/>
        <w:numId w:val="0"/>
      </w:numPr>
      <w:adjustRightInd w:val="0"/>
      <w:snapToGrid w:val="0"/>
      <w:spacing w:before="240"/>
      <w:jc w:val="left"/>
    </w:pPr>
    <w:rPr>
      <w:b/>
      <w:kern w:val="0"/>
      <w:sz w:val="28"/>
      <w:szCs w:val="21"/>
    </w:rPr>
  </w:style>
  <w:style w:type="character" w:customStyle="1" w:styleId="184">
    <w:name w:val="标题 Char Char"/>
    <w:qFormat/>
    <w:uiPriority w:val="0"/>
    <w:rPr>
      <w:rFonts w:hint="default" w:ascii="Arial" w:hAnsi="Arial" w:eastAsia="宋体" w:cs="Arial"/>
      <w:b/>
      <w:bCs/>
      <w:kern w:val="2"/>
      <w:sz w:val="32"/>
      <w:szCs w:val="32"/>
      <w:lang w:val="en-US" w:eastAsia="zh-CN" w:bidi="ar-SA"/>
    </w:rPr>
  </w:style>
  <w:style w:type="character" w:customStyle="1" w:styleId="185">
    <w:name w:val="标题 1.1 Char"/>
    <w:qFormat/>
    <w:uiPriority w:val="0"/>
    <w:rPr>
      <w:rFonts w:hint="default" w:ascii="Arial" w:hAnsi="Arial" w:eastAsia="宋体" w:cs="Arial"/>
      <w:bCs/>
      <w:kern w:val="2"/>
      <w:sz w:val="28"/>
      <w:szCs w:val="32"/>
      <w:lang w:val="en-US" w:eastAsia="zh-CN" w:bidi="ar-SA"/>
    </w:rPr>
  </w:style>
  <w:style w:type="character" w:customStyle="1" w:styleId="186">
    <w:name w:val="CharAttribute1"/>
    <w:qFormat/>
    <w:uiPriority w:val="0"/>
    <w:rPr>
      <w:rFonts w:hint="eastAsia" w:ascii="宋体" w:hAnsi="宋体" w:eastAsia="宋体"/>
      <w:sz w:val="30"/>
    </w:rPr>
  </w:style>
  <w:style w:type="character" w:customStyle="1" w:styleId="187">
    <w:name w:val="样式4 Char1"/>
    <w:qFormat/>
    <w:locked/>
    <w:uiPriority w:val="0"/>
    <w:rPr>
      <w:rFonts w:eastAsia="黑体"/>
      <w:b/>
      <w:kern w:val="2"/>
      <w:sz w:val="24"/>
      <w:szCs w:val="24"/>
      <w:lang w:val="en-US" w:eastAsia="zh-CN" w:bidi="ar-SA"/>
    </w:rPr>
  </w:style>
  <w:style w:type="character" w:customStyle="1" w:styleId="188">
    <w:name w:val="内容 Char"/>
    <w:link w:val="189"/>
    <w:qFormat/>
    <w:locked/>
    <w:uiPriority w:val="0"/>
    <w:rPr>
      <w:rFonts w:eastAsia="仿宋_GB2312"/>
      <w:sz w:val="24"/>
      <w:szCs w:val="24"/>
      <w:lang w:val="en-US" w:eastAsia="zh-CN" w:bidi="en-US"/>
    </w:rPr>
  </w:style>
  <w:style w:type="paragraph" w:customStyle="1" w:styleId="189">
    <w:name w:val="内容"/>
    <w:link w:val="188"/>
    <w:qFormat/>
    <w:uiPriority w:val="0"/>
    <w:pPr>
      <w:widowControl w:val="0"/>
      <w:adjustRightInd w:val="0"/>
      <w:snapToGrid w:val="0"/>
      <w:spacing w:line="360" w:lineRule="auto"/>
      <w:ind w:firstLine="200" w:firstLineChars="200"/>
      <w:jc w:val="both"/>
    </w:pPr>
    <w:rPr>
      <w:rFonts w:ascii="Times New Roman" w:hAnsi="Times New Roman" w:eastAsia="仿宋_GB2312" w:cs="Times New Roman"/>
      <w:sz w:val="24"/>
      <w:szCs w:val="24"/>
      <w:lang w:val="en-US" w:eastAsia="zh-CN" w:bidi="en-US"/>
    </w:rPr>
  </w:style>
  <w:style w:type="character" w:customStyle="1" w:styleId="190">
    <w:name w:val="Char Char3"/>
    <w:qFormat/>
    <w:uiPriority w:val="0"/>
    <w:rPr>
      <w:rFonts w:eastAsia="宋体"/>
      <w:kern w:val="2"/>
      <w:sz w:val="21"/>
      <w:szCs w:val="24"/>
      <w:lang w:val="en-US" w:eastAsia="zh-CN" w:bidi="ar-SA"/>
    </w:rPr>
  </w:style>
  <w:style w:type="character" w:customStyle="1" w:styleId="191">
    <w:name w:val="样式10 Char"/>
    <w:link w:val="192"/>
    <w:qFormat/>
    <w:locked/>
    <w:uiPriority w:val="0"/>
    <w:rPr>
      <w:b/>
      <w:sz w:val="24"/>
      <w:szCs w:val="21"/>
    </w:rPr>
  </w:style>
  <w:style w:type="paragraph" w:customStyle="1" w:styleId="192">
    <w:name w:val="样式10"/>
    <w:basedOn w:val="1"/>
    <w:link w:val="191"/>
    <w:qFormat/>
    <w:uiPriority w:val="0"/>
    <w:pPr>
      <w:spacing w:line="360" w:lineRule="auto"/>
      <w:outlineLvl w:val="5"/>
    </w:pPr>
    <w:rPr>
      <w:b/>
      <w:kern w:val="0"/>
      <w:sz w:val="24"/>
      <w:szCs w:val="21"/>
    </w:rPr>
  </w:style>
  <w:style w:type="character" w:customStyle="1" w:styleId="193">
    <w:name w:val="font01"/>
    <w:qFormat/>
    <w:uiPriority w:val="0"/>
    <w:rPr>
      <w:rFonts w:hint="eastAsia" w:ascii="宋体" w:hAnsi="宋体" w:eastAsia="宋体" w:cs="宋体"/>
      <w:color w:val="000000"/>
      <w:sz w:val="22"/>
      <w:szCs w:val="22"/>
      <w:u w:val="none"/>
      <w:vertAlign w:val="subscript"/>
    </w:rPr>
  </w:style>
  <w:style w:type="character" w:customStyle="1" w:styleId="194">
    <w:name w:val="标题 7 Char1"/>
    <w:qFormat/>
    <w:locked/>
    <w:uiPriority w:val="0"/>
    <w:rPr>
      <w:rFonts w:ascii="Calibri" w:hAnsi="Calibri" w:eastAsia="宋体" w:cs="Times New Roman"/>
      <w:b/>
      <w:bCs/>
      <w:kern w:val="2"/>
      <w:sz w:val="24"/>
      <w:szCs w:val="24"/>
    </w:rPr>
  </w:style>
  <w:style w:type="character" w:customStyle="1" w:styleId="195">
    <w:name w:val="提头 Char Char"/>
    <w:qFormat/>
    <w:uiPriority w:val="0"/>
    <w:rPr>
      <w:rFonts w:eastAsia="宋体"/>
      <w:b/>
      <w:kern w:val="2"/>
      <w:sz w:val="24"/>
      <w:szCs w:val="24"/>
      <w:lang w:val="en-US" w:eastAsia="zh-CN" w:bidi="ar-SA"/>
    </w:rPr>
  </w:style>
  <w:style w:type="character" w:customStyle="1" w:styleId="196">
    <w:name w:val="自定义正文 Char"/>
    <w:link w:val="197"/>
    <w:qFormat/>
    <w:locked/>
    <w:uiPriority w:val="0"/>
    <w:rPr>
      <w:sz w:val="21"/>
      <w:szCs w:val="21"/>
    </w:rPr>
  </w:style>
  <w:style w:type="paragraph" w:customStyle="1" w:styleId="197">
    <w:name w:val="自定义正文"/>
    <w:basedOn w:val="15"/>
    <w:link w:val="196"/>
    <w:qFormat/>
    <w:uiPriority w:val="0"/>
    <w:pPr>
      <w:adjustRightInd w:val="0"/>
      <w:spacing w:line="360" w:lineRule="auto"/>
      <w:ind w:firstLine="200" w:firstLineChars="200"/>
      <w:textAlignment w:val="baseline"/>
    </w:pPr>
    <w:rPr>
      <w:rFonts w:eastAsia="宋体"/>
      <w:kern w:val="0"/>
      <w:sz w:val="21"/>
      <w:szCs w:val="21"/>
    </w:rPr>
  </w:style>
  <w:style w:type="character" w:customStyle="1" w:styleId="198">
    <w:name w:val="正文文本 3 Char"/>
    <w:qFormat/>
    <w:uiPriority w:val="0"/>
    <w:rPr>
      <w:kern w:val="2"/>
      <w:sz w:val="16"/>
      <w:szCs w:val="16"/>
    </w:rPr>
  </w:style>
  <w:style w:type="character" w:customStyle="1" w:styleId="199">
    <w:name w:val="标题11 Char"/>
    <w:link w:val="200"/>
    <w:qFormat/>
    <w:locked/>
    <w:uiPriority w:val="0"/>
    <w:rPr>
      <w:rFonts w:ascii="Calibri" w:hAnsi="Calibri" w:eastAsia="宋体" w:cs="Times New Roman"/>
      <w:bCs/>
      <w:kern w:val="2"/>
      <w:sz w:val="30"/>
      <w:szCs w:val="28"/>
    </w:rPr>
  </w:style>
  <w:style w:type="paragraph" w:customStyle="1" w:styleId="200">
    <w:name w:val="标题11"/>
    <w:basedOn w:val="144"/>
    <w:next w:val="1"/>
    <w:link w:val="199"/>
    <w:qFormat/>
    <w:uiPriority w:val="0"/>
    <w:pPr>
      <w:jc w:val="center"/>
    </w:pPr>
    <w:rPr>
      <w:rFonts w:ascii="Calibri" w:hAnsi="Calibri"/>
      <w:bCs/>
      <w:kern w:val="2"/>
      <w:sz w:val="30"/>
      <w:szCs w:val="28"/>
    </w:rPr>
  </w:style>
  <w:style w:type="character" w:customStyle="1" w:styleId="201">
    <w:name w:val="Char Char Char Char Char Char Char Char"/>
    <w:qFormat/>
    <w:uiPriority w:val="0"/>
    <w:rPr>
      <w:rFonts w:ascii="宋体" w:hAnsi="宋体" w:eastAsia="宋体" w:cs="宋体"/>
      <w:kern w:val="2"/>
      <w:sz w:val="24"/>
      <w:szCs w:val="24"/>
      <w:lang w:val="en-US" w:eastAsia="zh-CN" w:bidi="ar-SA"/>
    </w:rPr>
  </w:style>
  <w:style w:type="character" w:customStyle="1" w:styleId="202">
    <w:name w:val="正文首行缩进 2 Char1"/>
    <w:qFormat/>
    <w:uiPriority w:val="0"/>
  </w:style>
  <w:style w:type="character" w:customStyle="1" w:styleId="203">
    <w:name w:val="报告 Char"/>
    <w:qFormat/>
    <w:uiPriority w:val="0"/>
    <w:rPr>
      <w:rFonts w:hint="eastAsia" w:ascii="宋体" w:hAnsi="宋体" w:eastAsia="宋体"/>
      <w:sz w:val="24"/>
      <w:lang w:val="en-US" w:eastAsia="zh-CN" w:bidi="ar-SA"/>
    </w:rPr>
  </w:style>
  <w:style w:type="character" w:customStyle="1" w:styleId="204">
    <w:name w:val="段落 Char1"/>
    <w:link w:val="205"/>
    <w:qFormat/>
    <w:uiPriority w:val="0"/>
    <w:rPr>
      <w:kern w:val="13"/>
      <w:sz w:val="24"/>
      <w:szCs w:val="24"/>
      <w:lang w:val="en-US" w:eastAsia="zh-CN"/>
    </w:rPr>
  </w:style>
  <w:style w:type="paragraph" w:customStyle="1" w:styleId="205">
    <w:name w:val="段落"/>
    <w:basedOn w:val="1"/>
    <w:link w:val="204"/>
    <w:qFormat/>
    <w:uiPriority w:val="0"/>
    <w:pPr>
      <w:tabs>
        <w:tab w:val="left" w:pos="1021"/>
      </w:tabs>
      <w:spacing w:line="360" w:lineRule="auto"/>
      <w:jc w:val="left"/>
    </w:pPr>
    <w:rPr>
      <w:kern w:val="13"/>
      <w:sz w:val="24"/>
    </w:rPr>
  </w:style>
  <w:style w:type="character" w:customStyle="1" w:styleId="206">
    <w:name w:val="样式 标题 3 + (西文) Tw Cen MT Condensed Char"/>
    <w:qFormat/>
    <w:uiPriority w:val="0"/>
    <w:rPr>
      <w:rFonts w:hint="default" w:ascii="Tw Cen MT Condensed" w:hAnsi="Tw Cen MT Condensed" w:eastAsia="仿宋_GB2312"/>
      <w:b/>
      <w:kern w:val="2"/>
      <w:sz w:val="28"/>
      <w:lang w:bidi="ar-SA"/>
    </w:rPr>
  </w:style>
  <w:style w:type="character" w:customStyle="1" w:styleId="207">
    <w:name w:val="页眉 Char1"/>
    <w:qFormat/>
    <w:uiPriority w:val="0"/>
    <w:rPr>
      <w:rFonts w:eastAsia="宋体"/>
      <w:kern w:val="2"/>
      <w:sz w:val="18"/>
      <w:szCs w:val="18"/>
      <w:lang w:val="en-US" w:eastAsia="zh-CN" w:bidi="ar-SA"/>
    </w:rPr>
  </w:style>
  <w:style w:type="character" w:customStyle="1" w:styleId="208">
    <w:name w:val="CharAttribute2"/>
    <w:qFormat/>
    <w:uiPriority w:val="0"/>
    <w:rPr>
      <w:rFonts w:hint="eastAsia" w:ascii="宋体" w:hAnsi="宋体" w:eastAsia="宋体"/>
      <w:b/>
      <w:sz w:val="30"/>
    </w:rPr>
  </w:style>
  <w:style w:type="character" w:customStyle="1" w:styleId="209">
    <w:name w:val="正文文本 Char2"/>
    <w:qFormat/>
    <w:locked/>
    <w:uiPriority w:val="99"/>
    <w:rPr>
      <w:kern w:val="2"/>
      <w:sz w:val="28"/>
    </w:rPr>
  </w:style>
  <w:style w:type="character" w:customStyle="1" w:styleId="210">
    <w:name w:val="无间隔 字符"/>
    <w:link w:val="211"/>
    <w:qFormat/>
    <w:uiPriority w:val="1"/>
    <w:rPr>
      <w:kern w:val="2"/>
      <w:sz w:val="24"/>
      <w:szCs w:val="22"/>
      <w:lang w:val="en-US" w:eastAsia="zh-CN" w:bidi="ar-SA"/>
    </w:rPr>
  </w:style>
  <w:style w:type="paragraph" w:styleId="211">
    <w:name w:val="No Spacing"/>
    <w:link w:val="210"/>
    <w:qFormat/>
    <w:uiPriority w:val="1"/>
    <w:pPr>
      <w:widowControl w:val="0"/>
      <w:spacing w:line="360" w:lineRule="auto"/>
      <w:jc w:val="both"/>
    </w:pPr>
    <w:rPr>
      <w:rFonts w:ascii="Times New Roman" w:hAnsi="Times New Roman" w:eastAsia="宋体" w:cs="Times New Roman"/>
      <w:kern w:val="2"/>
      <w:sz w:val="24"/>
      <w:szCs w:val="22"/>
      <w:lang w:val="en-US" w:eastAsia="zh-CN" w:bidi="ar-SA"/>
    </w:rPr>
  </w:style>
  <w:style w:type="character" w:customStyle="1" w:styleId="212">
    <w:name w:val="headline-content"/>
    <w:qFormat/>
    <w:uiPriority w:val="0"/>
  </w:style>
  <w:style w:type="character" w:customStyle="1" w:styleId="213">
    <w:name w:val="ENFI图表标题 Char"/>
    <w:link w:val="214"/>
    <w:qFormat/>
    <w:uiPriority w:val="0"/>
    <w:rPr>
      <w:rFonts w:eastAsia="仿宋_GB2312"/>
      <w:b/>
      <w:sz w:val="28"/>
    </w:rPr>
  </w:style>
  <w:style w:type="paragraph" w:customStyle="1" w:styleId="214">
    <w:name w:val="ENFI图表标题"/>
    <w:basedOn w:val="1"/>
    <w:link w:val="213"/>
    <w:qFormat/>
    <w:uiPriority w:val="0"/>
    <w:pPr>
      <w:widowControl/>
      <w:adjustRightInd w:val="0"/>
      <w:snapToGrid w:val="0"/>
      <w:spacing w:before="120" w:line="240" w:lineRule="atLeast"/>
      <w:jc w:val="center"/>
    </w:pPr>
    <w:rPr>
      <w:rFonts w:eastAsia="仿宋_GB2312"/>
      <w:b/>
      <w:kern w:val="0"/>
      <w:sz w:val="28"/>
      <w:szCs w:val="20"/>
    </w:rPr>
  </w:style>
  <w:style w:type="character" w:customStyle="1" w:styleId="215">
    <w:name w:val="文章正文 Char"/>
    <w:link w:val="216"/>
    <w:qFormat/>
    <w:locked/>
    <w:uiPriority w:val="0"/>
    <w:rPr>
      <w:sz w:val="24"/>
      <w:szCs w:val="24"/>
    </w:rPr>
  </w:style>
  <w:style w:type="paragraph" w:customStyle="1" w:styleId="216">
    <w:name w:val="文章正文"/>
    <w:basedOn w:val="1"/>
    <w:link w:val="215"/>
    <w:qFormat/>
    <w:uiPriority w:val="0"/>
    <w:pPr>
      <w:spacing w:line="360" w:lineRule="auto"/>
      <w:ind w:firstLine="480" w:firstLineChars="200"/>
    </w:pPr>
    <w:rPr>
      <w:kern w:val="0"/>
      <w:sz w:val="24"/>
    </w:rPr>
  </w:style>
  <w:style w:type="character" w:customStyle="1" w:styleId="217">
    <w:name w:val="样式5 Char2"/>
    <w:qFormat/>
    <w:uiPriority w:val="0"/>
    <w:rPr>
      <w:rFonts w:eastAsia="宋体"/>
      <w:kern w:val="2"/>
      <w:sz w:val="24"/>
      <w:szCs w:val="24"/>
      <w:lang w:val="en-US" w:eastAsia="zh-CN" w:bidi="ar-SA"/>
    </w:rPr>
  </w:style>
  <w:style w:type="character" w:customStyle="1" w:styleId="218">
    <w:name w:val="unnamed41"/>
    <w:qFormat/>
    <w:uiPriority w:val="0"/>
    <w:rPr>
      <w:color w:val="000000"/>
      <w:sz w:val="18"/>
      <w:szCs w:val="18"/>
      <w:u w:val="none"/>
    </w:rPr>
  </w:style>
  <w:style w:type="character" w:customStyle="1" w:styleId="219">
    <w:name w:val="表格内容 Char"/>
    <w:link w:val="220"/>
    <w:qFormat/>
    <w:uiPriority w:val="0"/>
    <w:rPr>
      <w:rFonts w:eastAsia="宋体"/>
      <w:sz w:val="21"/>
      <w:lang w:val="en-US" w:eastAsia="zh-CN" w:bidi="ar-SA"/>
    </w:rPr>
  </w:style>
  <w:style w:type="paragraph" w:customStyle="1" w:styleId="220">
    <w:name w:val="表格内容"/>
    <w:basedOn w:val="1"/>
    <w:link w:val="219"/>
    <w:qFormat/>
    <w:uiPriority w:val="0"/>
    <w:pPr>
      <w:adjustRightInd w:val="0"/>
      <w:spacing w:line="360" w:lineRule="atLeast"/>
      <w:jc w:val="center"/>
    </w:pPr>
    <w:rPr>
      <w:kern w:val="0"/>
      <w:szCs w:val="20"/>
    </w:rPr>
  </w:style>
  <w:style w:type="character" w:customStyle="1" w:styleId="221">
    <w:name w:val="表样式 Char"/>
    <w:link w:val="222"/>
    <w:qFormat/>
    <w:uiPriority w:val="0"/>
    <w:rPr>
      <w:rFonts w:ascii="仿宋_GB2312" w:eastAsia="黑体"/>
      <w:szCs w:val="24"/>
      <w:lang w:bidi="ar-SA"/>
    </w:rPr>
  </w:style>
  <w:style w:type="paragraph" w:customStyle="1" w:styleId="222">
    <w:name w:val="表样式"/>
    <w:basedOn w:val="1"/>
    <w:link w:val="221"/>
    <w:qFormat/>
    <w:uiPriority w:val="0"/>
    <w:pPr>
      <w:jc w:val="center"/>
    </w:pPr>
    <w:rPr>
      <w:rFonts w:ascii="仿宋_GB2312" w:eastAsia="黑体"/>
      <w:kern w:val="0"/>
      <w:sz w:val="20"/>
    </w:rPr>
  </w:style>
  <w:style w:type="character" w:customStyle="1" w:styleId="223">
    <w:name w:val="副标题 Char"/>
    <w:qFormat/>
    <w:uiPriority w:val="0"/>
    <w:rPr>
      <w:rFonts w:ascii="Cambria" w:hAnsi="Cambria" w:cs="Times New Roman"/>
      <w:b/>
      <w:bCs/>
      <w:kern w:val="28"/>
      <w:sz w:val="32"/>
      <w:szCs w:val="32"/>
    </w:rPr>
  </w:style>
  <w:style w:type="paragraph" w:customStyle="1" w:styleId="224">
    <w:name w:val="xl10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0"/>
      <w:szCs w:val="20"/>
    </w:rPr>
  </w:style>
  <w:style w:type="paragraph" w:customStyle="1" w:styleId="225">
    <w:name w:val="xl42"/>
    <w:basedOn w:val="1"/>
    <w:qFormat/>
    <w:uiPriority w:val="0"/>
    <w:pPr>
      <w:widowControl/>
      <w:pBdr>
        <w:top w:val="single" w:color="auto" w:sz="4" w:space="0"/>
        <w:bottom w:val="single" w:color="auto" w:sz="4" w:space="0"/>
      </w:pBdr>
      <w:shd w:val="clear" w:color="auto" w:fill="FFFFFF"/>
      <w:spacing w:before="100" w:beforeAutospacing="1" w:after="100" w:afterAutospacing="1"/>
      <w:jc w:val="center"/>
    </w:pPr>
    <w:rPr>
      <w:rFonts w:ascii="仿宋_GB2312" w:hAnsi="宋体" w:eastAsia="仿宋_GB2312"/>
      <w:color w:val="000000"/>
      <w:kern w:val="0"/>
      <w:sz w:val="28"/>
      <w:szCs w:val="28"/>
    </w:rPr>
  </w:style>
  <w:style w:type="paragraph" w:customStyle="1" w:styleId="226">
    <w:name w:val="xl2317"/>
    <w:basedOn w:val="1"/>
    <w:qFormat/>
    <w:uiPriority w:val="0"/>
    <w:pPr>
      <w:widowControl/>
      <w:pBdr>
        <w:top w:val="single" w:color="auto" w:sz="4" w:space="0"/>
        <w:left w:val="single" w:color="auto" w:sz="4" w:space="0"/>
        <w:bottom w:val="single" w:color="auto" w:sz="4" w:space="0"/>
        <w:right w:val="single" w:color="auto" w:sz="4" w:space="0"/>
      </w:pBdr>
      <w:shd w:val="clear" w:color="000000" w:fill="CCFFCC"/>
      <w:spacing w:before="100" w:beforeAutospacing="1" w:after="100" w:afterAutospacing="1"/>
      <w:jc w:val="center"/>
      <w:textAlignment w:val="top"/>
    </w:pPr>
    <w:rPr>
      <w:rFonts w:ascii="宋体" w:hAnsi="宋体" w:cs="宋体"/>
      <w:kern w:val="0"/>
      <w:sz w:val="18"/>
      <w:szCs w:val="18"/>
    </w:rPr>
  </w:style>
  <w:style w:type="paragraph" w:customStyle="1" w:styleId="227">
    <w:name w:val="样式 样式6 + 段前: 0.5 行 段后: 0.5 行3"/>
    <w:basedOn w:val="183"/>
    <w:qFormat/>
    <w:uiPriority w:val="0"/>
    <w:pPr>
      <w:keepNext w:val="0"/>
      <w:keepLines w:val="0"/>
      <w:numPr>
        <w:ilvl w:val="2"/>
        <w:numId w:val="3"/>
      </w:numPr>
      <w:tabs>
        <w:tab w:val="left" w:pos="1155"/>
        <w:tab w:val="left" w:pos="1260"/>
      </w:tabs>
      <w:spacing w:before="204" w:beforeLines="50" w:after="204" w:afterLines="50"/>
      <w:ind w:left="1259"/>
      <w:outlineLvl w:val="2"/>
    </w:pPr>
    <w:rPr>
      <w:rFonts w:cs="宋体"/>
      <w:b w:val="0"/>
      <w:bCs w:val="0"/>
      <w:kern w:val="2"/>
      <w:sz w:val="24"/>
      <w:szCs w:val="20"/>
    </w:rPr>
  </w:style>
  <w:style w:type="paragraph" w:customStyle="1" w:styleId="228">
    <w:name w:val="xl137"/>
    <w:basedOn w:val="1"/>
    <w:qFormat/>
    <w:uiPriority w:val="0"/>
    <w:pPr>
      <w:widowControl/>
      <w:pBdr>
        <w:top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0"/>
      <w:szCs w:val="20"/>
    </w:rPr>
  </w:style>
  <w:style w:type="paragraph" w:customStyle="1" w:styleId="229">
    <w:name w:val="xl231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18"/>
      <w:szCs w:val="18"/>
    </w:rPr>
  </w:style>
  <w:style w:type="paragraph" w:customStyle="1" w:styleId="230">
    <w:name w:val="样式 样式 样式 标题 2 + 段前: 0.5 行 段后: 0.5 行 + 仿宋_GB2312 非加粗 左侧:  0 厘米 首行..."/>
    <w:basedOn w:val="1"/>
    <w:qFormat/>
    <w:uiPriority w:val="0"/>
    <w:pPr>
      <w:keepNext/>
      <w:keepLines/>
      <w:spacing w:line="360" w:lineRule="auto"/>
      <w:outlineLvl w:val="1"/>
    </w:pPr>
    <w:rPr>
      <w:rFonts w:ascii="仿宋_GB2312" w:eastAsia="仿宋_GB2312" w:cs="宋体"/>
      <w:sz w:val="30"/>
      <w:szCs w:val="20"/>
    </w:rPr>
  </w:style>
  <w:style w:type="paragraph" w:customStyle="1" w:styleId="231">
    <w:name w:val="xl2299"/>
    <w:basedOn w:val="1"/>
    <w:qFormat/>
    <w:uiPriority w:val="0"/>
    <w:pPr>
      <w:widowControl/>
      <w:pBdr>
        <w:top w:val="single" w:color="auto" w:sz="4" w:space="0"/>
        <w:left w:val="single" w:color="auto" w:sz="4" w:space="0"/>
        <w:bottom w:val="single" w:color="auto" w:sz="4" w:space="0"/>
        <w:right w:val="single" w:color="auto" w:sz="4" w:space="0"/>
      </w:pBdr>
      <w:shd w:val="clear" w:color="000000" w:fill="CCFFCC"/>
      <w:spacing w:before="100" w:beforeAutospacing="1" w:after="100" w:afterAutospacing="1"/>
      <w:jc w:val="center"/>
    </w:pPr>
    <w:rPr>
      <w:rFonts w:ascii="宋体" w:hAnsi="宋体" w:cs="宋体"/>
      <w:kern w:val="0"/>
      <w:sz w:val="18"/>
      <w:szCs w:val="18"/>
    </w:rPr>
  </w:style>
  <w:style w:type="paragraph" w:customStyle="1" w:styleId="232">
    <w:name w:val="xl2310"/>
    <w:basedOn w:val="1"/>
    <w:qFormat/>
    <w:uiPriority w:val="0"/>
    <w:pPr>
      <w:widowControl/>
      <w:pBdr>
        <w:top w:val="single" w:color="auto" w:sz="4" w:space="0"/>
        <w:left w:val="single" w:color="auto" w:sz="4" w:space="0"/>
        <w:right w:val="single" w:color="auto" w:sz="4" w:space="0"/>
      </w:pBdr>
      <w:shd w:val="clear" w:color="000000" w:fill="CCFFCC"/>
      <w:spacing w:before="100" w:beforeAutospacing="1" w:after="100" w:afterAutospacing="1"/>
      <w:jc w:val="center"/>
    </w:pPr>
    <w:rPr>
      <w:rFonts w:ascii="宋体" w:hAnsi="宋体" w:cs="宋体"/>
      <w:kern w:val="0"/>
      <w:sz w:val="18"/>
      <w:szCs w:val="18"/>
    </w:rPr>
  </w:style>
  <w:style w:type="paragraph" w:customStyle="1" w:styleId="233">
    <w:name w:val="样式 标题 3 + 居中"/>
    <w:basedOn w:val="5"/>
    <w:qFormat/>
    <w:uiPriority w:val="0"/>
    <w:pPr>
      <w:numPr>
        <w:ilvl w:val="0"/>
        <w:numId w:val="0"/>
      </w:numPr>
      <w:spacing w:after="260"/>
      <w:jc w:val="center"/>
    </w:pPr>
    <w:rPr>
      <w:rFonts w:eastAsia="宋体" w:cs="宋体"/>
      <w:b/>
      <w:sz w:val="30"/>
      <w:szCs w:val="20"/>
    </w:rPr>
  </w:style>
  <w:style w:type="paragraph" w:customStyle="1" w:styleId="234">
    <w:name w:val="xl141"/>
    <w:basedOn w:val="1"/>
    <w:qFormat/>
    <w:uiPriority w:val="0"/>
    <w:pPr>
      <w:widowControl/>
      <w:pBdr>
        <w:top w:val="single" w:color="auto" w:sz="4" w:space="0"/>
        <w:left w:val="single" w:color="auto" w:sz="4" w:space="0"/>
        <w:bottom w:val="single" w:color="auto" w:sz="4" w:space="0"/>
      </w:pBdr>
      <w:spacing w:before="100" w:beforeAutospacing="1" w:after="100" w:afterAutospacing="1"/>
      <w:jc w:val="left"/>
    </w:pPr>
    <w:rPr>
      <w:rFonts w:ascii="宋体" w:hAnsi="宋体" w:cs="宋体"/>
      <w:b/>
      <w:bCs/>
      <w:kern w:val="0"/>
      <w:sz w:val="20"/>
      <w:szCs w:val="20"/>
    </w:rPr>
  </w:style>
  <w:style w:type="paragraph" w:customStyle="1" w:styleId="235">
    <w:name w:val="album-div1"/>
    <w:basedOn w:val="1"/>
    <w:qFormat/>
    <w:uiPriority w:val="0"/>
    <w:pPr>
      <w:widowControl/>
      <w:shd w:val="clear" w:color="auto" w:fill="FFFFFF"/>
      <w:spacing w:before="100" w:beforeAutospacing="1" w:after="100" w:afterAutospacing="1"/>
      <w:jc w:val="left"/>
    </w:pPr>
    <w:rPr>
      <w:rFonts w:ascii="宋体" w:hAnsi="宋体" w:cs="宋体"/>
      <w:kern w:val="0"/>
      <w:sz w:val="24"/>
    </w:rPr>
  </w:style>
  <w:style w:type="paragraph" w:customStyle="1" w:styleId="236">
    <w:name w:val="xl65"/>
    <w:basedOn w:val="1"/>
    <w:qFormat/>
    <w:uiPriority w:val="0"/>
    <w:pPr>
      <w:widowControl/>
      <w:pBdr>
        <w:bottom w:val="single" w:color="auto" w:sz="4" w:space="0"/>
      </w:pBdr>
      <w:spacing w:before="100" w:beforeAutospacing="1" w:after="100" w:afterAutospacing="1"/>
      <w:ind w:firstLine="100" w:firstLineChars="100"/>
      <w:jc w:val="left"/>
    </w:pPr>
    <w:rPr>
      <w:rFonts w:ascii="宋体" w:hAnsi="宋体"/>
      <w:kern w:val="0"/>
      <w:sz w:val="20"/>
      <w:szCs w:val="20"/>
    </w:rPr>
  </w:style>
  <w:style w:type="paragraph" w:customStyle="1" w:styleId="237">
    <w:name w:val="xl77"/>
    <w:basedOn w:val="1"/>
    <w:qFormat/>
    <w:uiPriority w:val="0"/>
    <w:pPr>
      <w:widowControl/>
      <w:pBdr>
        <w:top w:val="single" w:color="auto" w:sz="4" w:space="0"/>
        <w:left w:val="single" w:color="auto" w:sz="4" w:space="0"/>
        <w:right w:val="single" w:color="auto" w:sz="4" w:space="0"/>
      </w:pBdr>
      <w:spacing w:before="100" w:beforeAutospacing="1" w:after="100" w:afterAutospacing="1"/>
      <w:jc w:val="left"/>
    </w:pPr>
    <w:rPr>
      <w:rFonts w:ascii="宋体" w:hAnsi="宋体"/>
      <w:kern w:val="0"/>
      <w:sz w:val="24"/>
    </w:rPr>
  </w:style>
  <w:style w:type="paragraph" w:customStyle="1" w:styleId="238">
    <w:name w:val="表文"/>
    <w:basedOn w:val="1"/>
    <w:qFormat/>
    <w:uiPriority w:val="0"/>
    <w:pPr>
      <w:tabs>
        <w:tab w:val="left" w:pos="1021"/>
      </w:tabs>
      <w:jc w:val="center"/>
    </w:pPr>
    <w:rPr>
      <w:kern w:val="0"/>
      <w:position w:val="-24"/>
      <w:szCs w:val="21"/>
    </w:rPr>
  </w:style>
  <w:style w:type="paragraph" w:customStyle="1" w:styleId="239">
    <w:name w:val="样式1"/>
    <w:basedOn w:val="154"/>
    <w:next w:val="154"/>
    <w:qFormat/>
    <w:uiPriority w:val="0"/>
    <w:pPr>
      <w:ind w:right="85"/>
      <w:outlineLvl w:val="4"/>
    </w:pPr>
  </w:style>
  <w:style w:type="paragraph" w:customStyle="1" w:styleId="240">
    <w:name w:val="环评标题1"/>
    <w:basedOn w:val="3"/>
    <w:qFormat/>
    <w:uiPriority w:val="0"/>
    <w:pPr>
      <w:keepLines w:val="0"/>
      <w:pageBreakBefore/>
      <w:numPr>
        <w:numId w:val="0"/>
      </w:numPr>
      <w:tabs>
        <w:tab w:val="left" w:pos="420"/>
      </w:tabs>
      <w:spacing w:line="560" w:lineRule="exact"/>
      <w:ind w:firstLine="420"/>
    </w:pPr>
    <w:rPr>
      <w:rFonts w:ascii="宋体" w:hAnsi="宋体"/>
      <w:bCs w:val="0"/>
      <w:kern w:val="2"/>
      <w:sz w:val="24"/>
      <w:szCs w:val="20"/>
    </w:rPr>
  </w:style>
  <w:style w:type="paragraph" w:customStyle="1" w:styleId="241">
    <w:name w:val="xl150"/>
    <w:basedOn w:val="1"/>
    <w:qFormat/>
    <w:uiPriority w:val="0"/>
    <w:pPr>
      <w:widowControl/>
      <w:pBdr>
        <w:top w:val="single" w:color="auto" w:sz="4" w:space="0"/>
        <w:left w:val="single" w:color="auto" w:sz="4" w:space="0"/>
        <w:right w:val="single" w:color="auto" w:sz="4" w:space="0"/>
      </w:pBdr>
      <w:spacing w:before="100" w:beforeAutospacing="1" w:after="100" w:afterAutospacing="1"/>
      <w:jc w:val="left"/>
    </w:pPr>
    <w:rPr>
      <w:rFonts w:ascii="宋体" w:hAnsi="宋体" w:cs="宋体"/>
      <w:kern w:val="0"/>
      <w:sz w:val="20"/>
      <w:szCs w:val="20"/>
    </w:rPr>
  </w:style>
  <w:style w:type="paragraph" w:customStyle="1" w:styleId="242">
    <w:name w:val="font19"/>
    <w:basedOn w:val="1"/>
    <w:qFormat/>
    <w:uiPriority w:val="0"/>
    <w:pPr>
      <w:widowControl/>
      <w:spacing w:before="100" w:beforeAutospacing="1" w:after="100" w:afterAutospacing="1"/>
      <w:jc w:val="left"/>
    </w:pPr>
    <w:rPr>
      <w:rFonts w:ascii="宋体" w:hAnsi="宋体" w:cs="宋体"/>
      <w:color w:val="000000"/>
      <w:kern w:val="0"/>
      <w:sz w:val="20"/>
      <w:szCs w:val="20"/>
    </w:rPr>
  </w:style>
  <w:style w:type="paragraph" w:customStyle="1" w:styleId="243">
    <w:name w:val="xl97"/>
    <w:basedOn w:val="1"/>
    <w:qFormat/>
    <w:uiPriority w:val="0"/>
    <w:pPr>
      <w:widowControl/>
      <w:pBdr>
        <w:top w:val="single" w:color="auto" w:sz="8" w:space="0"/>
        <w:left w:val="single" w:color="auto" w:sz="8" w:space="0"/>
        <w:bottom w:val="single" w:color="auto" w:sz="4" w:space="0"/>
        <w:right w:val="single" w:color="auto" w:sz="4" w:space="0"/>
      </w:pBdr>
      <w:spacing w:before="100" w:beforeAutospacing="1" w:after="100" w:afterAutospacing="1"/>
      <w:jc w:val="center"/>
    </w:pPr>
    <w:rPr>
      <w:b/>
      <w:bCs/>
      <w:kern w:val="0"/>
      <w:sz w:val="20"/>
      <w:szCs w:val="20"/>
    </w:rPr>
  </w:style>
  <w:style w:type="paragraph" w:customStyle="1" w:styleId="244">
    <w:name w:val="font34"/>
    <w:basedOn w:val="1"/>
    <w:qFormat/>
    <w:uiPriority w:val="0"/>
    <w:pPr>
      <w:widowControl/>
      <w:spacing w:before="100" w:beforeAutospacing="1" w:after="100" w:afterAutospacing="1"/>
      <w:jc w:val="left"/>
    </w:pPr>
    <w:rPr>
      <w:rFonts w:ascii="宋体" w:hAnsi="宋体" w:cs="宋体"/>
      <w:kern w:val="0"/>
      <w:sz w:val="18"/>
      <w:szCs w:val="18"/>
    </w:rPr>
  </w:style>
  <w:style w:type="paragraph" w:customStyle="1" w:styleId="245">
    <w:name w:val="xl11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0"/>
      <w:szCs w:val="20"/>
    </w:rPr>
  </w:style>
  <w:style w:type="paragraph" w:customStyle="1" w:styleId="246">
    <w:name w:val="样式 样式 样式4 + 红色 段前: 0.5 行 段后: 0.5 行2 + 段前: 0.5 行 段后: 0.5 行"/>
    <w:basedOn w:val="1"/>
    <w:qFormat/>
    <w:uiPriority w:val="0"/>
    <w:pPr>
      <w:numPr>
        <w:ilvl w:val="1"/>
        <w:numId w:val="3"/>
      </w:numPr>
      <w:adjustRightInd w:val="0"/>
      <w:snapToGrid w:val="0"/>
      <w:spacing w:before="50" w:beforeLines="50" w:after="50" w:afterLines="50" w:line="360" w:lineRule="auto"/>
      <w:jc w:val="left"/>
      <w:outlineLvl w:val="1"/>
    </w:pPr>
    <w:rPr>
      <w:rFonts w:eastAsia="黑体" w:cs="宋体"/>
      <w:b/>
      <w:bCs/>
      <w:sz w:val="24"/>
      <w:szCs w:val="20"/>
    </w:rPr>
  </w:style>
  <w:style w:type="paragraph" w:customStyle="1" w:styleId="247">
    <w:name w:val="样式 样式 标题4 + 右侧:  0.85 字符 + 右侧:  0.85 字符"/>
    <w:next w:val="154"/>
    <w:qFormat/>
    <w:uiPriority w:val="0"/>
    <w:pPr>
      <w:numPr>
        <w:ilvl w:val="4"/>
        <w:numId w:val="4"/>
      </w:numPr>
      <w:spacing w:line="360" w:lineRule="auto"/>
      <w:ind w:right="204"/>
    </w:pPr>
    <w:rPr>
      <w:rFonts w:ascii="Times New Roman" w:hAnsi="Times New Roman" w:eastAsia="宋体" w:cs="Times New Roman"/>
      <w:bCs/>
      <w:kern w:val="2"/>
      <w:sz w:val="24"/>
      <w:szCs w:val="24"/>
      <w:lang w:val="en-US" w:eastAsia="zh-CN" w:bidi="ar-SA"/>
    </w:rPr>
  </w:style>
  <w:style w:type="paragraph" w:customStyle="1" w:styleId="248">
    <w:name w:val="纯文本1"/>
    <w:basedOn w:val="1"/>
    <w:qFormat/>
    <w:uiPriority w:val="0"/>
    <w:pPr>
      <w:autoSpaceDE w:val="0"/>
      <w:autoSpaceDN w:val="0"/>
      <w:adjustRightInd w:val="0"/>
      <w:textAlignment w:val="baseline"/>
    </w:pPr>
    <w:rPr>
      <w:kern w:val="0"/>
      <w:szCs w:val="20"/>
    </w:rPr>
  </w:style>
  <w:style w:type="paragraph" w:customStyle="1" w:styleId="249">
    <w:name w:val="Char Char Char Char Char Char Char"/>
    <w:basedOn w:val="1"/>
    <w:qFormat/>
    <w:uiPriority w:val="0"/>
  </w:style>
  <w:style w:type="paragraph" w:customStyle="1" w:styleId="250">
    <w:name w:val="样式 标题 1 + 居中"/>
    <w:basedOn w:val="3"/>
    <w:qFormat/>
    <w:uiPriority w:val="0"/>
    <w:pPr>
      <w:numPr>
        <w:numId w:val="0"/>
      </w:numPr>
      <w:spacing w:before="340" w:after="330" w:line="576" w:lineRule="auto"/>
      <w:jc w:val="center"/>
    </w:pPr>
    <w:rPr>
      <w:rFonts w:eastAsia="宋体" w:cs="宋体"/>
      <w:b/>
      <w:sz w:val="44"/>
      <w:szCs w:val="20"/>
    </w:rPr>
  </w:style>
  <w:style w:type="paragraph" w:customStyle="1" w:styleId="251">
    <w:name w:val="font25"/>
    <w:basedOn w:val="1"/>
    <w:qFormat/>
    <w:uiPriority w:val="0"/>
    <w:pPr>
      <w:widowControl/>
      <w:spacing w:before="100" w:beforeAutospacing="1" w:after="100" w:afterAutospacing="1"/>
      <w:jc w:val="left"/>
    </w:pPr>
    <w:rPr>
      <w:rFonts w:ascii="宋体" w:hAnsi="宋体" w:cs="宋体"/>
      <w:color w:val="000000"/>
      <w:kern w:val="0"/>
      <w:sz w:val="20"/>
      <w:szCs w:val="20"/>
    </w:rPr>
  </w:style>
  <w:style w:type="paragraph" w:customStyle="1" w:styleId="252">
    <w:name w:val="xl155"/>
    <w:basedOn w:val="1"/>
    <w:qFormat/>
    <w:uiPriority w:val="0"/>
    <w:pPr>
      <w:widowControl/>
      <w:pBdr>
        <w:top w:val="single" w:color="auto" w:sz="4" w:space="0"/>
        <w:right w:val="single" w:color="auto" w:sz="4" w:space="0"/>
      </w:pBdr>
      <w:spacing w:before="100" w:beforeAutospacing="1" w:after="100" w:afterAutospacing="1"/>
      <w:jc w:val="center"/>
    </w:pPr>
    <w:rPr>
      <w:rFonts w:ascii="宋体" w:hAnsi="宋体" w:cs="宋体"/>
      <w:kern w:val="0"/>
      <w:sz w:val="20"/>
      <w:szCs w:val="20"/>
    </w:rPr>
  </w:style>
  <w:style w:type="paragraph" w:customStyle="1" w:styleId="253">
    <w:name w:val="Char Char Char Char Char Char Char Char Char Char Char Char1 Char Char Char Char Char Char Char Char Char Char Char Char Char Char Char Char Char Char Char Char Char Char"/>
    <w:basedOn w:val="1"/>
    <w:qFormat/>
    <w:uiPriority w:val="0"/>
  </w:style>
  <w:style w:type="paragraph" w:customStyle="1" w:styleId="254">
    <w:name w:val="Char Char Char Char Char Char Char Char Char"/>
    <w:basedOn w:val="1"/>
    <w:qFormat/>
    <w:uiPriority w:val="0"/>
    <w:pPr>
      <w:widowControl/>
      <w:spacing w:after="160" w:line="240" w:lineRule="exact"/>
      <w:jc w:val="left"/>
    </w:pPr>
    <w:rPr>
      <w:rFonts w:ascii="Verdana" w:hAnsi="Verdana" w:eastAsia="仿宋_GB2312"/>
      <w:kern w:val="0"/>
      <w:sz w:val="24"/>
      <w:szCs w:val="20"/>
      <w:lang w:eastAsia="en-US"/>
    </w:rPr>
  </w:style>
  <w:style w:type="paragraph" w:customStyle="1" w:styleId="255">
    <w:name w:val="xl10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0"/>
      <w:szCs w:val="20"/>
    </w:rPr>
  </w:style>
  <w:style w:type="paragraph" w:customStyle="1" w:styleId="256">
    <w:name w:val="font26"/>
    <w:basedOn w:val="1"/>
    <w:qFormat/>
    <w:uiPriority w:val="0"/>
    <w:pPr>
      <w:widowControl/>
      <w:spacing w:before="100" w:beforeAutospacing="1" w:after="100" w:afterAutospacing="1"/>
      <w:jc w:val="left"/>
    </w:pPr>
    <w:rPr>
      <w:rFonts w:ascii="宋体" w:hAnsi="宋体" w:cs="宋体"/>
      <w:color w:val="000000"/>
      <w:kern w:val="0"/>
      <w:sz w:val="20"/>
      <w:szCs w:val="20"/>
    </w:rPr>
  </w:style>
  <w:style w:type="paragraph" w:customStyle="1" w:styleId="257">
    <w:name w:val="xl163"/>
    <w:basedOn w:val="1"/>
    <w:qFormat/>
    <w:uiPriority w:val="0"/>
    <w:pPr>
      <w:widowControl/>
      <w:pBdr>
        <w:top w:val="single" w:color="auto" w:sz="4" w:space="0"/>
        <w:left w:val="single" w:color="auto" w:sz="4" w:space="0"/>
        <w:right w:val="single" w:color="auto" w:sz="4" w:space="0"/>
      </w:pBdr>
      <w:shd w:val="clear" w:color="000000" w:fill="FFFFFF"/>
      <w:spacing w:before="100" w:beforeAutospacing="1" w:after="100" w:afterAutospacing="1"/>
      <w:jc w:val="center"/>
    </w:pPr>
    <w:rPr>
      <w:rFonts w:ascii="宋体" w:hAnsi="宋体" w:cs="宋体"/>
      <w:kern w:val="0"/>
      <w:sz w:val="20"/>
      <w:szCs w:val="20"/>
    </w:rPr>
  </w:style>
  <w:style w:type="paragraph" w:customStyle="1" w:styleId="258">
    <w:name w:val="样式 意见正文 + 首行缩进:  2 字符2"/>
    <w:basedOn w:val="1"/>
    <w:qFormat/>
    <w:uiPriority w:val="0"/>
    <w:pPr>
      <w:spacing w:line="360" w:lineRule="auto"/>
      <w:ind w:firstLine="200" w:firstLineChars="200"/>
    </w:pPr>
    <w:rPr>
      <w:rFonts w:cs="宋体"/>
      <w:sz w:val="24"/>
      <w:szCs w:val="20"/>
    </w:rPr>
  </w:style>
  <w:style w:type="paragraph" w:customStyle="1" w:styleId="259">
    <w:name w:val="居中"/>
    <w:basedOn w:val="1"/>
    <w:next w:val="1"/>
    <w:qFormat/>
    <w:uiPriority w:val="0"/>
    <w:pPr>
      <w:jc w:val="center"/>
    </w:pPr>
    <w:rPr>
      <w:sz w:val="24"/>
      <w:szCs w:val="20"/>
    </w:rPr>
  </w:style>
  <w:style w:type="paragraph" w:customStyle="1" w:styleId="260">
    <w:name w:val="Char13"/>
    <w:basedOn w:val="1"/>
    <w:qFormat/>
    <w:uiPriority w:val="0"/>
    <w:rPr>
      <w:szCs w:val="21"/>
    </w:rPr>
  </w:style>
  <w:style w:type="paragraph" w:customStyle="1" w:styleId="261">
    <w:name w:val="font24"/>
    <w:basedOn w:val="1"/>
    <w:qFormat/>
    <w:uiPriority w:val="0"/>
    <w:pPr>
      <w:widowControl/>
      <w:spacing w:before="100" w:beforeAutospacing="1" w:after="100" w:afterAutospacing="1"/>
      <w:jc w:val="left"/>
    </w:pPr>
    <w:rPr>
      <w:rFonts w:ascii="宋体" w:hAnsi="宋体" w:cs="宋体"/>
      <w:color w:val="000000"/>
      <w:kern w:val="0"/>
      <w:sz w:val="20"/>
      <w:szCs w:val="20"/>
    </w:rPr>
  </w:style>
  <w:style w:type="paragraph" w:customStyle="1" w:styleId="262">
    <w:name w:val="TOC 标题1"/>
    <w:basedOn w:val="3"/>
    <w:next w:val="1"/>
    <w:unhideWhenUsed/>
    <w:qFormat/>
    <w:uiPriority w:val="39"/>
    <w:pPr>
      <w:widowControl/>
      <w:numPr>
        <w:numId w:val="0"/>
      </w:numPr>
      <w:spacing w:before="240" w:line="259" w:lineRule="auto"/>
      <w:jc w:val="left"/>
      <w:outlineLvl w:val="9"/>
    </w:pPr>
    <w:rPr>
      <w:rFonts w:ascii="Cambria" w:hAnsi="Cambria" w:eastAsia="宋体"/>
      <w:bCs w:val="0"/>
      <w:color w:val="365F91"/>
      <w:kern w:val="0"/>
      <w:sz w:val="32"/>
      <w:szCs w:val="32"/>
    </w:rPr>
  </w:style>
  <w:style w:type="paragraph" w:customStyle="1" w:styleId="263">
    <w:name w:val="xl160"/>
    <w:basedOn w:val="1"/>
    <w:qFormat/>
    <w:uiPriority w:val="0"/>
    <w:pPr>
      <w:widowControl/>
      <w:pBdr>
        <w:top w:val="single" w:color="auto" w:sz="4" w:space="0"/>
        <w:left w:val="single" w:color="auto" w:sz="4" w:space="0"/>
        <w:bottom w:val="single" w:color="auto" w:sz="4" w:space="0"/>
      </w:pBdr>
      <w:shd w:val="clear" w:color="000000" w:fill="FFFFFF"/>
      <w:spacing w:before="100" w:beforeAutospacing="1" w:after="100" w:afterAutospacing="1"/>
      <w:jc w:val="left"/>
    </w:pPr>
    <w:rPr>
      <w:rFonts w:ascii="宋体" w:hAnsi="宋体" w:cs="宋体"/>
      <w:kern w:val="0"/>
      <w:sz w:val="20"/>
      <w:szCs w:val="20"/>
    </w:rPr>
  </w:style>
  <w:style w:type="paragraph" w:customStyle="1" w:styleId="264">
    <w:name w:val="font12"/>
    <w:basedOn w:val="1"/>
    <w:qFormat/>
    <w:uiPriority w:val="0"/>
    <w:pPr>
      <w:widowControl/>
      <w:spacing w:before="100" w:beforeAutospacing="1" w:after="100" w:afterAutospacing="1"/>
      <w:jc w:val="left"/>
    </w:pPr>
    <w:rPr>
      <w:rFonts w:ascii="宋体" w:hAnsi="宋体" w:cs="宋体"/>
      <w:b/>
      <w:bCs/>
      <w:kern w:val="0"/>
      <w:sz w:val="20"/>
      <w:szCs w:val="20"/>
    </w:rPr>
  </w:style>
  <w:style w:type="paragraph" w:customStyle="1" w:styleId="265">
    <w:name w:val="xl74"/>
    <w:basedOn w:val="1"/>
    <w:qFormat/>
    <w:uiPriority w:val="0"/>
    <w:pPr>
      <w:widowControl/>
      <w:pBdr>
        <w:top w:val="single" w:color="auto" w:sz="4" w:space="0"/>
        <w:left w:val="single" w:color="auto" w:sz="4" w:space="0"/>
        <w:bottom w:val="single" w:color="auto" w:sz="4" w:space="0"/>
      </w:pBdr>
      <w:spacing w:before="100" w:beforeAutospacing="1" w:after="100" w:afterAutospacing="1"/>
      <w:jc w:val="left"/>
    </w:pPr>
    <w:rPr>
      <w:rFonts w:ascii="宋体" w:hAnsi="宋体"/>
      <w:kern w:val="0"/>
      <w:sz w:val="20"/>
      <w:szCs w:val="20"/>
    </w:rPr>
  </w:style>
  <w:style w:type="paragraph" w:customStyle="1" w:styleId="266">
    <w:name w:val="普通(网站)1"/>
    <w:basedOn w:val="1"/>
    <w:qFormat/>
    <w:uiPriority w:val="0"/>
    <w:pPr>
      <w:widowControl/>
      <w:spacing w:before="100" w:beforeAutospacing="1" w:after="100" w:afterAutospacing="1"/>
      <w:jc w:val="left"/>
    </w:pPr>
    <w:rPr>
      <w:rFonts w:ascii="宋体" w:hAnsi="宋体"/>
      <w:sz w:val="24"/>
    </w:rPr>
  </w:style>
  <w:style w:type="paragraph" w:customStyle="1" w:styleId="267">
    <w:name w:val="_Style 300"/>
    <w:basedOn w:val="1"/>
    <w:next w:val="268"/>
    <w:qFormat/>
    <w:uiPriority w:val="34"/>
    <w:pPr>
      <w:widowControl/>
      <w:ind w:firstLine="420" w:firstLineChars="200"/>
      <w:jc w:val="left"/>
    </w:pPr>
    <w:rPr>
      <w:rFonts w:ascii="Calibri" w:hAnsi="Calibri" w:cs="宋体"/>
      <w:kern w:val="0"/>
      <w:sz w:val="24"/>
      <w:szCs w:val="22"/>
    </w:rPr>
  </w:style>
  <w:style w:type="paragraph" w:styleId="268">
    <w:name w:val="List Paragraph"/>
    <w:basedOn w:val="1"/>
    <w:qFormat/>
    <w:uiPriority w:val="34"/>
    <w:pPr>
      <w:ind w:firstLine="420" w:firstLineChars="200"/>
    </w:pPr>
    <w:rPr>
      <w:rFonts w:ascii="Calibri" w:hAnsi="Calibri"/>
      <w:szCs w:val="22"/>
    </w:rPr>
  </w:style>
  <w:style w:type="paragraph" w:customStyle="1" w:styleId="269">
    <w:name w:val="表格文字（四号）"/>
    <w:basedOn w:val="1"/>
    <w:qFormat/>
    <w:uiPriority w:val="0"/>
    <w:pPr>
      <w:spacing w:line="440" w:lineRule="exact"/>
      <w:jc w:val="left"/>
    </w:pPr>
    <w:rPr>
      <w:rFonts w:ascii="宋体"/>
      <w:sz w:val="28"/>
      <w:szCs w:val="20"/>
    </w:rPr>
  </w:style>
  <w:style w:type="paragraph" w:customStyle="1" w:styleId="270">
    <w:name w:val="样式 样式 首行缩进:  2 字符 + 首行缩进:  2 字符"/>
    <w:basedOn w:val="107"/>
    <w:qFormat/>
    <w:uiPriority w:val="0"/>
    <w:pPr>
      <w:spacing w:line="240" w:lineRule="auto"/>
      <w:jc w:val="both"/>
    </w:pPr>
  </w:style>
  <w:style w:type="paragraph" w:customStyle="1" w:styleId="271">
    <w:name w:val="xl78"/>
    <w:basedOn w:val="1"/>
    <w:qFormat/>
    <w:uiPriority w:val="0"/>
    <w:pPr>
      <w:widowControl/>
      <w:pBdr>
        <w:left w:val="single" w:color="auto" w:sz="4" w:space="0"/>
        <w:right w:val="single" w:color="auto" w:sz="4" w:space="0"/>
      </w:pBdr>
      <w:spacing w:before="100" w:beforeAutospacing="1" w:after="100" w:afterAutospacing="1"/>
      <w:jc w:val="left"/>
    </w:pPr>
    <w:rPr>
      <w:rFonts w:ascii="宋体" w:hAnsi="宋体"/>
      <w:kern w:val="0"/>
      <w:sz w:val="24"/>
    </w:rPr>
  </w:style>
  <w:style w:type="paragraph" w:customStyle="1" w:styleId="272">
    <w:name w:val="样式 纯文本 + Times New Roman 三号 加粗 居中"/>
    <w:basedOn w:val="5"/>
    <w:next w:val="1"/>
    <w:qFormat/>
    <w:uiPriority w:val="0"/>
    <w:pPr>
      <w:numPr>
        <w:ilvl w:val="0"/>
        <w:numId w:val="0"/>
      </w:numPr>
      <w:spacing w:after="260"/>
      <w:jc w:val="center"/>
    </w:pPr>
    <w:rPr>
      <w:rFonts w:eastAsia="宋体" w:cs="宋体"/>
      <w:b/>
      <w:bCs w:val="0"/>
      <w:sz w:val="30"/>
      <w:szCs w:val="32"/>
    </w:rPr>
  </w:style>
  <w:style w:type="paragraph" w:customStyle="1" w:styleId="273">
    <w:name w:val="xl89"/>
    <w:basedOn w:val="1"/>
    <w:qFormat/>
    <w:uiPriority w:val="0"/>
    <w:pPr>
      <w:widowControl/>
      <w:pBdr>
        <w:top w:val="single" w:color="auto" w:sz="4" w:space="0"/>
        <w:left w:val="single" w:color="auto" w:sz="4" w:space="0"/>
        <w:bottom w:val="single" w:color="auto" w:sz="8" w:space="0"/>
        <w:right w:val="single" w:color="auto" w:sz="8" w:space="0"/>
      </w:pBdr>
      <w:spacing w:before="100" w:beforeAutospacing="1" w:after="100" w:afterAutospacing="1"/>
      <w:jc w:val="center"/>
    </w:pPr>
    <w:rPr>
      <w:b/>
      <w:bCs/>
      <w:kern w:val="0"/>
      <w:sz w:val="20"/>
      <w:szCs w:val="20"/>
    </w:rPr>
  </w:style>
  <w:style w:type="paragraph" w:customStyle="1" w:styleId="274">
    <w:name w:val="xl169"/>
    <w:basedOn w:val="1"/>
    <w:qFormat/>
    <w:uiPriority w:val="0"/>
    <w:pPr>
      <w:widowControl/>
      <w:pBdr>
        <w:top w:val="single" w:color="auto" w:sz="4" w:space="0"/>
        <w:left w:val="single" w:color="auto" w:sz="4" w:space="0"/>
        <w:bottom w:val="single" w:color="auto" w:sz="4" w:space="0"/>
        <w:right w:val="single" w:color="auto" w:sz="4" w:space="0"/>
      </w:pBdr>
      <w:shd w:val="clear" w:color="000000" w:fill="00B0F0"/>
      <w:spacing w:before="100" w:beforeAutospacing="1" w:after="100" w:afterAutospacing="1"/>
      <w:jc w:val="center"/>
    </w:pPr>
    <w:rPr>
      <w:rFonts w:ascii="宋体" w:hAnsi="宋体" w:cs="宋体"/>
      <w:kern w:val="0"/>
      <w:sz w:val="20"/>
      <w:szCs w:val="20"/>
    </w:rPr>
  </w:style>
  <w:style w:type="paragraph" w:customStyle="1" w:styleId="275">
    <w:name w:val="a11"/>
    <w:basedOn w:val="1"/>
    <w:qFormat/>
    <w:uiPriority w:val="0"/>
    <w:pPr>
      <w:ind w:left="-280" w:firstLine="280"/>
      <w:outlineLvl w:val="0"/>
    </w:pPr>
    <w:rPr>
      <w:rFonts w:ascii="Arial" w:hAnsi="宋体" w:cs="Arial"/>
      <w:b/>
      <w:kern w:val="0"/>
      <w:sz w:val="30"/>
      <w:szCs w:val="30"/>
    </w:rPr>
  </w:style>
  <w:style w:type="paragraph" w:customStyle="1" w:styleId="276">
    <w:name w:val="xl14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pPr>
    <w:rPr>
      <w:rFonts w:ascii="宋体" w:hAnsi="宋体" w:cs="宋体"/>
      <w:color w:val="00B0F0"/>
      <w:kern w:val="0"/>
      <w:szCs w:val="21"/>
    </w:rPr>
  </w:style>
  <w:style w:type="paragraph" w:customStyle="1" w:styleId="277">
    <w:name w:val="xl2309"/>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color w:val="FF0000"/>
      <w:kern w:val="0"/>
      <w:sz w:val="18"/>
      <w:szCs w:val="18"/>
    </w:rPr>
  </w:style>
  <w:style w:type="paragraph" w:customStyle="1" w:styleId="278">
    <w:name w:val="font30"/>
    <w:basedOn w:val="1"/>
    <w:qFormat/>
    <w:uiPriority w:val="0"/>
    <w:pPr>
      <w:widowControl/>
      <w:spacing w:before="100" w:beforeAutospacing="1" w:after="100" w:afterAutospacing="1"/>
      <w:jc w:val="left"/>
    </w:pPr>
    <w:rPr>
      <w:rFonts w:ascii="宋体" w:hAnsi="宋体" w:cs="宋体"/>
      <w:color w:val="000000"/>
      <w:kern w:val="0"/>
      <w:sz w:val="20"/>
      <w:szCs w:val="20"/>
    </w:rPr>
  </w:style>
  <w:style w:type="paragraph" w:customStyle="1" w:styleId="279">
    <w:name w:val="font8"/>
    <w:basedOn w:val="1"/>
    <w:qFormat/>
    <w:uiPriority w:val="0"/>
    <w:pPr>
      <w:widowControl/>
      <w:spacing w:before="100" w:beforeAutospacing="1" w:after="100" w:afterAutospacing="1"/>
      <w:jc w:val="left"/>
    </w:pPr>
    <w:rPr>
      <w:kern w:val="0"/>
      <w:sz w:val="28"/>
      <w:szCs w:val="28"/>
    </w:rPr>
  </w:style>
  <w:style w:type="paragraph" w:customStyle="1" w:styleId="280">
    <w:name w:val="Char"/>
    <w:basedOn w:val="1"/>
    <w:qFormat/>
    <w:uiPriority w:val="0"/>
    <w:rPr>
      <w:szCs w:val="20"/>
    </w:rPr>
  </w:style>
  <w:style w:type="paragraph" w:customStyle="1" w:styleId="281">
    <w:name w:val="xl133"/>
    <w:basedOn w:val="1"/>
    <w:qFormat/>
    <w:uiPriority w:val="0"/>
    <w:pPr>
      <w:widowControl/>
      <w:pBdr>
        <w:top w:val="single" w:color="auto" w:sz="4" w:space="0"/>
        <w:left w:val="single" w:color="auto" w:sz="8" w:space="0"/>
        <w:bottom w:val="single" w:color="auto" w:sz="4" w:space="0"/>
      </w:pBdr>
      <w:spacing w:before="100" w:beforeAutospacing="1" w:after="100" w:afterAutospacing="1"/>
      <w:jc w:val="center"/>
    </w:pPr>
    <w:rPr>
      <w:rFonts w:ascii="宋体" w:hAnsi="宋体" w:cs="宋体"/>
      <w:kern w:val="0"/>
      <w:sz w:val="20"/>
      <w:szCs w:val="20"/>
    </w:rPr>
  </w:style>
  <w:style w:type="paragraph" w:customStyle="1" w:styleId="282">
    <w:name w:val="xl9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0"/>
      <w:szCs w:val="20"/>
    </w:rPr>
  </w:style>
  <w:style w:type="paragraph" w:customStyle="1" w:styleId="283">
    <w:name w:val="标题一"/>
    <w:basedOn w:val="1"/>
    <w:qFormat/>
    <w:uiPriority w:val="0"/>
    <w:pPr>
      <w:spacing w:before="50" w:beforeLines="50" w:after="50" w:afterLines="50" w:line="480" w:lineRule="auto"/>
    </w:pPr>
    <w:rPr>
      <w:rFonts w:ascii="Arial" w:hAnsi="Arial"/>
      <w:sz w:val="30"/>
      <w:szCs w:val="30"/>
    </w:rPr>
  </w:style>
  <w:style w:type="paragraph" w:customStyle="1" w:styleId="284">
    <w:name w:val="font14"/>
    <w:basedOn w:val="1"/>
    <w:qFormat/>
    <w:uiPriority w:val="0"/>
    <w:pPr>
      <w:widowControl/>
      <w:spacing w:before="100" w:beforeAutospacing="1" w:after="100" w:afterAutospacing="1"/>
      <w:jc w:val="left"/>
    </w:pPr>
    <w:rPr>
      <w:rFonts w:ascii="宋体" w:hAnsi="宋体" w:cs="宋体"/>
      <w:color w:val="000000"/>
      <w:kern w:val="0"/>
      <w:sz w:val="20"/>
      <w:szCs w:val="20"/>
    </w:rPr>
  </w:style>
  <w:style w:type="paragraph" w:customStyle="1" w:styleId="285">
    <w:name w:val="xl70"/>
    <w:basedOn w:val="1"/>
    <w:qFormat/>
    <w:uiPriority w:val="0"/>
    <w:pPr>
      <w:widowControl/>
      <w:pBdr>
        <w:top w:val="single" w:color="auto" w:sz="4" w:space="0"/>
        <w:left w:val="single" w:color="auto" w:sz="4" w:space="0"/>
        <w:right w:val="single" w:color="auto" w:sz="4" w:space="0"/>
      </w:pBdr>
      <w:spacing w:before="100" w:beforeAutospacing="1" w:after="100" w:afterAutospacing="1"/>
      <w:jc w:val="left"/>
    </w:pPr>
    <w:rPr>
      <w:rFonts w:ascii="宋体" w:hAnsi="宋体"/>
      <w:kern w:val="0"/>
      <w:sz w:val="24"/>
    </w:rPr>
  </w:style>
  <w:style w:type="paragraph" w:customStyle="1" w:styleId="286">
    <w:name w:val="样式 样式 居中 + 首行缩进:  2 字符"/>
    <w:qFormat/>
    <w:uiPriority w:val="0"/>
    <w:rPr>
      <w:rFonts w:ascii="Times New Roman" w:hAnsi="Times New Roman" w:eastAsia="宋体" w:cs="Times New Roman"/>
      <w:snapToGrid w:val="0"/>
      <w:color w:val="000000"/>
      <w:lang w:val="en-US" w:eastAsia="zh-CN" w:bidi="ar-SA"/>
    </w:rPr>
  </w:style>
  <w:style w:type="paragraph" w:customStyle="1" w:styleId="287">
    <w:name w:val="xl15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0"/>
      <w:szCs w:val="20"/>
    </w:rPr>
  </w:style>
  <w:style w:type="paragraph" w:customStyle="1" w:styleId="288">
    <w:name w:val="c4"/>
    <w:basedOn w:val="1"/>
    <w:qFormat/>
    <w:uiPriority w:val="0"/>
    <w:pPr>
      <w:autoSpaceDE w:val="0"/>
      <w:autoSpaceDN w:val="0"/>
      <w:adjustRightInd w:val="0"/>
      <w:spacing w:line="240" w:lineRule="atLeast"/>
      <w:jc w:val="center"/>
    </w:pPr>
    <w:rPr>
      <w:kern w:val="0"/>
      <w:sz w:val="24"/>
      <w:szCs w:val="20"/>
    </w:rPr>
  </w:style>
  <w:style w:type="paragraph" w:customStyle="1" w:styleId="289">
    <w:name w:val="xl12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0"/>
      <w:szCs w:val="20"/>
    </w:rPr>
  </w:style>
  <w:style w:type="paragraph" w:customStyle="1" w:styleId="290">
    <w:name w:val="xl126"/>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pPr>
    <w:rPr>
      <w:rFonts w:ascii="宋体" w:hAnsi="宋体" w:cs="宋体"/>
      <w:kern w:val="0"/>
      <w:sz w:val="20"/>
      <w:szCs w:val="20"/>
    </w:rPr>
  </w:style>
  <w:style w:type="paragraph" w:customStyle="1" w:styleId="291">
    <w:name w:val="xl114"/>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pPr>
    <w:rPr>
      <w:rFonts w:ascii="宋体" w:hAnsi="宋体" w:cs="宋体"/>
      <w:b/>
      <w:bCs/>
      <w:kern w:val="0"/>
      <w:sz w:val="20"/>
      <w:szCs w:val="20"/>
    </w:rPr>
  </w:style>
  <w:style w:type="paragraph" w:customStyle="1" w:styleId="292">
    <w:name w:val="xl167"/>
    <w:basedOn w:val="1"/>
    <w:qFormat/>
    <w:uiPriority w:val="0"/>
    <w:pPr>
      <w:widowControl/>
      <w:pBdr>
        <w:top w:val="single" w:color="auto" w:sz="4" w:space="0"/>
        <w:left w:val="single" w:color="auto" w:sz="4" w:space="0"/>
        <w:bottom w:val="single" w:color="auto" w:sz="4" w:space="0"/>
        <w:right w:val="single" w:color="auto" w:sz="4" w:space="0"/>
      </w:pBdr>
      <w:shd w:val="clear" w:color="000000" w:fill="00B0F0"/>
      <w:spacing w:before="100" w:beforeAutospacing="1" w:after="100" w:afterAutospacing="1"/>
      <w:jc w:val="left"/>
    </w:pPr>
    <w:rPr>
      <w:rFonts w:ascii="宋体" w:hAnsi="宋体" w:cs="宋体"/>
      <w:kern w:val="0"/>
      <w:sz w:val="20"/>
      <w:szCs w:val="20"/>
    </w:rPr>
  </w:style>
  <w:style w:type="paragraph" w:customStyle="1" w:styleId="293">
    <w:name w:val="xl166"/>
    <w:basedOn w:val="1"/>
    <w:qFormat/>
    <w:uiPriority w:val="0"/>
    <w:pPr>
      <w:widowControl/>
      <w:pBdr>
        <w:bottom w:val="single" w:color="auto" w:sz="4" w:space="0"/>
      </w:pBdr>
      <w:spacing w:before="100" w:beforeAutospacing="1" w:after="100" w:afterAutospacing="1"/>
      <w:jc w:val="left"/>
    </w:pPr>
    <w:rPr>
      <w:rFonts w:ascii="宋体" w:hAnsi="宋体" w:cs="宋体"/>
      <w:kern w:val="0"/>
      <w:sz w:val="20"/>
      <w:szCs w:val="20"/>
    </w:rPr>
  </w:style>
  <w:style w:type="paragraph" w:customStyle="1" w:styleId="294">
    <w:name w:val="xl134"/>
    <w:basedOn w:val="1"/>
    <w:qFormat/>
    <w:uiPriority w:val="0"/>
    <w:pPr>
      <w:widowControl/>
      <w:pBdr>
        <w:top w:val="single" w:color="auto" w:sz="4" w:space="0"/>
        <w:left w:val="single" w:color="auto" w:sz="4" w:space="0"/>
      </w:pBdr>
      <w:spacing w:before="100" w:beforeAutospacing="1" w:after="100" w:afterAutospacing="1"/>
      <w:jc w:val="left"/>
    </w:pPr>
    <w:rPr>
      <w:rFonts w:ascii="宋体" w:hAnsi="宋体" w:cs="宋体"/>
      <w:kern w:val="0"/>
      <w:sz w:val="20"/>
      <w:szCs w:val="20"/>
    </w:rPr>
  </w:style>
  <w:style w:type="paragraph" w:customStyle="1" w:styleId="295">
    <w:name w:val="xl230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color w:val="000000"/>
      <w:kern w:val="0"/>
      <w:sz w:val="18"/>
      <w:szCs w:val="18"/>
    </w:rPr>
  </w:style>
  <w:style w:type="paragraph" w:customStyle="1" w:styleId="296">
    <w:name w:val="标题二"/>
    <w:basedOn w:val="51"/>
    <w:next w:val="51"/>
    <w:qFormat/>
    <w:uiPriority w:val="0"/>
    <w:pPr>
      <w:spacing w:before="0" w:after="0" w:line="560" w:lineRule="exact"/>
      <w:jc w:val="left"/>
    </w:pPr>
    <w:rPr>
      <w:rFonts w:ascii="宋体" w:hAnsi="宋体"/>
      <w:sz w:val="24"/>
    </w:rPr>
  </w:style>
  <w:style w:type="paragraph" w:customStyle="1" w:styleId="297">
    <w:name w:val="xl159"/>
    <w:basedOn w:val="1"/>
    <w:qFormat/>
    <w:uiPriority w:val="0"/>
    <w:pPr>
      <w:widowControl/>
      <w:pBdr>
        <w:top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0"/>
      <w:szCs w:val="20"/>
    </w:rPr>
  </w:style>
  <w:style w:type="paragraph" w:customStyle="1" w:styleId="298">
    <w:name w:val="font31"/>
    <w:basedOn w:val="1"/>
    <w:qFormat/>
    <w:uiPriority w:val="0"/>
    <w:pPr>
      <w:widowControl/>
      <w:spacing w:before="100" w:beforeAutospacing="1" w:after="100" w:afterAutospacing="1"/>
      <w:jc w:val="left"/>
    </w:pPr>
    <w:rPr>
      <w:rFonts w:ascii="宋体" w:hAnsi="宋体" w:cs="宋体"/>
      <w:color w:val="000000"/>
      <w:kern w:val="0"/>
      <w:sz w:val="20"/>
      <w:szCs w:val="20"/>
    </w:rPr>
  </w:style>
  <w:style w:type="paragraph" w:customStyle="1" w:styleId="299">
    <w:name w:val="xl12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b/>
      <w:bCs/>
      <w:kern w:val="0"/>
      <w:sz w:val="20"/>
      <w:szCs w:val="20"/>
    </w:rPr>
  </w:style>
  <w:style w:type="paragraph" w:customStyle="1" w:styleId="300">
    <w:name w:val="font10"/>
    <w:basedOn w:val="1"/>
    <w:qFormat/>
    <w:uiPriority w:val="0"/>
    <w:pPr>
      <w:widowControl/>
      <w:spacing w:before="100" w:beforeAutospacing="1" w:after="100" w:afterAutospacing="1"/>
      <w:jc w:val="left"/>
    </w:pPr>
    <w:rPr>
      <w:rFonts w:ascii="宋体" w:hAnsi="宋体"/>
      <w:kern w:val="0"/>
      <w:sz w:val="28"/>
      <w:szCs w:val="28"/>
    </w:rPr>
  </w:style>
  <w:style w:type="paragraph" w:customStyle="1" w:styleId="301">
    <w:name w:val="Blockquote"/>
    <w:basedOn w:val="1"/>
    <w:qFormat/>
    <w:uiPriority w:val="0"/>
    <w:pPr>
      <w:autoSpaceDE w:val="0"/>
      <w:autoSpaceDN w:val="0"/>
      <w:adjustRightInd w:val="0"/>
      <w:spacing w:before="100" w:after="100"/>
      <w:ind w:left="360" w:right="360"/>
      <w:jc w:val="left"/>
    </w:pPr>
    <w:rPr>
      <w:kern w:val="0"/>
      <w:sz w:val="24"/>
      <w:szCs w:val="20"/>
    </w:rPr>
  </w:style>
  <w:style w:type="paragraph" w:customStyle="1" w:styleId="302">
    <w:name w:val="xl73"/>
    <w:basedOn w:val="1"/>
    <w:qFormat/>
    <w:uiPriority w:val="0"/>
    <w:pPr>
      <w:widowControl/>
      <w:pBdr>
        <w:top w:val="single" w:color="auto" w:sz="4" w:space="0"/>
        <w:bottom w:val="single" w:color="auto" w:sz="4" w:space="0"/>
        <w:right w:val="single" w:color="auto" w:sz="4" w:space="0"/>
      </w:pBdr>
      <w:spacing w:before="100" w:beforeAutospacing="1" w:after="100" w:afterAutospacing="1"/>
      <w:jc w:val="left"/>
    </w:pPr>
    <w:rPr>
      <w:rFonts w:ascii="宋体" w:hAnsi="宋体"/>
      <w:kern w:val="0"/>
      <w:sz w:val="20"/>
      <w:szCs w:val="20"/>
    </w:rPr>
  </w:style>
  <w:style w:type="paragraph" w:customStyle="1" w:styleId="303">
    <w:name w:val="xl171"/>
    <w:basedOn w:val="1"/>
    <w:qFormat/>
    <w:uiPriority w:val="0"/>
    <w:pPr>
      <w:widowControl/>
      <w:pBdr>
        <w:top w:val="single" w:color="auto" w:sz="4" w:space="0"/>
        <w:left w:val="single" w:color="auto" w:sz="4" w:space="0"/>
        <w:bottom w:val="single" w:color="auto" w:sz="4" w:space="0"/>
        <w:right w:val="single" w:color="auto" w:sz="4" w:space="0"/>
      </w:pBdr>
      <w:shd w:val="clear" w:color="000000" w:fill="00B0F0"/>
      <w:spacing w:before="100" w:beforeAutospacing="1" w:after="100" w:afterAutospacing="1"/>
      <w:jc w:val="center"/>
    </w:pPr>
    <w:rPr>
      <w:rFonts w:ascii="宋体" w:hAnsi="宋体" w:cs="宋体"/>
      <w:kern w:val="0"/>
      <w:sz w:val="20"/>
      <w:szCs w:val="20"/>
    </w:rPr>
  </w:style>
  <w:style w:type="paragraph" w:customStyle="1" w:styleId="304">
    <w:name w:val="环评3级"/>
    <w:basedOn w:val="1"/>
    <w:qFormat/>
    <w:uiPriority w:val="0"/>
    <w:pPr>
      <w:adjustRightInd w:val="0"/>
      <w:spacing w:line="540" w:lineRule="exact"/>
      <w:ind w:firstLine="482" w:firstLineChars="200"/>
    </w:pPr>
    <w:rPr>
      <w:rFonts w:ascii="宋体" w:hAnsi="宋体"/>
      <w:b/>
      <w:bCs/>
      <w:sz w:val="24"/>
    </w:rPr>
  </w:style>
  <w:style w:type="paragraph" w:customStyle="1" w:styleId="305">
    <w:name w:val="xl9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b/>
      <w:bCs/>
      <w:kern w:val="0"/>
      <w:sz w:val="20"/>
      <w:szCs w:val="20"/>
    </w:rPr>
  </w:style>
  <w:style w:type="paragraph" w:customStyle="1" w:styleId="306">
    <w:name w:val="xl2314"/>
    <w:basedOn w:val="1"/>
    <w:qFormat/>
    <w:uiPriority w:val="0"/>
    <w:pPr>
      <w:widowControl/>
      <w:pBdr>
        <w:left w:val="single" w:color="auto" w:sz="4" w:space="0"/>
        <w:right w:val="single" w:color="auto" w:sz="4" w:space="0"/>
      </w:pBdr>
      <w:shd w:val="clear" w:color="000000" w:fill="CCFFCC"/>
      <w:spacing w:before="100" w:beforeAutospacing="1" w:after="100" w:afterAutospacing="1"/>
      <w:jc w:val="center"/>
      <w:textAlignment w:val="top"/>
    </w:pPr>
    <w:rPr>
      <w:rFonts w:ascii="宋体" w:hAnsi="宋体" w:cs="宋体"/>
      <w:kern w:val="0"/>
      <w:sz w:val="18"/>
      <w:szCs w:val="18"/>
    </w:rPr>
  </w:style>
  <w:style w:type="paragraph" w:customStyle="1" w:styleId="307">
    <w:name w:val="xl86"/>
    <w:basedOn w:val="1"/>
    <w:qFormat/>
    <w:uiPriority w:val="0"/>
    <w:pPr>
      <w:widowControl/>
      <w:pBdr>
        <w:top w:val="single" w:color="auto" w:sz="4" w:space="0"/>
      </w:pBdr>
      <w:spacing w:before="100" w:beforeAutospacing="1" w:after="100" w:afterAutospacing="1"/>
      <w:jc w:val="left"/>
    </w:pPr>
    <w:rPr>
      <w:rFonts w:ascii="宋体" w:hAnsi="宋体"/>
      <w:kern w:val="0"/>
      <w:sz w:val="24"/>
    </w:rPr>
  </w:style>
  <w:style w:type="paragraph" w:customStyle="1" w:styleId="308">
    <w:name w:val="font18"/>
    <w:basedOn w:val="1"/>
    <w:qFormat/>
    <w:uiPriority w:val="0"/>
    <w:pPr>
      <w:widowControl/>
      <w:spacing w:before="100" w:beforeAutospacing="1" w:after="100" w:afterAutospacing="1"/>
      <w:jc w:val="left"/>
    </w:pPr>
    <w:rPr>
      <w:rFonts w:ascii="宋体" w:hAnsi="宋体" w:cs="宋体"/>
      <w:color w:val="000000"/>
      <w:kern w:val="0"/>
      <w:sz w:val="20"/>
      <w:szCs w:val="20"/>
    </w:rPr>
  </w:style>
  <w:style w:type="paragraph" w:customStyle="1" w:styleId="309">
    <w:name w:val="xl96"/>
    <w:basedOn w:val="1"/>
    <w:qFormat/>
    <w:uiPriority w:val="0"/>
    <w:pPr>
      <w:widowControl/>
      <w:pBdr>
        <w:top w:val="single" w:color="auto" w:sz="8" w:space="0"/>
        <w:left w:val="single" w:color="auto" w:sz="4" w:space="0"/>
        <w:bottom w:val="single" w:color="auto" w:sz="4" w:space="0"/>
        <w:right w:val="single" w:color="auto" w:sz="8" w:space="0"/>
      </w:pBdr>
      <w:spacing w:before="100" w:beforeAutospacing="1" w:after="100" w:afterAutospacing="1"/>
      <w:jc w:val="center"/>
    </w:pPr>
    <w:rPr>
      <w:b/>
      <w:bCs/>
      <w:kern w:val="0"/>
      <w:sz w:val="20"/>
      <w:szCs w:val="20"/>
    </w:rPr>
  </w:style>
  <w:style w:type="paragraph" w:customStyle="1" w:styleId="310">
    <w:name w:val="样式 标题 1"/>
    <w:basedOn w:val="4"/>
    <w:qFormat/>
    <w:uiPriority w:val="0"/>
    <w:pPr>
      <w:keepNext w:val="0"/>
      <w:keepLines w:val="0"/>
      <w:numPr>
        <w:ilvl w:val="0"/>
        <w:numId w:val="0"/>
      </w:numPr>
      <w:tabs>
        <w:tab w:val="left" w:pos="840"/>
      </w:tabs>
      <w:kinsoku w:val="0"/>
      <w:adjustRightInd w:val="0"/>
      <w:spacing w:before="120" w:after="120"/>
      <w:jc w:val="center"/>
    </w:pPr>
    <w:rPr>
      <w:rFonts w:ascii="宋体" w:hAnsi="Courier New" w:eastAsia="宋体" w:cs="宋体"/>
      <w:b/>
      <w:kern w:val="28"/>
      <w:sz w:val="24"/>
      <w:szCs w:val="20"/>
    </w:rPr>
  </w:style>
  <w:style w:type="paragraph" w:customStyle="1" w:styleId="311">
    <w:name w:val="我的正文 Char"/>
    <w:basedOn w:val="1"/>
    <w:next w:val="1"/>
    <w:qFormat/>
    <w:uiPriority w:val="0"/>
    <w:pPr>
      <w:spacing w:line="520" w:lineRule="exact"/>
      <w:ind w:firstLine="540" w:firstLineChars="225"/>
    </w:pPr>
    <w:rPr>
      <w:sz w:val="24"/>
    </w:rPr>
  </w:style>
  <w:style w:type="paragraph" w:customStyle="1" w:styleId="312">
    <w:name w:val="xl14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0"/>
      <w:szCs w:val="20"/>
    </w:rPr>
  </w:style>
  <w:style w:type="paragraph" w:customStyle="1" w:styleId="313">
    <w:name w:val="xl11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b/>
      <w:bCs/>
      <w:kern w:val="0"/>
      <w:sz w:val="20"/>
      <w:szCs w:val="20"/>
    </w:rPr>
  </w:style>
  <w:style w:type="paragraph" w:customStyle="1" w:styleId="314">
    <w:name w:val="xl11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0"/>
      <w:szCs w:val="20"/>
    </w:rPr>
  </w:style>
  <w:style w:type="paragraph" w:customStyle="1" w:styleId="315">
    <w:name w:val="font11"/>
    <w:basedOn w:val="1"/>
    <w:qFormat/>
    <w:uiPriority w:val="0"/>
    <w:pPr>
      <w:widowControl/>
      <w:spacing w:before="100" w:beforeAutospacing="1" w:after="100" w:afterAutospacing="1"/>
      <w:jc w:val="left"/>
    </w:pPr>
    <w:rPr>
      <w:kern w:val="0"/>
      <w:sz w:val="24"/>
    </w:rPr>
  </w:style>
  <w:style w:type="paragraph" w:customStyle="1" w:styleId="316">
    <w:name w:val="font27"/>
    <w:basedOn w:val="1"/>
    <w:qFormat/>
    <w:uiPriority w:val="0"/>
    <w:pPr>
      <w:widowControl/>
      <w:spacing w:before="100" w:beforeAutospacing="1" w:after="100" w:afterAutospacing="1"/>
      <w:jc w:val="left"/>
    </w:pPr>
    <w:rPr>
      <w:rFonts w:ascii="宋体" w:hAnsi="宋体" w:cs="宋体"/>
      <w:color w:val="000000"/>
      <w:kern w:val="0"/>
      <w:sz w:val="20"/>
      <w:szCs w:val="20"/>
    </w:rPr>
  </w:style>
  <w:style w:type="paragraph" w:customStyle="1" w:styleId="317">
    <w:name w:val="xl132"/>
    <w:basedOn w:val="1"/>
    <w:qFormat/>
    <w:uiPriority w:val="0"/>
    <w:pPr>
      <w:widowControl/>
      <w:pBdr>
        <w:top w:val="single" w:color="auto" w:sz="4" w:space="0"/>
        <w:left w:val="single" w:color="auto" w:sz="4" w:space="0"/>
        <w:bottom w:val="single" w:color="auto" w:sz="4" w:space="0"/>
      </w:pBdr>
      <w:spacing w:before="100" w:beforeAutospacing="1" w:after="100" w:afterAutospacing="1"/>
      <w:jc w:val="left"/>
    </w:pPr>
    <w:rPr>
      <w:rFonts w:ascii="宋体" w:hAnsi="宋体" w:cs="宋体"/>
      <w:b/>
      <w:bCs/>
      <w:kern w:val="0"/>
      <w:sz w:val="20"/>
      <w:szCs w:val="20"/>
    </w:rPr>
  </w:style>
  <w:style w:type="paragraph" w:customStyle="1" w:styleId="318">
    <w:name w:val="表格式"/>
    <w:basedOn w:val="42"/>
    <w:qFormat/>
    <w:uiPriority w:val="0"/>
    <w:pPr>
      <w:spacing w:line="340" w:lineRule="exact"/>
      <w:ind w:left="0" w:firstLine="0" w:firstLineChars="0"/>
      <w:jc w:val="center"/>
    </w:pPr>
    <w:rPr>
      <w:rFonts w:ascii="宋体" w:hAnsi="宋体"/>
    </w:rPr>
  </w:style>
  <w:style w:type="paragraph" w:customStyle="1" w:styleId="319">
    <w:name w:val="xl103"/>
    <w:basedOn w:val="1"/>
    <w:qFormat/>
    <w:uiPriority w:val="0"/>
    <w:pPr>
      <w:widowControl/>
      <w:spacing w:before="100" w:beforeAutospacing="1" w:after="100" w:afterAutospacing="1"/>
      <w:jc w:val="center"/>
    </w:pPr>
    <w:rPr>
      <w:rFonts w:ascii="宋体" w:hAnsi="宋体" w:cs="宋体"/>
      <w:kern w:val="0"/>
      <w:sz w:val="40"/>
      <w:szCs w:val="40"/>
    </w:rPr>
  </w:style>
  <w:style w:type="paragraph" w:customStyle="1" w:styleId="320">
    <w:name w:val="xl104"/>
    <w:basedOn w:val="1"/>
    <w:qFormat/>
    <w:uiPriority w:val="0"/>
    <w:pPr>
      <w:widowControl/>
      <w:pBdr>
        <w:bottom w:val="single" w:color="auto" w:sz="4" w:space="0"/>
      </w:pBdr>
      <w:spacing w:before="100" w:beforeAutospacing="1" w:after="100" w:afterAutospacing="1"/>
      <w:jc w:val="left"/>
    </w:pPr>
    <w:rPr>
      <w:rFonts w:ascii="宋体" w:hAnsi="宋体" w:cs="宋体"/>
      <w:kern w:val="0"/>
      <w:sz w:val="24"/>
    </w:rPr>
  </w:style>
  <w:style w:type="paragraph" w:customStyle="1" w:styleId="321">
    <w:name w:val="xl229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kern w:val="0"/>
      <w:sz w:val="18"/>
      <w:szCs w:val="18"/>
    </w:rPr>
  </w:style>
  <w:style w:type="paragraph" w:customStyle="1" w:styleId="322">
    <w:name w:val="xl153"/>
    <w:basedOn w:val="1"/>
    <w:qFormat/>
    <w:uiPriority w:val="0"/>
    <w:pPr>
      <w:widowControl/>
      <w:pBdr>
        <w:top w:val="single" w:color="auto" w:sz="4" w:space="0"/>
        <w:left w:val="single" w:color="auto" w:sz="4" w:space="0"/>
        <w:right w:val="single" w:color="auto" w:sz="4" w:space="0"/>
      </w:pBdr>
      <w:spacing w:before="100" w:beforeAutospacing="1" w:after="100" w:afterAutospacing="1"/>
      <w:jc w:val="left"/>
    </w:pPr>
    <w:rPr>
      <w:rFonts w:ascii="宋体" w:hAnsi="宋体" w:cs="宋体"/>
      <w:kern w:val="0"/>
      <w:sz w:val="20"/>
      <w:szCs w:val="20"/>
    </w:rPr>
  </w:style>
  <w:style w:type="paragraph" w:customStyle="1" w:styleId="323">
    <w:name w:val="font23"/>
    <w:basedOn w:val="1"/>
    <w:qFormat/>
    <w:uiPriority w:val="0"/>
    <w:pPr>
      <w:widowControl/>
      <w:spacing w:before="100" w:beforeAutospacing="1" w:after="100" w:afterAutospacing="1"/>
      <w:jc w:val="left"/>
    </w:pPr>
    <w:rPr>
      <w:rFonts w:ascii="宋体" w:hAnsi="宋体" w:cs="宋体"/>
      <w:color w:val="000000"/>
      <w:kern w:val="0"/>
      <w:sz w:val="20"/>
      <w:szCs w:val="20"/>
    </w:rPr>
  </w:style>
  <w:style w:type="paragraph" w:customStyle="1" w:styleId="324">
    <w:name w:val="_Style 131"/>
    <w:basedOn w:val="1"/>
    <w:qFormat/>
    <w:uiPriority w:val="0"/>
    <w:rPr>
      <w:szCs w:val="21"/>
    </w:rPr>
  </w:style>
  <w:style w:type="paragraph" w:customStyle="1" w:styleId="325">
    <w:name w:val="font16"/>
    <w:basedOn w:val="1"/>
    <w:qFormat/>
    <w:uiPriority w:val="0"/>
    <w:pPr>
      <w:widowControl/>
      <w:spacing w:before="100" w:beforeAutospacing="1" w:after="100" w:afterAutospacing="1"/>
      <w:jc w:val="left"/>
    </w:pPr>
    <w:rPr>
      <w:rFonts w:ascii="宋体" w:hAnsi="宋体" w:cs="宋体"/>
      <w:color w:val="000000"/>
      <w:kern w:val="0"/>
      <w:sz w:val="20"/>
      <w:szCs w:val="20"/>
    </w:rPr>
  </w:style>
  <w:style w:type="paragraph" w:customStyle="1" w:styleId="326">
    <w:name w:val="xl142"/>
    <w:basedOn w:val="1"/>
    <w:qFormat/>
    <w:uiPriority w:val="0"/>
    <w:pPr>
      <w:widowControl/>
      <w:pBdr>
        <w:top w:val="single" w:color="auto" w:sz="4" w:space="0"/>
        <w:left w:val="single" w:color="auto" w:sz="4" w:space="0"/>
        <w:right w:val="single" w:color="auto" w:sz="4" w:space="0"/>
      </w:pBdr>
      <w:spacing w:before="100" w:beforeAutospacing="1" w:after="100" w:afterAutospacing="1"/>
      <w:jc w:val="left"/>
    </w:pPr>
    <w:rPr>
      <w:rFonts w:ascii="宋体" w:hAnsi="宋体" w:cs="宋体"/>
      <w:color w:val="00B0F0"/>
      <w:kern w:val="0"/>
      <w:sz w:val="20"/>
      <w:szCs w:val="20"/>
    </w:rPr>
  </w:style>
  <w:style w:type="paragraph" w:customStyle="1" w:styleId="327">
    <w:name w:val="Char Char Char Char Char Char Char Char Char Char"/>
    <w:basedOn w:val="1"/>
    <w:qFormat/>
    <w:uiPriority w:val="0"/>
    <w:pPr>
      <w:tabs>
        <w:tab w:val="left" w:pos="360"/>
      </w:tabs>
      <w:ind w:left="360" w:hanging="360" w:hangingChars="200"/>
    </w:pPr>
    <w:rPr>
      <w:sz w:val="24"/>
    </w:rPr>
  </w:style>
  <w:style w:type="paragraph" w:customStyle="1" w:styleId="328">
    <w:name w:val="样式 标题4"/>
    <w:basedOn w:val="6"/>
    <w:qFormat/>
    <w:uiPriority w:val="0"/>
    <w:pPr>
      <w:numPr>
        <w:ilvl w:val="0"/>
        <w:numId w:val="0"/>
      </w:numPr>
    </w:pPr>
    <w:rPr>
      <w:rFonts w:ascii="Calibri" w:hAnsi="Calibri"/>
      <w:b/>
    </w:rPr>
  </w:style>
  <w:style w:type="paragraph" w:customStyle="1" w:styleId="329">
    <w:name w:val="ParaAttribute1"/>
    <w:qFormat/>
    <w:uiPriority w:val="0"/>
    <w:pPr>
      <w:widowControl w:val="0"/>
      <w:wordWrap w:val="0"/>
      <w:ind w:firstLine="600"/>
      <w:jc w:val="both"/>
    </w:pPr>
    <w:rPr>
      <w:rFonts w:ascii="Times New Roman" w:hAnsi="Times New Roman" w:eastAsia="Batang" w:cs="Times New Roman"/>
      <w:lang w:val="en-US" w:eastAsia="zh-CN" w:bidi="ar-SA"/>
    </w:rPr>
  </w:style>
  <w:style w:type="paragraph" w:customStyle="1" w:styleId="330">
    <w:name w:val="xl13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0"/>
      <w:szCs w:val="20"/>
    </w:rPr>
  </w:style>
  <w:style w:type="paragraph" w:customStyle="1" w:styleId="331">
    <w:name w:val="评价样式1"/>
    <w:basedOn w:val="1"/>
    <w:next w:val="21"/>
    <w:qFormat/>
    <w:uiPriority w:val="0"/>
    <w:pPr>
      <w:tabs>
        <w:tab w:val="left" w:pos="1950"/>
      </w:tabs>
      <w:spacing w:line="440" w:lineRule="exact"/>
      <w:ind w:left="1950" w:firstLine="480" w:firstLineChars="200"/>
      <w:jc w:val="left"/>
    </w:pPr>
    <w:rPr>
      <w:rFonts w:ascii="宋体" w:hAnsi="宋体"/>
      <w:sz w:val="24"/>
      <w:szCs w:val="21"/>
    </w:rPr>
  </w:style>
  <w:style w:type="paragraph" w:customStyle="1" w:styleId="332">
    <w:name w:val="表格文字（小四号）"/>
    <w:basedOn w:val="1"/>
    <w:qFormat/>
    <w:uiPriority w:val="0"/>
    <w:pPr>
      <w:jc w:val="center"/>
    </w:pPr>
    <w:rPr>
      <w:rFonts w:ascii="宋体"/>
      <w:sz w:val="24"/>
      <w:szCs w:val="20"/>
    </w:rPr>
  </w:style>
  <w:style w:type="paragraph" w:customStyle="1" w:styleId="333">
    <w:name w:val="表头"/>
    <w:basedOn w:val="1"/>
    <w:qFormat/>
    <w:uiPriority w:val="0"/>
    <w:pPr>
      <w:tabs>
        <w:tab w:val="left" w:pos="1021"/>
      </w:tabs>
      <w:spacing w:before="60" w:line="300" w:lineRule="auto"/>
      <w:jc w:val="center"/>
    </w:pPr>
    <w:rPr>
      <w:rFonts w:ascii="宋体" w:hAnsi="宋体"/>
      <w:b/>
      <w:szCs w:val="20"/>
    </w:rPr>
  </w:style>
  <w:style w:type="paragraph" w:customStyle="1" w:styleId="334">
    <w:name w:val="xl6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kern w:val="0"/>
      <w:sz w:val="24"/>
    </w:rPr>
  </w:style>
  <w:style w:type="paragraph" w:customStyle="1" w:styleId="335">
    <w:name w:val="xl230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kern w:val="0"/>
      <w:sz w:val="18"/>
      <w:szCs w:val="18"/>
    </w:rPr>
  </w:style>
  <w:style w:type="paragraph" w:customStyle="1" w:styleId="336">
    <w:name w:val="样式 报告书正文 + 首行缩进:  2 字符1"/>
    <w:qFormat/>
    <w:uiPriority w:val="0"/>
    <w:pPr>
      <w:ind w:firstLine="480"/>
    </w:pPr>
    <w:rPr>
      <w:rFonts w:ascii="Times New Roman" w:hAnsi="Times New Roman" w:eastAsia="宋体" w:cs="宋体"/>
      <w:lang w:val="en-US" w:eastAsia="zh-CN" w:bidi="ar-SA"/>
    </w:rPr>
  </w:style>
  <w:style w:type="paragraph" w:customStyle="1" w:styleId="337">
    <w:name w:val="xl118"/>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pPr>
    <w:rPr>
      <w:rFonts w:ascii="宋体" w:hAnsi="宋体" w:cs="宋体"/>
      <w:b/>
      <w:bCs/>
      <w:kern w:val="0"/>
      <w:sz w:val="20"/>
      <w:szCs w:val="20"/>
    </w:rPr>
  </w:style>
  <w:style w:type="paragraph" w:customStyle="1" w:styleId="338">
    <w:name w:val="xl68"/>
    <w:basedOn w:val="1"/>
    <w:qFormat/>
    <w:uiPriority w:val="0"/>
    <w:pPr>
      <w:widowControl/>
      <w:pBdr>
        <w:bottom w:val="single" w:color="auto" w:sz="4" w:space="0"/>
        <w:right w:val="single" w:color="auto" w:sz="4" w:space="0"/>
      </w:pBdr>
      <w:shd w:val="clear" w:color="auto" w:fill="FFFFFF"/>
      <w:spacing w:before="100" w:beforeAutospacing="1" w:after="100" w:afterAutospacing="1"/>
      <w:jc w:val="left"/>
    </w:pPr>
    <w:rPr>
      <w:rFonts w:ascii="宋体" w:hAnsi="宋体"/>
      <w:kern w:val="0"/>
      <w:sz w:val="28"/>
      <w:szCs w:val="28"/>
    </w:rPr>
  </w:style>
  <w:style w:type="paragraph" w:customStyle="1" w:styleId="339">
    <w:name w:val="xl10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b/>
      <w:bCs/>
      <w:kern w:val="0"/>
      <w:sz w:val="20"/>
      <w:szCs w:val="20"/>
    </w:rPr>
  </w:style>
  <w:style w:type="paragraph" w:customStyle="1" w:styleId="340">
    <w:name w:val="列出段落3"/>
    <w:basedOn w:val="1"/>
    <w:qFormat/>
    <w:uiPriority w:val="34"/>
    <w:pPr>
      <w:widowControl/>
      <w:adjustRightInd w:val="0"/>
      <w:snapToGrid w:val="0"/>
      <w:spacing w:after="200"/>
      <w:ind w:firstLine="420" w:firstLineChars="200"/>
      <w:jc w:val="left"/>
    </w:pPr>
    <w:rPr>
      <w:rFonts w:ascii="Calibri" w:hAnsi="Calibri" w:eastAsia="微软雅黑"/>
      <w:kern w:val="0"/>
      <w:sz w:val="22"/>
      <w:szCs w:val="22"/>
    </w:rPr>
  </w:style>
  <w:style w:type="paragraph" w:customStyle="1" w:styleId="341">
    <w:name w:val="xl164"/>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pPr>
    <w:rPr>
      <w:rFonts w:ascii="宋体" w:hAnsi="宋体" w:cs="宋体"/>
      <w:kern w:val="0"/>
      <w:sz w:val="20"/>
      <w:szCs w:val="20"/>
    </w:rPr>
  </w:style>
  <w:style w:type="paragraph" w:customStyle="1" w:styleId="342">
    <w:name w:val="表格13"/>
    <w:qFormat/>
    <w:uiPriority w:val="0"/>
    <w:pPr>
      <w:widowControl w:val="0"/>
      <w:adjustRightInd w:val="0"/>
      <w:spacing w:line="260" w:lineRule="atLeast"/>
      <w:jc w:val="center"/>
      <w:textAlignment w:val="baseline"/>
    </w:pPr>
    <w:rPr>
      <w:rFonts w:ascii="宋体" w:hAnsi="Times New Roman" w:eastAsia="宋体" w:cs="宋体"/>
      <w:sz w:val="18"/>
      <w:szCs w:val="18"/>
      <w:lang w:val="zh-CN" w:eastAsia="zh-CN" w:bidi="ar-SA"/>
    </w:rPr>
  </w:style>
  <w:style w:type="paragraph" w:customStyle="1" w:styleId="343">
    <w:name w:val="font29"/>
    <w:basedOn w:val="1"/>
    <w:qFormat/>
    <w:uiPriority w:val="0"/>
    <w:pPr>
      <w:widowControl/>
      <w:spacing w:before="100" w:beforeAutospacing="1" w:after="100" w:afterAutospacing="1"/>
      <w:jc w:val="left"/>
    </w:pPr>
    <w:rPr>
      <w:rFonts w:ascii="宋体" w:hAnsi="宋体" w:cs="宋体"/>
      <w:kern w:val="0"/>
      <w:sz w:val="18"/>
      <w:szCs w:val="18"/>
    </w:rPr>
  </w:style>
  <w:style w:type="paragraph" w:customStyle="1" w:styleId="344">
    <w:name w:val="xl122"/>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新宋体" w:hAnsi="新宋体" w:eastAsia="新宋体" w:cs="宋体"/>
      <w:b/>
      <w:bCs/>
      <w:kern w:val="0"/>
      <w:sz w:val="20"/>
      <w:szCs w:val="20"/>
    </w:rPr>
  </w:style>
  <w:style w:type="paragraph" w:customStyle="1" w:styleId="345">
    <w:name w:val="样式 左侧:  0 厘米 悬挂缩进: 1.5 字符 行距: 1.5 倍行距"/>
    <w:basedOn w:val="1"/>
    <w:qFormat/>
    <w:uiPriority w:val="0"/>
    <w:pPr>
      <w:spacing w:line="360" w:lineRule="auto"/>
      <w:ind w:left="315" w:hanging="315" w:hangingChars="150"/>
    </w:pPr>
    <w:rPr>
      <w:rFonts w:cs="宋体"/>
      <w:szCs w:val="20"/>
    </w:rPr>
  </w:style>
  <w:style w:type="paragraph" w:customStyle="1" w:styleId="346">
    <w:name w:val="1编号"/>
    <w:basedOn w:val="347"/>
    <w:qFormat/>
    <w:uiPriority w:val="0"/>
    <w:pPr>
      <w:ind w:firstLine="425"/>
    </w:pPr>
    <w:rPr>
      <w:rFonts w:eastAsia="宋体"/>
    </w:rPr>
  </w:style>
  <w:style w:type="paragraph" w:customStyle="1" w:styleId="347">
    <w:name w:val="一编号"/>
    <w:basedOn w:val="1"/>
    <w:next w:val="346"/>
    <w:qFormat/>
    <w:uiPriority w:val="0"/>
    <w:pPr>
      <w:spacing w:line="360" w:lineRule="auto"/>
    </w:pPr>
    <w:rPr>
      <w:rFonts w:eastAsia="黑体"/>
      <w:sz w:val="24"/>
    </w:rPr>
  </w:style>
  <w:style w:type="paragraph" w:customStyle="1" w:styleId="348">
    <w:name w:val="xl11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b/>
      <w:bCs/>
      <w:kern w:val="0"/>
      <w:sz w:val="20"/>
      <w:szCs w:val="20"/>
    </w:rPr>
  </w:style>
  <w:style w:type="paragraph" w:customStyle="1" w:styleId="349">
    <w:name w:val="xl168"/>
    <w:basedOn w:val="1"/>
    <w:qFormat/>
    <w:uiPriority w:val="0"/>
    <w:pPr>
      <w:widowControl/>
      <w:pBdr>
        <w:top w:val="single" w:color="auto" w:sz="4" w:space="0"/>
        <w:left w:val="single" w:color="auto" w:sz="4" w:space="0"/>
        <w:bottom w:val="single" w:color="auto" w:sz="4" w:space="0"/>
        <w:right w:val="single" w:color="auto" w:sz="4" w:space="0"/>
      </w:pBdr>
      <w:shd w:val="clear" w:color="000000" w:fill="00B0F0"/>
      <w:spacing w:before="100" w:beforeAutospacing="1" w:after="100" w:afterAutospacing="1"/>
      <w:jc w:val="center"/>
    </w:pPr>
    <w:rPr>
      <w:rFonts w:ascii="宋体" w:hAnsi="宋体" w:cs="宋体"/>
      <w:kern w:val="0"/>
      <w:sz w:val="20"/>
      <w:szCs w:val="20"/>
    </w:rPr>
  </w:style>
  <w:style w:type="paragraph" w:customStyle="1" w:styleId="350">
    <w:name w:val="段落正文"/>
    <w:basedOn w:val="1"/>
    <w:qFormat/>
    <w:uiPriority w:val="0"/>
    <w:pPr>
      <w:spacing w:line="300" w:lineRule="auto"/>
      <w:ind w:firstLine="482" w:firstLineChars="200"/>
    </w:pPr>
    <w:rPr>
      <w:sz w:val="24"/>
    </w:rPr>
  </w:style>
  <w:style w:type="paragraph" w:customStyle="1" w:styleId="351">
    <w:name w:val="xl94"/>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pPr>
    <w:rPr>
      <w:b/>
      <w:bCs/>
      <w:kern w:val="0"/>
      <w:sz w:val="20"/>
      <w:szCs w:val="20"/>
    </w:rPr>
  </w:style>
  <w:style w:type="paragraph" w:customStyle="1" w:styleId="352">
    <w:name w:val="环评标题2"/>
    <w:basedOn w:val="4"/>
    <w:qFormat/>
    <w:uiPriority w:val="0"/>
    <w:pPr>
      <w:keepLines w:val="0"/>
      <w:numPr>
        <w:ilvl w:val="0"/>
        <w:numId w:val="0"/>
      </w:numPr>
      <w:tabs>
        <w:tab w:val="left" w:pos="840"/>
      </w:tabs>
      <w:spacing w:line="520" w:lineRule="exact"/>
      <w:ind w:left="840" w:hanging="420"/>
      <w:jc w:val="left"/>
    </w:pPr>
    <w:rPr>
      <w:rFonts w:ascii="黑体" w:hAnsi="宋体"/>
      <w:sz w:val="24"/>
      <w:szCs w:val="24"/>
    </w:rPr>
  </w:style>
  <w:style w:type="paragraph" w:customStyle="1" w:styleId="353">
    <w:name w:val="xl2313"/>
    <w:basedOn w:val="1"/>
    <w:qFormat/>
    <w:uiPriority w:val="0"/>
    <w:pPr>
      <w:widowControl/>
      <w:pBdr>
        <w:top w:val="single" w:color="auto" w:sz="4" w:space="0"/>
        <w:left w:val="single" w:color="auto" w:sz="4" w:space="0"/>
        <w:right w:val="single" w:color="auto" w:sz="4" w:space="0"/>
      </w:pBdr>
      <w:shd w:val="clear" w:color="000000" w:fill="CCFFCC"/>
      <w:spacing w:before="100" w:beforeAutospacing="1" w:after="100" w:afterAutospacing="1"/>
      <w:jc w:val="center"/>
      <w:textAlignment w:val="top"/>
    </w:pPr>
    <w:rPr>
      <w:rFonts w:ascii="宋体" w:hAnsi="宋体" w:cs="宋体"/>
      <w:kern w:val="0"/>
      <w:sz w:val="18"/>
      <w:szCs w:val="18"/>
    </w:rPr>
  </w:style>
  <w:style w:type="paragraph" w:customStyle="1" w:styleId="354">
    <w:name w:val="xl85"/>
    <w:basedOn w:val="1"/>
    <w:qFormat/>
    <w:uiPriority w:val="0"/>
    <w:pPr>
      <w:widowControl/>
      <w:pBdr>
        <w:top w:val="single" w:color="auto" w:sz="4" w:space="0"/>
      </w:pBdr>
      <w:spacing w:before="100" w:beforeAutospacing="1" w:after="100" w:afterAutospacing="1"/>
      <w:jc w:val="left"/>
    </w:pPr>
    <w:rPr>
      <w:rFonts w:ascii="宋体" w:hAnsi="宋体"/>
      <w:b/>
      <w:bCs/>
      <w:kern w:val="0"/>
      <w:sz w:val="24"/>
    </w:rPr>
  </w:style>
  <w:style w:type="paragraph" w:customStyle="1" w:styleId="355">
    <w:name w:val="xl14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color w:val="00B0F0"/>
      <w:kern w:val="0"/>
      <w:sz w:val="20"/>
      <w:szCs w:val="20"/>
    </w:rPr>
  </w:style>
  <w:style w:type="paragraph" w:customStyle="1" w:styleId="356">
    <w:name w:val="xl154"/>
    <w:basedOn w:val="1"/>
    <w:qFormat/>
    <w:uiPriority w:val="0"/>
    <w:pPr>
      <w:widowControl/>
      <w:pBdr>
        <w:top w:val="single" w:color="auto" w:sz="4" w:space="0"/>
        <w:left w:val="single" w:color="auto" w:sz="4" w:space="0"/>
        <w:bottom w:val="single" w:color="auto" w:sz="4" w:space="0"/>
      </w:pBdr>
      <w:spacing w:before="100" w:beforeAutospacing="1" w:after="100" w:afterAutospacing="1"/>
      <w:jc w:val="left"/>
    </w:pPr>
    <w:rPr>
      <w:rFonts w:ascii="宋体" w:hAnsi="宋体" w:cs="宋体"/>
      <w:kern w:val="0"/>
      <w:sz w:val="20"/>
      <w:szCs w:val="20"/>
    </w:rPr>
  </w:style>
  <w:style w:type="paragraph" w:customStyle="1" w:styleId="357">
    <w:name w:val="0正文"/>
    <w:basedOn w:val="1"/>
    <w:qFormat/>
    <w:uiPriority w:val="0"/>
    <w:pPr>
      <w:spacing w:line="360" w:lineRule="auto"/>
      <w:ind w:firstLine="420" w:firstLineChars="200"/>
    </w:pPr>
    <w:rPr>
      <w:rFonts w:ascii="Arial" w:cs="Arial"/>
      <w:szCs w:val="21"/>
    </w:rPr>
  </w:style>
  <w:style w:type="paragraph" w:customStyle="1" w:styleId="358">
    <w:name w:val="xl72"/>
    <w:basedOn w:val="1"/>
    <w:qFormat/>
    <w:uiPriority w:val="0"/>
    <w:pPr>
      <w:widowControl/>
      <w:pBdr>
        <w:top w:val="single" w:color="auto" w:sz="4" w:space="0"/>
        <w:bottom w:val="single" w:color="auto" w:sz="4" w:space="0"/>
      </w:pBdr>
      <w:spacing w:before="100" w:beforeAutospacing="1" w:after="100" w:afterAutospacing="1"/>
      <w:jc w:val="left"/>
    </w:pPr>
    <w:rPr>
      <w:rFonts w:ascii="宋体" w:hAnsi="宋体"/>
      <w:kern w:val="0"/>
      <w:sz w:val="20"/>
      <w:szCs w:val="20"/>
    </w:rPr>
  </w:style>
  <w:style w:type="paragraph" w:customStyle="1" w:styleId="359">
    <w:name w:val="xl135"/>
    <w:basedOn w:val="1"/>
    <w:qFormat/>
    <w:uiPriority w:val="0"/>
    <w:pPr>
      <w:widowControl/>
      <w:pBdr>
        <w:left w:val="single" w:color="auto" w:sz="4" w:space="0"/>
        <w:bottom w:val="single" w:color="auto" w:sz="4" w:space="0"/>
      </w:pBdr>
      <w:spacing w:before="100" w:beforeAutospacing="1" w:after="100" w:afterAutospacing="1"/>
      <w:jc w:val="left"/>
    </w:pPr>
    <w:rPr>
      <w:rFonts w:ascii="宋体" w:hAnsi="宋体" w:cs="宋体"/>
      <w:kern w:val="0"/>
      <w:sz w:val="20"/>
      <w:szCs w:val="20"/>
    </w:rPr>
  </w:style>
  <w:style w:type="paragraph" w:customStyle="1" w:styleId="360">
    <w:name w:val="font20"/>
    <w:basedOn w:val="1"/>
    <w:qFormat/>
    <w:uiPriority w:val="0"/>
    <w:pPr>
      <w:widowControl/>
      <w:spacing w:before="100" w:beforeAutospacing="1" w:after="100" w:afterAutospacing="1"/>
      <w:jc w:val="left"/>
    </w:pPr>
    <w:rPr>
      <w:rFonts w:ascii="宋体" w:hAnsi="宋体" w:cs="宋体"/>
      <w:color w:val="000000"/>
      <w:kern w:val="0"/>
      <w:sz w:val="20"/>
      <w:szCs w:val="20"/>
    </w:rPr>
  </w:style>
  <w:style w:type="paragraph" w:customStyle="1" w:styleId="361">
    <w:name w:val="Char Char Char Char"/>
    <w:basedOn w:val="1"/>
    <w:qFormat/>
    <w:uiPriority w:val="0"/>
  </w:style>
  <w:style w:type="paragraph" w:customStyle="1" w:styleId="362">
    <w:name w:val="样式 报告书正文 + 首行缩进:  2 字符"/>
    <w:qFormat/>
    <w:uiPriority w:val="0"/>
    <w:pPr>
      <w:ind w:firstLine="480"/>
    </w:pPr>
    <w:rPr>
      <w:rFonts w:ascii="Times New Roman" w:hAnsi="Times New Roman" w:eastAsia="宋体" w:cs="宋体"/>
      <w:lang w:val="en-US" w:eastAsia="zh-CN" w:bidi="ar-SA"/>
    </w:rPr>
  </w:style>
  <w:style w:type="paragraph" w:customStyle="1" w:styleId="363">
    <w:name w:val="Char Char Char Char Char Char"/>
    <w:basedOn w:val="1"/>
    <w:qFormat/>
    <w:uiPriority w:val="0"/>
  </w:style>
  <w:style w:type="paragraph" w:customStyle="1" w:styleId="364">
    <w:name w:val="006"/>
    <w:basedOn w:val="1"/>
    <w:qFormat/>
    <w:uiPriority w:val="0"/>
    <w:pPr>
      <w:tabs>
        <w:tab w:val="left" w:pos="425"/>
      </w:tabs>
      <w:spacing w:line="360" w:lineRule="auto"/>
      <w:ind w:left="1134" w:firstLine="200" w:firstLineChars="200"/>
      <w:outlineLvl w:val="5"/>
    </w:pPr>
    <w:rPr>
      <w:sz w:val="24"/>
      <w:szCs w:val="28"/>
    </w:rPr>
  </w:style>
  <w:style w:type="paragraph" w:customStyle="1" w:styleId="365">
    <w:name w:val="Char Char Char Char Char Char Char Char Char Char1 Char Char Char Char Char Char"/>
    <w:basedOn w:val="1"/>
    <w:qFormat/>
    <w:uiPriority w:val="0"/>
    <w:rPr>
      <w:rFonts w:ascii="宋体" w:hAnsi="宋体" w:cs="Courier New"/>
      <w:sz w:val="32"/>
      <w:szCs w:val="32"/>
    </w:rPr>
  </w:style>
  <w:style w:type="paragraph" w:customStyle="1" w:styleId="366">
    <w:name w:val="xl230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18"/>
      <w:szCs w:val="18"/>
    </w:rPr>
  </w:style>
  <w:style w:type="paragraph" w:customStyle="1" w:styleId="367">
    <w:name w:val="xl172"/>
    <w:basedOn w:val="1"/>
    <w:qFormat/>
    <w:uiPriority w:val="0"/>
    <w:pPr>
      <w:widowControl/>
      <w:pBdr>
        <w:top w:val="single" w:color="auto" w:sz="4" w:space="0"/>
        <w:left w:val="single" w:color="auto" w:sz="4" w:space="0"/>
        <w:bottom w:val="single" w:color="auto" w:sz="4" w:space="0"/>
        <w:right w:val="single" w:color="auto" w:sz="4" w:space="0"/>
      </w:pBdr>
      <w:shd w:val="clear" w:color="000000" w:fill="00B0F0"/>
      <w:spacing w:before="100" w:beforeAutospacing="1" w:after="100" w:afterAutospacing="1"/>
      <w:jc w:val="left"/>
    </w:pPr>
    <w:rPr>
      <w:rFonts w:ascii="宋体" w:hAnsi="宋体" w:cs="宋体"/>
      <w:b/>
      <w:bCs/>
      <w:color w:val="000000"/>
      <w:kern w:val="0"/>
      <w:sz w:val="20"/>
      <w:szCs w:val="20"/>
    </w:rPr>
  </w:style>
  <w:style w:type="paragraph" w:customStyle="1" w:styleId="368">
    <w:name w:val="xl230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kern w:val="0"/>
      <w:sz w:val="18"/>
      <w:szCs w:val="18"/>
    </w:rPr>
  </w:style>
  <w:style w:type="paragraph" w:customStyle="1" w:styleId="369">
    <w:name w:val="xl125"/>
    <w:basedOn w:val="1"/>
    <w:qFormat/>
    <w:uiPriority w:val="0"/>
    <w:pPr>
      <w:widowControl/>
      <w:pBdr>
        <w:top w:val="single" w:color="auto" w:sz="4" w:space="0"/>
        <w:left w:val="single" w:color="auto" w:sz="4" w:space="0"/>
        <w:bottom w:val="single" w:color="auto" w:sz="4" w:space="0"/>
      </w:pBdr>
      <w:spacing w:before="100" w:beforeAutospacing="1" w:after="100" w:afterAutospacing="1"/>
      <w:jc w:val="left"/>
    </w:pPr>
    <w:rPr>
      <w:rFonts w:ascii="宋体" w:hAnsi="宋体" w:cs="宋体"/>
      <w:b/>
      <w:bCs/>
      <w:kern w:val="0"/>
      <w:sz w:val="20"/>
      <w:szCs w:val="20"/>
    </w:rPr>
  </w:style>
  <w:style w:type="paragraph" w:customStyle="1" w:styleId="370">
    <w:name w:val="Char Char Char Char Char Char Char Char Char Char Char Char Char Char Char Char Char Char Char Char Char Char"/>
    <w:basedOn w:val="1"/>
    <w:next w:val="1"/>
    <w:qFormat/>
    <w:uiPriority w:val="0"/>
    <w:pPr>
      <w:spacing w:line="360" w:lineRule="auto"/>
      <w:ind w:firstLine="200" w:firstLineChars="200"/>
    </w:pPr>
    <w:rPr>
      <w:rFonts w:ascii="宋体" w:hAnsi="宋体" w:cs="宋体"/>
      <w:sz w:val="24"/>
    </w:rPr>
  </w:style>
  <w:style w:type="paragraph" w:customStyle="1" w:styleId="371">
    <w:name w:val="xl80"/>
    <w:basedOn w:val="1"/>
    <w:qFormat/>
    <w:uiPriority w:val="0"/>
    <w:pPr>
      <w:widowControl/>
      <w:pBdr>
        <w:top w:val="single" w:color="auto" w:sz="4" w:space="0"/>
        <w:bottom w:val="single" w:color="auto" w:sz="4" w:space="0"/>
      </w:pBdr>
      <w:spacing w:before="100" w:beforeAutospacing="1" w:after="100" w:afterAutospacing="1"/>
      <w:jc w:val="left"/>
    </w:pPr>
    <w:rPr>
      <w:rFonts w:ascii="宋体" w:hAnsi="宋体"/>
      <w:kern w:val="0"/>
      <w:sz w:val="24"/>
    </w:rPr>
  </w:style>
  <w:style w:type="paragraph" w:customStyle="1" w:styleId="372">
    <w:name w:val="xl10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rPr>
  </w:style>
  <w:style w:type="paragraph" w:customStyle="1" w:styleId="373">
    <w:name w:val="论文图表"/>
    <w:basedOn w:val="1"/>
    <w:qFormat/>
    <w:uiPriority w:val="0"/>
    <w:pPr>
      <w:spacing w:line="360" w:lineRule="auto"/>
      <w:jc w:val="center"/>
    </w:pPr>
    <w:rPr>
      <w:szCs w:val="21"/>
    </w:rPr>
  </w:style>
  <w:style w:type="paragraph" w:customStyle="1" w:styleId="374">
    <w:name w:val="xl2301"/>
    <w:basedOn w:val="1"/>
    <w:qFormat/>
    <w:uiPriority w:val="0"/>
    <w:pPr>
      <w:widowControl/>
      <w:spacing w:before="100" w:beforeAutospacing="1" w:after="100" w:afterAutospacing="1"/>
      <w:jc w:val="left"/>
    </w:pPr>
    <w:rPr>
      <w:rFonts w:ascii="宋体" w:hAnsi="宋体" w:cs="宋体"/>
      <w:kern w:val="0"/>
      <w:sz w:val="18"/>
      <w:szCs w:val="18"/>
    </w:rPr>
  </w:style>
  <w:style w:type="paragraph" w:customStyle="1" w:styleId="375">
    <w:name w:val="font15"/>
    <w:basedOn w:val="1"/>
    <w:qFormat/>
    <w:uiPriority w:val="0"/>
    <w:pPr>
      <w:widowControl/>
      <w:spacing w:before="100" w:beforeAutospacing="1" w:after="100" w:afterAutospacing="1"/>
      <w:jc w:val="left"/>
    </w:pPr>
    <w:rPr>
      <w:rFonts w:ascii="宋体" w:hAnsi="宋体" w:cs="宋体"/>
      <w:color w:val="000000"/>
      <w:kern w:val="0"/>
      <w:sz w:val="20"/>
      <w:szCs w:val="20"/>
    </w:rPr>
  </w:style>
  <w:style w:type="paragraph" w:customStyle="1" w:styleId="376">
    <w:name w:val="用户正文1"/>
    <w:qFormat/>
    <w:uiPriority w:val="0"/>
    <w:pPr>
      <w:spacing w:line="360" w:lineRule="auto"/>
      <w:ind w:firstLine="573"/>
      <w:jc w:val="both"/>
    </w:pPr>
    <w:rPr>
      <w:rFonts w:ascii="Times New Roman" w:hAnsi="Times New Roman" w:eastAsia="宋体" w:cs="Times New Roman"/>
      <w:sz w:val="30"/>
      <w:lang w:val="en-US" w:eastAsia="zh-CN" w:bidi="ar-SA"/>
    </w:rPr>
  </w:style>
  <w:style w:type="paragraph" w:customStyle="1" w:styleId="377">
    <w:name w:val="中文报告书样式"/>
    <w:basedOn w:val="1"/>
    <w:qFormat/>
    <w:uiPriority w:val="0"/>
    <w:pPr>
      <w:adjustRightInd w:val="0"/>
      <w:spacing w:line="480" w:lineRule="atLeast"/>
      <w:ind w:firstLine="482"/>
      <w:textAlignment w:val="baseline"/>
    </w:pPr>
    <w:rPr>
      <w:kern w:val="24"/>
      <w:sz w:val="24"/>
      <w:szCs w:val="20"/>
    </w:rPr>
  </w:style>
  <w:style w:type="paragraph" w:customStyle="1" w:styleId="378">
    <w:name w:val="xl156"/>
    <w:basedOn w:val="1"/>
    <w:qFormat/>
    <w:uiPriority w:val="0"/>
    <w:pPr>
      <w:widowControl/>
      <w:pBdr>
        <w:top w:val="single" w:color="auto" w:sz="4" w:space="0"/>
        <w:left w:val="single" w:color="auto" w:sz="4" w:space="0"/>
        <w:bottom w:val="single" w:color="auto" w:sz="4" w:space="0"/>
      </w:pBdr>
      <w:spacing w:before="100" w:beforeAutospacing="1" w:after="100" w:afterAutospacing="1"/>
      <w:jc w:val="left"/>
    </w:pPr>
    <w:rPr>
      <w:rFonts w:ascii="宋体" w:hAnsi="宋体" w:cs="宋体"/>
      <w:kern w:val="0"/>
      <w:sz w:val="20"/>
      <w:szCs w:val="20"/>
    </w:rPr>
  </w:style>
  <w:style w:type="paragraph" w:customStyle="1" w:styleId="379">
    <w:name w:val="样式 样式 标题4 + 右侧:  0.85 字符 + 右侧:  0.85 字符1"/>
    <w:basedOn w:val="380"/>
    <w:qFormat/>
    <w:uiPriority w:val="0"/>
    <w:rPr>
      <w:kern w:val="0"/>
    </w:rPr>
  </w:style>
  <w:style w:type="paragraph" w:customStyle="1" w:styleId="380">
    <w:name w:val="样式 标题4 + 右侧:  0.85 字符"/>
    <w:basedOn w:val="1"/>
    <w:qFormat/>
    <w:uiPriority w:val="0"/>
    <w:pPr>
      <w:spacing w:line="377" w:lineRule="auto"/>
      <w:ind w:right="85" w:rightChars="85"/>
      <w:jc w:val="left"/>
      <w:outlineLvl w:val="3"/>
    </w:pPr>
    <w:rPr>
      <w:rFonts w:cs="宋体"/>
      <w:sz w:val="24"/>
      <w:szCs w:val="20"/>
    </w:rPr>
  </w:style>
  <w:style w:type="paragraph" w:customStyle="1" w:styleId="381">
    <w:name w:val="xl143"/>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pPr>
    <w:rPr>
      <w:rFonts w:ascii="宋体" w:hAnsi="宋体" w:cs="宋体"/>
      <w:color w:val="00B0F0"/>
      <w:kern w:val="0"/>
      <w:sz w:val="20"/>
      <w:szCs w:val="20"/>
    </w:rPr>
  </w:style>
  <w:style w:type="paragraph" w:customStyle="1" w:styleId="382">
    <w:name w:val="a3"/>
    <w:basedOn w:val="1"/>
    <w:qFormat/>
    <w:uiPriority w:val="0"/>
    <w:pPr>
      <w:ind w:left="-280" w:firstLine="280"/>
      <w:outlineLvl w:val="2"/>
    </w:pPr>
    <w:rPr>
      <w:rFonts w:ascii="宋体" w:hAnsi="宋体"/>
      <w:b/>
      <w:bCs/>
      <w:sz w:val="24"/>
      <w:szCs w:val="28"/>
    </w:rPr>
  </w:style>
  <w:style w:type="paragraph" w:customStyle="1" w:styleId="383">
    <w:name w:val="Char1"/>
    <w:basedOn w:val="1"/>
    <w:qFormat/>
    <w:uiPriority w:val="0"/>
  </w:style>
  <w:style w:type="paragraph" w:customStyle="1" w:styleId="384">
    <w:name w:val="样式2 Char"/>
    <w:basedOn w:val="15"/>
    <w:qFormat/>
    <w:uiPriority w:val="0"/>
    <w:pPr>
      <w:widowControl/>
      <w:adjustRightInd w:val="0"/>
      <w:snapToGrid w:val="0"/>
      <w:spacing w:line="520" w:lineRule="exact"/>
      <w:ind w:firstLine="680" w:firstLineChars="200"/>
      <w:textAlignment w:val="baseline"/>
    </w:pPr>
    <w:rPr>
      <w:rFonts w:ascii="宋体" w:hAnsi="宋体" w:eastAsia="宋体"/>
      <w:bCs/>
      <w:snapToGrid w:val="0"/>
      <w:spacing w:val="30"/>
      <w:kern w:val="0"/>
      <w:szCs w:val="28"/>
    </w:rPr>
  </w:style>
  <w:style w:type="paragraph" w:customStyle="1" w:styleId="385">
    <w:name w:val="xl76"/>
    <w:basedOn w:val="1"/>
    <w:qFormat/>
    <w:uiPriority w:val="0"/>
    <w:pPr>
      <w:widowControl/>
      <w:pBdr>
        <w:top w:val="single" w:color="auto" w:sz="4" w:space="0"/>
        <w:bottom w:val="single" w:color="auto" w:sz="4" w:space="0"/>
        <w:right w:val="single" w:color="auto" w:sz="4" w:space="0"/>
      </w:pBdr>
      <w:spacing w:before="100" w:beforeAutospacing="1" w:after="100" w:afterAutospacing="1"/>
      <w:jc w:val="left"/>
    </w:pPr>
    <w:rPr>
      <w:rFonts w:ascii="宋体" w:hAnsi="宋体"/>
      <w:kern w:val="0"/>
      <w:sz w:val="20"/>
      <w:szCs w:val="20"/>
    </w:rPr>
  </w:style>
  <w:style w:type="paragraph" w:customStyle="1" w:styleId="386">
    <w:name w:val="图号"/>
    <w:basedOn w:val="1"/>
    <w:next w:val="1"/>
    <w:qFormat/>
    <w:uiPriority w:val="0"/>
    <w:pPr>
      <w:numPr>
        <w:ilvl w:val="5"/>
        <w:numId w:val="1"/>
      </w:numPr>
      <w:jc w:val="center"/>
    </w:pPr>
    <w:rPr>
      <w:b/>
      <w:sz w:val="24"/>
    </w:rPr>
  </w:style>
  <w:style w:type="paragraph" w:customStyle="1" w:styleId="387">
    <w:name w:val="xl123"/>
    <w:basedOn w:val="1"/>
    <w:qFormat/>
    <w:uiPriority w:val="0"/>
    <w:pPr>
      <w:widowControl/>
      <w:pBdr>
        <w:top w:val="single" w:color="auto" w:sz="4" w:space="0"/>
        <w:right w:val="single" w:color="auto" w:sz="4" w:space="0"/>
      </w:pBdr>
      <w:spacing w:before="100" w:beforeAutospacing="1" w:after="100" w:afterAutospacing="1"/>
      <w:jc w:val="center"/>
    </w:pPr>
    <w:rPr>
      <w:rFonts w:ascii="宋体" w:hAnsi="宋体" w:cs="宋体"/>
      <w:kern w:val="0"/>
      <w:sz w:val="20"/>
      <w:szCs w:val="20"/>
    </w:rPr>
  </w:style>
  <w:style w:type="paragraph" w:customStyle="1" w:styleId="388">
    <w:name w:val="xl157"/>
    <w:basedOn w:val="1"/>
    <w:qFormat/>
    <w:uiPriority w:val="0"/>
    <w:pPr>
      <w:widowControl/>
      <w:pBdr>
        <w:top w:val="single" w:color="auto" w:sz="4" w:space="0"/>
        <w:left w:val="single" w:color="auto" w:sz="4" w:space="0"/>
        <w:bottom w:val="single" w:color="auto" w:sz="4" w:space="0"/>
      </w:pBdr>
      <w:spacing w:before="100" w:beforeAutospacing="1" w:after="100" w:afterAutospacing="1"/>
      <w:jc w:val="left"/>
    </w:pPr>
    <w:rPr>
      <w:rFonts w:ascii="宋体" w:hAnsi="宋体" w:cs="宋体"/>
      <w:kern w:val="0"/>
      <w:sz w:val="20"/>
      <w:szCs w:val="20"/>
    </w:rPr>
  </w:style>
  <w:style w:type="paragraph" w:customStyle="1" w:styleId="389">
    <w:name w:val="font21"/>
    <w:basedOn w:val="1"/>
    <w:qFormat/>
    <w:uiPriority w:val="0"/>
    <w:pPr>
      <w:widowControl/>
      <w:spacing w:before="100" w:beforeAutospacing="1" w:after="100" w:afterAutospacing="1"/>
      <w:jc w:val="left"/>
    </w:pPr>
    <w:rPr>
      <w:rFonts w:ascii="宋体" w:hAnsi="宋体" w:cs="宋体"/>
      <w:color w:val="000000"/>
      <w:kern w:val="0"/>
      <w:sz w:val="20"/>
      <w:szCs w:val="20"/>
    </w:rPr>
  </w:style>
  <w:style w:type="paragraph" w:customStyle="1" w:styleId="390">
    <w:name w:val="xl10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0"/>
      <w:szCs w:val="20"/>
    </w:rPr>
  </w:style>
  <w:style w:type="paragraph" w:customStyle="1" w:styleId="391">
    <w:name w:val="段落 Char Char"/>
    <w:basedOn w:val="1"/>
    <w:qFormat/>
    <w:uiPriority w:val="0"/>
    <w:pPr>
      <w:tabs>
        <w:tab w:val="left" w:pos="1021"/>
      </w:tabs>
      <w:spacing w:line="360" w:lineRule="auto"/>
      <w:ind w:firstLine="480" w:firstLineChars="200"/>
    </w:pPr>
    <w:rPr>
      <w:rFonts w:ascii="宋体" w:hAnsi="宋体"/>
      <w:color w:val="000000"/>
      <w:kern w:val="24"/>
    </w:rPr>
  </w:style>
  <w:style w:type="paragraph" w:customStyle="1" w:styleId="392">
    <w:name w:val="默认段落字体 Para Char"/>
    <w:basedOn w:val="1"/>
    <w:next w:val="1"/>
    <w:qFormat/>
    <w:uiPriority w:val="0"/>
    <w:pPr>
      <w:spacing w:line="360" w:lineRule="auto"/>
      <w:ind w:firstLine="200" w:firstLineChars="200"/>
    </w:pPr>
    <w:rPr>
      <w:rFonts w:ascii="宋体" w:hAnsi="宋体" w:cs="宋体"/>
      <w:sz w:val="24"/>
    </w:rPr>
  </w:style>
  <w:style w:type="paragraph" w:customStyle="1" w:styleId="393">
    <w:name w:val="xl145"/>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pPr>
    <w:rPr>
      <w:rFonts w:ascii="宋体" w:hAnsi="宋体" w:cs="宋体"/>
      <w:color w:val="00B0F0"/>
      <w:kern w:val="0"/>
      <w:sz w:val="20"/>
      <w:szCs w:val="20"/>
    </w:rPr>
  </w:style>
  <w:style w:type="paragraph" w:customStyle="1" w:styleId="394">
    <w:name w:val="xl144"/>
    <w:basedOn w:val="1"/>
    <w:qFormat/>
    <w:uiPriority w:val="0"/>
    <w:pPr>
      <w:widowControl/>
      <w:pBdr>
        <w:top w:val="single" w:color="auto" w:sz="4" w:space="0"/>
        <w:right w:val="single" w:color="auto" w:sz="4" w:space="0"/>
      </w:pBdr>
      <w:spacing w:before="100" w:beforeAutospacing="1" w:after="100" w:afterAutospacing="1"/>
      <w:jc w:val="center"/>
    </w:pPr>
    <w:rPr>
      <w:rFonts w:ascii="宋体" w:hAnsi="宋体" w:cs="宋体"/>
      <w:color w:val="00B0F0"/>
      <w:kern w:val="0"/>
      <w:sz w:val="20"/>
      <w:szCs w:val="20"/>
    </w:rPr>
  </w:style>
  <w:style w:type="paragraph" w:customStyle="1" w:styleId="395">
    <w:name w:val="xl13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b/>
      <w:bCs/>
      <w:kern w:val="0"/>
      <w:sz w:val="20"/>
      <w:szCs w:val="20"/>
    </w:rPr>
  </w:style>
  <w:style w:type="paragraph" w:customStyle="1" w:styleId="396">
    <w:name w:val="xl162"/>
    <w:basedOn w:val="1"/>
    <w:qFormat/>
    <w:uiPriority w:val="0"/>
    <w:pPr>
      <w:widowControl/>
      <w:pBdr>
        <w:top w:val="single" w:color="auto" w:sz="4" w:space="0"/>
        <w:bottom w:val="single" w:color="auto" w:sz="4" w:space="0"/>
        <w:right w:val="single" w:color="auto" w:sz="4" w:space="0"/>
      </w:pBdr>
      <w:shd w:val="clear" w:color="000000" w:fill="FFFFFF"/>
      <w:spacing w:before="100" w:beforeAutospacing="1" w:after="100" w:afterAutospacing="1"/>
      <w:jc w:val="center"/>
    </w:pPr>
    <w:rPr>
      <w:rFonts w:ascii="宋体" w:hAnsi="宋体" w:cs="宋体"/>
      <w:kern w:val="0"/>
      <w:sz w:val="20"/>
      <w:szCs w:val="20"/>
    </w:rPr>
  </w:style>
  <w:style w:type="paragraph" w:customStyle="1" w:styleId="397">
    <w:name w:val="Char2"/>
    <w:basedOn w:val="1"/>
    <w:qFormat/>
    <w:uiPriority w:val="0"/>
  </w:style>
  <w:style w:type="paragraph" w:customStyle="1" w:styleId="398">
    <w:name w:val="xl79"/>
    <w:basedOn w:val="1"/>
    <w:qFormat/>
    <w:uiPriority w:val="0"/>
    <w:pPr>
      <w:widowControl/>
      <w:pBdr>
        <w:top w:val="single" w:color="auto" w:sz="4" w:space="0"/>
        <w:left w:val="single" w:color="auto" w:sz="4" w:space="0"/>
        <w:bottom w:val="single" w:color="auto" w:sz="4" w:space="0"/>
      </w:pBdr>
      <w:spacing w:before="100" w:beforeAutospacing="1" w:after="100" w:afterAutospacing="1"/>
      <w:jc w:val="left"/>
    </w:pPr>
    <w:rPr>
      <w:rFonts w:ascii="宋体" w:hAnsi="宋体"/>
      <w:kern w:val="0"/>
      <w:sz w:val="20"/>
      <w:szCs w:val="20"/>
    </w:rPr>
  </w:style>
  <w:style w:type="paragraph" w:customStyle="1" w:styleId="399">
    <w:name w:val="表内序号"/>
    <w:basedOn w:val="1"/>
    <w:qFormat/>
    <w:uiPriority w:val="0"/>
    <w:pPr>
      <w:widowControl/>
      <w:adjustRightInd w:val="0"/>
      <w:snapToGrid w:val="0"/>
      <w:jc w:val="center"/>
    </w:pPr>
    <w:rPr>
      <w:color w:val="000000"/>
      <w:kern w:val="0"/>
      <w:szCs w:val="20"/>
    </w:rPr>
  </w:style>
  <w:style w:type="paragraph" w:customStyle="1" w:styleId="400">
    <w:name w:val="font35"/>
    <w:basedOn w:val="1"/>
    <w:qFormat/>
    <w:uiPriority w:val="0"/>
    <w:pPr>
      <w:widowControl/>
      <w:spacing w:before="100" w:beforeAutospacing="1" w:after="100" w:afterAutospacing="1"/>
      <w:jc w:val="left"/>
    </w:pPr>
    <w:rPr>
      <w:rFonts w:ascii="宋体" w:hAnsi="宋体" w:cs="宋体"/>
      <w:color w:val="000000"/>
      <w:kern w:val="0"/>
      <w:sz w:val="20"/>
      <w:szCs w:val="20"/>
    </w:rPr>
  </w:style>
  <w:style w:type="paragraph" w:customStyle="1" w:styleId="401">
    <w:name w:val="xl95"/>
    <w:basedOn w:val="1"/>
    <w:qFormat/>
    <w:uiPriority w:val="0"/>
    <w:pPr>
      <w:widowControl/>
      <w:pBdr>
        <w:top w:val="single" w:color="auto" w:sz="4" w:space="0"/>
        <w:left w:val="single" w:color="auto" w:sz="4" w:space="0"/>
        <w:bottom w:val="single" w:color="auto" w:sz="8" w:space="0"/>
        <w:right w:val="single" w:color="auto" w:sz="4" w:space="0"/>
      </w:pBdr>
      <w:spacing w:before="100" w:beforeAutospacing="1" w:after="100" w:afterAutospacing="1"/>
      <w:jc w:val="center"/>
    </w:pPr>
    <w:rPr>
      <w:b/>
      <w:bCs/>
      <w:kern w:val="0"/>
      <w:sz w:val="20"/>
      <w:szCs w:val="20"/>
    </w:rPr>
  </w:style>
  <w:style w:type="paragraph" w:customStyle="1" w:styleId="402">
    <w:name w:val="font28"/>
    <w:basedOn w:val="1"/>
    <w:qFormat/>
    <w:uiPriority w:val="0"/>
    <w:pPr>
      <w:widowControl/>
      <w:spacing w:before="100" w:beforeAutospacing="1" w:after="100" w:afterAutospacing="1"/>
      <w:jc w:val="left"/>
    </w:pPr>
    <w:rPr>
      <w:rFonts w:ascii="宋体" w:hAnsi="宋体" w:cs="宋体"/>
      <w:color w:val="000000"/>
      <w:kern w:val="0"/>
      <w:sz w:val="20"/>
      <w:szCs w:val="20"/>
    </w:rPr>
  </w:style>
  <w:style w:type="paragraph" w:customStyle="1" w:styleId="403">
    <w:name w:val="恒智正文"/>
    <w:basedOn w:val="1"/>
    <w:qFormat/>
    <w:uiPriority w:val="0"/>
    <w:pPr>
      <w:spacing w:line="360" w:lineRule="auto"/>
      <w:jc w:val="left"/>
    </w:pPr>
    <w:rPr>
      <w:rFonts w:ascii="宋体" w:hAnsi="宋体"/>
      <w:sz w:val="28"/>
      <w:szCs w:val="28"/>
    </w:rPr>
  </w:style>
  <w:style w:type="paragraph" w:customStyle="1" w:styleId="404">
    <w:name w:val="xl146"/>
    <w:basedOn w:val="1"/>
    <w:qFormat/>
    <w:uiPriority w:val="0"/>
    <w:pPr>
      <w:widowControl/>
      <w:pBdr>
        <w:top w:val="single" w:color="auto" w:sz="4" w:space="0"/>
        <w:left w:val="single" w:color="auto" w:sz="4" w:space="0"/>
        <w:bottom w:val="single" w:color="auto" w:sz="4" w:space="0"/>
      </w:pBdr>
      <w:spacing w:before="100" w:beforeAutospacing="1" w:after="100" w:afterAutospacing="1"/>
      <w:jc w:val="left"/>
    </w:pPr>
    <w:rPr>
      <w:rFonts w:ascii="宋体" w:hAnsi="宋体" w:cs="宋体"/>
      <w:color w:val="00B0F0"/>
      <w:kern w:val="0"/>
      <w:sz w:val="20"/>
      <w:szCs w:val="20"/>
    </w:rPr>
  </w:style>
  <w:style w:type="paragraph" w:customStyle="1" w:styleId="405">
    <w:name w:val="(1)"/>
    <w:basedOn w:val="1"/>
    <w:qFormat/>
    <w:uiPriority w:val="0"/>
    <w:pPr>
      <w:tabs>
        <w:tab w:val="left" w:pos="573"/>
      </w:tabs>
      <w:adjustRightInd w:val="0"/>
      <w:snapToGrid w:val="0"/>
      <w:spacing w:before="80" w:after="100" w:line="240" w:lineRule="atLeast"/>
    </w:pPr>
    <w:rPr>
      <w:rFonts w:ascii="Arial" w:hAnsi="Arial"/>
      <w:kern w:val="44"/>
      <w:sz w:val="24"/>
    </w:rPr>
  </w:style>
  <w:style w:type="paragraph" w:customStyle="1" w:styleId="406">
    <w:name w:val="font6"/>
    <w:basedOn w:val="1"/>
    <w:qFormat/>
    <w:uiPriority w:val="0"/>
    <w:pPr>
      <w:widowControl/>
      <w:spacing w:before="100" w:beforeAutospacing="1" w:after="100" w:afterAutospacing="1"/>
      <w:jc w:val="left"/>
    </w:pPr>
    <w:rPr>
      <w:kern w:val="0"/>
      <w:sz w:val="24"/>
    </w:rPr>
  </w:style>
  <w:style w:type="paragraph" w:customStyle="1" w:styleId="407">
    <w:name w:val="环评标题3"/>
    <w:basedOn w:val="1"/>
    <w:qFormat/>
    <w:uiPriority w:val="0"/>
    <w:pPr>
      <w:spacing w:line="560" w:lineRule="exact"/>
    </w:pPr>
    <w:rPr>
      <w:rFonts w:ascii="宋体" w:hAnsi="宋体"/>
      <w:sz w:val="24"/>
    </w:rPr>
  </w:style>
  <w:style w:type="paragraph" w:customStyle="1" w:styleId="408">
    <w:name w:val="正文样式1"/>
    <w:basedOn w:val="1"/>
    <w:qFormat/>
    <w:uiPriority w:val="0"/>
    <w:pPr>
      <w:adjustRightInd w:val="0"/>
      <w:ind w:firstLine="480" w:firstLineChars="200"/>
    </w:pPr>
    <w:rPr>
      <w:rFonts w:ascii="宋体" w:hAnsi="宋体"/>
      <w:kern w:val="0"/>
      <w:sz w:val="28"/>
      <w:szCs w:val="20"/>
    </w:rPr>
  </w:style>
  <w:style w:type="paragraph" w:customStyle="1" w:styleId="409">
    <w:name w:val="p11"/>
    <w:basedOn w:val="1"/>
    <w:qFormat/>
    <w:uiPriority w:val="0"/>
    <w:pPr>
      <w:tabs>
        <w:tab w:val="left" w:pos="1520"/>
      </w:tabs>
      <w:autoSpaceDE w:val="0"/>
      <w:autoSpaceDN w:val="0"/>
      <w:adjustRightInd w:val="0"/>
      <w:spacing w:line="240" w:lineRule="atLeast"/>
      <w:ind w:left="864" w:hanging="720"/>
      <w:jc w:val="left"/>
    </w:pPr>
    <w:rPr>
      <w:kern w:val="0"/>
      <w:sz w:val="24"/>
      <w:szCs w:val="20"/>
    </w:rPr>
  </w:style>
  <w:style w:type="paragraph" w:customStyle="1" w:styleId="410">
    <w:name w:val="表名"/>
    <w:basedOn w:val="1"/>
    <w:next w:val="1"/>
    <w:qFormat/>
    <w:uiPriority w:val="0"/>
    <w:pPr>
      <w:keepNext/>
      <w:spacing w:before="120"/>
      <w:jc w:val="center"/>
    </w:pPr>
    <w:rPr>
      <w:b/>
    </w:rPr>
  </w:style>
  <w:style w:type="paragraph" w:customStyle="1" w:styleId="411">
    <w:name w:val="样式 加粗 行距: 1.5 倍行距"/>
    <w:basedOn w:val="1"/>
    <w:qFormat/>
    <w:uiPriority w:val="0"/>
    <w:pPr>
      <w:spacing w:line="360" w:lineRule="auto"/>
    </w:pPr>
    <w:rPr>
      <w:rFonts w:cs="宋体"/>
      <w:b/>
      <w:bCs/>
      <w:szCs w:val="20"/>
    </w:rPr>
  </w:style>
  <w:style w:type="paragraph" w:customStyle="1" w:styleId="412">
    <w:name w:val="003"/>
    <w:basedOn w:val="1"/>
    <w:qFormat/>
    <w:uiPriority w:val="0"/>
    <w:pPr>
      <w:tabs>
        <w:tab w:val="left" w:pos="425"/>
      </w:tabs>
      <w:spacing w:line="360" w:lineRule="auto"/>
      <w:ind w:left="709" w:firstLine="200" w:firstLineChars="200"/>
      <w:outlineLvl w:val="2"/>
    </w:pPr>
    <w:rPr>
      <w:bCs/>
      <w:sz w:val="24"/>
      <w:szCs w:val="20"/>
    </w:rPr>
  </w:style>
  <w:style w:type="paragraph" w:customStyle="1" w:styleId="413">
    <w:name w:val="Char Char Char Char Char Char1"/>
    <w:basedOn w:val="1"/>
    <w:qFormat/>
    <w:uiPriority w:val="0"/>
  </w:style>
  <w:style w:type="paragraph" w:customStyle="1" w:styleId="414">
    <w:name w:val="报告书表格"/>
    <w:basedOn w:val="1"/>
    <w:qFormat/>
    <w:uiPriority w:val="0"/>
    <w:pPr>
      <w:adjustRightInd w:val="0"/>
      <w:spacing w:before="60" w:after="60" w:line="240" w:lineRule="atLeast"/>
      <w:jc w:val="center"/>
      <w:textAlignment w:val="baseline"/>
    </w:pPr>
    <w:rPr>
      <w:kern w:val="0"/>
      <w:szCs w:val="20"/>
    </w:rPr>
  </w:style>
  <w:style w:type="paragraph" w:customStyle="1" w:styleId="415">
    <w:name w:val="xl71"/>
    <w:basedOn w:val="1"/>
    <w:qFormat/>
    <w:uiPriority w:val="0"/>
    <w:pPr>
      <w:widowControl/>
      <w:pBdr>
        <w:left w:val="single" w:color="auto" w:sz="4" w:space="0"/>
        <w:bottom w:val="single" w:color="auto" w:sz="4" w:space="0"/>
        <w:right w:val="single" w:color="auto" w:sz="4" w:space="0"/>
      </w:pBdr>
      <w:spacing w:before="100" w:beforeAutospacing="1" w:after="100" w:afterAutospacing="1"/>
      <w:jc w:val="left"/>
    </w:pPr>
    <w:rPr>
      <w:rFonts w:ascii="宋体" w:hAnsi="宋体"/>
      <w:kern w:val="0"/>
      <w:sz w:val="24"/>
    </w:rPr>
  </w:style>
  <w:style w:type="paragraph" w:customStyle="1" w:styleId="416">
    <w:name w:val="xl66"/>
    <w:basedOn w:val="1"/>
    <w:qFormat/>
    <w:uiPriority w:val="0"/>
    <w:pPr>
      <w:widowControl/>
      <w:pBdr>
        <w:bottom w:val="single" w:color="auto" w:sz="4" w:space="0"/>
      </w:pBdr>
      <w:spacing w:before="100" w:beforeAutospacing="1" w:after="100" w:afterAutospacing="1"/>
      <w:jc w:val="left"/>
    </w:pPr>
    <w:rPr>
      <w:rFonts w:ascii="宋体" w:hAnsi="宋体"/>
      <w:kern w:val="0"/>
      <w:sz w:val="24"/>
    </w:rPr>
  </w:style>
  <w:style w:type="paragraph" w:customStyle="1" w:styleId="417">
    <w:name w:val="正本"/>
    <w:basedOn w:val="1"/>
    <w:qFormat/>
    <w:uiPriority w:val="0"/>
    <w:pPr>
      <w:adjustRightInd w:val="0"/>
      <w:snapToGrid w:val="0"/>
      <w:spacing w:line="360" w:lineRule="auto"/>
      <w:ind w:firstLine="200" w:firstLineChars="200"/>
    </w:pPr>
    <w:rPr>
      <w:rFonts w:ascii="宋体" w:hAnsi="宋体"/>
    </w:rPr>
  </w:style>
  <w:style w:type="paragraph" w:customStyle="1" w:styleId="418">
    <w:name w:val="xl99"/>
    <w:basedOn w:val="1"/>
    <w:qFormat/>
    <w:uiPriority w:val="0"/>
    <w:pPr>
      <w:widowControl/>
      <w:pBdr>
        <w:top w:val="single" w:color="auto" w:sz="8" w:space="0"/>
        <w:left w:val="single" w:color="auto" w:sz="4" w:space="0"/>
        <w:bottom w:val="single" w:color="auto" w:sz="4" w:space="0"/>
        <w:right w:val="single" w:color="auto" w:sz="4" w:space="0"/>
      </w:pBdr>
      <w:spacing w:before="100" w:beforeAutospacing="1" w:after="100" w:afterAutospacing="1"/>
      <w:jc w:val="center"/>
    </w:pPr>
    <w:rPr>
      <w:b/>
      <w:bCs/>
      <w:kern w:val="0"/>
      <w:sz w:val="20"/>
      <w:szCs w:val="20"/>
    </w:rPr>
  </w:style>
  <w:style w:type="paragraph" w:customStyle="1" w:styleId="419">
    <w:name w:val="xl69"/>
    <w:basedOn w:val="1"/>
    <w:qFormat/>
    <w:uiPriority w:val="0"/>
    <w:pPr>
      <w:widowControl/>
      <w:pBdr>
        <w:left w:val="single" w:color="auto" w:sz="4" w:space="0"/>
        <w:bottom w:val="single" w:color="auto" w:sz="4" w:space="0"/>
        <w:right w:val="single" w:color="auto" w:sz="4" w:space="0"/>
      </w:pBdr>
      <w:spacing w:before="100" w:beforeAutospacing="1" w:after="100" w:afterAutospacing="1"/>
      <w:jc w:val="left"/>
    </w:pPr>
    <w:rPr>
      <w:rFonts w:ascii="宋体" w:hAnsi="宋体"/>
      <w:kern w:val="0"/>
      <w:sz w:val="20"/>
      <w:szCs w:val="20"/>
    </w:rPr>
  </w:style>
  <w:style w:type="paragraph" w:customStyle="1" w:styleId="420">
    <w:name w:val="xl124"/>
    <w:basedOn w:val="1"/>
    <w:qFormat/>
    <w:uiPriority w:val="0"/>
    <w:pPr>
      <w:widowControl/>
      <w:pBdr>
        <w:top w:val="single" w:color="auto" w:sz="4" w:space="0"/>
        <w:left w:val="single" w:color="auto" w:sz="4" w:space="0"/>
        <w:bottom w:val="single" w:color="auto" w:sz="4" w:space="0"/>
      </w:pBdr>
      <w:spacing w:before="100" w:beforeAutospacing="1" w:after="100" w:afterAutospacing="1"/>
      <w:jc w:val="left"/>
    </w:pPr>
    <w:rPr>
      <w:rFonts w:ascii="宋体" w:hAnsi="宋体" w:cs="宋体"/>
      <w:b/>
      <w:bCs/>
      <w:kern w:val="0"/>
      <w:sz w:val="20"/>
      <w:szCs w:val="20"/>
      <w:u w:val="single"/>
    </w:rPr>
  </w:style>
  <w:style w:type="paragraph" w:customStyle="1" w:styleId="421">
    <w:name w:val="Char Char Char Char Char Char Char Char Char Char Char Char Char Char Char Char Char Char Char"/>
    <w:basedOn w:val="1"/>
    <w:qFormat/>
    <w:uiPriority w:val="0"/>
    <w:pPr>
      <w:adjustRightInd w:val="0"/>
      <w:snapToGrid w:val="0"/>
      <w:spacing w:line="360" w:lineRule="auto"/>
      <w:ind w:firstLine="200" w:firstLineChars="200"/>
      <w:jc w:val="left"/>
    </w:pPr>
    <w:rPr>
      <w:rFonts w:ascii="仿宋_GB2312" w:hAnsi="仿宋_GB2312" w:eastAsia="仿宋_GB2312" w:cs="宋体"/>
      <w:sz w:val="24"/>
    </w:rPr>
  </w:style>
  <w:style w:type="paragraph" w:customStyle="1" w:styleId="422">
    <w:name w:val="a2"/>
    <w:basedOn w:val="1"/>
    <w:qFormat/>
    <w:uiPriority w:val="0"/>
    <w:pPr>
      <w:snapToGrid w:val="0"/>
      <w:ind w:left="-280" w:firstLine="280"/>
      <w:outlineLvl w:val="1"/>
    </w:pPr>
    <w:rPr>
      <w:rFonts w:ascii="Arial" w:hAnsi="宋体" w:cs="Arial"/>
      <w:b/>
      <w:kern w:val="0"/>
      <w:sz w:val="24"/>
      <w:szCs w:val="28"/>
    </w:rPr>
  </w:style>
  <w:style w:type="paragraph" w:customStyle="1" w:styleId="423">
    <w:name w:val="Char1 Char Char Char"/>
    <w:basedOn w:val="1"/>
    <w:qFormat/>
    <w:uiPriority w:val="0"/>
    <w:pPr>
      <w:widowControl/>
      <w:jc w:val="left"/>
    </w:pPr>
    <w:rPr>
      <w:kern w:val="0"/>
      <w:sz w:val="20"/>
      <w:szCs w:val="20"/>
    </w:rPr>
  </w:style>
  <w:style w:type="paragraph" w:customStyle="1" w:styleId="424">
    <w:name w:val="默认段落字体 Para Char Char Char Char Char Char Char"/>
    <w:basedOn w:val="1"/>
    <w:qFormat/>
    <w:uiPriority w:val="0"/>
  </w:style>
  <w:style w:type="paragraph" w:customStyle="1" w:styleId="425">
    <w:name w:val="xl230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color w:val="FF0000"/>
      <w:kern w:val="0"/>
      <w:sz w:val="18"/>
      <w:szCs w:val="18"/>
    </w:rPr>
  </w:style>
  <w:style w:type="paragraph" w:customStyle="1" w:styleId="426">
    <w:name w:val="font32"/>
    <w:basedOn w:val="1"/>
    <w:qFormat/>
    <w:uiPriority w:val="0"/>
    <w:pPr>
      <w:widowControl/>
      <w:spacing w:before="100" w:beforeAutospacing="1" w:after="100" w:afterAutospacing="1"/>
      <w:jc w:val="left"/>
    </w:pPr>
    <w:rPr>
      <w:rFonts w:ascii="宋体" w:hAnsi="宋体" w:cs="宋体"/>
      <w:color w:val="000000"/>
      <w:kern w:val="0"/>
      <w:sz w:val="20"/>
      <w:szCs w:val="20"/>
    </w:rPr>
  </w:style>
  <w:style w:type="paragraph" w:customStyle="1" w:styleId="427">
    <w:name w:val="font9"/>
    <w:basedOn w:val="1"/>
    <w:qFormat/>
    <w:uiPriority w:val="0"/>
    <w:pPr>
      <w:widowControl/>
      <w:spacing w:before="100" w:beforeAutospacing="1" w:after="100" w:afterAutospacing="1"/>
      <w:jc w:val="left"/>
    </w:pPr>
    <w:rPr>
      <w:kern w:val="0"/>
      <w:sz w:val="18"/>
      <w:szCs w:val="18"/>
    </w:rPr>
  </w:style>
  <w:style w:type="paragraph" w:customStyle="1" w:styleId="428">
    <w:name w:val="环评报告正文"/>
    <w:basedOn w:val="1"/>
    <w:qFormat/>
    <w:uiPriority w:val="0"/>
    <w:pPr>
      <w:spacing w:line="360" w:lineRule="auto"/>
    </w:pPr>
    <w:rPr>
      <w:rFonts w:ascii="宋体" w:hAnsi="宋体"/>
      <w:bCs/>
      <w:color w:val="000000"/>
      <w:kern w:val="0"/>
      <w:sz w:val="24"/>
    </w:rPr>
  </w:style>
  <w:style w:type="paragraph" w:customStyle="1" w:styleId="429">
    <w:name w:val="Table Title"/>
    <w:basedOn w:val="1"/>
    <w:qFormat/>
    <w:uiPriority w:val="0"/>
    <w:pPr>
      <w:widowControl/>
      <w:numPr>
        <w:ilvl w:val="0"/>
        <w:numId w:val="5"/>
      </w:numPr>
      <w:ind w:firstLine="0"/>
      <w:jc w:val="left"/>
    </w:pPr>
    <w:rPr>
      <w:rFonts w:ascii="Arial" w:hAnsi="Arial"/>
      <w:b/>
      <w:bCs/>
      <w:kern w:val="0"/>
      <w:sz w:val="22"/>
      <w:szCs w:val="20"/>
    </w:rPr>
  </w:style>
  <w:style w:type="paragraph" w:customStyle="1" w:styleId="430">
    <w:name w:val="xl98"/>
    <w:basedOn w:val="1"/>
    <w:qFormat/>
    <w:uiPriority w:val="0"/>
    <w:pPr>
      <w:widowControl/>
      <w:pBdr>
        <w:top w:val="single" w:color="auto" w:sz="8" w:space="0"/>
        <w:left w:val="single" w:color="auto" w:sz="4" w:space="0"/>
        <w:bottom w:val="single" w:color="auto" w:sz="4" w:space="0"/>
        <w:right w:val="single" w:color="auto" w:sz="4" w:space="0"/>
      </w:pBdr>
      <w:spacing w:before="100" w:beforeAutospacing="1" w:after="100" w:afterAutospacing="1"/>
      <w:jc w:val="center"/>
    </w:pPr>
    <w:rPr>
      <w:b/>
      <w:bCs/>
      <w:kern w:val="0"/>
      <w:sz w:val="20"/>
      <w:szCs w:val="20"/>
    </w:rPr>
  </w:style>
  <w:style w:type="paragraph" w:customStyle="1" w:styleId="431">
    <w:name w:val="xl81"/>
    <w:basedOn w:val="1"/>
    <w:qFormat/>
    <w:uiPriority w:val="0"/>
    <w:pPr>
      <w:widowControl/>
      <w:pBdr>
        <w:top w:val="single" w:color="auto" w:sz="4" w:space="0"/>
        <w:bottom w:val="single" w:color="auto" w:sz="4" w:space="0"/>
        <w:right w:val="single" w:color="auto" w:sz="4" w:space="0"/>
      </w:pBdr>
      <w:spacing w:before="100" w:beforeAutospacing="1" w:after="100" w:afterAutospacing="1"/>
      <w:jc w:val="left"/>
    </w:pPr>
    <w:rPr>
      <w:rFonts w:ascii="宋体" w:hAnsi="宋体"/>
      <w:kern w:val="0"/>
      <w:sz w:val="24"/>
    </w:rPr>
  </w:style>
  <w:style w:type="paragraph" w:customStyle="1" w:styleId="432">
    <w:name w:val="样式 标题 3 + (中文) 黑体 小四 非加粗 段前: 7.8 磅 段后: 0 磅 行距: 固定值 20 磅"/>
    <w:basedOn w:val="5"/>
    <w:qFormat/>
    <w:uiPriority w:val="0"/>
    <w:pPr>
      <w:numPr>
        <w:ilvl w:val="0"/>
        <w:numId w:val="0"/>
      </w:numPr>
      <w:spacing w:line="400" w:lineRule="exact"/>
      <w:jc w:val="center"/>
    </w:pPr>
    <w:rPr>
      <w:bCs w:val="0"/>
      <w:szCs w:val="20"/>
    </w:rPr>
  </w:style>
  <w:style w:type="paragraph" w:customStyle="1" w:styleId="433">
    <w:name w:val="xl112"/>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pPr>
    <w:rPr>
      <w:rFonts w:ascii="宋体" w:hAnsi="宋体" w:cs="宋体"/>
      <w:kern w:val="0"/>
      <w:sz w:val="20"/>
      <w:szCs w:val="20"/>
    </w:rPr>
  </w:style>
  <w:style w:type="paragraph" w:customStyle="1" w:styleId="434">
    <w:name w:val="xl6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kern w:val="0"/>
      <w:sz w:val="24"/>
    </w:rPr>
  </w:style>
  <w:style w:type="paragraph" w:customStyle="1" w:styleId="435">
    <w:name w:val="xl113"/>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pPr>
    <w:rPr>
      <w:rFonts w:ascii="宋体" w:hAnsi="宋体" w:cs="宋体"/>
      <w:b/>
      <w:bCs/>
      <w:kern w:val="0"/>
      <w:sz w:val="20"/>
      <w:szCs w:val="20"/>
    </w:rPr>
  </w:style>
  <w:style w:type="paragraph" w:customStyle="1" w:styleId="436">
    <w:name w:val="xl9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b/>
      <w:bCs/>
      <w:kern w:val="0"/>
      <w:sz w:val="20"/>
      <w:szCs w:val="20"/>
    </w:rPr>
  </w:style>
  <w:style w:type="paragraph" w:customStyle="1" w:styleId="437">
    <w:name w:val="xl174"/>
    <w:basedOn w:val="1"/>
    <w:qFormat/>
    <w:uiPriority w:val="0"/>
    <w:pPr>
      <w:widowControl/>
      <w:pBdr>
        <w:bottom w:val="single" w:color="auto" w:sz="4" w:space="0"/>
      </w:pBdr>
      <w:spacing w:before="100" w:beforeAutospacing="1" w:after="100" w:afterAutospacing="1"/>
      <w:jc w:val="left"/>
    </w:pPr>
    <w:rPr>
      <w:rFonts w:ascii="宋体" w:hAnsi="宋体" w:cs="宋体"/>
      <w:kern w:val="0"/>
      <w:sz w:val="20"/>
      <w:szCs w:val="20"/>
    </w:rPr>
  </w:style>
  <w:style w:type="paragraph" w:customStyle="1" w:styleId="438">
    <w:name w:val="样式 样式 样式1 + 首行缩进:  2 字符 右侧:  0.85 字符 + 右侧:  0.85 字符"/>
    <w:basedOn w:val="439"/>
    <w:qFormat/>
    <w:uiPriority w:val="0"/>
    <w:pPr>
      <w:numPr>
        <w:ilvl w:val="0"/>
        <w:numId w:val="6"/>
      </w:numPr>
      <w:tabs>
        <w:tab w:val="left" w:pos="105"/>
      </w:tabs>
      <w:ind w:right="176"/>
      <w:jc w:val="both"/>
    </w:pPr>
  </w:style>
  <w:style w:type="paragraph" w:customStyle="1" w:styleId="439">
    <w:name w:val="样式 样式1 + 首行缩进:  2 字符 右侧:  0.85 字符"/>
    <w:basedOn w:val="239"/>
    <w:next w:val="154"/>
    <w:qFormat/>
    <w:uiPriority w:val="0"/>
    <w:pPr>
      <w:tabs>
        <w:tab w:val="left" w:pos="105"/>
      </w:tabs>
      <w:ind w:firstLine="0" w:firstLineChars="0"/>
      <w:outlineLvl w:val="9"/>
    </w:pPr>
  </w:style>
  <w:style w:type="paragraph" w:customStyle="1" w:styleId="440">
    <w:name w:val="73."/>
    <w:basedOn w:val="1"/>
    <w:qFormat/>
    <w:uiPriority w:val="0"/>
    <w:pPr>
      <w:adjustRightInd w:val="0"/>
      <w:spacing w:line="312" w:lineRule="atLeast"/>
    </w:pPr>
    <w:rPr>
      <w:kern w:val="0"/>
      <w:sz w:val="28"/>
      <w:szCs w:val="20"/>
    </w:rPr>
  </w:style>
  <w:style w:type="paragraph" w:customStyle="1" w:styleId="441">
    <w:name w:val="论文正文"/>
    <w:basedOn w:val="1"/>
    <w:qFormat/>
    <w:uiPriority w:val="0"/>
    <w:pPr>
      <w:spacing w:line="360" w:lineRule="auto"/>
      <w:ind w:firstLine="420" w:firstLineChars="200"/>
    </w:pPr>
    <w:rPr>
      <w:rFonts w:cs="宋体"/>
      <w:szCs w:val="20"/>
    </w:rPr>
  </w:style>
  <w:style w:type="paragraph" w:customStyle="1" w:styleId="442">
    <w:name w:val="font7"/>
    <w:basedOn w:val="1"/>
    <w:qFormat/>
    <w:uiPriority w:val="0"/>
    <w:pPr>
      <w:widowControl/>
      <w:spacing w:before="100" w:beforeAutospacing="1" w:after="100" w:afterAutospacing="1"/>
      <w:jc w:val="left"/>
    </w:pPr>
    <w:rPr>
      <w:kern w:val="0"/>
      <w:sz w:val="16"/>
      <w:szCs w:val="16"/>
    </w:rPr>
  </w:style>
  <w:style w:type="paragraph" w:customStyle="1" w:styleId="443">
    <w:name w:val="默认段落字体 Para Char Char Char Char"/>
    <w:basedOn w:val="1"/>
    <w:qFormat/>
    <w:uiPriority w:val="0"/>
  </w:style>
  <w:style w:type="paragraph" w:customStyle="1" w:styleId="444">
    <w:name w:val="xl151"/>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pPr>
    <w:rPr>
      <w:rFonts w:ascii="宋体" w:hAnsi="宋体" w:cs="宋体"/>
      <w:kern w:val="0"/>
      <w:sz w:val="20"/>
      <w:szCs w:val="20"/>
    </w:rPr>
  </w:style>
  <w:style w:type="paragraph" w:customStyle="1" w:styleId="445">
    <w:name w:val="xl152"/>
    <w:basedOn w:val="1"/>
    <w:qFormat/>
    <w:uiPriority w:val="0"/>
    <w:pPr>
      <w:widowControl/>
      <w:pBdr>
        <w:top w:val="single" w:color="auto" w:sz="4" w:space="0"/>
        <w:left w:val="single" w:color="auto" w:sz="4" w:space="0"/>
        <w:right w:val="single" w:color="auto" w:sz="4" w:space="0"/>
      </w:pBdr>
      <w:spacing w:before="100" w:beforeAutospacing="1" w:after="100" w:afterAutospacing="1"/>
      <w:jc w:val="left"/>
    </w:pPr>
    <w:rPr>
      <w:rFonts w:ascii="宋体" w:hAnsi="宋体" w:cs="宋体"/>
      <w:kern w:val="0"/>
      <w:sz w:val="20"/>
      <w:szCs w:val="20"/>
    </w:rPr>
  </w:style>
  <w:style w:type="paragraph" w:customStyle="1" w:styleId="446">
    <w:name w:val="样式 标题 1 + 宋体 居中 段前: 48 磅 段后: 12 磅 行距: 1.5 倍行距"/>
    <w:basedOn w:val="3"/>
    <w:qFormat/>
    <w:uiPriority w:val="0"/>
    <w:pPr>
      <w:numPr>
        <w:numId w:val="0"/>
      </w:numPr>
      <w:adjustRightInd w:val="0"/>
      <w:snapToGrid w:val="0"/>
      <w:spacing w:line="460" w:lineRule="exact"/>
      <w:jc w:val="center"/>
    </w:pPr>
    <w:rPr>
      <w:rFonts w:ascii="宋体" w:hAnsi="宋体" w:eastAsia="宋体" w:cs="宋体"/>
      <w:b/>
      <w:kern w:val="2"/>
      <w:sz w:val="44"/>
      <w:szCs w:val="44"/>
    </w:rPr>
  </w:style>
  <w:style w:type="paragraph" w:customStyle="1" w:styleId="447">
    <w:name w:val="Char Char Char"/>
    <w:basedOn w:val="1"/>
    <w:qFormat/>
    <w:uiPriority w:val="0"/>
    <w:rPr>
      <w:rFonts w:ascii="Tahoma" w:hAnsi="Tahoma"/>
      <w:sz w:val="24"/>
      <w:szCs w:val="20"/>
    </w:rPr>
  </w:style>
  <w:style w:type="paragraph" w:customStyle="1" w:styleId="448">
    <w:name w:val="font33"/>
    <w:basedOn w:val="1"/>
    <w:qFormat/>
    <w:uiPriority w:val="0"/>
    <w:pPr>
      <w:widowControl/>
      <w:spacing w:before="100" w:beforeAutospacing="1" w:after="100" w:afterAutospacing="1"/>
      <w:jc w:val="left"/>
    </w:pPr>
    <w:rPr>
      <w:rFonts w:ascii="宋体" w:hAnsi="宋体" w:cs="宋体"/>
      <w:color w:val="000000"/>
      <w:kern w:val="0"/>
      <w:sz w:val="20"/>
      <w:szCs w:val="20"/>
    </w:rPr>
  </w:style>
  <w:style w:type="paragraph" w:customStyle="1" w:styleId="449">
    <w:name w:val="xl83"/>
    <w:basedOn w:val="1"/>
    <w:qFormat/>
    <w:uiPriority w:val="0"/>
    <w:pPr>
      <w:widowControl/>
      <w:spacing w:before="100" w:beforeAutospacing="1" w:after="100" w:afterAutospacing="1"/>
      <w:jc w:val="left"/>
    </w:pPr>
    <w:rPr>
      <w:rFonts w:ascii="宋体" w:hAnsi="宋体"/>
      <w:kern w:val="0"/>
      <w:sz w:val="24"/>
    </w:rPr>
  </w:style>
  <w:style w:type="paragraph" w:customStyle="1" w:styleId="450">
    <w:name w:val="xl84"/>
    <w:basedOn w:val="1"/>
    <w:qFormat/>
    <w:uiPriority w:val="0"/>
    <w:pPr>
      <w:widowControl/>
      <w:pBdr>
        <w:right w:val="single" w:color="auto" w:sz="4" w:space="0"/>
      </w:pBdr>
      <w:spacing w:before="100" w:beforeAutospacing="1" w:after="100" w:afterAutospacing="1"/>
      <w:jc w:val="left"/>
    </w:pPr>
    <w:rPr>
      <w:rFonts w:ascii="宋体" w:hAnsi="宋体"/>
      <w:kern w:val="0"/>
      <w:sz w:val="24"/>
    </w:rPr>
  </w:style>
  <w:style w:type="paragraph" w:customStyle="1" w:styleId="451">
    <w:name w:val="中文编号"/>
    <w:basedOn w:val="1"/>
    <w:next w:val="1"/>
    <w:qFormat/>
    <w:uiPriority w:val="0"/>
    <w:pPr>
      <w:numPr>
        <w:ilvl w:val="0"/>
        <w:numId w:val="7"/>
      </w:numPr>
      <w:spacing w:line="360" w:lineRule="auto"/>
      <w:outlineLvl w:val="0"/>
    </w:pPr>
    <w:rPr>
      <w:rFonts w:eastAsia="黑体"/>
      <w:sz w:val="24"/>
    </w:rPr>
  </w:style>
  <w:style w:type="paragraph" w:customStyle="1" w:styleId="452">
    <w:name w:val="样式 报告书正文 + 首行缩进:  2 字符2"/>
    <w:qFormat/>
    <w:uiPriority w:val="0"/>
    <w:pPr>
      <w:ind w:firstLine="480"/>
    </w:pPr>
    <w:rPr>
      <w:rFonts w:ascii="Times New Roman" w:hAnsi="Times New Roman" w:eastAsia="宋体" w:cs="宋体"/>
      <w:lang w:val="en-US" w:eastAsia="zh-CN" w:bidi="ar-SA"/>
    </w:rPr>
  </w:style>
  <w:style w:type="paragraph" w:customStyle="1" w:styleId="453">
    <w:name w:val="首行缩进"/>
    <w:basedOn w:val="1"/>
    <w:qFormat/>
    <w:uiPriority w:val="0"/>
    <w:pPr>
      <w:tabs>
        <w:tab w:val="left" w:pos="1021"/>
      </w:tabs>
      <w:adjustRightInd w:val="0"/>
      <w:snapToGrid w:val="0"/>
      <w:spacing w:line="360" w:lineRule="auto"/>
      <w:ind w:left="-119"/>
      <w:jc w:val="center"/>
    </w:pPr>
    <w:rPr>
      <w:rFonts w:ascii="黑体" w:hAnsi="宋体" w:eastAsia="黑体"/>
      <w:spacing w:val="-6"/>
      <w:kern w:val="10"/>
      <w:szCs w:val="20"/>
    </w:rPr>
  </w:style>
  <w:style w:type="paragraph" w:customStyle="1" w:styleId="454">
    <w:name w:val="报告"/>
    <w:basedOn w:val="1"/>
    <w:qFormat/>
    <w:uiPriority w:val="0"/>
    <w:pPr>
      <w:adjustRightInd w:val="0"/>
      <w:spacing w:line="360" w:lineRule="auto"/>
      <w:ind w:firstLine="505"/>
    </w:pPr>
    <w:rPr>
      <w:kern w:val="0"/>
      <w:sz w:val="24"/>
      <w:szCs w:val="20"/>
    </w:rPr>
  </w:style>
  <w:style w:type="paragraph" w:customStyle="1" w:styleId="455">
    <w:name w:val="T表格"/>
    <w:qFormat/>
    <w:uiPriority w:val="0"/>
    <w:pPr>
      <w:adjustRightInd w:val="0"/>
      <w:snapToGrid w:val="0"/>
      <w:spacing w:line="360" w:lineRule="auto"/>
      <w:jc w:val="center"/>
    </w:pPr>
    <w:rPr>
      <w:rFonts w:ascii="Times New Roman" w:hAnsi="Times New Roman" w:eastAsia="宋体" w:cs="Times New Roman"/>
      <w:color w:val="000000"/>
      <w:sz w:val="21"/>
      <w:lang w:val="en-US" w:eastAsia="zh-CN" w:bidi="ar-SA"/>
    </w:rPr>
  </w:style>
  <w:style w:type="paragraph" w:customStyle="1" w:styleId="456">
    <w:name w:val="xl2305"/>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kern w:val="0"/>
      <w:sz w:val="18"/>
      <w:szCs w:val="18"/>
    </w:rPr>
  </w:style>
  <w:style w:type="paragraph" w:customStyle="1" w:styleId="457">
    <w:name w:val="font5"/>
    <w:basedOn w:val="1"/>
    <w:qFormat/>
    <w:uiPriority w:val="0"/>
    <w:pPr>
      <w:widowControl/>
      <w:spacing w:before="100" w:beforeAutospacing="1" w:after="100" w:afterAutospacing="1"/>
      <w:jc w:val="left"/>
    </w:pPr>
    <w:rPr>
      <w:rFonts w:ascii="宋体" w:hAnsi="宋体"/>
      <w:kern w:val="0"/>
      <w:sz w:val="18"/>
      <w:szCs w:val="18"/>
    </w:rPr>
  </w:style>
  <w:style w:type="paragraph" w:customStyle="1" w:styleId="458">
    <w:name w:val="样式 行距: 1.5 倍行距 首行缩进:  2 字符"/>
    <w:basedOn w:val="1"/>
    <w:qFormat/>
    <w:uiPriority w:val="0"/>
    <w:pPr>
      <w:adjustRightInd w:val="0"/>
      <w:snapToGrid w:val="0"/>
      <w:spacing w:line="460" w:lineRule="exact"/>
    </w:pPr>
    <w:rPr>
      <w:sz w:val="24"/>
    </w:rPr>
  </w:style>
  <w:style w:type="paragraph" w:customStyle="1" w:styleId="459">
    <w:name w:val="xl67"/>
    <w:basedOn w:val="1"/>
    <w:qFormat/>
    <w:uiPriority w:val="0"/>
    <w:pPr>
      <w:widowControl/>
      <w:pBdr>
        <w:bottom w:val="single" w:color="auto" w:sz="4" w:space="0"/>
      </w:pBdr>
      <w:shd w:val="clear" w:color="auto" w:fill="FFFFFF"/>
      <w:spacing w:before="100" w:beforeAutospacing="1" w:after="100" w:afterAutospacing="1"/>
      <w:jc w:val="left"/>
    </w:pPr>
    <w:rPr>
      <w:rFonts w:ascii="宋体" w:hAnsi="宋体"/>
      <w:kern w:val="0"/>
      <w:sz w:val="24"/>
    </w:rPr>
  </w:style>
  <w:style w:type="paragraph" w:customStyle="1" w:styleId="460">
    <w:name w:val="Char Char6"/>
    <w:basedOn w:val="1"/>
    <w:next w:val="1"/>
    <w:qFormat/>
    <w:uiPriority w:val="0"/>
    <w:pPr>
      <w:spacing w:line="360" w:lineRule="auto"/>
      <w:ind w:firstLine="200" w:firstLineChars="200"/>
    </w:pPr>
    <w:rPr>
      <w:szCs w:val="20"/>
    </w:rPr>
  </w:style>
  <w:style w:type="paragraph" w:customStyle="1" w:styleId="461">
    <w:name w:val="xl117"/>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pPr>
    <w:rPr>
      <w:rFonts w:ascii="宋体" w:hAnsi="宋体" w:cs="宋体"/>
      <w:color w:val="FF0000"/>
      <w:kern w:val="0"/>
      <w:sz w:val="20"/>
      <w:szCs w:val="20"/>
    </w:rPr>
  </w:style>
  <w:style w:type="paragraph" w:customStyle="1" w:styleId="462">
    <w:name w:val="xl230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18"/>
      <w:szCs w:val="18"/>
    </w:rPr>
  </w:style>
  <w:style w:type="paragraph" w:customStyle="1" w:styleId="463">
    <w:name w:val="xl129"/>
    <w:basedOn w:val="1"/>
    <w:qFormat/>
    <w:uiPriority w:val="0"/>
    <w:pPr>
      <w:widowControl/>
      <w:spacing w:before="100" w:beforeAutospacing="1" w:after="100" w:afterAutospacing="1"/>
      <w:jc w:val="left"/>
    </w:pPr>
    <w:rPr>
      <w:rFonts w:ascii="宋体" w:hAnsi="宋体" w:cs="宋体"/>
      <w:kern w:val="0"/>
      <w:sz w:val="20"/>
      <w:szCs w:val="20"/>
    </w:rPr>
  </w:style>
  <w:style w:type="paragraph" w:customStyle="1" w:styleId="464">
    <w:name w:val="样式 样式 标题4 + 右侧:  0.85 字符 + 右侧:  0.85 字符2"/>
    <w:basedOn w:val="380"/>
    <w:next w:val="154"/>
    <w:qFormat/>
    <w:uiPriority w:val="0"/>
    <w:pPr>
      <w:ind w:right="178"/>
    </w:pPr>
  </w:style>
  <w:style w:type="paragraph" w:customStyle="1" w:styleId="465">
    <w:name w:val="xl148"/>
    <w:basedOn w:val="1"/>
    <w:qFormat/>
    <w:uiPriority w:val="0"/>
    <w:pPr>
      <w:widowControl/>
      <w:pBdr>
        <w:top w:val="single" w:color="auto" w:sz="4" w:space="0"/>
        <w:bottom w:val="single" w:color="auto" w:sz="4" w:space="0"/>
        <w:right w:val="single" w:color="auto" w:sz="4" w:space="0"/>
      </w:pBdr>
      <w:spacing w:before="100" w:beforeAutospacing="1" w:after="100" w:afterAutospacing="1"/>
      <w:jc w:val="center"/>
    </w:pPr>
    <w:rPr>
      <w:rFonts w:ascii="宋体" w:hAnsi="宋体" w:cs="宋体"/>
      <w:color w:val="00B0F0"/>
      <w:kern w:val="0"/>
      <w:sz w:val="20"/>
      <w:szCs w:val="20"/>
    </w:rPr>
  </w:style>
  <w:style w:type="paragraph" w:customStyle="1" w:styleId="466">
    <w:name w:val="xl2312"/>
    <w:basedOn w:val="1"/>
    <w:qFormat/>
    <w:uiPriority w:val="0"/>
    <w:pPr>
      <w:widowControl/>
      <w:pBdr>
        <w:left w:val="single" w:color="auto" w:sz="4" w:space="0"/>
        <w:bottom w:val="single" w:color="auto" w:sz="4" w:space="0"/>
        <w:right w:val="single" w:color="auto" w:sz="4" w:space="0"/>
      </w:pBdr>
      <w:shd w:val="clear" w:color="000000" w:fill="CCFFCC"/>
      <w:spacing w:before="100" w:beforeAutospacing="1" w:after="100" w:afterAutospacing="1"/>
      <w:jc w:val="center"/>
    </w:pPr>
    <w:rPr>
      <w:rFonts w:ascii="宋体" w:hAnsi="宋体" w:cs="宋体"/>
      <w:kern w:val="0"/>
      <w:sz w:val="18"/>
      <w:szCs w:val="18"/>
    </w:rPr>
  </w:style>
  <w:style w:type="paragraph" w:customStyle="1" w:styleId="467">
    <w:name w:val="xl230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18"/>
      <w:szCs w:val="18"/>
    </w:rPr>
  </w:style>
  <w:style w:type="paragraph" w:customStyle="1" w:styleId="468">
    <w:name w:val="font17"/>
    <w:basedOn w:val="1"/>
    <w:qFormat/>
    <w:uiPriority w:val="0"/>
    <w:pPr>
      <w:widowControl/>
      <w:spacing w:before="100" w:beforeAutospacing="1" w:after="100" w:afterAutospacing="1"/>
      <w:jc w:val="left"/>
    </w:pPr>
    <w:rPr>
      <w:rFonts w:ascii="宋体" w:hAnsi="宋体" w:cs="宋体"/>
      <w:color w:val="000000"/>
      <w:kern w:val="0"/>
      <w:sz w:val="20"/>
      <w:szCs w:val="20"/>
    </w:rPr>
  </w:style>
  <w:style w:type="paragraph" w:customStyle="1" w:styleId="469">
    <w:name w:val="Char Char Char2"/>
    <w:basedOn w:val="1"/>
    <w:qFormat/>
    <w:uiPriority w:val="0"/>
    <w:rPr>
      <w:rFonts w:ascii="Tahoma" w:hAnsi="Tahoma"/>
      <w:sz w:val="24"/>
      <w:szCs w:val="20"/>
    </w:rPr>
  </w:style>
  <w:style w:type="paragraph" w:customStyle="1" w:styleId="470">
    <w:name w:val="font13"/>
    <w:basedOn w:val="1"/>
    <w:qFormat/>
    <w:uiPriority w:val="0"/>
    <w:pPr>
      <w:widowControl/>
      <w:spacing w:before="100" w:beforeAutospacing="1" w:after="100" w:afterAutospacing="1"/>
      <w:jc w:val="left"/>
    </w:pPr>
    <w:rPr>
      <w:color w:val="0000FF"/>
      <w:kern w:val="0"/>
      <w:sz w:val="20"/>
      <w:szCs w:val="20"/>
    </w:rPr>
  </w:style>
  <w:style w:type="paragraph" w:customStyle="1" w:styleId="471">
    <w:name w:val="xl2311"/>
    <w:basedOn w:val="1"/>
    <w:qFormat/>
    <w:uiPriority w:val="0"/>
    <w:pPr>
      <w:widowControl/>
      <w:pBdr>
        <w:left w:val="single" w:color="auto" w:sz="4" w:space="0"/>
        <w:right w:val="single" w:color="auto" w:sz="4" w:space="0"/>
      </w:pBdr>
      <w:shd w:val="clear" w:color="000000" w:fill="CCFFCC"/>
      <w:spacing w:before="100" w:beforeAutospacing="1" w:after="100" w:afterAutospacing="1"/>
      <w:jc w:val="center"/>
    </w:pPr>
    <w:rPr>
      <w:rFonts w:ascii="宋体" w:hAnsi="宋体" w:cs="宋体"/>
      <w:kern w:val="0"/>
      <w:sz w:val="18"/>
      <w:szCs w:val="18"/>
    </w:rPr>
  </w:style>
  <w:style w:type="paragraph" w:customStyle="1" w:styleId="472">
    <w:name w:val="Char Char Char Char1"/>
    <w:basedOn w:val="1"/>
    <w:qFormat/>
    <w:uiPriority w:val="0"/>
    <w:pPr>
      <w:adjustRightInd w:val="0"/>
      <w:spacing w:line="360" w:lineRule="atLeast"/>
      <w:jc w:val="left"/>
    </w:pPr>
    <w:rPr>
      <w:szCs w:val="20"/>
    </w:rPr>
  </w:style>
  <w:style w:type="paragraph" w:customStyle="1" w:styleId="473">
    <w:name w:val="xl165"/>
    <w:basedOn w:val="1"/>
    <w:qFormat/>
    <w:uiPriority w:val="0"/>
    <w:pPr>
      <w:widowControl/>
      <w:pBdr>
        <w:top w:val="single" w:color="auto" w:sz="4" w:space="0"/>
        <w:left w:val="single" w:color="auto" w:sz="4" w:space="0"/>
        <w:bottom w:val="single" w:color="auto" w:sz="4" w:space="0"/>
      </w:pBdr>
      <w:spacing w:before="100" w:beforeAutospacing="1" w:after="100" w:afterAutospacing="1"/>
      <w:jc w:val="left"/>
    </w:pPr>
    <w:rPr>
      <w:rFonts w:ascii="宋体" w:hAnsi="宋体" w:cs="宋体"/>
      <w:b/>
      <w:bCs/>
      <w:kern w:val="0"/>
      <w:sz w:val="20"/>
      <w:szCs w:val="20"/>
      <w:u w:val="single"/>
    </w:rPr>
  </w:style>
  <w:style w:type="paragraph" w:customStyle="1" w:styleId="474">
    <w:name w:val="xl170"/>
    <w:basedOn w:val="1"/>
    <w:qFormat/>
    <w:uiPriority w:val="0"/>
    <w:pPr>
      <w:widowControl/>
      <w:pBdr>
        <w:top w:val="single" w:color="auto" w:sz="4" w:space="0"/>
        <w:left w:val="single" w:color="auto" w:sz="4" w:space="0"/>
        <w:bottom w:val="single" w:color="auto" w:sz="4" w:space="0"/>
        <w:right w:val="single" w:color="auto" w:sz="4" w:space="0"/>
      </w:pBdr>
      <w:shd w:val="clear" w:color="000000" w:fill="00B0F0"/>
      <w:spacing w:before="100" w:beforeAutospacing="1" w:after="100" w:afterAutospacing="1"/>
      <w:jc w:val="center"/>
    </w:pPr>
    <w:rPr>
      <w:rFonts w:ascii="宋体" w:hAnsi="宋体" w:cs="宋体"/>
      <w:kern w:val="0"/>
      <w:sz w:val="20"/>
      <w:szCs w:val="20"/>
    </w:rPr>
  </w:style>
  <w:style w:type="paragraph" w:customStyle="1" w:styleId="475">
    <w:name w:val="xl2315"/>
    <w:basedOn w:val="1"/>
    <w:qFormat/>
    <w:uiPriority w:val="0"/>
    <w:pPr>
      <w:widowControl/>
      <w:pBdr>
        <w:left w:val="single" w:color="auto" w:sz="4" w:space="0"/>
        <w:bottom w:val="single" w:color="auto" w:sz="4" w:space="0"/>
        <w:right w:val="single" w:color="auto" w:sz="4" w:space="0"/>
      </w:pBdr>
      <w:shd w:val="clear" w:color="000000" w:fill="CCFFCC"/>
      <w:spacing w:before="100" w:beforeAutospacing="1" w:after="100" w:afterAutospacing="1"/>
      <w:jc w:val="center"/>
      <w:textAlignment w:val="top"/>
    </w:pPr>
    <w:rPr>
      <w:rFonts w:ascii="宋体" w:hAnsi="宋体" w:cs="宋体"/>
      <w:kern w:val="0"/>
      <w:sz w:val="18"/>
      <w:szCs w:val="18"/>
    </w:rPr>
  </w:style>
  <w:style w:type="paragraph" w:customStyle="1" w:styleId="476">
    <w:name w:val="font22"/>
    <w:basedOn w:val="1"/>
    <w:qFormat/>
    <w:uiPriority w:val="0"/>
    <w:pPr>
      <w:widowControl/>
      <w:spacing w:before="100" w:beforeAutospacing="1" w:after="100" w:afterAutospacing="1"/>
      <w:jc w:val="left"/>
    </w:pPr>
    <w:rPr>
      <w:rFonts w:ascii="宋体" w:hAnsi="宋体" w:cs="宋体"/>
      <w:color w:val="000000"/>
      <w:kern w:val="0"/>
      <w:sz w:val="20"/>
      <w:szCs w:val="20"/>
    </w:rPr>
  </w:style>
  <w:style w:type="paragraph" w:customStyle="1" w:styleId="477">
    <w:name w:val="xl9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kern w:val="0"/>
      <w:sz w:val="20"/>
      <w:szCs w:val="20"/>
    </w:rPr>
  </w:style>
  <w:style w:type="paragraph" w:customStyle="1" w:styleId="478">
    <w:name w:val="样式 正文（首行缩进两字） + 首行缩进:  2 字符"/>
    <w:basedOn w:val="1"/>
    <w:qFormat/>
    <w:uiPriority w:val="0"/>
    <w:pPr>
      <w:spacing w:line="360" w:lineRule="auto"/>
      <w:ind w:firstLine="200" w:firstLineChars="200"/>
    </w:pPr>
    <w:rPr>
      <w:sz w:val="24"/>
    </w:rPr>
  </w:style>
  <w:style w:type="paragraph" w:customStyle="1" w:styleId="479">
    <w:name w:val="xl13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b/>
      <w:bCs/>
      <w:kern w:val="0"/>
      <w:sz w:val="20"/>
      <w:szCs w:val="20"/>
    </w:rPr>
  </w:style>
  <w:style w:type="paragraph" w:customStyle="1" w:styleId="480">
    <w:name w:val="xl12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0"/>
      <w:szCs w:val="20"/>
    </w:rPr>
  </w:style>
  <w:style w:type="paragraph" w:customStyle="1" w:styleId="481">
    <w:name w:val="xl13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b/>
      <w:bCs/>
      <w:color w:val="000000"/>
      <w:kern w:val="0"/>
      <w:sz w:val="20"/>
      <w:szCs w:val="20"/>
    </w:rPr>
  </w:style>
  <w:style w:type="paragraph" w:customStyle="1" w:styleId="482">
    <w:name w:val="004"/>
    <w:basedOn w:val="1"/>
    <w:qFormat/>
    <w:uiPriority w:val="0"/>
    <w:pPr>
      <w:tabs>
        <w:tab w:val="left" w:pos="425"/>
      </w:tabs>
      <w:spacing w:line="360" w:lineRule="auto"/>
      <w:ind w:left="851" w:firstLine="200" w:firstLineChars="200"/>
      <w:outlineLvl w:val="3"/>
    </w:pPr>
    <w:rPr>
      <w:sz w:val="24"/>
      <w:szCs w:val="20"/>
    </w:rPr>
  </w:style>
  <w:style w:type="paragraph" w:customStyle="1" w:styleId="483">
    <w:name w:val="&quot;p0&quot;"/>
    <w:basedOn w:val="1"/>
    <w:qFormat/>
    <w:uiPriority w:val="0"/>
    <w:pPr>
      <w:widowControl/>
      <w:spacing w:before="100" w:beforeAutospacing="1" w:after="100" w:afterAutospacing="1"/>
      <w:jc w:val="left"/>
    </w:pPr>
    <w:rPr>
      <w:rFonts w:ascii="宋体" w:hAnsi="宋体" w:cs="宋体"/>
      <w:kern w:val="0"/>
      <w:sz w:val="24"/>
    </w:rPr>
  </w:style>
  <w:style w:type="paragraph" w:customStyle="1" w:styleId="484">
    <w:name w:val="xl105"/>
    <w:basedOn w:val="1"/>
    <w:qFormat/>
    <w:uiPriority w:val="0"/>
    <w:pPr>
      <w:widowControl/>
      <w:pBdr>
        <w:bottom w:val="single" w:color="auto" w:sz="4" w:space="0"/>
      </w:pBdr>
      <w:spacing w:before="100" w:beforeAutospacing="1" w:after="100" w:afterAutospacing="1"/>
      <w:jc w:val="left"/>
    </w:pPr>
    <w:rPr>
      <w:rFonts w:ascii="宋体" w:hAnsi="宋体" w:cs="宋体"/>
      <w:kern w:val="0"/>
      <w:sz w:val="24"/>
    </w:rPr>
  </w:style>
  <w:style w:type="paragraph" w:customStyle="1" w:styleId="485">
    <w:name w:val="表尾"/>
    <w:basedOn w:val="1"/>
    <w:qFormat/>
    <w:uiPriority w:val="0"/>
    <w:pPr>
      <w:tabs>
        <w:tab w:val="left" w:pos="1021"/>
      </w:tabs>
      <w:spacing w:line="160" w:lineRule="exact"/>
    </w:pPr>
    <w:rPr>
      <w:color w:val="000000"/>
      <w:kern w:val="0"/>
      <w:sz w:val="10"/>
      <w:szCs w:val="20"/>
    </w:rPr>
  </w:style>
  <w:style w:type="paragraph" w:customStyle="1" w:styleId="486">
    <w:name w:val="xl10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rPr>
  </w:style>
  <w:style w:type="paragraph" w:customStyle="1" w:styleId="487">
    <w:name w:val="xl173"/>
    <w:basedOn w:val="1"/>
    <w:qFormat/>
    <w:uiPriority w:val="0"/>
    <w:pPr>
      <w:widowControl/>
      <w:pBdr>
        <w:top w:val="single" w:color="auto" w:sz="4" w:space="0"/>
        <w:left w:val="single" w:color="auto" w:sz="4" w:space="0"/>
        <w:bottom w:val="single" w:color="auto" w:sz="4" w:space="0"/>
        <w:right w:val="single" w:color="auto" w:sz="4" w:space="0"/>
      </w:pBdr>
      <w:shd w:val="clear" w:color="000000" w:fill="00B0F0"/>
      <w:spacing w:before="100" w:beforeAutospacing="1" w:after="100" w:afterAutospacing="1"/>
      <w:jc w:val="center"/>
    </w:pPr>
    <w:rPr>
      <w:rFonts w:ascii="宋体" w:hAnsi="宋体" w:cs="宋体"/>
      <w:b/>
      <w:bCs/>
      <w:kern w:val="0"/>
      <w:sz w:val="20"/>
      <w:szCs w:val="20"/>
    </w:rPr>
  </w:style>
  <w:style w:type="paragraph" w:customStyle="1" w:styleId="488">
    <w:name w:val="Char Char Char1 Char"/>
    <w:basedOn w:val="1"/>
    <w:qFormat/>
    <w:uiPriority w:val="0"/>
    <w:pPr>
      <w:adjustRightInd w:val="0"/>
      <w:spacing w:line="312" w:lineRule="atLeast"/>
    </w:pPr>
    <w:rPr>
      <w:b/>
      <w:bCs/>
      <w:kern w:val="0"/>
      <w:sz w:val="36"/>
      <w:szCs w:val="32"/>
    </w:rPr>
  </w:style>
  <w:style w:type="paragraph" w:customStyle="1" w:styleId="489">
    <w:name w:val="表格文字2"/>
    <w:basedOn w:val="180"/>
    <w:qFormat/>
    <w:uiPriority w:val="0"/>
    <w:pPr>
      <w:adjustRightInd w:val="0"/>
      <w:snapToGrid/>
      <w:spacing w:before="60"/>
      <w:textAlignment w:val="baseline"/>
    </w:pPr>
    <w:rPr>
      <w:rFonts w:ascii="宋体"/>
      <w:sz w:val="24"/>
      <w:szCs w:val="20"/>
    </w:rPr>
  </w:style>
  <w:style w:type="paragraph" w:customStyle="1" w:styleId="490">
    <w:name w:val="xl88"/>
    <w:basedOn w:val="1"/>
    <w:qFormat/>
    <w:uiPriority w:val="0"/>
    <w:pPr>
      <w:widowControl/>
      <w:pBdr>
        <w:top w:val="single" w:color="auto" w:sz="4" w:space="0"/>
        <w:left w:val="single" w:color="auto" w:sz="8" w:space="0"/>
        <w:bottom w:val="single" w:color="auto" w:sz="8" w:space="0"/>
        <w:right w:val="single" w:color="auto" w:sz="4" w:space="0"/>
      </w:pBdr>
      <w:spacing w:before="100" w:beforeAutospacing="1" w:after="100" w:afterAutospacing="1"/>
      <w:jc w:val="center"/>
    </w:pPr>
    <w:rPr>
      <w:b/>
      <w:bCs/>
      <w:kern w:val="0"/>
      <w:sz w:val="20"/>
      <w:szCs w:val="20"/>
    </w:rPr>
  </w:style>
  <w:style w:type="paragraph" w:customStyle="1" w:styleId="491">
    <w:name w:val="xl82"/>
    <w:basedOn w:val="1"/>
    <w:qFormat/>
    <w:uiPriority w:val="0"/>
    <w:pPr>
      <w:widowControl/>
      <w:spacing w:before="100" w:beforeAutospacing="1" w:after="100" w:afterAutospacing="1"/>
      <w:ind w:firstLine="100" w:firstLineChars="100"/>
      <w:jc w:val="left"/>
    </w:pPr>
    <w:rPr>
      <w:rFonts w:ascii="宋体" w:hAnsi="宋体"/>
      <w:kern w:val="0"/>
      <w:sz w:val="24"/>
    </w:rPr>
  </w:style>
  <w:style w:type="paragraph" w:customStyle="1" w:styleId="492">
    <w:name w:val="xl13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pPr>
    <w:rPr>
      <w:rFonts w:ascii="宋体" w:hAnsi="宋体" w:cs="宋体"/>
      <w:kern w:val="0"/>
      <w:szCs w:val="21"/>
    </w:rPr>
  </w:style>
  <w:style w:type="paragraph" w:customStyle="1" w:styleId="493">
    <w:name w:val="样式 样式 左 + 右侧:  0.85 字符"/>
    <w:basedOn w:val="154"/>
    <w:qFormat/>
    <w:uiPriority w:val="0"/>
    <w:pPr>
      <w:ind w:right="178"/>
    </w:pPr>
  </w:style>
  <w:style w:type="paragraph" w:customStyle="1" w:styleId="494">
    <w:name w:val="我的样式5"/>
    <w:basedOn w:val="1"/>
    <w:next w:val="1"/>
    <w:qFormat/>
    <w:uiPriority w:val="0"/>
    <w:pPr>
      <w:tabs>
        <w:tab w:val="left" w:pos="720"/>
        <w:tab w:val="left" w:pos="932"/>
      </w:tabs>
      <w:spacing w:line="520" w:lineRule="exact"/>
      <w:ind w:left="620"/>
    </w:pPr>
    <w:rPr>
      <w:sz w:val="24"/>
    </w:rPr>
  </w:style>
  <w:style w:type="paragraph" w:customStyle="1" w:styleId="495">
    <w:name w:val="xl161"/>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pPr>
    <w:rPr>
      <w:rFonts w:ascii="宋体" w:hAnsi="宋体" w:cs="宋体"/>
      <w:kern w:val="0"/>
      <w:sz w:val="20"/>
      <w:szCs w:val="20"/>
    </w:rPr>
  </w:style>
  <w:style w:type="paragraph" w:customStyle="1" w:styleId="496">
    <w:name w:val="ParaAttribute2"/>
    <w:qFormat/>
    <w:uiPriority w:val="0"/>
    <w:pPr>
      <w:widowControl w:val="0"/>
      <w:wordWrap w:val="0"/>
      <w:ind w:firstLine="602"/>
      <w:jc w:val="both"/>
    </w:pPr>
    <w:rPr>
      <w:rFonts w:ascii="Times New Roman" w:hAnsi="Times New Roman" w:eastAsia="Batang" w:cs="Times New Roman"/>
      <w:lang w:val="en-US" w:eastAsia="zh-CN" w:bidi="ar-SA"/>
    </w:rPr>
  </w:style>
  <w:style w:type="paragraph" w:customStyle="1" w:styleId="497">
    <w:name w:val="xl75"/>
    <w:basedOn w:val="1"/>
    <w:qFormat/>
    <w:uiPriority w:val="0"/>
    <w:pPr>
      <w:widowControl/>
      <w:pBdr>
        <w:top w:val="single" w:color="auto" w:sz="4" w:space="0"/>
        <w:bottom w:val="single" w:color="auto" w:sz="4" w:space="0"/>
      </w:pBdr>
      <w:spacing w:before="100" w:beforeAutospacing="1" w:after="100" w:afterAutospacing="1"/>
      <w:jc w:val="left"/>
    </w:pPr>
    <w:rPr>
      <w:rFonts w:ascii="宋体" w:hAnsi="宋体"/>
      <w:kern w:val="0"/>
      <w:sz w:val="20"/>
      <w:szCs w:val="20"/>
    </w:rPr>
  </w:style>
  <w:style w:type="paragraph" w:customStyle="1" w:styleId="498">
    <w:name w:val="xl87"/>
    <w:basedOn w:val="1"/>
    <w:qFormat/>
    <w:uiPriority w:val="0"/>
    <w:pPr>
      <w:widowControl/>
      <w:pBdr>
        <w:top w:val="single" w:color="auto" w:sz="4" w:space="0"/>
        <w:left w:val="single" w:color="auto" w:sz="4" w:space="0"/>
        <w:right w:val="single" w:color="auto" w:sz="8" w:space="0"/>
      </w:pBdr>
      <w:spacing w:before="100" w:beforeAutospacing="1" w:after="100" w:afterAutospacing="1"/>
      <w:jc w:val="center"/>
    </w:pPr>
    <w:rPr>
      <w:b/>
      <w:bCs/>
      <w:kern w:val="0"/>
      <w:sz w:val="20"/>
      <w:szCs w:val="20"/>
    </w:rPr>
  </w:style>
  <w:style w:type="paragraph" w:customStyle="1" w:styleId="499">
    <w:name w:val="我的报告正文"/>
    <w:basedOn w:val="1"/>
    <w:qFormat/>
    <w:uiPriority w:val="0"/>
    <w:pPr>
      <w:spacing w:line="360" w:lineRule="auto"/>
      <w:ind w:firstLine="200" w:firstLineChars="200"/>
      <w:jc w:val="left"/>
    </w:pPr>
    <w:rPr>
      <w:color w:val="000000"/>
      <w:sz w:val="24"/>
    </w:rPr>
  </w:style>
  <w:style w:type="paragraph" w:customStyle="1" w:styleId="500">
    <w:name w:val="样式11"/>
    <w:basedOn w:val="5"/>
    <w:qFormat/>
    <w:uiPriority w:val="0"/>
    <w:pPr>
      <w:numPr>
        <w:ilvl w:val="0"/>
        <w:numId w:val="0"/>
      </w:numPr>
    </w:pPr>
    <w:rPr>
      <w:bCs w:val="0"/>
    </w:rPr>
  </w:style>
  <w:style w:type="paragraph" w:customStyle="1" w:styleId="501">
    <w:name w:val="xl10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0"/>
      <w:szCs w:val="20"/>
    </w:rPr>
  </w:style>
  <w:style w:type="paragraph" w:customStyle="1" w:styleId="502">
    <w:name w:val="005"/>
    <w:basedOn w:val="1"/>
    <w:qFormat/>
    <w:uiPriority w:val="0"/>
    <w:pPr>
      <w:tabs>
        <w:tab w:val="left" w:pos="425"/>
      </w:tabs>
      <w:spacing w:line="360" w:lineRule="auto"/>
      <w:ind w:left="992" w:firstLine="200" w:firstLineChars="200"/>
      <w:outlineLvl w:val="4"/>
    </w:pPr>
    <w:rPr>
      <w:sz w:val="24"/>
      <w:szCs w:val="28"/>
    </w:rPr>
  </w:style>
  <w:style w:type="paragraph" w:customStyle="1" w:styleId="503">
    <w:name w:val="xl111"/>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pPr>
    <w:rPr>
      <w:rFonts w:ascii="宋体" w:hAnsi="宋体" w:cs="宋体"/>
      <w:kern w:val="0"/>
      <w:sz w:val="20"/>
      <w:szCs w:val="20"/>
    </w:rPr>
  </w:style>
  <w:style w:type="table" w:customStyle="1" w:styleId="504">
    <w:name w:val="我用的"/>
    <w:basedOn w:val="56"/>
    <w:qFormat/>
    <w:uiPriority w:val="0"/>
    <w:pPr>
      <w:widowControl/>
      <w:adjustRightInd/>
      <w:jc w:val="center"/>
      <w:textAlignment w:val="center"/>
    </w:pPr>
    <w:rPr>
      <w:szCs w:val="21"/>
    </w:rPr>
  </w:style>
  <w:style w:type="table" w:customStyle="1" w:styleId="505">
    <w:name w:val="中材样式"/>
    <w:basedOn w:val="59"/>
    <w:qFormat/>
    <w:uiPriority w:val="99"/>
    <w:pPr>
      <w:jc w:val="center"/>
    </w:pPr>
    <w:rPr>
      <w:rFonts w:ascii="Calibri" w:hAnsi="Calibri"/>
    </w:rPr>
    <w:tcPr>
      <w:shd w:val="clear" w:color="auto" w:fill="auto"/>
      <w:vAlign w:val="center"/>
    </w:tcPr>
    <w:tblStylePr w:type="firstRow">
      <w:tcPr>
        <w:tcBorders>
          <w:top w:val="nil"/>
          <w:left w:val="nil"/>
          <w:bottom w:val="double" w:color="000000" w:sz="4" w:space="0"/>
          <w:right w:val="nil"/>
          <w:insideH w:val="nil"/>
          <w:insideV w:val="nil"/>
          <w:tl2br w:val="nil"/>
          <w:tr2bl w:val="nil"/>
        </w:tcBorders>
        <w:shd w:val="clear" w:color="auto" w:fill="auto"/>
      </w:tcPr>
    </w:tblStylePr>
    <w:tblStylePr w:type="lastRow">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nil"/>
          <w:tr2bl w:val="nil"/>
        </w:tcBorders>
        <w:shd w:val="clear" w:color="auto" w:fill="auto"/>
      </w:tcPr>
    </w:tblStylePr>
  </w:style>
  <w:style w:type="table" w:customStyle="1" w:styleId="506">
    <w:name w:val="表格样式3"/>
    <w:basedOn w:val="54"/>
    <w:qFormat/>
    <w:uiPriority w:val="0"/>
    <w:pPr>
      <w:jc w:val="center"/>
    </w:pPr>
    <w:tblPr>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rPr>
      <w:jc w:val="center"/>
    </w:trPr>
    <w:tcPr>
      <w:vAlign w:val="center"/>
    </w:tcPr>
  </w:style>
  <w:style w:type="paragraph" w:customStyle="1" w:styleId="507">
    <w:name w:val="xl27"/>
    <w:basedOn w:val="1"/>
    <w:qFormat/>
    <w:uiPriority w:val="0"/>
    <w:pPr>
      <w:widowControl/>
      <w:pBdr>
        <w:bottom w:val="single" w:color="auto" w:sz="4" w:space="0"/>
        <w:right w:val="single" w:color="auto" w:sz="4" w:space="0"/>
      </w:pBdr>
      <w:spacing w:before="100" w:beforeAutospacing="1" w:after="100" w:afterAutospacing="1"/>
      <w:jc w:val="center"/>
    </w:pPr>
    <w:rPr>
      <w:kern w:val="0"/>
      <w:szCs w:val="21"/>
    </w:rPr>
  </w:style>
  <w:style w:type="table" w:customStyle="1" w:styleId="508">
    <w:name w:val="标准表格"/>
    <w:basedOn w:val="54"/>
    <w:qFormat/>
    <w:uiPriority w:val="99"/>
    <w:pPr>
      <w:spacing w:before="74"/>
      <w:jc w:val="center"/>
    </w:pPr>
    <w:rPr>
      <w:sz w:val="18"/>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FFFFFF"/>
      <w:vAlign w:val="center"/>
    </w:tcPr>
    <w:tblStylePr w:type="firstRow">
      <w:pPr>
        <w:wordWrap/>
        <w:spacing w:beforeLines="0" w:beforeAutospacing="1" w:afterLines="0" w:afterAutospacing="1" w:line="240" w:lineRule="auto"/>
        <w:ind w:left="0" w:leftChars="0" w:right="0" w:rightChars="0" w:firstLine="0" w:firstLineChars="0"/>
        <w:jc w:val="center"/>
      </w:pPr>
      <w:rPr>
        <w:rFonts w:hint="default" w:ascii="Dotum" w:hAnsi="Dotum" w:eastAsia="黑体" w:cs="Dotum"/>
        <w:sz w:val="18"/>
        <w:szCs w:val="18"/>
      </w:rPr>
    </w:tblStylePr>
    <w:tblStylePr w:type="firstCol">
      <w:pPr>
        <w:jc w:val="center"/>
      </w:pPr>
    </w:tblStylePr>
  </w:style>
  <w:style w:type="paragraph" w:customStyle="1" w:styleId="509">
    <w:name w:val="HP 表格内容"/>
    <w:qFormat/>
    <w:uiPriority w:val="0"/>
    <w:pPr>
      <w:framePr w:hSpace="180" w:wrap="around" w:vAnchor="text" w:hAnchor="text" w:xAlign="center" w:y="1"/>
      <w:spacing w:line="440" w:lineRule="exact"/>
      <w:jc w:val="center"/>
    </w:pPr>
    <w:rPr>
      <w:rFonts w:ascii="Calibri" w:hAnsi="Calibri" w:eastAsia="宋体" w:cs="Times New Roman"/>
      <w:sz w:val="21"/>
      <w:szCs w:val="21"/>
      <w:lang w:val="en-US" w:eastAsia="zh-CN" w:bidi="ar-SA"/>
    </w:rPr>
  </w:style>
  <w:style w:type="paragraph" w:customStyle="1" w:styleId="510">
    <w:name w:val="列表段落2"/>
    <w:basedOn w:val="1"/>
    <w:qFormat/>
    <w:uiPriority w:val="34"/>
    <w:pPr>
      <w:ind w:firstLine="420" w:firstLineChars="200"/>
    </w:pPr>
    <w:rPr>
      <w:rFonts w:ascii="Calibri" w:hAnsi="Calibri"/>
      <w:szCs w:val="22"/>
    </w:rPr>
  </w:style>
  <w:style w:type="character" w:customStyle="1" w:styleId="511">
    <w:name w:val="font41"/>
    <w:basedOn w:val="60"/>
    <w:qFormat/>
    <w:uiPriority w:val="0"/>
    <w:rPr>
      <w:rFonts w:hint="default" w:ascii="Times New Roman" w:hAnsi="Times New Roman" w:cs="Times New Roman"/>
      <w:b/>
      <w:bCs/>
      <w:color w:val="000000"/>
      <w:sz w:val="21"/>
      <w:szCs w:val="21"/>
      <w:u w:val="none"/>
    </w:rPr>
  </w:style>
  <w:style w:type="character" w:customStyle="1" w:styleId="512">
    <w:name w:val="font71"/>
    <w:basedOn w:val="60"/>
    <w:qFormat/>
    <w:uiPriority w:val="0"/>
    <w:rPr>
      <w:rFonts w:hint="default" w:ascii="Times New Roman" w:hAnsi="Times New Roman" w:cs="Times New Roman"/>
      <w:color w:val="000000"/>
      <w:sz w:val="20"/>
      <w:szCs w:val="20"/>
      <w:u w:val="none"/>
      <w:vertAlign w:val="superscript"/>
    </w:rPr>
  </w:style>
  <w:style w:type="character" w:customStyle="1" w:styleId="513">
    <w:name w:val="font61"/>
    <w:basedOn w:val="60"/>
    <w:qFormat/>
    <w:uiPriority w:val="0"/>
    <w:rPr>
      <w:rFonts w:hint="default" w:ascii="Times New Roman" w:hAnsi="Times New Roman" w:cs="Times New Roman"/>
      <w:color w:val="000000"/>
      <w:sz w:val="20"/>
      <w:szCs w:val="20"/>
      <w:u w:val="none"/>
      <w:vertAlign w:val="subscript"/>
    </w:rPr>
  </w:style>
  <w:style w:type="character" w:customStyle="1" w:styleId="514">
    <w:name w:val="font81"/>
    <w:basedOn w:val="60"/>
    <w:qFormat/>
    <w:uiPriority w:val="0"/>
    <w:rPr>
      <w:rFonts w:hint="default" w:ascii="Times New Roman" w:hAnsi="Times New Roman" w:cs="Times New Roman"/>
      <w:color w:val="000000"/>
      <w:sz w:val="20"/>
      <w:szCs w:val="20"/>
      <w:u w:val="none"/>
      <w:vertAlign w:val="subscript"/>
    </w:rPr>
  </w:style>
  <w:style w:type="paragraph" w:customStyle="1" w:styleId="515">
    <w:name w:val="C2"/>
    <w:basedOn w:val="1"/>
    <w:qFormat/>
    <w:uiPriority w:val="0"/>
    <w:rPr>
      <w:rFonts w:ascii="Calibri" w:hAnsi="Calibri"/>
      <w:kern w:val="0"/>
      <w:sz w:val="28"/>
      <w:szCs w:val="20"/>
    </w:rPr>
  </w:style>
  <w:style w:type="paragraph" w:customStyle="1" w:styleId="516">
    <w:name w:val="2"/>
    <w:basedOn w:val="1"/>
    <w:next w:val="268"/>
    <w:qFormat/>
    <w:uiPriority w:val="99"/>
    <w:pPr>
      <w:ind w:firstLine="420" w:firstLineChars="200"/>
    </w:pPr>
    <w:rPr>
      <w:rFonts w:ascii="Calibri" w:hAnsi="Calibri"/>
      <w:szCs w:val="22"/>
    </w:rPr>
  </w:style>
  <w:style w:type="paragraph" w:customStyle="1" w:styleId="517">
    <w:name w:val="TIE-表格内容"/>
    <w:basedOn w:val="1"/>
    <w:qFormat/>
    <w:uiPriority w:val="0"/>
    <w:pPr>
      <w:spacing w:line="360" w:lineRule="exact"/>
      <w:ind w:firstLine="0" w:firstLineChars="0"/>
      <w:jc w:val="center"/>
      <w:textAlignment w:val="center"/>
    </w:pPr>
    <w:rPr>
      <w:sz w:val="21"/>
    </w:rPr>
  </w:style>
  <w:style w:type="character" w:customStyle="1" w:styleId="518">
    <w:name w:val="标题 4 Char"/>
    <w:basedOn w:val="60"/>
    <w:link w:val="6"/>
    <w:qFormat/>
    <w:uiPriority w:val="99"/>
    <w:rPr>
      <w:rFonts w:ascii="Times New Roman" w:hAnsi="Times New Roman" w:eastAsia="宋体" w:cstheme="majorBidi"/>
      <w:b/>
      <w:bCs/>
      <w:sz w:val="24"/>
      <w:szCs w:val="28"/>
    </w:rPr>
  </w:style>
  <w:style w:type="paragraph" w:customStyle="1" w:styleId="519">
    <w:name w:val="WPSOffice手动目录 1"/>
    <w:qFormat/>
    <w:uiPriority w:val="0"/>
    <w:pPr>
      <w:ind w:leftChars="0"/>
    </w:pPr>
    <w:rPr>
      <w:rFonts w:ascii="Times New Roman" w:hAnsi="Times New Roman" w:eastAsia="宋体" w:cs="Times New Roman"/>
      <w:sz w:val="20"/>
      <w:szCs w:val="20"/>
    </w:rPr>
  </w:style>
  <w:style w:type="paragraph" w:customStyle="1" w:styleId="520">
    <w:name w:val="WPSOffice手动目录 2"/>
    <w:qFormat/>
    <w:uiPriority w:val="0"/>
    <w:pPr>
      <w:ind w:leftChars="200"/>
    </w:pPr>
    <w:rPr>
      <w:rFonts w:ascii="Times New Roman" w:hAnsi="Times New Roman" w:eastAsia="宋体" w:cs="Times New Roman"/>
      <w:sz w:val="20"/>
      <w:szCs w:val="20"/>
    </w:rPr>
  </w:style>
  <w:style w:type="paragraph" w:customStyle="1" w:styleId="521">
    <w:name w:val="WPSOffice手动目录 3"/>
    <w:qFormat/>
    <w:uiPriority w:val="0"/>
    <w:pPr>
      <w:ind w:leftChars="400"/>
    </w:pPr>
    <w:rPr>
      <w:rFonts w:ascii="Times New Roman" w:hAnsi="Times New Roman" w:eastAsia="宋体" w:cs="Times New Roman"/>
      <w:sz w:val="20"/>
      <w:szCs w:val="20"/>
    </w:rPr>
  </w:style>
  <w:style w:type="paragraph" w:customStyle="1" w:styleId="522">
    <w:name w:val="1正文"/>
    <w:basedOn w:val="1"/>
    <w:qFormat/>
    <w:uiPriority w:val="0"/>
    <w:pPr>
      <w:spacing w:line="360" w:lineRule="auto"/>
      <w:ind w:firstLine="200" w:firstLineChars="200"/>
    </w:pPr>
    <w:rPr>
      <w:kern w:val="1"/>
      <w:sz w:val="24"/>
      <w:szCs w:val="24"/>
    </w:rPr>
  </w:style>
  <w:style w:type="paragraph" w:customStyle="1" w:styleId="523">
    <w:name w:val="Body Text First Indent1"/>
    <w:basedOn w:val="21"/>
    <w:qFormat/>
    <w:uiPriority w:val="0"/>
    <w:pPr>
      <w:pBdr>
        <w:top w:val="none" w:color="auto" w:sz="0" w:space="1"/>
        <w:left w:val="none" w:color="auto" w:sz="0" w:space="4"/>
        <w:bottom w:val="none" w:color="auto" w:sz="0" w:space="1"/>
        <w:right w:val="none" w:color="auto" w:sz="0" w:space="4"/>
      </w:pBdr>
      <w:spacing w:before="0" w:beforeLines="0"/>
      <w:ind w:firstLine="0" w:firstLineChars="0"/>
      <w:jc w:val="both"/>
    </w:pPr>
    <w:rPr>
      <w:rFonts w:ascii="Times New Roman" w:hAnsi="Times New Roman"/>
      <w:sz w:val="21"/>
      <w:szCs w:val="24"/>
    </w:rPr>
  </w:style>
</w:styles>
</file>

<file path=word/_rels/document.xml.rels><?xml version="1.0" encoding="UTF-8" standalone="yes"?>
<Relationships xmlns="http://schemas.openxmlformats.org/package/2006/relationships"><Relationship Id="rId9" Type="http://schemas.openxmlformats.org/officeDocument/2006/relationships/footer" Target="footer6.xml"/><Relationship Id="rId89" Type="http://schemas.openxmlformats.org/officeDocument/2006/relationships/fontTable" Target="fontTable.xml"/><Relationship Id="rId88" Type="http://schemas.openxmlformats.org/officeDocument/2006/relationships/numbering" Target="numbering.xml"/><Relationship Id="rId87" Type="http://schemas.openxmlformats.org/officeDocument/2006/relationships/customXml" Target="../customXml/item1.xml"/><Relationship Id="rId86" Type="http://schemas.openxmlformats.org/officeDocument/2006/relationships/image" Target="media/image64.jpeg"/><Relationship Id="rId85" Type="http://schemas.openxmlformats.org/officeDocument/2006/relationships/image" Target="media/image63.png"/><Relationship Id="rId84" Type="http://schemas.openxmlformats.org/officeDocument/2006/relationships/image" Target="media/image62.wmf"/><Relationship Id="rId83" Type="http://schemas.openxmlformats.org/officeDocument/2006/relationships/image" Target="media/image61.jpeg"/><Relationship Id="rId82" Type="http://schemas.openxmlformats.org/officeDocument/2006/relationships/image" Target="media/image60.png"/><Relationship Id="rId81" Type="http://schemas.openxmlformats.org/officeDocument/2006/relationships/image" Target="media/image59.png"/><Relationship Id="rId80" Type="http://schemas.openxmlformats.org/officeDocument/2006/relationships/image" Target="media/image58.png"/><Relationship Id="rId8" Type="http://schemas.openxmlformats.org/officeDocument/2006/relationships/footer" Target="footer5.xml"/><Relationship Id="rId79" Type="http://schemas.openxmlformats.org/officeDocument/2006/relationships/image" Target="media/image57.png"/><Relationship Id="rId78" Type="http://schemas.openxmlformats.org/officeDocument/2006/relationships/image" Target="media/image56.png"/><Relationship Id="rId77" Type="http://schemas.openxmlformats.org/officeDocument/2006/relationships/image" Target="media/image55.png"/><Relationship Id="rId76" Type="http://schemas.openxmlformats.org/officeDocument/2006/relationships/image" Target="media/image54.png"/><Relationship Id="rId75" Type="http://schemas.openxmlformats.org/officeDocument/2006/relationships/image" Target="media/image53.png"/><Relationship Id="rId74" Type="http://schemas.openxmlformats.org/officeDocument/2006/relationships/image" Target="media/image52.png"/><Relationship Id="rId73" Type="http://schemas.openxmlformats.org/officeDocument/2006/relationships/image" Target="media/image51.png"/><Relationship Id="rId72" Type="http://schemas.openxmlformats.org/officeDocument/2006/relationships/image" Target="media/image50.png"/><Relationship Id="rId71" Type="http://schemas.openxmlformats.org/officeDocument/2006/relationships/image" Target="media/image49.png"/><Relationship Id="rId70" Type="http://schemas.openxmlformats.org/officeDocument/2006/relationships/image" Target="media/image48.wmf"/><Relationship Id="rId7" Type="http://schemas.openxmlformats.org/officeDocument/2006/relationships/footer" Target="footer4.xml"/><Relationship Id="rId69" Type="http://schemas.openxmlformats.org/officeDocument/2006/relationships/image" Target="media/image47.wmf"/><Relationship Id="rId68" Type="http://schemas.openxmlformats.org/officeDocument/2006/relationships/image" Target="media/image46.wmf"/><Relationship Id="rId67" Type="http://schemas.openxmlformats.org/officeDocument/2006/relationships/image" Target="media/image45.jpeg"/><Relationship Id="rId66" Type="http://schemas.openxmlformats.org/officeDocument/2006/relationships/image" Target="media/image44.png"/><Relationship Id="rId65" Type="http://schemas.openxmlformats.org/officeDocument/2006/relationships/image" Target="media/image43.jpeg"/><Relationship Id="rId64" Type="http://schemas.openxmlformats.org/officeDocument/2006/relationships/image" Target="media/image42.jpeg"/><Relationship Id="rId63" Type="http://schemas.openxmlformats.org/officeDocument/2006/relationships/image" Target="media/image41.jpeg"/><Relationship Id="rId62" Type="http://schemas.openxmlformats.org/officeDocument/2006/relationships/image" Target="media/image40.png"/><Relationship Id="rId61" Type="http://schemas.openxmlformats.org/officeDocument/2006/relationships/image" Target="media/image39.png"/><Relationship Id="rId60" Type="http://schemas.openxmlformats.org/officeDocument/2006/relationships/image" Target="media/image38.png"/><Relationship Id="rId6" Type="http://schemas.openxmlformats.org/officeDocument/2006/relationships/footer" Target="footer3.xml"/><Relationship Id="rId59" Type="http://schemas.openxmlformats.org/officeDocument/2006/relationships/image" Target="media/image37.png"/><Relationship Id="rId58" Type="http://schemas.openxmlformats.org/officeDocument/2006/relationships/image" Target="media/image36.png"/><Relationship Id="rId57" Type="http://schemas.openxmlformats.org/officeDocument/2006/relationships/image" Target="media/image35.png"/><Relationship Id="rId56" Type="http://schemas.openxmlformats.org/officeDocument/2006/relationships/image" Target="media/image34.png"/><Relationship Id="rId55" Type="http://schemas.openxmlformats.org/officeDocument/2006/relationships/image" Target="media/image33.png"/><Relationship Id="rId54" Type="http://schemas.openxmlformats.org/officeDocument/2006/relationships/image" Target="media/image32.png"/><Relationship Id="rId53" Type="http://schemas.openxmlformats.org/officeDocument/2006/relationships/image" Target="media/image31.png"/><Relationship Id="rId52" Type="http://schemas.openxmlformats.org/officeDocument/2006/relationships/image" Target="media/image30.png"/><Relationship Id="rId51" Type="http://schemas.openxmlformats.org/officeDocument/2006/relationships/image" Target="media/image29.png"/><Relationship Id="rId50" Type="http://schemas.openxmlformats.org/officeDocument/2006/relationships/image" Target="media/image28.png"/><Relationship Id="rId5" Type="http://schemas.openxmlformats.org/officeDocument/2006/relationships/footer" Target="footer2.xml"/><Relationship Id="rId49" Type="http://schemas.openxmlformats.org/officeDocument/2006/relationships/image" Target="media/image27.png"/><Relationship Id="rId48" Type="http://schemas.openxmlformats.org/officeDocument/2006/relationships/image" Target="media/image26.png"/><Relationship Id="rId47" Type="http://schemas.openxmlformats.org/officeDocument/2006/relationships/image" Target="media/image25.wmf"/><Relationship Id="rId46" Type="http://schemas.openxmlformats.org/officeDocument/2006/relationships/image" Target="media/image24.png"/><Relationship Id="rId45" Type="http://schemas.openxmlformats.org/officeDocument/2006/relationships/image" Target="media/image23.jpeg"/><Relationship Id="rId44" Type="http://schemas.openxmlformats.org/officeDocument/2006/relationships/image" Target="media/image22.jpeg"/><Relationship Id="rId43" Type="http://schemas.openxmlformats.org/officeDocument/2006/relationships/image" Target="media/image21.png"/><Relationship Id="rId42" Type="http://schemas.openxmlformats.org/officeDocument/2006/relationships/image" Target="media/image20.png"/><Relationship Id="rId41" Type="http://schemas.openxmlformats.org/officeDocument/2006/relationships/image" Target="media/image19.png"/><Relationship Id="rId40" Type="http://schemas.openxmlformats.org/officeDocument/2006/relationships/image" Target="media/image18.png"/><Relationship Id="rId4" Type="http://schemas.openxmlformats.org/officeDocument/2006/relationships/footer" Target="footer1.xml"/><Relationship Id="rId39" Type="http://schemas.openxmlformats.org/officeDocument/2006/relationships/image" Target="media/image17.png"/><Relationship Id="rId38" Type="http://schemas.openxmlformats.org/officeDocument/2006/relationships/image" Target="media/image16.png"/><Relationship Id="rId37" Type="http://schemas.openxmlformats.org/officeDocument/2006/relationships/image" Target="media/image15.png"/><Relationship Id="rId36" Type="http://schemas.openxmlformats.org/officeDocument/2006/relationships/image" Target="media/image14.wmf"/><Relationship Id="rId35" Type="http://schemas.openxmlformats.org/officeDocument/2006/relationships/oleObject" Target="embeddings/oleObject3.bin"/><Relationship Id="rId34" Type="http://schemas.openxmlformats.org/officeDocument/2006/relationships/image" Target="media/image13.wmf"/><Relationship Id="rId33" Type="http://schemas.openxmlformats.org/officeDocument/2006/relationships/oleObject" Target="embeddings/oleObject2.bin"/><Relationship Id="rId32" Type="http://schemas.openxmlformats.org/officeDocument/2006/relationships/image" Target="media/image12.wmf"/><Relationship Id="rId31" Type="http://schemas.openxmlformats.org/officeDocument/2006/relationships/oleObject" Target="embeddings/oleObject1.bin"/><Relationship Id="rId30" Type="http://schemas.openxmlformats.org/officeDocument/2006/relationships/image" Target="media/image11.png"/><Relationship Id="rId3" Type="http://schemas.openxmlformats.org/officeDocument/2006/relationships/header" Target="header1.xml"/><Relationship Id="rId29" Type="http://schemas.openxmlformats.org/officeDocument/2006/relationships/image" Target="media/image10.jpeg"/><Relationship Id="rId28" Type="http://schemas.openxmlformats.org/officeDocument/2006/relationships/image" Target="media/image9.jpeg"/><Relationship Id="rId27" Type="http://schemas.openxmlformats.org/officeDocument/2006/relationships/image" Target="media/image8.png"/><Relationship Id="rId26" Type="http://schemas.openxmlformats.org/officeDocument/2006/relationships/image" Target="media/image7.png"/><Relationship Id="rId25" Type="http://schemas.openxmlformats.org/officeDocument/2006/relationships/image" Target="media/image6.png"/><Relationship Id="rId24" Type="http://schemas.openxmlformats.org/officeDocument/2006/relationships/image" Target="media/image5.png"/><Relationship Id="rId23" Type="http://schemas.openxmlformats.org/officeDocument/2006/relationships/image" Target="media/image4.png"/><Relationship Id="rId22" Type="http://schemas.openxmlformats.org/officeDocument/2006/relationships/image" Target="media/image3.png"/><Relationship Id="rId21" Type="http://schemas.openxmlformats.org/officeDocument/2006/relationships/image" Target="media/image2.png"/><Relationship Id="rId20" Type="http://schemas.openxmlformats.org/officeDocument/2006/relationships/image" Target="media/image1.png"/><Relationship Id="rId2" Type="http://schemas.openxmlformats.org/officeDocument/2006/relationships/settings" Target="settings.xml"/><Relationship Id="rId19" Type="http://schemas.openxmlformats.org/officeDocument/2006/relationships/theme" Target="theme/theme1.xml"/><Relationship Id="rId18" Type="http://schemas.openxmlformats.org/officeDocument/2006/relationships/footer" Target="footer14.xml"/><Relationship Id="rId17" Type="http://schemas.openxmlformats.org/officeDocument/2006/relationships/footer" Target="footer13.xml"/><Relationship Id="rId16" Type="http://schemas.openxmlformats.org/officeDocument/2006/relationships/footer" Target="footer12.xml"/><Relationship Id="rId15" Type="http://schemas.openxmlformats.org/officeDocument/2006/relationships/footer" Target="footer11.xml"/><Relationship Id="rId14" Type="http://schemas.openxmlformats.org/officeDocument/2006/relationships/footer" Target="footer10.xml"/><Relationship Id="rId13" Type="http://schemas.openxmlformats.org/officeDocument/2006/relationships/header" Target="header2.xml"/><Relationship Id="rId12" Type="http://schemas.openxmlformats.org/officeDocument/2006/relationships/footer" Target="footer9.xml"/><Relationship Id="rId11" Type="http://schemas.openxmlformats.org/officeDocument/2006/relationships/footer" Target="footer8.xml"/><Relationship Id="rId10" Type="http://schemas.openxmlformats.org/officeDocument/2006/relationships/footer" Target="footer7.xml"/><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E:\1%20%20%20&#38379;&#23506;\&#25253;&#21578;&#20070;&#27169;&#26495;.dot"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Info spid="_x0000_s6849"/>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报告书模板</Template>
  <Company>WwW.YlmF.CoM</Company>
  <Pages>224</Pages>
  <Words>117294</Words>
  <Characters>141781</Characters>
  <Lines>911</Lines>
  <Paragraphs>256</Paragraphs>
  <TotalTime>4</TotalTime>
  <ScaleCrop>false</ScaleCrop>
  <LinksUpToDate>false</LinksUpToDate>
  <CharactersWithSpaces>142010</CharactersWithSpaces>
  <Application>WPS Office_11.8.2.12187_F1E327BC-269C-435d-A152-05C5408002CA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2023-06-26T03:10:00Z</dcterms:created>
  <dc:creator>zyf</dc:creator>
  <cp:lastModifiedBy>大西几的wps</cp:lastModifiedBy>
  <cp:lastPrinted>2023-05-31T00:16:00Z</cp:lastPrinted>
  <dcterms:modified xsi:type="dcterms:W3CDTF">2024-06-13T02:19:31Z</dcterms:modified>
  <dc:title>报告书</dc:title>
  <cp:revision>31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2052-11.8.2.12187</vt:lpwstr>
  </property>
  <property fmtid="{D5CDD505-2E9C-101B-9397-08002B2CF9AE}" pid="3" name="ICV">
    <vt:lpwstr>2378B55EAF374813BD5A0C15996F06E8</vt:lpwstr>
  </property>
</Properties>
</file>