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mbeddings/Microsoft_Visio___1.vsdx" ContentType="application/vnd.ms-visio.drawing"/>
  <Override PartName="/word/embeddings/Microsoft_Visio___2.vsdx" ContentType="application/vnd.ms-visio.drawing"/>
  <Override PartName="/word/embeddings/Microsoft_Visio___3.vsdx" ContentType="application/vnd.ms-visio.drawing"/>
  <Override PartName="/word/embeddings/Microsoft_Visio___4.vsdx" ContentType="application/vnd.ms-visio.drawing"/>
  <Override PartName="/word/embeddings/Microsoft_Visio___5.vsdx" ContentType="application/vnd.ms-visio.drawing"/>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ind w:firstLine="0" w:firstLineChars="0"/>
        <w:jc w:val="center"/>
        <w:rPr>
          <w:rFonts w:cs="Times New Roman"/>
          <w:color w:val="auto"/>
          <w:kern w:val="0"/>
          <w:sz w:val="44"/>
          <w:szCs w:val="44"/>
          <w:lang w:bidi="ar"/>
        </w:rPr>
      </w:pPr>
      <w:r>
        <w:drawing>
          <wp:inline distT="0" distB="0" distL="114300" distR="114300">
            <wp:extent cx="5267960" cy="7442835"/>
            <wp:effectExtent l="0" t="0" r="8890" b="5715"/>
            <wp:docPr id="4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2"/>
                    <pic:cNvPicPr>
                      <a:picLocks noChangeAspect="1"/>
                    </pic:cNvPicPr>
                  </pic:nvPicPr>
                  <pic:blipFill>
                    <a:blip r:embed="rId25"/>
                    <a:stretch>
                      <a:fillRect/>
                    </a:stretch>
                  </pic:blipFill>
                  <pic:spPr>
                    <a:xfrm>
                      <a:off x="0" y="0"/>
                      <a:ext cx="5267960" cy="7442835"/>
                    </a:xfrm>
                    <a:prstGeom prst="rect">
                      <a:avLst/>
                    </a:prstGeom>
                    <a:noFill/>
                    <a:ln>
                      <a:noFill/>
                    </a:ln>
                  </pic:spPr>
                </pic:pic>
              </a:graphicData>
            </a:graphic>
          </wp:inline>
        </w:drawing>
      </w:r>
    </w:p>
    <w:p>
      <w:pPr>
        <w:widowControl/>
        <w:ind w:firstLine="0" w:firstLineChars="0"/>
        <w:jc w:val="center"/>
        <w:rPr>
          <w:rFonts w:cs="Times New Roman"/>
          <w:b/>
          <w:bCs/>
          <w:color w:val="auto"/>
          <w:kern w:val="0"/>
          <w:sz w:val="56"/>
          <w:szCs w:val="56"/>
          <w:lang w:bidi="ar"/>
        </w:rPr>
      </w:pPr>
    </w:p>
    <w:p>
      <w:pPr>
        <w:widowControl/>
        <w:ind w:firstLine="0" w:firstLineChars="0"/>
        <w:jc w:val="center"/>
        <w:rPr>
          <w:rFonts w:cs="Times New Roman"/>
          <w:b/>
          <w:bCs/>
          <w:color w:val="auto"/>
          <w:sz w:val="32"/>
          <w:szCs w:val="32"/>
        </w:rPr>
      </w:pPr>
      <w:r>
        <w:drawing>
          <wp:inline distT="0" distB="0" distL="114300" distR="114300">
            <wp:extent cx="5267960" cy="7442835"/>
            <wp:effectExtent l="0" t="0" r="8890" b="5715"/>
            <wp:docPr id="4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3"/>
                    <pic:cNvPicPr>
                      <a:picLocks noChangeAspect="1"/>
                    </pic:cNvPicPr>
                  </pic:nvPicPr>
                  <pic:blipFill>
                    <a:blip r:embed="rId26"/>
                    <a:stretch>
                      <a:fillRect/>
                    </a:stretch>
                  </pic:blipFill>
                  <pic:spPr>
                    <a:xfrm>
                      <a:off x="0" y="0"/>
                      <a:ext cx="5267960" cy="7442835"/>
                    </a:xfrm>
                    <a:prstGeom prst="rect">
                      <a:avLst/>
                    </a:prstGeom>
                    <a:noFill/>
                    <a:ln>
                      <a:noFill/>
                    </a:ln>
                  </pic:spPr>
                </pic:pic>
              </a:graphicData>
            </a:graphic>
          </wp:inline>
        </w:drawing>
      </w:r>
    </w:p>
    <w:p>
      <w:pPr>
        <w:ind w:firstLine="0" w:firstLineChars="0"/>
        <w:jc w:val="center"/>
        <w:rPr>
          <w:rFonts w:hint="eastAsia" w:cs="Times New Roman"/>
          <w:b/>
          <w:bCs/>
          <w:color w:val="auto"/>
          <w:lang w:eastAsia="zh-CN"/>
        </w:rPr>
      </w:pPr>
    </w:p>
    <w:p>
      <w:pPr>
        <w:ind w:firstLine="0" w:firstLineChars="0"/>
        <w:jc w:val="center"/>
        <w:rPr>
          <w:rFonts w:hint="eastAsia" w:cs="Times New Roman"/>
          <w:b/>
          <w:bCs/>
          <w:color w:val="auto"/>
          <w:lang w:eastAsia="zh-CN"/>
        </w:rPr>
      </w:pPr>
    </w:p>
    <w:p>
      <w:pPr>
        <w:ind w:firstLine="0" w:firstLineChars="0"/>
        <w:jc w:val="center"/>
        <w:rPr>
          <w:rFonts w:hint="eastAsia" w:cs="Times New Roman"/>
          <w:b/>
          <w:bCs/>
          <w:color w:val="auto"/>
          <w:lang w:eastAsia="zh-CN"/>
        </w:rPr>
      </w:pPr>
    </w:p>
    <w:p>
      <w:pPr>
        <w:ind w:firstLine="0" w:firstLineChars="0"/>
        <w:jc w:val="center"/>
        <w:rPr>
          <w:rFonts w:hint="eastAsia" w:cs="Times New Roman"/>
          <w:b/>
          <w:bCs/>
          <w:color w:val="auto"/>
          <w:lang w:eastAsia="zh-CN"/>
        </w:rPr>
      </w:pPr>
      <w:r>
        <w:rPr>
          <w:color w:val="auto"/>
        </w:rPr>
        <w:drawing>
          <wp:inline distT="0" distB="0" distL="114300" distR="114300">
            <wp:extent cx="5260340" cy="7439660"/>
            <wp:effectExtent l="0" t="0" r="16510" b="8890"/>
            <wp:docPr id="3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6"/>
                    <pic:cNvPicPr>
                      <a:picLocks noChangeAspect="1"/>
                    </pic:cNvPicPr>
                  </pic:nvPicPr>
                  <pic:blipFill>
                    <a:blip r:embed="rId27"/>
                    <a:stretch>
                      <a:fillRect/>
                    </a:stretch>
                  </pic:blipFill>
                  <pic:spPr>
                    <a:xfrm>
                      <a:off x="0" y="0"/>
                      <a:ext cx="5260340" cy="7439660"/>
                    </a:xfrm>
                    <a:prstGeom prst="rect">
                      <a:avLst/>
                    </a:prstGeom>
                    <a:noFill/>
                    <a:ln>
                      <a:noFill/>
                    </a:ln>
                  </pic:spPr>
                </pic:pic>
              </a:graphicData>
            </a:graphic>
          </wp:inline>
        </w:drawing>
      </w:r>
    </w:p>
    <w:p>
      <w:pPr>
        <w:ind w:firstLine="0" w:firstLineChars="0"/>
        <w:jc w:val="center"/>
        <w:rPr>
          <w:rFonts w:hint="eastAsia" w:cs="Times New Roman"/>
          <w:b/>
          <w:bCs/>
          <w:color w:val="auto"/>
          <w:lang w:eastAsia="zh-CN"/>
        </w:rPr>
      </w:pPr>
    </w:p>
    <w:p>
      <w:pPr>
        <w:ind w:firstLine="0" w:firstLineChars="0"/>
        <w:jc w:val="center"/>
        <w:rPr>
          <w:rFonts w:hint="eastAsia" w:cs="Times New Roman"/>
          <w:b/>
          <w:bCs/>
          <w:color w:val="auto"/>
          <w:lang w:eastAsia="zh-CN"/>
        </w:rPr>
      </w:pPr>
    </w:p>
    <w:p>
      <w:pPr>
        <w:ind w:firstLine="0" w:firstLineChars="0"/>
        <w:jc w:val="center"/>
        <w:rPr>
          <w:rFonts w:hint="eastAsia" w:cs="Times New Roman"/>
          <w:b/>
          <w:bCs/>
          <w:color w:val="auto"/>
          <w:lang w:eastAsia="zh-CN"/>
        </w:rPr>
      </w:pPr>
    </w:p>
    <w:p>
      <w:pPr>
        <w:ind w:firstLine="0" w:firstLineChars="0"/>
        <w:jc w:val="center"/>
        <w:rPr>
          <w:rFonts w:hint="eastAsia" w:cs="Times New Roman"/>
          <w:b/>
          <w:bCs/>
          <w:color w:val="auto"/>
          <w:lang w:eastAsia="zh-CN"/>
        </w:rPr>
      </w:pPr>
    </w:p>
    <w:p>
      <w:pPr>
        <w:ind w:firstLine="0" w:firstLineChars="0"/>
        <w:jc w:val="center"/>
        <w:rPr>
          <w:rFonts w:hint="eastAsia" w:cs="Times New Roman"/>
          <w:b/>
          <w:bCs/>
          <w:color w:val="auto"/>
          <w:lang w:eastAsia="zh-CN"/>
        </w:rPr>
      </w:pPr>
      <w:r>
        <w:rPr>
          <w:color w:val="auto"/>
        </w:rPr>
        <w:drawing>
          <wp:inline distT="0" distB="0" distL="114300" distR="114300">
            <wp:extent cx="5260340" cy="7439660"/>
            <wp:effectExtent l="0" t="0" r="16510" b="8890"/>
            <wp:docPr id="3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7"/>
                    <pic:cNvPicPr>
                      <a:picLocks noChangeAspect="1"/>
                    </pic:cNvPicPr>
                  </pic:nvPicPr>
                  <pic:blipFill>
                    <a:blip r:embed="rId28"/>
                    <a:stretch>
                      <a:fillRect/>
                    </a:stretch>
                  </pic:blipFill>
                  <pic:spPr>
                    <a:xfrm>
                      <a:off x="0" y="0"/>
                      <a:ext cx="5260340" cy="7439660"/>
                    </a:xfrm>
                    <a:prstGeom prst="rect">
                      <a:avLst/>
                    </a:prstGeom>
                    <a:noFill/>
                    <a:ln>
                      <a:noFill/>
                    </a:ln>
                  </pic:spPr>
                </pic:pic>
              </a:graphicData>
            </a:graphic>
          </wp:inline>
        </w:drawing>
      </w:r>
    </w:p>
    <w:p>
      <w:pPr>
        <w:ind w:firstLine="0" w:firstLineChars="0"/>
        <w:jc w:val="center"/>
        <w:rPr>
          <w:rFonts w:hint="eastAsia" w:cs="Times New Roman"/>
          <w:b/>
          <w:bCs/>
          <w:color w:val="auto"/>
          <w:lang w:eastAsia="zh-CN"/>
        </w:rPr>
      </w:pPr>
    </w:p>
    <w:p>
      <w:pPr>
        <w:ind w:firstLine="0" w:firstLineChars="0"/>
        <w:jc w:val="center"/>
        <w:rPr>
          <w:rFonts w:hint="eastAsia" w:cs="Times New Roman"/>
          <w:b/>
          <w:bCs/>
          <w:color w:val="auto"/>
          <w:lang w:eastAsia="zh-CN"/>
        </w:rPr>
      </w:pPr>
    </w:p>
    <w:p>
      <w:pPr>
        <w:ind w:firstLine="0" w:firstLineChars="0"/>
        <w:jc w:val="both"/>
        <w:rPr>
          <w:rFonts w:cs="Times New Roman"/>
          <w:b/>
          <w:bCs/>
          <w:color w:val="auto"/>
        </w:rPr>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cols w:space="425" w:num="1"/>
          <w:docGrid w:type="lines" w:linePitch="312" w:charSpace="0"/>
        </w:sectPr>
      </w:pPr>
    </w:p>
    <w:p>
      <w:pPr>
        <w:pStyle w:val="3"/>
        <w:ind w:firstLine="562"/>
        <w:rPr>
          <w:rFonts w:eastAsia="宋体" w:cs="Times New Roman"/>
          <w:color w:val="auto"/>
        </w:rPr>
      </w:pPr>
      <w:r>
        <w:rPr>
          <w:rFonts w:eastAsia="宋体" w:cs="Times New Roman"/>
          <w:color w:val="auto"/>
        </w:rPr>
        <w:t>一、建设项目基本情况</w:t>
      </w:r>
    </w:p>
    <w:tbl>
      <w:tblPr>
        <w:tblStyle w:val="27"/>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6"/>
        <w:gridCol w:w="2760"/>
        <w:gridCol w:w="1642"/>
        <w:gridCol w:w="33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pPr>
              <w:spacing w:line="240" w:lineRule="auto"/>
              <w:ind w:firstLine="0" w:firstLineChars="0"/>
              <w:jc w:val="center"/>
              <w:rPr>
                <w:rFonts w:cs="Times New Roman"/>
                <w:b/>
                <w:bCs/>
                <w:color w:val="auto"/>
              </w:rPr>
            </w:pPr>
            <w:r>
              <w:rPr>
                <w:rFonts w:cs="Times New Roman"/>
                <w:b/>
                <w:bCs/>
                <w:color w:val="auto"/>
              </w:rPr>
              <w:t>建设项目名称</w:t>
            </w:r>
          </w:p>
        </w:tc>
        <w:tc>
          <w:tcPr>
            <w:tcW w:w="7833" w:type="dxa"/>
            <w:gridSpan w:val="3"/>
            <w:vAlign w:val="center"/>
          </w:tcPr>
          <w:p>
            <w:pPr>
              <w:spacing w:line="240" w:lineRule="auto"/>
              <w:ind w:firstLine="0" w:firstLineChars="0"/>
              <w:jc w:val="center"/>
              <w:rPr>
                <w:rFonts w:cs="Times New Roman"/>
                <w:color w:val="auto"/>
              </w:rPr>
            </w:pPr>
            <w:bookmarkStart w:id="0" w:name="_Hlk163638496"/>
            <w:r>
              <w:rPr>
                <w:rFonts w:cs="Times New Roman"/>
                <w:color w:val="auto"/>
              </w:rPr>
              <w:t>巴彦淖尔市同晨新材料有限责任公司</w:t>
            </w:r>
            <w:bookmarkEnd w:id="0"/>
            <w:r>
              <w:rPr>
                <w:rFonts w:cs="Times New Roman"/>
                <w:color w:val="auto"/>
              </w:rPr>
              <w:t>年产3000吨高端稀土抛光材料生产项目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pPr>
              <w:spacing w:line="240" w:lineRule="auto"/>
              <w:ind w:firstLine="0" w:firstLineChars="0"/>
              <w:jc w:val="center"/>
              <w:rPr>
                <w:rFonts w:cs="Times New Roman"/>
                <w:b/>
                <w:bCs/>
                <w:color w:val="auto"/>
              </w:rPr>
            </w:pPr>
            <w:r>
              <w:rPr>
                <w:rFonts w:cs="Times New Roman"/>
                <w:b/>
                <w:bCs/>
                <w:color w:val="auto"/>
              </w:rPr>
              <w:t>项目代码</w:t>
            </w:r>
          </w:p>
        </w:tc>
        <w:tc>
          <w:tcPr>
            <w:tcW w:w="7833" w:type="dxa"/>
            <w:gridSpan w:val="3"/>
            <w:vAlign w:val="center"/>
          </w:tcPr>
          <w:p>
            <w:pPr>
              <w:spacing w:line="240" w:lineRule="auto"/>
              <w:ind w:firstLine="0" w:firstLineChars="0"/>
              <w:jc w:val="center"/>
              <w:rPr>
                <w:rFonts w:cs="Times New Roman"/>
                <w:color w:val="auto"/>
              </w:rPr>
            </w:pPr>
            <w:r>
              <w:rPr>
                <w:rFonts w:cs="Times New Roman"/>
                <w:color w:val="auto"/>
              </w:rPr>
              <w:t>2306-150823-07-01-682537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pPr>
              <w:spacing w:line="240" w:lineRule="auto"/>
              <w:ind w:firstLine="0" w:firstLineChars="0"/>
              <w:jc w:val="center"/>
              <w:rPr>
                <w:rFonts w:cs="Times New Roman"/>
                <w:b/>
                <w:bCs/>
                <w:color w:val="auto"/>
              </w:rPr>
            </w:pPr>
            <w:r>
              <w:rPr>
                <w:rFonts w:cs="Times New Roman"/>
                <w:b/>
                <w:bCs/>
                <w:color w:val="auto"/>
              </w:rPr>
              <w:t>建设单位联系人</w:t>
            </w:r>
          </w:p>
        </w:tc>
        <w:tc>
          <w:tcPr>
            <w:tcW w:w="2799" w:type="dxa"/>
            <w:vAlign w:val="center"/>
          </w:tcPr>
          <w:p>
            <w:pPr>
              <w:spacing w:line="240" w:lineRule="auto"/>
              <w:ind w:firstLine="0" w:firstLineChars="0"/>
              <w:jc w:val="center"/>
              <w:rPr>
                <w:rFonts w:cs="Times New Roman"/>
                <w:color w:val="auto"/>
              </w:rPr>
            </w:pPr>
            <w:r>
              <w:rPr>
                <w:rFonts w:cs="Times New Roman"/>
                <w:color w:val="auto"/>
              </w:rPr>
              <w:t>钟晨光</w:t>
            </w:r>
          </w:p>
        </w:tc>
        <w:tc>
          <w:tcPr>
            <w:tcW w:w="1664" w:type="dxa"/>
            <w:vAlign w:val="center"/>
          </w:tcPr>
          <w:p>
            <w:pPr>
              <w:spacing w:line="240" w:lineRule="auto"/>
              <w:ind w:firstLine="0" w:firstLineChars="0"/>
              <w:jc w:val="center"/>
              <w:rPr>
                <w:rFonts w:cs="Times New Roman"/>
                <w:color w:val="auto"/>
              </w:rPr>
            </w:pPr>
            <w:r>
              <w:rPr>
                <w:rFonts w:cs="Times New Roman"/>
                <w:b/>
                <w:bCs/>
                <w:color w:val="auto"/>
              </w:rPr>
              <w:t>联系方式</w:t>
            </w:r>
          </w:p>
        </w:tc>
        <w:tc>
          <w:tcPr>
            <w:tcW w:w="3370" w:type="dxa"/>
            <w:vAlign w:val="center"/>
          </w:tcPr>
          <w:p>
            <w:pPr>
              <w:spacing w:line="240" w:lineRule="auto"/>
              <w:ind w:firstLine="0" w:firstLineChars="0"/>
              <w:jc w:val="center"/>
              <w:rPr>
                <w:rFonts w:cs="Times New Roman"/>
                <w:color w:val="auto"/>
              </w:rPr>
            </w:pPr>
            <w:r>
              <w:rPr>
                <w:rFonts w:cs="Times New Roman"/>
                <w:color w:val="auto"/>
              </w:rPr>
              <w:t>15049385023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pPr>
              <w:spacing w:line="240" w:lineRule="auto"/>
              <w:ind w:firstLine="0" w:firstLineChars="0"/>
              <w:jc w:val="center"/>
              <w:rPr>
                <w:rFonts w:cs="Times New Roman"/>
                <w:color w:val="auto"/>
              </w:rPr>
            </w:pPr>
            <w:r>
              <w:rPr>
                <w:rFonts w:cs="Times New Roman"/>
                <w:b/>
                <w:bCs/>
                <w:color w:val="auto"/>
              </w:rPr>
              <w:t>建设地点</w:t>
            </w:r>
          </w:p>
        </w:tc>
        <w:tc>
          <w:tcPr>
            <w:tcW w:w="7833" w:type="dxa"/>
            <w:gridSpan w:val="3"/>
            <w:vAlign w:val="center"/>
          </w:tcPr>
          <w:p>
            <w:pPr>
              <w:spacing w:line="240" w:lineRule="auto"/>
              <w:ind w:firstLine="0" w:firstLineChars="0"/>
              <w:jc w:val="center"/>
              <w:rPr>
                <w:rFonts w:cs="Times New Roman"/>
                <w:color w:val="auto"/>
              </w:rPr>
            </w:pPr>
            <w:r>
              <w:rPr>
                <w:rFonts w:cs="Times New Roman"/>
                <w:color w:val="auto"/>
              </w:rPr>
              <w:t>内蒙古自治区巴彦淖尔市乌拉特前旗工业园区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pPr>
              <w:spacing w:line="240" w:lineRule="auto"/>
              <w:ind w:firstLine="0" w:firstLineChars="0"/>
              <w:jc w:val="center"/>
              <w:rPr>
                <w:rFonts w:cs="Times New Roman"/>
                <w:color w:val="auto"/>
              </w:rPr>
            </w:pPr>
            <w:r>
              <w:rPr>
                <w:rFonts w:cs="Times New Roman"/>
                <w:b/>
                <w:bCs/>
                <w:color w:val="auto"/>
              </w:rPr>
              <w:t>地理坐标</w:t>
            </w:r>
          </w:p>
        </w:tc>
        <w:tc>
          <w:tcPr>
            <w:tcW w:w="7833" w:type="dxa"/>
            <w:gridSpan w:val="3"/>
            <w:vAlign w:val="center"/>
          </w:tcPr>
          <w:p>
            <w:pPr>
              <w:spacing w:line="240" w:lineRule="auto"/>
              <w:ind w:firstLine="0" w:firstLineChars="0"/>
              <w:jc w:val="center"/>
              <w:rPr>
                <w:rFonts w:cs="Times New Roman"/>
                <w:color w:val="auto"/>
              </w:rPr>
            </w:pPr>
            <w:r>
              <w:rPr>
                <w:rFonts w:cs="Times New Roman"/>
                <w:color w:val="auto"/>
              </w:rPr>
              <w:t>东经：109.308398359；北纬：40.609087229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pPr>
              <w:spacing w:line="240" w:lineRule="auto"/>
              <w:ind w:firstLine="0" w:firstLineChars="0"/>
              <w:jc w:val="center"/>
              <w:rPr>
                <w:rFonts w:cs="Times New Roman"/>
                <w:b/>
                <w:bCs/>
                <w:color w:val="auto"/>
              </w:rPr>
            </w:pPr>
            <w:r>
              <w:rPr>
                <w:rFonts w:cs="Times New Roman"/>
                <w:b/>
                <w:bCs/>
                <w:color w:val="auto"/>
              </w:rPr>
              <w:t>国民经济</w:t>
            </w:r>
          </w:p>
          <w:p>
            <w:pPr>
              <w:spacing w:line="240" w:lineRule="auto"/>
              <w:ind w:firstLine="0" w:firstLineChars="0"/>
              <w:jc w:val="center"/>
              <w:rPr>
                <w:rFonts w:cs="Times New Roman"/>
                <w:color w:val="auto"/>
              </w:rPr>
            </w:pPr>
            <w:r>
              <w:rPr>
                <w:rFonts w:cs="Times New Roman"/>
                <w:b/>
                <w:bCs/>
                <w:color w:val="auto"/>
              </w:rPr>
              <w:t>行业类别</w:t>
            </w:r>
          </w:p>
        </w:tc>
        <w:tc>
          <w:tcPr>
            <w:tcW w:w="2799" w:type="dxa"/>
            <w:vAlign w:val="center"/>
          </w:tcPr>
          <w:p>
            <w:pPr>
              <w:spacing w:line="240" w:lineRule="auto"/>
              <w:ind w:firstLine="0" w:firstLineChars="0"/>
              <w:jc w:val="center"/>
              <w:rPr>
                <w:rFonts w:cs="Times New Roman"/>
                <w:color w:val="auto"/>
              </w:rPr>
            </w:pPr>
            <w:r>
              <w:rPr>
                <w:rFonts w:cs="Times New Roman"/>
                <w:color w:val="auto"/>
              </w:rPr>
              <w:t>C3985电子专用材料制造</w:t>
            </w:r>
          </w:p>
        </w:tc>
        <w:tc>
          <w:tcPr>
            <w:tcW w:w="1664" w:type="dxa"/>
            <w:vAlign w:val="center"/>
          </w:tcPr>
          <w:p>
            <w:pPr>
              <w:spacing w:line="240" w:lineRule="auto"/>
              <w:ind w:firstLine="0" w:firstLineChars="0"/>
              <w:jc w:val="center"/>
              <w:rPr>
                <w:rFonts w:cs="Times New Roman"/>
                <w:b/>
                <w:bCs/>
                <w:color w:val="auto"/>
              </w:rPr>
            </w:pPr>
            <w:r>
              <w:rPr>
                <w:rFonts w:cs="Times New Roman"/>
                <w:b/>
                <w:bCs/>
                <w:color w:val="auto"/>
              </w:rPr>
              <w:t>建设项目</w:t>
            </w:r>
          </w:p>
          <w:p>
            <w:pPr>
              <w:spacing w:line="240" w:lineRule="auto"/>
              <w:ind w:firstLine="0" w:firstLineChars="0"/>
              <w:jc w:val="center"/>
              <w:rPr>
                <w:rFonts w:cs="Times New Roman"/>
                <w:color w:val="auto"/>
              </w:rPr>
            </w:pPr>
            <w:r>
              <w:rPr>
                <w:rFonts w:cs="Times New Roman"/>
                <w:b/>
                <w:bCs/>
                <w:color w:val="auto"/>
              </w:rPr>
              <w:t>行业类别</w:t>
            </w:r>
          </w:p>
        </w:tc>
        <w:tc>
          <w:tcPr>
            <w:tcW w:w="3370" w:type="dxa"/>
            <w:vAlign w:val="center"/>
          </w:tcPr>
          <w:p>
            <w:pPr>
              <w:spacing w:line="240" w:lineRule="auto"/>
              <w:ind w:firstLine="0" w:firstLineChars="0"/>
              <w:jc w:val="center"/>
              <w:rPr>
                <w:rFonts w:cs="Times New Roman"/>
                <w:color w:val="auto"/>
              </w:rPr>
            </w:pPr>
            <w:r>
              <w:rPr>
                <w:rFonts w:cs="Times New Roman"/>
                <w:color w:val="auto"/>
              </w:rPr>
              <w:t>三十六、计算机、通信和其他电子设备制造业—81电子元件及电子专用材料制造—电子专用材料制造（电子化工材料制造除外）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pPr>
              <w:spacing w:line="240" w:lineRule="auto"/>
              <w:ind w:firstLine="0" w:firstLineChars="0"/>
              <w:jc w:val="center"/>
              <w:rPr>
                <w:rFonts w:cs="Times New Roman"/>
                <w:color w:val="auto"/>
              </w:rPr>
            </w:pPr>
            <w:r>
              <w:rPr>
                <w:rFonts w:cs="Times New Roman"/>
                <w:b/>
                <w:bCs/>
                <w:color w:val="auto"/>
              </w:rPr>
              <w:t>建设性质</w:t>
            </w:r>
          </w:p>
        </w:tc>
        <w:tc>
          <w:tcPr>
            <w:tcW w:w="2799" w:type="dxa"/>
            <w:vAlign w:val="center"/>
          </w:tcPr>
          <w:p>
            <w:pPr>
              <w:spacing w:line="240" w:lineRule="auto"/>
              <w:ind w:firstLine="0" w:firstLineChars="0"/>
              <w:jc w:val="left"/>
              <w:rPr>
                <w:rFonts w:cs="Times New Roman"/>
                <w:bCs/>
                <w:color w:val="auto"/>
              </w:rPr>
            </w:pPr>
            <w:r>
              <w:rPr>
                <w:rFonts w:cs="Times New Roman"/>
                <w:bCs/>
                <w:color w:val="auto"/>
              </w:rPr>
              <w:fldChar w:fldCharType="begin"/>
            </w:r>
            <w:r>
              <w:rPr>
                <w:rFonts w:cs="Times New Roman"/>
                <w:bCs/>
                <w:color w:val="auto"/>
              </w:rPr>
              <w:instrText xml:space="preserve"> eq \o\ac(□,√)</w:instrText>
            </w:r>
            <w:r>
              <w:rPr>
                <w:rFonts w:cs="Times New Roman"/>
                <w:bCs/>
                <w:color w:val="auto"/>
              </w:rPr>
              <w:fldChar w:fldCharType="end"/>
            </w:r>
            <w:r>
              <w:rPr>
                <w:rFonts w:cs="Times New Roman"/>
                <w:bCs/>
                <w:color w:val="auto"/>
              </w:rPr>
              <w:t>新建（迁建）</w:t>
            </w:r>
          </w:p>
          <w:p>
            <w:pPr>
              <w:spacing w:line="240" w:lineRule="auto"/>
              <w:ind w:firstLine="0" w:firstLineChars="0"/>
              <w:jc w:val="left"/>
              <w:rPr>
                <w:rFonts w:cs="Times New Roman"/>
                <w:bCs/>
                <w:color w:val="auto"/>
              </w:rPr>
            </w:pPr>
            <w:r>
              <w:rPr>
                <w:rFonts w:cs="Times New Roman"/>
                <w:bCs/>
                <w:color w:val="auto"/>
              </w:rPr>
              <w:fldChar w:fldCharType="begin"/>
            </w:r>
            <w:r>
              <w:rPr>
                <w:rFonts w:cs="Times New Roman"/>
                <w:bCs/>
                <w:color w:val="auto"/>
              </w:rPr>
              <w:instrText xml:space="preserve"> eq \o\ac(□)</w:instrText>
            </w:r>
            <w:r>
              <w:rPr>
                <w:rFonts w:cs="Times New Roman"/>
                <w:bCs/>
                <w:color w:val="auto"/>
              </w:rPr>
              <w:fldChar w:fldCharType="end"/>
            </w:r>
            <w:r>
              <w:rPr>
                <w:rFonts w:cs="Times New Roman"/>
                <w:bCs/>
                <w:color w:val="auto"/>
              </w:rPr>
              <w:t>改建</w:t>
            </w:r>
          </w:p>
          <w:p>
            <w:pPr>
              <w:spacing w:line="240" w:lineRule="auto"/>
              <w:ind w:firstLine="0" w:firstLineChars="0"/>
              <w:jc w:val="left"/>
              <w:rPr>
                <w:rFonts w:cs="Times New Roman"/>
                <w:bCs/>
                <w:color w:val="auto"/>
              </w:rPr>
            </w:pPr>
            <w:r>
              <w:rPr>
                <w:rFonts w:cs="Times New Roman"/>
                <w:bCs/>
                <w:color w:val="auto"/>
              </w:rPr>
              <w:fldChar w:fldCharType="begin"/>
            </w:r>
            <w:r>
              <w:rPr>
                <w:rFonts w:cs="Times New Roman"/>
                <w:bCs/>
                <w:color w:val="auto"/>
              </w:rPr>
              <w:instrText xml:space="preserve"> eq \o\ac(□)</w:instrText>
            </w:r>
            <w:r>
              <w:rPr>
                <w:rFonts w:cs="Times New Roman"/>
                <w:bCs/>
                <w:color w:val="auto"/>
              </w:rPr>
              <w:fldChar w:fldCharType="end"/>
            </w:r>
            <w:r>
              <w:rPr>
                <w:rFonts w:cs="Times New Roman"/>
                <w:bCs/>
                <w:color w:val="auto"/>
              </w:rPr>
              <w:t>扩建</w:t>
            </w:r>
          </w:p>
          <w:p>
            <w:pPr>
              <w:spacing w:line="240" w:lineRule="auto"/>
              <w:ind w:firstLine="0" w:firstLineChars="0"/>
              <w:jc w:val="left"/>
              <w:rPr>
                <w:rFonts w:cs="Times New Roman"/>
                <w:color w:val="auto"/>
              </w:rPr>
            </w:pPr>
            <w:r>
              <w:rPr>
                <w:rFonts w:cs="Times New Roman"/>
                <w:bCs/>
                <w:color w:val="auto"/>
              </w:rPr>
              <w:fldChar w:fldCharType="begin"/>
            </w:r>
            <w:r>
              <w:rPr>
                <w:rFonts w:cs="Times New Roman"/>
                <w:bCs/>
                <w:color w:val="auto"/>
              </w:rPr>
              <w:instrText xml:space="preserve"> eq \o\ac(□)</w:instrText>
            </w:r>
            <w:r>
              <w:rPr>
                <w:rFonts w:cs="Times New Roman"/>
                <w:bCs/>
                <w:color w:val="auto"/>
              </w:rPr>
              <w:fldChar w:fldCharType="end"/>
            </w:r>
            <w:r>
              <w:rPr>
                <w:rFonts w:cs="Times New Roman"/>
                <w:bCs/>
                <w:color w:val="auto"/>
              </w:rPr>
              <w:t>技术改造</w:t>
            </w:r>
          </w:p>
        </w:tc>
        <w:tc>
          <w:tcPr>
            <w:tcW w:w="1664" w:type="dxa"/>
            <w:vAlign w:val="center"/>
          </w:tcPr>
          <w:p>
            <w:pPr>
              <w:spacing w:line="240" w:lineRule="auto"/>
              <w:ind w:firstLine="0" w:firstLineChars="0"/>
              <w:jc w:val="center"/>
              <w:rPr>
                <w:rFonts w:cs="Times New Roman"/>
                <w:b/>
                <w:bCs/>
                <w:color w:val="auto"/>
              </w:rPr>
            </w:pPr>
            <w:r>
              <w:rPr>
                <w:rFonts w:cs="Times New Roman"/>
                <w:b/>
                <w:bCs/>
                <w:color w:val="auto"/>
              </w:rPr>
              <w:t>建设项目</w:t>
            </w:r>
          </w:p>
          <w:p>
            <w:pPr>
              <w:spacing w:line="240" w:lineRule="auto"/>
              <w:ind w:firstLine="0" w:firstLineChars="0"/>
              <w:jc w:val="center"/>
              <w:rPr>
                <w:rFonts w:cs="Times New Roman"/>
                <w:color w:val="auto"/>
              </w:rPr>
            </w:pPr>
            <w:r>
              <w:rPr>
                <w:rFonts w:cs="Times New Roman"/>
                <w:b/>
                <w:bCs/>
                <w:color w:val="auto"/>
              </w:rPr>
              <w:t>申报情形</w:t>
            </w:r>
          </w:p>
        </w:tc>
        <w:tc>
          <w:tcPr>
            <w:tcW w:w="3370" w:type="dxa"/>
            <w:vAlign w:val="center"/>
          </w:tcPr>
          <w:p>
            <w:pPr>
              <w:spacing w:line="240" w:lineRule="auto"/>
              <w:ind w:firstLine="0" w:firstLineChars="0"/>
              <w:jc w:val="left"/>
              <w:rPr>
                <w:rFonts w:cs="Times New Roman"/>
                <w:bCs/>
                <w:color w:val="auto"/>
              </w:rPr>
            </w:pPr>
            <w:r>
              <w:rPr>
                <w:rFonts w:cs="Times New Roman"/>
                <w:bCs/>
                <w:color w:val="auto"/>
              </w:rPr>
              <w:fldChar w:fldCharType="begin"/>
            </w:r>
            <w:r>
              <w:rPr>
                <w:rFonts w:cs="Times New Roman"/>
                <w:bCs/>
                <w:color w:val="auto"/>
              </w:rPr>
              <w:instrText xml:space="preserve"> eq \o\ac(□,√)</w:instrText>
            </w:r>
            <w:r>
              <w:rPr>
                <w:rFonts w:cs="Times New Roman"/>
                <w:bCs/>
                <w:color w:val="auto"/>
              </w:rPr>
              <w:fldChar w:fldCharType="end"/>
            </w:r>
            <w:r>
              <w:rPr>
                <w:rFonts w:cs="Times New Roman"/>
                <w:bCs/>
                <w:color w:val="auto"/>
              </w:rPr>
              <w:t>首次申报项目</w:t>
            </w:r>
          </w:p>
          <w:p>
            <w:pPr>
              <w:spacing w:line="240" w:lineRule="auto"/>
              <w:ind w:firstLine="0" w:firstLineChars="0"/>
              <w:jc w:val="left"/>
              <w:rPr>
                <w:rFonts w:cs="Times New Roman"/>
                <w:bCs/>
                <w:color w:val="auto"/>
              </w:rPr>
            </w:pPr>
            <w:r>
              <w:rPr>
                <w:rFonts w:cs="Times New Roman"/>
                <w:bCs/>
                <w:color w:val="auto"/>
              </w:rPr>
              <w:fldChar w:fldCharType="begin"/>
            </w:r>
            <w:r>
              <w:rPr>
                <w:rFonts w:cs="Times New Roman"/>
                <w:bCs/>
                <w:color w:val="auto"/>
              </w:rPr>
              <w:instrText xml:space="preserve"> eq \o\ac(□)</w:instrText>
            </w:r>
            <w:r>
              <w:rPr>
                <w:rFonts w:cs="Times New Roman"/>
                <w:bCs/>
                <w:color w:val="auto"/>
              </w:rPr>
              <w:fldChar w:fldCharType="end"/>
            </w:r>
            <w:r>
              <w:rPr>
                <w:rFonts w:cs="Times New Roman"/>
                <w:bCs/>
                <w:color w:val="auto"/>
              </w:rPr>
              <w:t>不予批准后再次申报项目</w:t>
            </w:r>
          </w:p>
          <w:p>
            <w:pPr>
              <w:spacing w:line="240" w:lineRule="auto"/>
              <w:ind w:firstLine="0" w:firstLineChars="0"/>
              <w:jc w:val="left"/>
              <w:rPr>
                <w:rFonts w:cs="Times New Roman"/>
                <w:bCs/>
                <w:color w:val="auto"/>
              </w:rPr>
            </w:pPr>
            <w:r>
              <w:rPr>
                <w:rFonts w:cs="Times New Roman"/>
                <w:bCs/>
                <w:color w:val="auto"/>
              </w:rPr>
              <w:fldChar w:fldCharType="begin"/>
            </w:r>
            <w:r>
              <w:rPr>
                <w:rFonts w:cs="Times New Roman"/>
                <w:bCs/>
                <w:color w:val="auto"/>
              </w:rPr>
              <w:instrText xml:space="preserve"> eq \o\ac(□)</w:instrText>
            </w:r>
            <w:r>
              <w:rPr>
                <w:rFonts w:cs="Times New Roman"/>
                <w:bCs/>
                <w:color w:val="auto"/>
              </w:rPr>
              <w:fldChar w:fldCharType="end"/>
            </w:r>
            <w:r>
              <w:rPr>
                <w:rFonts w:cs="Times New Roman"/>
                <w:bCs/>
                <w:color w:val="auto"/>
              </w:rPr>
              <w:t>超五年重新审核项目</w:t>
            </w:r>
          </w:p>
          <w:p>
            <w:pPr>
              <w:spacing w:line="240" w:lineRule="auto"/>
              <w:ind w:firstLine="0" w:firstLineChars="0"/>
              <w:jc w:val="left"/>
              <w:rPr>
                <w:rFonts w:cs="Times New Roman"/>
                <w:color w:val="auto"/>
              </w:rPr>
            </w:pPr>
            <w:r>
              <w:rPr>
                <w:rFonts w:cs="Times New Roman"/>
                <w:bCs/>
                <w:color w:val="auto"/>
              </w:rPr>
              <w:fldChar w:fldCharType="begin"/>
            </w:r>
            <w:r>
              <w:rPr>
                <w:rFonts w:cs="Times New Roman"/>
                <w:bCs/>
                <w:color w:val="auto"/>
              </w:rPr>
              <w:instrText xml:space="preserve"> eq \o\ac(□)</w:instrText>
            </w:r>
            <w:r>
              <w:rPr>
                <w:rFonts w:cs="Times New Roman"/>
                <w:bCs/>
                <w:color w:val="auto"/>
              </w:rPr>
              <w:fldChar w:fldCharType="end"/>
            </w:r>
            <w:r>
              <w:rPr>
                <w:rFonts w:cs="Times New Roman"/>
                <w:bCs/>
                <w:color w:val="auto"/>
              </w:rPr>
              <w:t>重大变动重新报批项目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pPr>
              <w:spacing w:line="240" w:lineRule="auto"/>
              <w:ind w:firstLine="0" w:firstLineChars="0"/>
              <w:jc w:val="center"/>
              <w:rPr>
                <w:rFonts w:cs="Times New Roman"/>
                <w:color w:val="auto"/>
              </w:rPr>
            </w:pPr>
            <w:r>
              <w:rPr>
                <w:rFonts w:cs="Times New Roman"/>
                <w:b/>
                <w:bCs/>
                <w:color w:val="auto"/>
              </w:rPr>
              <w:t>项目审批（核准/备案）部门（选填）</w:t>
            </w:r>
          </w:p>
        </w:tc>
        <w:tc>
          <w:tcPr>
            <w:tcW w:w="2799" w:type="dxa"/>
            <w:vAlign w:val="center"/>
          </w:tcPr>
          <w:p>
            <w:pPr>
              <w:spacing w:line="240" w:lineRule="auto"/>
              <w:ind w:firstLine="0" w:firstLineChars="0"/>
              <w:jc w:val="center"/>
              <w:rPr>
                <w:rFonts w:cs="Times New Roman"/>
                <w:color w:val="auto"/>
              </w:rPr>
            </w:pPr>
            <w:r>
              <w:rPr>
                <w:rFonts w:cs="Times New Roman"/>
                <w:color w:val="auto"/>
              </w:rPr>
              <w:t>乌拉特前旗工业和信息化局</w:t>
            </w:r>
          </w:p>
        </w:tc>
        <w:tc>
          <w:tcPr>
            <w:tcW w:w="1664" w:type="dxa"/>
            <w:vAlign w:val="center"/>
          </w:tcPr>
          <w:p>
            <w:pPr>
              <w:spacing w:line="240" w:lineRule="auto"/>
              <w:ind w:firstLine="0" w:firstLineChars="0"/>
              <w:jc w:val="center"/>
              <w:rPr>
                <w:rFonts w:cs="Times New Roman"/>
                <w:color w:val="auto"/>
              </w:rPr>
            </w:pPr>
            <w:r>
              <w:rPr>
                <w:rFonts w:cs="Times New Roman"/>
                <w:b/>
                <w:bCs/>
                <w:color w:val="auto"/>
              </w:rPr>
              <w:t>项目审批（核准/备案）文号（选填）</w:t>
            </w:r>
          </w:p>
        </w:tc>
        <w:tc>
          <w:tcPr>
            <w:tcW w:w="3370" w:type="dxa"/>
            <w:vAlign w:val="center"/>
          </w:tcPr>
          <w:p>
            <w:pPr>
              <w:spacing w:line="240" w:lineRule="auto"/>
              <w:ind w:firstLine="0" w:firstLineChars="0"/>
              <w:jc w:val="center"/>
              <w:rPr>
                <w:rFonts w:cs="Times New Roman"/>
                <w:color w:val="auto"/>
              </w:rPr>
            </w:pPr>
            <w:r>
              <w:rPr>
                <w:rFonts w:cs="Times New Roman"/>
                <w:color w:val="auto"/>
              </w:rPr>
              <w:t>2306-150823-07-01-682537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pPr>
              <w:spacing w:line="240" w:lineRule="auto"/>
              <w:ind w:firstLine="0" w:firstLineChars="0"/>
              <w:jc w:val="center"/>
              <w:rPr>
                <w:rFonts w:cs="Times New Roman"/>
                <w:color w:val="auto"/>
              </w:rPr>
            </w:pPr>
            <w:r>
              <w:rPr>
                <w:rFonts w:cs="Times New Roman"/>
                <w:b/>
                <w:bCs/>
                <w:color w:val="auto"/>
              </w:rPr>
              <w:t>总投资（万元）</w:t>
            </w:r>
          </w:p>
        </w:tc>
        <w:tc>
          <w:tcPr>
            <w:tcW w:w="2799" w:type="dxa"/>
            <w:vAlign w:val="center"/>
          </w:tcPr>
          <w:p>
            <w:pPr>
              <w:spacing w:line="240" w:lineRule="auto"/>
              <w:ind w:firstLine="0" w:firstLineChars="0"/>
              <w:jc w:val="center"/>
              <w:rPr>
                <w:rFonts w:cs="Times New Roman"/>
                <w:color w:val="auto"/>
              </w:rPr>
            </w:pPr>
            <w:bookmarkStart w:id="1" w:name="_Hlk163638373"/>
            <w:r>
              <w:rPr>
                <w:rFonts w:cs="Times New Roman"/>
                <w:color w:val="auto"/>
              </w:rPr>
              <w:t>3500</w:t>
            </w:r>
            <w:bookmarkEnd w:id="1"/>
          </w:p>
        </w:tc>
        <w:tc>
          <w:tcPr>
            <w:tcW w:w="1664" w:type="dxa"/>
            <w:vAlign w:val="center"/>
          </w:tcPr>
          <w:p>
            <w:pPr>
              <w:spacing w:line="240" w:lineRule="auto"/>
              <w:ind w:firstLine="0" w:firstLineChars="0"/>
              <w:jc w:val="center"/>
              <w:rPr>
                <w:rFonts w:cs="Times New Roman"/>
                <w:color w:val="auto"/>
              </w:rPr>
            </w:pPr>
            <w:r>
              <w:rPr>
                <w:rFonts w:cs="Times New Roman"/>
                <w:b/>
                <w:bCs/>
                <w:color w:val="auto"/>
              </w:rPr>
              <w:t>环保投资（万元）</w:t>
            </w:r>
          </w:p>
        </w:tc>
        <w:tc>
          <w:tcPr>
            <w:tcW w:w="3370" w:type="dxa"/>
            <w:vAlign w:val="center"/>
          </w:tcPr>
          <w:p>
            <w:pPr>
              <w:spacing w:line="240" w:lineRule="auto"/>
              <w:ind w:firstLine="0" w:firstLineChars="0"/>
              <w:jc w:val="center"/>
              <w:rPr>
                <w:rFonts w:hint="default" w:eastAsia="宋体" w:cs="Times New Roman"/>
                <w:color w:val="auto"/>
                <w:lang w:val="en-US" w:eastAsia="zh-CN"/>
              </w:rPr>
            </w:pPr>
            <w:r>
              <w:rPr>
                <w:rFonts w:hint="eastAsia" w:cs="Times New Roman"/>
                <w:color w:val="auto"/>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pPr>
              <w:spacing w:line="240" w:lineRule="auto"/>
              <w:ind w:firstLine="0" w:firstLineChars="0"/>
              <w:jc w:val="center"/>
              <w:rPr>
                <w:rFonts w:cs="Times New Roman"/>
                <w:color w:val="auto"/>
              </w:rPr>
            </w:pPr>
            <w:r>
              <w:rPr>
                <w:rFonts w:cs="Times New Roman"/>
                <w:b/>
                <w:bCs/>
                <w:color w:val="auto"/>
              </w:rPr>
              <w:t>环保投资占比（%）</w:t>
            </w:r>
          </w:p>
        </w:tc>
        <w:tc>
          <w:tcPr>
            <w:tcW w:w="2799" w:type="dxa"/>
            <w:vAlign w:val="center"/>
          </w:tcPr>
          <w:p>
            <w:pPr>
              <w:spacing w:line="240" w:lineRule="auto"/>
              <w:ind w:firstLine="0" w:firstLineChars="0"/>
              <w:jc w:val="center"/>
              <w:rPr>
                <w:rFonts w:hint="default" w:eastAsia="宋体" w:cs="Times New Roman"/>
                <w:color w:val="auto"/>
                <w:lang w:val="en-US" w:eastAsia="zh-CN"/>
              </w:rPr>
            </w:pPr>
            <w:r>
              <w:rPr>
                <w:rFonts w:hint="eastAsia" w:cs="Times New Roman"/>
                <w:color w:val="auto"/>
                <w:lang w:val="en-US" w:eastAsia="zh-CN"/>
              </w:rPr>
              <w:t>1.72</w:t>
            </w:r>
          </w:p>
        </w:tc>
        <w:tc>
          <w:tcPr>
            <w:tcW w:w="1664" w:type="dxa"/>
            <w:vAlign w:val="center"/>
          </w:tcPr>
          <w:p>
            <w:pPr>
              <w:spacing w:line="240" w:lineRule="auto"/>
              <w:ind w:firstLine="0" w:firstLineChars="0"/>
              <w:jc w:val="center"/>
              <w:rPr>
                <w:rFonts w:cs="Times New Roman"/>
                <w:b/>
                <w:bCs/>
                <w:color w:val="auto"/>
              </w:rPr>
            </w:pPr>
            <w:r>
              <w:rPr>
                <w:rFonts w:cs="Times New Roman"/>
                <w:b/>
                <w:bCs/>
                <w:color w:val="auto"/>
              </w:rPr>
              <w:t>施工工期</w:t>
            </w:r>
          </w:p>
        </w:tc>
        <w:tc>
          <w:tcPr>
            <w:tcW w:w="3370" w:type="dxa"/>
            <w:vAlign w:val="center"/>
          </w:tcPr>
          <w:p>
            <w:pPr>
              <w:spacing w:line="240" w:lineRule="auto"/>
              <w:ind w:firstLine="0" w:firstLineChars="0"/>
              <w:jc w:val="center"/>
              <w:rPr>
                <w:rFonts w:cs="Times New Roman"/>
                <w:color w:val="auto"/>
              </w:rPr>
            </w:pPr>
            <w:r>
              <w:rPr>
                <w:rFonts w:cs="Times New Roman"/>
                <w:color w:val="auto"/>
              </w:rPr>
              <w:t>12个月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pPr>
              <w:spacing w:line="240" w:lineRule="auto"/>
              <w:ind w:firstLine="0" w:firstLineChars="0"/>
              <w:jc w:val="center"/>
              <w:rPr>
                <w:rFonts w:cs="Times New Roman"/>
                <w:color w:val="auto"/>
              </w:rPr>
            </w:pPr>
            <w:r>
              <w:rPr>
                <w:rFonts w:cs="Times New Roman"/>
                <w:b/>
                <w:bCs/>
                <w:color w:val="auto"/>
              </w:rPr>
              <w:t>是否开工建设</w:t>
            </w:r>
          </w:p>
        </w:tc>
        <w:tc>
          <w:tcPr>
            <w:tcW w:w="2799" w:type="dxa"/>
            <w:vAlign w:val="center"/>
          </w:tcPr>
          <w:p>
            <w:pPr>
              <w:spacing w:line="240" w:lineRule="auto"/>
              <w:ind w:firstLine="0" w:firstLineChars="0"/>
              <w:jc w:val="left"/>
              <w:rPr>
                <w:rFonts w:cs="Times New Roman"/>
                <w:bCs/>
                <w:color w:val="auto"/>
              </w:rPr>
            </w:pPr>
            <w:r>
              <w:rPr>
                <w:rFonts w:cs="Times New Roman"/>
                <w:bCs/>
                <w:color w:val="auto"/>
              </w:rPr>
              <w:fldChar w:fldCharType="begin"/>
            </w:r>
            <w:r>
              <w:rPr>
                <w:rFonts w:cs="Times New Roman"/>
                <w:bCs/>
                <w:color w:val="auto"/>
              </w:rPr>
              <w:instrText xml:space="preserve"> eq \o\ac(□,√)</w:instrText>
            </w:r>
            <w:r>
              <w:rPr>
                <w:rFonts w:cs="Times New Roman"/>
                <w:bCs/>
                <w:color w:val="auto"/>
              </w:rPr>
              <w:fldChar w:fldCharType="end"/>
            </w:r>
            <w:r>
              <w:rPr>
                <w:rFonts w:cs="Times New Roman"/>
                <w:bCs/>
                <w:color w:val="auto"/>
              </w:rPr>
              <w:t>否</w:t>
            </w:r>
          </w:p>
          <w:p>
            <w:pPr>
              <w:spacing w:line="240" w:lineRule="auto"/>
              <w:ind w:firstLine="0" w:firstLineChars="0"/>
              <w:jc w:val="left"/>
              <w:rPr>
                <w:rFonts w:cs="Times New Roman"/>
                <w:color w:val="auto"/>
              </w:rPr>
            </w:pPr>
            <w:r>
              <w:rPr>
                <w:rFonts w:cs="Times New Roman"/>
                <w:bCs/>
                <w:color w:val="auto"/>
              </w:rPr>
              <w:fldChar w:fldCharType="begin"/>
            </w:r>
            <w:r>
              <w:rPr>
                <w:rFonts w:cs="Times New Roman"/>
                <w:bCs/>
                <w:color w:val="auto"/>
              </w:rPr>
              <w:instrText xml:space="preserve"> eq \o\ac(□)</w:instrText>
            </w:r>
            <w:r>
              <w:rPr>
                <w:rFonts w:cs="Times New Roman"/>
                <w:bCs/>
                <w:color w:val="auto"/>
              </w:rPr>
              <w:fldChar w:fldCharType="end"/>
            </w:r>
            <w:r>
              <w:rPr>
                <w:rFonts w:cs="Times New Roman"/>
                <w:bCs/>
                <w:color w:val="auto"/>
              </w:rPr>
              <w:t>是：</w:t>
            </w:r>
          </w:p>
        </w:tc>
        <w:tc>
          <w:tcPr>
            <w:tcW w:w="1664" w:type="dxa"/>
            <w:vAlign w:val="center"/>
          </w:tcPr>
          <w:p>
            <w:pPr>
              <w:spacing w:line="240" w:lineRule="auto"/>
              <w:ind w:firstLine="0" w:firstLineChars="0"/>
              <w:jc w:val="center"/>
              <w:rPr>
                <w:rFonts w:cs="Times New Roman"/>
                <w:b/>
                <w:bCs/>
                <w:color w:val="auto"/>
              </w:rPr>
            </w:pPr>
            <w:r>
              <w:rPr>
                <w:rFonts w:cs="Times New Roman"/>
                <w:b/>
                <w:bCs/>
                <w:color w:val="auto"/>
              </w:rPr>
              <w:t>用地（用海）面积（m</w:t>
            </w:r>
            <w:r>
              <w:rPr>
                <w:rFonts w:cs="Times New Roman"/>
                <w:b/>
                <w:bCs/>
                <w:color w:val="auto"/>
                <w:vertAlign w:val="superscript"/>
              </w:rPr>
              <w:t>2</w:t>
            </w:r>
            <w:r>
              <w:rPr>
                <w:rFonts w:cs="Times New Roman"/>
                <w:b/>
                <w:bCs/>
                <w:color w:val="auto"/>
              </w:rPr>
              <w:t>）</w:t>
            </w:r>
          </w:p>
        </w:tc>
        <w:tc>
          <w:tcPr>
            <w:tcW w:w="3370" w:type="dxa"/>
            <w:vAlign w:val="center"/>
          </w:tcPr>
          <w:p>
            <w:pPr>
              <w:spacing w:line="240" w:lineRule="auto"/>
              <w:ind w:firstLine="0" w:firstLineChars="0"/>
              <w:jc w:val="center"/>
              <w:rPr>
                <w:rFonts w:cs="Times New Roman"/>
                <w:color w:val="auto"/>
              </w:rPr>
            </w:pPr>
            <w:bookmarkStart w:id="2" w:name="_Hlk163638380"/>
            <w:r>
              <w:rPr>
                <w:rFonts w:cs="Times New Roman"/>
                <w:color w:val="auto"/>
              </w:rPr>
              <w:t>17503.42</w:t>
            </w:r>
            <w:bookmarkEnd w:id="2"/>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pPr>
              <w:spacing w:line="240" w:lineRule="auto"/>
              <w:ind w:firstLine="0" w:firstLineChars="0"/>
              <w:jc w:val="center"/>
              <w:rPr>
                <w:rFonts w:cs="Times New Roman"/>
                <w:b/>
                <w:bCs/>
                <w:color w:val="auto"/>
              </w:rPr>
            </w:pPr>
            <w:r>
              <w:rPr>
                <w:rFonts w:cs="Times New Roman"/>
                <w:b/>
                <w:bCs/>
                <w:color w:val="auto"/>
              </w:rPr>
              <w:t>专项评价设置情况</w:t>
            </w:r>
          </w:p>
        </w:tc>
        <w:tc>
          <w:tcPr>
            <w:tcW w:w="7833" w:type="dxa"/>
            <w:gridSpan w:val="3"/>
            <w:vAlign w:val="center"/>
          </w:tcPr>
          <w:p>
            <w:pPr>
              <w:ind w:firstLine="480"/>
              <w:jc w:val="center"/>
              <w:rPr>
                <w:rFonts w:cs="Times New Roman"/>
                <w:color w:val="auto"/>
              </w:rPr>
            </w:pPr>
            <w:r>
              <w:rPr>
                <w:rFonts w:cs="Times New Roman"/>
                <w:color w:val="auto"/>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pPr>
              <w:spacing w:line="240" w:lineRule="auto"/>
              <w:ind w:firstLine="0" w:firstLineChars="0"/>
              <w:jc w:val="center"/>
              <w:rPr>
                <w:rFonts w:cs="Times New Roman"/>
                <w:b/>
                <w:bCs/>
                <w:color w:val="auto"/>
              </w:rPr>
            </w:pPr>
            <w:r>
              <w:rPr>
                <w:rFonts w:cs="Times New Roman"/>
                <w:b/>
                <w:bCs/>
                <w:color w:val="auto"/>
              </w:rPr>
              <w:t>规划情况</w:t>
            </w:r>
          </w:p>
        </w:tc>
        <w:tc>
          <w:tcPr>
            <w:tcW w:w="7833" w:type="dxa"/>
            <w:gridSpan w:val="3"/>
            <w:vAlign w:val="center"/>
          </w:tcPr>
          <w:p>
            <w:pPr>
              <w:ind w:firstLine="480"/>
              <w:jc w:val="left"/>
              <w:rPr>
                <w:rFonts w:cs="Times New Roman"/>
                <w:color w:val="auto"/>
              </w:rPr>
            </w:pPr>
            <w:r>
              <w:rPr>
                <w:rFonts w:cs="Times New Roman"/>
                <w:color w:val="auto"/>
              </w:rPr>
              <w:t>本项目位于内蒙古乌拉特前旗工业园区内，园区已开展规划；</w:t>
            </w:r>
          </w:p>
          <w:p>
            <w:pPr>
              <w:ind w:firstLine="480"/>
              <w:jc w:val="left"/>
              <w:rPr>
                <w:rFonts w:cs="Times New Roman"/>
                <w:color w:val="auto"/>
              </w:rPr>
            </w:pPr>
            <w:r>
              <w:rPr>
                <w:rFonts w:cs="Times New Roman"/>
                <w:color w:val="auto"/>
              </w:rPr>
              <w:t>《内蒙古乌拉特前旗工业园区总体规划（2013～2020年）》；</w:t>
            </w:r>
          </w:p>
          <w:p>
            <w:pPr>
              <w:ind w:firstLine="480"/>
              <w:jc w:val="left"/>
              <w:rPr>
                <w:rFonts w:cs="Times New Roman"/>
                <w:color w:val="auto"/>
              </w:rPr>
            </w:pPr>
            <w:r>
              <w:rPr>
                <w:rFonts w:cs="Times New Roman"/>
                <w:color w:val="auto"/>
              </w:rPr>
              <w:t>规划审批机关为：内蒙古自治区住房和城乡建设厅；</w:t>
            </w:r>
          </w:p>
          <w:p>
            <w:pPr>
              <w:ind w:firstLine="480"/>
              <w:jc w:val="left"/>
              <w:rPr>
                <w:rFonts w:cs="Times New Roman"/>
                <w:color w:val="auto"/>
              </w:rPr>
            </w:pPr>
            <w:r>
              <w:rPr>
                <w:rFonts w:cs="Times New Roman"/>
                <w:color w:val="auto"/>
              </w:rPr>
              <w:t>审查文件为：2013年6月26日取得内蒙古自治区住房和城乡建设厅《关于内蒙古乌拉特前旗工业园区总体规划的批复》（内建规[2013]345号）文件。</w:t>
            </w:r>
          </w:p>
          <w:p>
            <w:pPr>
              <w:ind w:firstLine="480"/>
              <w:jc w:val="left"/>
              <w:rPr>
                <w:rFonts w:cs="Times New Roman"/>
                <w:color w:val="auto"/>
              </w:rPr>
            </w:pPr>
            <w:r>
              <w:rPr>
                <w:rFonts w:cs="Times New Roman"/>
                <w:color w:val="auto"/>
              </w:rPr>
              <w:t>目前，该规划已过期。</w:t>
            </w:r>
          </w:p>
          <w:p>
            <w:pPr>
              <w:ind w:firstLine="480"/>
              <w:rPr>
                <w:rFonts w:cs="Times New Roman"/>
                <w:color w:val="auto"/>
              </w:rPr>
            </w:pPr>
            <w:r>
              <w:rPr>
                <w:rFonts w:cs="Times New Roman"/>
                <w:color w:val="auto"/>
              </w:rPr>
              <w:t>2021年，乌拉特前旗工业园区管理委员会委托内蒙古城市规划市政设计研究院有限公司编制了《内蒙古乌拉特前旗工业园区总体规划（2021-2035）》，该总体规划已上报，正在报批中。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pPr>
              <w:spacing w:line="240" w:lineRule="auto"/>
              <w:ind w:firstLine="0" w:firstLineChars="0"/>
              <w:jc w:val="center"/>
              <w:rPr>
                <w:rFonts w:cs="Times New Roman"/>
                <w:b/>
                <w:bCs/>
                <w:color w:val="auto"/>
              </w:rPr>
            </w:pPr>
            <w:r>
              <w:rPr>
                <w:rFonts w:cs="Times New Roman"/>
                <w:b/>
                <w:bCs/>
                <w:color w:val="auto"/>
              </w:rPr>
              <w:t>规划环境影响评价情况</w:t>
            </w:r>
          </w:p>
        </w:tc>
        <w:tc>
          <w:tcPr>
            <w:tcW w:w="7833" w:type="dxa"/>
            <w:gridSpan w:val="3"/>
            <w:vAlign w:val="center"/>
          </w:tcPr>
          <w:p>
            <w:pPr>
              <w:ind w:firstLine="480"/>
              <w:jc w:val="left"/>
              <w:rPr>
                <w:rFonts w:cs="Times New Roman"/>
                <w:color w:val="auto"/>
              </w:rPr>
            </w:pPr>
            <w:r>
              <w:rPr>
                <w:rFonts w:cs="Times New Roman"/>
                <w:color w:val="auto"/>
              </w:rPr>
              <w:t>内蒙古乌拉特前旗工业园区已开展规划环境影响评价；</w:t>
            </w:r>
          </w:p>
          <w:p>
            <w:pPr>
              <w:ind w:firstLine="480"/>
              <w:jc w:val="left"/>
              <w:rPr>
                <w:rFonts w:cs="Times New Roman"/>
                <w:color w:val="auto"/>
              </w:rPr>
            </w:pPr>
            <w:r>
              <w:rPr>
                <w:rFonts w:cs="Times New Roman"/>
                <w:color w:val="auto"/>
              </w:rPr>
              <w:t>规划环境影响评价文件名称为：《内蒙古乌拉特前旗工业园区总体规划（2013～2020年）环境影响报告书》；</w:t>
            </w:r>
          </w:p>
          <w:p>
            <w:pPr>
              <w:ind w:firstLine="480"/>
              <w:jc w:val="left"/>
              <w:rPr>
                <w:rFonts w:cs="Times New Roman"/>
                <w:color w:val="auto"/>
              </w:rPr>
            </w:pPr>
            <w:r>
              <w:rPr>
                <w:rFonts w:cs="Times New Roman"/>
                <w:color w:val="auto"/>
              </w:rPr>
              <w:t>规划审查机关为：内蒙古自治区环境保护厅；</w:t>
            </w:r>
          </w:p>
          <w:p>
            <w:pPr>
              <w:ind w:firstLine="480"/>
              <w:jc w:val="left"/>
              <w:rPr>
                <w:rFonts w:cs="Times New Roman"/>
                <w:color w:val="auto"/>
              </w:rPr>
            </w:pPr>
            <w:r>
              <w:rPr>
                <w:rFonts w:cs="Times New Roman"/>
                <w:color w:val="auto"/>
              </w:rPr>
              <w:t>审查文件为：《关于内蒙古乌拉特前旗工业园区总体规划环境影响报告书的审查意见》（内环字〔2014〕74号）。</w:t>
            </w:r>
          </w:p>
          <w:p>
            <w:pPr>
              <w:ind w:firstLine="480"/>
              <w:jc w:val="left"/>
              <w:rPr>
                <w:rFonts w:cs="Times New Roman"/>
                <w:color w:val="auto"/>
              </w:rPr>
            </w:pPr>
            <w:r>
              <w:rPr>
                <w:rFonts w:cs="Times New Roman"/>
                <w:color w:val="auto"/>
              </w:rPr>
              <w:t>目前，该规划环评时限已超期。</w:t>
            </w:r>
          </w:p>
          <w:p>
            <w:pPr>
              <w:ind w:firstLine="480"/>
              <w:jc w:val="left"/>
              <w:rPr>
                <w:rFonts w:cs="Times New Roman"/>
                <w:color w:val="auto"/>
              </w:rPr>
            </w:pPr>
            <w:r>
              <w:rPr>
                <w:rFonts w:cs="Times New Roman"/>
                <w:color w:val="auto"/>
              </w:rPr>
              <w:t>2021年，乌拉特前旗工业园区管理委员会委托编制《乌拉特前旗工业园区总体规划（2021-2035）环境影响报告书》，该规划环评正在编制中。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pPr>
              <w:spacing w:line="240" w:lineRule="auto"/>
              <w:ind w:firstLine="0" w:firstLineChars="0"/>
              <w:jc w:val="center"/>
              <w:rPr>
                <w:rFonts w:cs="Times New Roman"/>
                <w:b/>
                <w:bCs/>
                <w:color w:val="auto"/>
              </w:rPr>
            </w:pPr>
            <w:r>
              <w:rPr>
                <w:rFonts w:cs="Times New Roman"/>
                <w:b/>
                <w:bCs/>
                <w:color w:val="auto"/>
              </w:rPr>
              <w:t>规划及规划环境影响评价符合性分析</w:t>
            </w:r>
          </w:p>
        </w:tc>
        <w:tc>
          <w:tcPr>
            <w:tcW w:w="7833" w:type="dxa"/>
            <w:gridSpan w:val="3"/>
            <w:vAlign w:val="center"/>
          </w:tcPr>
          <w:p>
            <w:pPr>
              <w:ind w:firstLine="482"/>
              <w:jc w:val="left"/>
              <w:rPr>
                <w:rFonts w:cs="Times New Roman"/>
                <w:b/>
                <w:bCs/>
                <w:color w:val="auto"/>
              </w:rPr>
            </w:pPr>
            <w:r>
              <w:rPr>
                <w:rFonts w:cs="Times New Roman"/>
                <w:b/>
                <w:bCs/>
                <w:color w:val="auto"/>
              </w:rPr>
              <w:t>1、建设项目与园区总体规划的符合性分析</w:t>
            </w:r>
          </w:p>
          <w:p>
            <w:pPr>
              <w:ind w:firstLine="480"/>
              <w:rPr>
                <w:rFonts w:cs="Times New Roman"/>
                <w:color w:val="auto"/>
              </w:rPr>
            </w:pPr>
            <w:r>
              <w:rPr>
                <w:rFonts w:cs="Times New Roman"/>
                <w:color w:val="auto"/>
              </w:rPr>
              <w:t>园区的产业定位：考虑到园区现有产业的分布情况及铁路专用线对园区用地的切割作用，规划拟将物流产业集中布局在园区中南部靠近铁路专用线的区域；东部产业片区结合现有的焦化和钢铁冶金企业未来主要以引进对环境影响较大的煤化工、冶金钢铁为主，同时依托片区内的少量二类工业用地布局装备制造产业；西部产业片区化工集中区内未来主要以引进煤化工企业为主，其余用地以新材料、新能源、新型环保及工业固体废物综合利用产业为主，另利用厂区屋顶发展分布式光伏发电产业。</w:t>
            </w:r>
          </w:p>
          <w:p>
            <w:pPr>
              <w:ind w:firstLine="480"/>
              <w:rPr>
                <w:rFonts w:cs="Times New Roman"/>
                <w:color w:val="auto"/>
              </w:rPr>
            </w:pPr>
            <w:r>
              <w:rPr>
                <w:rFonts w:cs="Times New Roman"/>
                <w:color w:val="auto"/>
              </w:rPr>
              <w:t>规划将东部产业片区中经七路以西、经六路以东、纬二路以南、纬增七路以北的范围，包括经七路以东的众兴循环产业区，以及西部产业片区中纬二路以南、企业自用站场以北、经一路以东、经四路以西的范围设置为园区的化工产业集中片区，作为未来园区引进化工企业的集中用地安排。</w:t>
            </w:r>
          </w:p>
          <w:p>
            <w:pPr>
              <w:ind w:firstLine="480"/>
              <w:rPr>
                <w:rFonts w:cs="Times New Roman"/>
                <w:color w:val="auto"/>
              </w:rPr>
            </w:pPr>
            <w:r>
              <w:rPr>
                <w:rFonts w:cs="Times New Roman"/>
                <w:color w:val="auto"/>
              </w:rPr>
              <w:t>本项目属于计算机、通信和其他电子设备制造业，项目位于园区西部产业片区，符合西部产业园内以新材料、新能源、新型环保及工业固体废物综合利用产业，煤化工、冶金钢铁行业为主的产业布局。</w:t>
            </w:r>
          </w:p>
          <w:p>
            <w:pPr>
              <w:ind w:firstLine="482"/>
              <w:jc w:val="left"/>
              <w:rPr>
                <w:rFonts w:cs="Times New Roman"/>
                <w:b/>
                <w:bCs/>
                <w:color w:val="auto"/>
                <w:szCs w:val="32"/>
              </w:rPr>
            </w:pPr>
            <w:r>
              <w:rPr>
                <w:rFonts w:cs="Times New Roman"/>
                <w:b/>
                <w:bCs/>
                <w:color w:val="auto"/>
                <w:szCs w:val="32"/>
              </w:rPr>
              <w:t>2、建设项目与《内蒙古乌拉特前旗工业园区总体规划环境影响报告书》审查意见的符合性</w:t>
            </w:r>
            <w:r>
              <w:rPr>
                <w:rFonts w:cs="Times New Roman"/>
                <w:b/>
                <w:bCs/>
                <w:color w:val="auto"/>
              </w:rPr>
              <w:t>分析</w:t>
            </w:r>
          </w:p>
          <w:p>
            <w:pPr>
              <w:widowControl/>
              <w:ind w:firstLine="480"/>
              <w:jc w:val="left"/>
              <w:rPr>
                <w:rFonts w:cs="Times New Roman"/>
                <w:color w:val="auto"/>
                <w:kern w:val="0"/>
                <w:lang w:bidi="ar"/>
              </w:rPr>
            </w:pPr>
            <w:r>
              <w:rPr>
                <w:rFonts w:cs="Times New Roman"/>
                <w:color w:val="auto"/>
                <w:kern w:val="0"/>
                <w:lang w:bidi="ar"/>
              </w:rPr>
              <w:t>内蒙古乌拉特前旗工业园区已取得自治区环境保护厅《关于内蒙古乌拉特前旗工业园区总体规划环境影响报告书的审查意见》（内环字〔2014〕74号）。</w:t>
            </w:r>
          </w:p>
          <w:p>
            <w:pPr>
              <w:widowControl/>
              <w:ind w:firstLine="482"/>
              <w:jc w:val="center"/>
              <w:rPr>
                <w:rFonts w:cs="Times New Roman"/>
                <w:color w:val="auto"/>
              </w:rPr>
            </w:pPr>
            <w:r>
              <w:rPr>
                <w:rFonts w:cs="Times New Roman"/>
                <w:b/>
                <w:bCs/>
                <w:color w:val="auto"/>
                <w:kern w:val="0"/>
                <w:lang w:bidi="ar"/>
              </w:rPr>
              <w:t>表1-1规划环境影响评价审查意见符合性分析表</w:t>
            </w:r>
          </w:p>
          <w:tbl>
            <w:tblPr>
              <w:tblStyle w:val="27"/>
              <w:tblW w:w="759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3763"/>
              <w:gridCol w:w="1650"/>
              <w:gridCol w:w="14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2" w:type="dxa"/>
                  <w:vAlign w:val="center"/>
                </w:tcPr>
                <w:p>
                  <w:pPr>
                    <w:widowControl/>
                    <w:spacing w:line="240" w:lineRule="auto"/>
                    <w:ind w:firstLine="0" w:firstLineChars="0"/>
                    <w:jc w:val="center"/>
                    <w:rPr>
                      <w:rFonts w:cs="Times New Roman"/>
                      <w:color w:val="auto"/>
                      <w:kern w:val="0"/>
                      <w:sz w:val="21"/>
                      <w:szCs w:val="21"/>
                      <w:lang w:bidi="ar"/>
                    </w:rPr>
                  </w:pPr>
                  <w:r>
                    <w:rPr>
                      <w:rFonts w:cs="Times New Roman"/>
                      <w:color w:val="auto"/>
                      <w:kern w:val="0"/>
                      <w:sz w:val="21"/>
                      <w:szCs w:val="21"/>
                      <w:lang w:bidi="ar"/>
                    </w:rPr>
                    <w:t>序号</w:t>
                  </w:r>
                </w:p>
              </w:tc>
              <w:tc>
                <w:tcPr>
                  <w:tcW w:w="3763" w:type="dxa"/>
                  <w:vAlign w:val="center"/>
                </w:tcPr>
                <w:p>
                  <w:pPr>
                    <w:widowControl/>
                    <w:spacing w:line="240" w:lineRule="auto"/>
                    <w:ind w:firstLine="0" w:firstLineChars="0"/>
                    <w:jc w:val="center"/>
                    <w:rPr>
                      <w:rFonts w:cs="Times New Roman"/>
                      <w:color w:val="auto"/>
                      <w:kern w:val="0"/>
                      <w:sz w:val="21"/>
                      <w:szCs w:val="21"/>
                      <w:lang w:bidi="ar"/>
                    </w:rPr>
                  </w:pPr>
                  <w:r>
                    <w:rPr>
                      <w:rFonts w:cs="Times New Roman"/>
                      <w:color w:val="auto"/>
                      <w:kern w:val="0"/>
                      <w:sz w:val="21"/>
                      <w:szCs w:val="21"/>
                      <w:lang w:bidi="ar"/>
                    </w:rPr>
                    <w:t>审查意见</w:t>
                  </w:r>
                </w:p>
              </w:tc>
              <w:tc>
                <w:tcPr>
                  <w:tcW w:w="1650" w:type="dxa"/>
                  <w:vAlign w:val="center"/>
                </w:tcPr>
                <w:p>
                  <w:pPr>
                    <w:widowControl/>
                    <w:spacing w:line="240" w:lineRule="auto"/>
                    <w:ind w:firstLine="0" w:firstLineChars="0"/>
                    <w:jc w:val="center"/>
                    <w:rPr>
                      <w:rFonts w:cs="Times New Roman"/>
                      <w:color w:val="auto"/>
                      <w:kern w:val="0"/>
                      <w:sz w:val="21"/>
                      <w:szCs w:val="21"/>
                      <w:lang w:bidi="ar"/>
                    </w:rPr>
                  </w:pPr>
                  <w:r>
                    <w:rPr>
                      <w:rFonts w:cs="Times New Roman"/>
                      <w:color w:val="auto"/>
                      <w:kern w:val="0"/>
                      <w:sz w:val="21"/>
                      <w:szCs w:val="21"/>
                      <w:lang w:bidi="ar"/>
                    </w:rPr>
                    <w:t>本项目情况</w:t>
                  </w:r>
                </w:p>
              </w:tc>
              <w:tc>
                <w:tcPr>
                  <w:tcW w:w="1452" w:type="dxa"/>
                  <w:vAlign w:val="center"/>
                </w:tcPr>
                <w:p>
                  <w:pPr>
                    <w:widowControl/>
                    <w:spacing w:line="240" w:lineRule="auto"/>
                    <w:ind w:firstLine="0" w:firstLineChars="0"/>
                    <w:jc w:val="center"/>
                    <w:rPr>
                      <w:rFonts w:cs="Times New Roman"/>
                      <w:color w:val="auto"/>
                      <w:kern w:val="0"/>
                      <w:sz w:val="21"/>
                      <w:szCs w:val="21"/>
                      <w:lang w:bidi="ar"/>
                    </w:rPr>
                  </w:pPr>
                  <w:r>
                    <w:rPr>
                      <w:rFonts w:cs="Times New Roman"/>
                      <w:color w:val="auto"/>
                      <w:sz w:val="21"/>
                      <w:szCs w:val="21"/>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2" w:type="dxa"/>
                  <w:vAlign w:val="center"/>
                </w:tcPr>
                <w:p>
                  <w:pPr>
                    <w:widowControl/>
                    <w:spacing w:line="240" w:lineRule="auto"/>
                    <w:ind w:firstLine="0" w:firstLineChars="0"/>
                    <w:jc w:val="center"/>
                    <w:rPr>
                      <w:rFonts w:cs="Times New Roman"/>
                      <w:color w:val="auto"/>
                      <w:kern w:val="0"/>
                      <w:sz w:val="21"/>
                      <w:szCs w:val="21"/>
                      <w:lang w:bidi="ar"/>
                    </w:rPr>
                  </w:pPr>
                  <w:r>
                    <w:rPr>
                      <w:rFonts w:cs="Times New Roman"/>
                      <w:color w:val="auto"/>
                      <w:kern w:val="0"/>
                      <w:sz w:val="21"/>
                      <w:szCs w:val="21"/>
                      <w:lang w:bidi="ar"/>
                    </w:rPr>
                    <w:t>1</w:t>
                  </w:r>
                </w:p>
              </w:tc>
              <w:tc>
                <w:tcPr>
                  <w:tcW w:w="3763" w:type="dxa"/>
                  <w:vAlign w:val="center"/>
                </w:tcPr>
                <w:p>
                  <w:pPr>
                    <w:widowControl/>
                    <w:spacing w:line="240" w:lineRule="auto"/>
                    <w:ind w:firstLine="0" w:firstLineChars="0"/>
                    <w:jc w:val="left"/>
                    <w:rPr>
                      <w:rFonts w:cs="Times New Roman"/>
                      <w:color w:val="auto"/>
                      <w:kern w:val="0"/>
                      <w:sz w:val="21"/>
                      <w:szCs w:val="21"/>
                      <w:lang w:bidi="ar"/>
                    </w:rPr>
                  </w:pPr>
                  <w:r>
                    <w:rPr>
                      <w:rFonts w:cs="Times New Roman"/>
                      <w:color w:val="auto"/>
                      <w:kern w:val="0"/>
                      <w:sz w:val="21"/>
                      <w:szCs w:val="21"/>
                      <w:lang w:bidi="ar"/>
                    </w:rPr>
                    <w:t>（一）严格遵循对该园区环境保护的总体要求。园区的开发建设要服从于《内蒙古自治区以呼包鄂为核心沿黄河沿交通干线经济带重点产业发展详细规划（2010年-2020年）》及乌拉特前旗城镇总体规划，并要与当地其他专项规划相协调。要按照循环经济的思想和清洁生产的原则，指导园区的建设。</w:t>
                  </w:r>
                </w:p>
              </w:tc>
              <w:tc>
                <w:tcPr>
                  <w:tcW w:w="1650" w:type="dxa"/>
                  <w:vAlign w:val="center"/>
                </w:tcPr>
                <w:p>
                  <w:pPr>
                    <w:widowControl/>
                    <w:spacing w:line="240" w:lineRule="auto"/>
                    <w:ind w:firstLine="0" w:firstLineChars="0"/>
                    <w:rPr>
                      <w:rFonts w:cs="Times New Roman"/>
                      <w:color w:val="auto"/>
                      <w:kern w:val="0"/>
                      <w:sz w:val="21"/>
                      <w:szCs w:val="21"/>
                      <w:lang w:bidi="ar"/>
                    </w:rPr>
                  </w:pPr>
                  <w:r>
                    <w:rPr>
                      <w:rFonts w:cs="Times New Roman"/>
                      <w:color w:val="auto"/>
                      <w:sz w:val="21"/>
                      <w:szCs w:val="21"/>
                    </w:rPr>
                    <w:t>本项目位于乌拉特前旗工业园区，项目建设符合园区总体规划。</w:t>
                  </w:r>
                </w:p>
              </w:tc>
              <w:tc>
                <w:tcPr>
                  <w:tcW w:w="1452" w:type="dxa"/>
                  <w:vAlign w:val="center"/>
                </w:tcPr>
                <w:p>
                  <w:pPr>
                    <w:widowControl/>
                    <w:spacing w:line="240" w:lineRule="auto"/>
                    <w:ind w:firstLine="0" w:firstLineChars="0"/>
                    <w:jc w:val="center"/>
                    <w:rPr>
                      <w:rFonts w:cs="Times New Roman"/>
                      <w:color w:val="auto"/>
                      <w:kern w:val="0"/>
                      <w:sz w:val="21"/>
                      <w:szCs w:val="21"/>
                      <w:lang w:bidi="ar"/>
                    </w:rPr>
                  </w:pPr>
                  <w:r>
                    <w:rPr>
                      <w:rFonts w:cs="Times New Roman"/>
                      <w:color w:val="auto"/>
                      <w:kern w:val="0"/>
                      <w:sz w:val="21"/>
                      <w:szCs w:val="21"/>
                      <w:lang w:bidi="ar"/>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2" w:type="dxa"/>
                  <w:vAlign w:val="center"/>
                </w:tcPr>
                <w:p>
                  <w:pPr>
                    <w:widowControl/>
                    <w:spacing w:line="240" w:lineRule="auto"/>
                    <w:ind w:firstLine="0" w:firstLineChars="0"/>
                    <w:jc w:val="center"/>
                    <w:rPr>
                      <w:rFonts w:cs="Times New Roman"/>
                      <w:color w:val="auto"/>
                      <w:kern w:val="0"/>
                      <w:sz w:val="21"/>
                      <w:szCs w:val="21"/>
                      <w:lang w:bidi="ar"/>
                    </w:rPr>
                  </w:pPr>
                  <w:r>
                    <w:rPr>
                      <w:rFonts w:cs="Times New Roman"/>
                      <w:color w:val="auto"/>
                      <w:kern w:val="0"/>
                      <w:sz w:val="21"/>
                      <w:szCs w:val="21"/>
                      <w:lang w:bidi="ar"/>
                    </w:rPr>
                    <w:t>2</w:t>
                  </w:r>
                </w:p>
              </w:tc>
              <w:tc>
                <w:tcPr>
                  <w:tcW w:w="3763" w:type="dxa"/>
                  <w:vAlign w:val="center"/>
                </w:tcPr>
                <w:p>
                  <w:pPr>
                    <w:widowControl/>
                    <w:spacing w:line="240" w:lineRule="auto"/>
                    <w:ind w:firstLine="0" w:firstLineChars="0"/>
                    <w:jc w:val="left"/>
                    <w:rPr>
                      <w:rFonts w:cs="Times New Roman"/>
                      <w:color w:val="auto"/>
                      <w:kern w:val="0"/>
                      <w:sz w:val="21"/>
                      <w:szCs w:val="21"/>
                      <w:lang w:bidi="ar"/>
                    </w:rPr>
                  </w:pPr>
                  <w:r>
                    <w:rPr>
                      <w:rFonts w:cs="Times New Roman"/>
                      <w:color w:val="auto"/>
                      <w:kern w:val="0"/>
                      <w:sz w:val="21"/>
                      <w:szCs w:val="21"/>
                      <w:lang w:bidi="ar"/>
                    </w:rPr>
                    <w:t>（二）合理确定产业规模。园区的产业发展规模应充分考虑资源条件、环境容量及用水、用地指标等制约因素，优化相关产业的结构及规模。</w:t>
                  </w:r>
                </w:p>
              </w:tc>
              <w:tc>
                <w:tcPr>
                  <w:tcW w:w="1650" w:type="dxa"/>
                  <w:vAlign w:val="center"/>
                </w:tcPr>
                <w:p>
                  <w:pPr>
                    <w:widowControl/>
                    <w:spacing w:line="240" w:lineRule="auto"/>
                    <w:ind w:firstLine="0" w:firstLineChars="0"/>
                    <w:jc w:val="left"/>
                    <w:rPr>
                      <w:rFonts w:cs="Times New Roman"/>
                      <w:color w:val="auto"/>
                      <w:kern w:val="0"/>
                      <w:sz w:val="21"/>
                      <w:szCs w:val="21"/>
                      <w:lang w:bidi="ar"/>
                    </w:rPr>
                  </w:pPr>
                  <w:r>
                    <w:rPr>
                      <w:rFonts w:cs="Times New Roman"/>
                      <w:color w:val="auto"/>
                      <w:sz w:val="21"/>
                      <w:szCs w:val="21"/>
                    </w:rPr>
                    <w:t>本项目用地为工业用地。</w:t>
                  </w:r>
                </w:p>
              </w:tc>
              <w:tc>
                <w:tcPr>
                  <w:tcW w:w="1452" w:type="dxa"/>
                  <w:vAlign w:val="center"/>
                </w:tcPr>
                <w:p>
                  <w:pPr>
                    <w:widowControl/>
                    <w:spacing w:line="240" w:lineRule="auto"/>
                    <w:ind w:firstLine="0" w:firstLineChars="0"/>
                    <w:jc w:val="center"/>
                    <w:rPr>
                      <w:rFonts w:cs="Times New Roman"/>
                      <w:color w:val="auto"/>
                      <w:kern w:val="0"/>
                      <w:sz w:val="21"/>
                      <w:szCs w:val="21"/>
                      <w:lang w:bidi="ar"/>
                    </w:rPr>
                  </w:pPr>
                  <w:r>
                    <w:rPr>
                      <w:rFonts w:cs="Times New Roman"/>
                      <w:color w:val="auto"/>
                      <w:kern w:val="0"/>
                      <w:sz w:val="21"/>
                      <w:szCs w:val="21"/>
                      <w:lang w:bidi="ar"/>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2" w:type="dxa"/>
                  <w:vAlign w:val="center"/>
                </w:tcPr>
                <w:p>
                  <w:pPr>
                    <w:widowControl/>
                    <w:spacing w:line="240" w:lineRule="auto"/>
                    <w:ind w:firstLine="0" w:firstLineChars="0"/>
                    <w:jc w:val="center"/>
                    <w:rPr>
                      <w:rFonts w:cs="Times New Roman"/>
                      <w:color w:val="auto"/>
                      <w:kern w:val="0"/>
                      <w:sz w:val="21"/>
                      <w:szCs w:val="21"/>
                      <w:lang w:bidi="ar"/>
                    </w:rPr>
                  </w:pPr>
                  <w:r>
                    <w:rPr>
                      <w:rFonts w:cs="Times New Roman"/>
                      <w:color w:val="auto"/>
                      <w:kern w:val="0"/>
                      <w:sz w:val="21"/>
                      <w:szCs w:val="21"/>
                      <w:lang w:bidi="ar"/>
                    </w:rPr>
                    <w:t>3</w:t>
                  </w:r>
                </w:p>
              </w:tc>
              <w:tc>
                <w:tcPr>
                  <w:tcW w:w="3763" w:type="dxa"/>
                  <w:vAlign w:val="center"/>
                </w:tcPr>
                <w:p>
                  <w:pPr>
                    <w:widowControl/>
                    <w:spacing w:line="240" w:lineRule="auto"/>
                    <w:ind w:firstLine="0" w:firstLineChars="0"/>
                    <w:jc w:val="left"/>
                    <w:rPr>
                      <w:rFonts w:cs="Times New Roman"/>
                      <w:color w:val="auto"/>
                      <w:kern w:val="0"/>
                      <w:sz w:val="21"/>
                      <w:szCs w:val="21"/>
                      <w:lang w:bidi="ar"/>
                    </w:rPr>
                  </w:pPr>
                  <w:r>
                    <w:rPr>
                      <w:rFonts w:cs="Times New Roman"/>
                      <w:color w:val="auto"/>
                      <w:kern w:val="0"/>
                      <w:sz w:val="21"/>
                      <w:szCs w:val="21"/>
                      <w:lang w:bidi="ar"/>
                    </w:rPr>
                    <w:t>（三）原则同意《报告书》提出的关于基础设施调整的意见。要按照“分质处理、梯级利用、循环使用”的原则，合理规划用、排水系统，园区企业应采用空冷等节水方式，减少高浓度含盐水产生量，反渗透装置水回收率不得低于95%，且处理后的高浓度含盐水应优先考虑综合利用。合理规划园区集中热源点，实现园区集中供热、供汽。加强园区固体废物管理，一般固体废物要立足综合利用，危险废物应集中送有资质的单位处理处置，基础设施未建成运行前，工业园区内新改扩建项目不能投产运行。</w:t>
                  </w:r>
                </w:p>
              </w:tc>
              <w:tc>
                <w:tcPr>
                  <w:tcW w:w="1650" w:type="dxa"/>
                  <w:vAlign w:val="center"/>
                </w:tcPr>
                <w:p>
                  <w:pPr>
                    <w:widowControl/>
                    <w:spacing w:line="240" w:lineRule="auto"/>
                    <w:ind w:firstLine="0" w:firstLineChars="0"/>
                    <w:jc w:val="left"/>
                    <w:rPr>
                      <w:rFonts w:cs="Times New Roman"/>
                      <w:color w:val="auto"/>
                      <w:kern w:val="0"/>
                      <w:sz w:val="21"/>
                      <w:szCs w:val="21"/>
                      <w:lang w:bidi="ar"/>
                    </w:rPr>
                  </w:pPr>
                  <w:r>
                    <w:rPr>
                      <w:rFonts w:cs="Times New Roman"/>
                      <w:color w:val="auto"/>
                      <w:kern w:val="0"/>
                      <w:sz w:val="21"/>
                      <w:szCs w:val="21"/>
                      <w:lang w:bidi="ar"/>
                    </w:rPr>
                    <w:t>本项目生产废水循环使用，不外排。</w:t>
                  </w:r>
                </w:p>
              </w:tc>
              <w:tc>
                <w:tcPr>
                  <w:tcW w:w="1452" w:type="dxa"/>
                  <w:vAlign w:val="center"/>
                </w:tcPr>
                <w:p>
                  <w:pPr>
                    <w:widowControl/>
                    <w:spacing w:line="240" w:lineRule="auto"/>
                    <w:ind w:firstLine="0" w:firstLineChars="0"/>
                    <w:jc w:val="center"/>
                    <w:rPr>
                      <w:rFonts w:cs="Times New Roman"/>
                      <w:color w:val="auto"/>
                      <w:kern w:val="0"/>
                      <w:sz w:val="21"/>
                      <w:szCs w:val="21"/>
                      <w:lang w:bidi="ar"/>
                    </w:rPr>
                  </w:pPr>
                  <w:r>
                    <w:rPr>
                      <w:rFonts w:cs="Times New Roman"/>
                      <w:color w:val="auto"/>
                      <w:kern w:val="0"/>
                      <w:sz w:val="21"/>
                      <w:szCs w:val="21"/>
                      <w:lang w:bidi="ar"/>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2" w:type="dxa"/>
                  <w:vAlign w:val="center"/>
                </w:tcPr>
                <w:p>
                  <w:pPr>
                    <w:widowControl/>
                    <w:spacing w:line="240" w:lineRule="auto"/>
                    <w:ind w:firstLine="0" w:firstLineChars="0"/>
                    <w:jc w:val="center"/>
                    <w:rPr>
                      <w:rFonts w:cs="Times New Roman"/>
                      <w:color w:val="auto"/>
                      <w:kern w:val="0"/>
                      <w:sz w:val="21"/>
                      <w:szCs w:val="21"/>
                      <w:lang w:bidi="ar"/>
                    </w:rPr>
                  </w:pPr>
                  <w:r>
                    <w:rPr>
                      <w:rFonts w:cs="Times New Roman"/>
                      <w:color w:val="auto"/>
                      <w:kern w:val="0"/>
                      <w:sz w:val="21"/>
                      <w:szCs w:val="21"/>
                      <w:lang w:bidi="ar"/>
                    </w:rPr>
                    <w:t>4</w:t>
                  </w:r>
                </w:p>
              </w:tc>
              <w:tc>
                <w:tcPr>
                  <w:tcW w:w="3763" w:type="dxa"/>
                  <w:vAlign w:val="center"/>
                </w:tcPr>
                <w:p>
                  <w:pPr>
                    <w:widowControl/>
                    <w:spacing w:line="240" w:lineRule="auto"/>
                    <w:ind w:firstLine="0" w:firstLineChars="0"/>
                    <w:jc w:val="left"/>
                    <w:rPr>
                      <w:rFonts w:cs="Times New Roman"/>
                      <w:color w:val="auto"/>
                      <w:kern w:val="0"/>
                      <w:sz w:val="21"/>
                      <w:szCs w:val="21"/>
                      <w:lang w:bidi="ar"/>
                    </w:rPr>
                  </w:pPr>
                  <w:r>
                    <w:rPr>
                      <w:rFonts w:cs="Times New Roman"/>
                      <w:color w:val="auto"/>
                      <w:kern w:val="0"/>
                      <w:sz w:val="21"/>
                      <w:szCs w:val="21"/>
                      <w:lang w:bidi="ar"/>
                    </w:rPr>
                    <w:t>（四）要制定切实可行的环境风险应急预案，完善园区监测预警、应急防控和污染物集中处理设施建设，重点防范盐化工、煤焦化、冶金等产业的泄漏事故及重金属污染、地下水污染等事故。工业园区应建立三级应急救援体系，监督园区内企业落实环境风险防范措施，并组织定期对园区及周边土壤和地下水进行监测，防止发生环境污染事件。</w:t>
                  </w:r>
                </w:p>
              </w:tc>
              <w:tc>
                <w:tcPr>
                  <w:tcW w:w="1650" w:type="dxa"/>
                  <w:vAlign w:val="center"/>
                </w:tcPr>
                <w:p>
                  <w:pPr>
                    <w:widowControl/>
                    <w:spacing w:line="240" w:lineRule="auto"/>
                    <w:ind w:firstLine="0" w:firstLineChars="0"/>
                    <w:jc w:val="left"/>
                    <w:rPr>
                      <w:rFonts w:cs="Times New Roman"/>
                      <w:color w:val="auto"/>
                      <w:kern w:val="0"/>
                      <w:sz w:val="21"/>
                      <w:szCs w:val="21"/>
                      <w:lang w:bidi="ar"/>
                    </w:rPr>
                  </w:pPr>
                  <w:r>
                    <w:rPr>
                      <w:rFonts w:cs="Times New Roman"/>
                      <w:color w:val="auto"/>
                      <w:kern w:val="0"/>
                      <w:sz w:val="21"/>
                      <w:szCs w:val="21"/>
                      <w:lang w:bidi="ar"/>
                    </w:rPr>
                    <w:t>本项目实施后需编制环境风险应急预案。</w:t>
                  </w:r>
                </w:p>
              </w:tc>
              <w:tc>
                <w:tcPr>
                  <w:tcW w:w="1452" w:type="dxa"/>
                  <w:vAlign w:val="center"/>
                </w:tcPr>
                <w:p>
                  <w:pPr>
                    <w:widowControl/>
                    <w:spacing w:line="240" w:lineRule="auto"/>
                    <w:ind w:firstLine="0" w:firstLineChars="0"/>
                    <w:jc w:val="center"/>
                    <w:rPr>
                      <w:rFonts w:cs="Times New Roman"/>
                      <w:color w:val="auto"/>
                      <w:kern w:val="0"/>
                      <w:sz w:val="21"/>
                      <w:szCs w:val="21"/>
                      <w:lang w:bidi="ar"/>
                    </w:rPr>
                  </w:pPr>
                  <w:r>
                    <w:rPr>
                      <w:rFonts w:cs="Times New Roman"/>
                      <w:color w:val="auto"/>
                      <w:kern w:val="0"/>
                      <w:sz w:val="21"/>
                      <w:szCs w:val="21"/>
                      <w:lang w:bidi="ar"/>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2" w:type="dxa"/>
                  <w:vAlign w:val="center"/>
                </w:tcPr>
                <w:p>
                  <w:pPr>
                    <w:widowControl/>
                    <w:spacing w:line="240" w:lineRule="auto"/>
                    <w:ind w:firstLine="0" w:firstLineChars="0"/>
                    <w:jc w:val="center"/>
                    <w:rPr>
                      <w:rFonts w:cs="Times New Roman"/>
                      <w:color w:val="auto"/>
                      <w:kern w:val="0"/>
                      <w:sz w:val="21"/>
                      <w:szCs w:val="21"/>
                      <w:lang w:bidi="ar"/>
                    </w:rPr>
                  </w:pPr>
                  <w:r>
                    <w:rPr>
                      <w:rFonts w:cs="Times New Roman"/>
                      <w:color w:val="auto"/>
                      <w:kern w:val="0"/>
                      <w:sz w:val="21"/>
                      <w:szCs w:val="21"/>
                      <w:lang w:bidi="ar"/>
                    </w:rPr>
                    <w:t>5</w:t>
                  </w:r>
                </w:p>
              </w:tc>
              <w:tc>
                <w:tcPr>
                  <w:tcW w:w="3763" w:type="dxa"/>
                  <w:vAlign w:val="center"/>
                </w:tcPr>
                <w:p>
                  <w:pPr>
                    <w:widowControl/>
                    <w:spacing w:line="240" w:lineRule="auto"/>
                    <w:ind w:firstLine="0" w:firstLineChars="0"/>
                    <w:jc w:val="left"/>
                    <w:rPr>
                      <w:rFonts w:cs="Times New Roman"/>
                      <w:color w:val="auto"/>
                      <w:kern w:val="0"/>
                      <w:sz w:val="21"/>
                      <w:szCs w:val="21"/>
                      <w:lang w:bidi="ar"/>
                    </w:rPr>
                  </w:pPr>
                  <w:r>
                    <w:rPr>
                      <w:rFonts w:cs="Times New Roman"/>
                      <w:color w:val="auto"/>
                      <w:kern w:val="0"/>
                      <w:sz w:val="21"/>
                      <w:szCs w:val="21"/>
                      <w:lang w:bidi="ar"/>
                    </w:rPr>
                    <w:t>（五）加强环境监管及日常环境质量监测。重点企业排污口要设置在线监测系统并与环保部门联网。严格大气环境防护距离、卫生防护距离、安全防护距离的管理，为园区健康可持续发展奠定基础。</w:t>
                  </w:r>
                </w:p>
              </w:tc>
              <w:tc>
                <w:tcPr>
                  <w:tcW w:w="1650" w:type="dxa"/>
                  <w:vAlign w:val="center"/>
                </w:tcPr>
                <w:p>
                  <w:pPr>
                    <w:widowControl/>
                    <w:spacing w:line="240" w:lineRule="auto"/>
                    <w:ind w:firstLine="0" w:firstLineChars="0"/>
                    <w:jc w:val="left"/>
                    <w:rPr>
                      <w:rFonts w:cs="Times New Roman"/>
                      <w:color w:val="auto"/>
                      <w:kern w:val="0"/>
                      <w:sz w:val="21"/>
                      <w:szCs w:val="21"/>
                      <w:lang w:bidi="ar"/>
                    </w:rPr>
                  </w:pPr>
                  <w:r>
                    <w:rPr>
                      <w:rFonts w:cs="Times New Roman"/>
                      <w:color w:val="auto"/>
                      <w:kern w:val="0"/>
                      <w:sz w:val="21"/>
                      <w:szCs w:val="21"/>
                      <w:lang w:bidi="ar"/>
                    </w:rPr>
                    <w:t>本项目按照规范进行日常环境质量监测。</w:t>
                  </w:r>
                </w:p>
              </w:tc>
              <w:tc>
                <w:tcPr>
                  <w:tcW w:w="1452" w:type="dxa"/>
                  <w:vAlign w:val="center"/>
                </w:tcPr>
                <w:p>
                  <w:pPr>
                    <w:widowControl/>
                    <w:spacing w:line="240" w:lineRule="auto"/>
                    <w:ind w:firstLine="0" w:firstLineChars="0"/>
                    <w:jc w:val="center"/>
                    <w:rPr>
                      <w:rFonts w:cs="Times New Roman"/>
                      <w:color w:val="auto"/>
                      <w:kern w:val="0"/>
                      <w:sz w:val="21"/>
                      <w:szCs w:val="21"/>
                      <w:lang w:bidi="ar"/>
                    </w:rPr>
                  </w:pPr>
                  <w:r>
                    <w:rPr>
                      <w:rFonts w:cs="Times New Roman"/>
                      <w:color w:val="auto"/>
                      <w:kern w:val="0"/>
                      <w:sz w:val="21"/>
                      <w:szCs w:val="21"/>
                      <w:lang w:bidi="ar"/>
                    </w:rPr>
                    <w:t>符合</w:t>
                  </w:r>
                </w:p>
              </w:tc>
            </w:tr>
          </w:tbl>
          <w:p>
            <w:pPr>
              <w:ind w:firstLine="480"/>
              <w:rPr>
                <w:rFonts w:cs="Times New Roman"/>
                <w:color w:val="auto"/>
              </w:rPr>
            </w:pPr>
            <w:r>
              <w:rPr>
                <w:rFonts w:cs="Times New Roman"/>
                <w:color w:val="auto"/>
                <w:szCs w:val="32"/>
              </w:rPr>
              <w:t>因此，本项目建设符合《内蒙古乌拉特前旗工业园区总体规划环境影响报告书》及审查意见的要求。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pPr>
              <w:ind w:firstLine="0" w:firstLineChars="0"/>
              <w:jc w:val="center"/>
              <w:rPr>
                <w:rFonts w:cs="Times New Roman"/>
                <w:color w:val="auto"/>
              </w:rPr>
            </w:pPr>
            <w:r>
              <w:rPr>
                <w:rFonts w:cs="Times New Roman"/>
                <w:b/>
                <w:bCs/>
                <w:color w:val="auto"/>
              </w:rPr>
              <w:t>其他符合性分析</w:t>
            </w:r>
          </w:p>
        </w:tc>
        <w:tc>
          <w:tcPr>
            <w:tcW w:w="7833" w:type="dxa"/>
            <w:gridSpan w:val="3"/>
            <w:vAlign w:val="center"/>
          </w:tcPr>
          <w:p>
            <w:pPr>
              <w:ind w:firstLine="482"/>
              <w:jc w:val="left"/>
              <w:rPr>
                <w:rFonts w:cs="Times New Roman"/>
                <w:b/>
                <w:bCs/>
                <w:color w:val="auto"/>
              </w:rPr>
            </w:pPr>
            <w:r>
              <w:rPr>
                <w:rFonts w:cs="Times New Roman"/>
                <w:b/>
                <w:bCs/>
                <w:color w:val="auto"/>
              </w:rPr>
              <w:t>1、产业政策符合性</w:t>
            </w:r>
          </w:p>
          <w:p>
            <w:pPr>
              <w:snapToGrid w:val="0"/>
              <w:ind w:firstLine="480"/>
              <w:rPr>
                <w:rFonts w:cs="Times New Roman"/>
                <w:color w:val="auto"/>
              </w:rPr>
            </w:pPr>
            <w:r>
              <w:rPr>
                <w:rFonts w:cs="Times New Roman"/>
                <w:color w:val="auto"/>
              </w:rPr>
              <w:t>本项目为稀土抛光材料生产项目，根据《产业结构调整指导目录（2024年本）》中的鼓励类，</w:t>
            </w:r>
            <w:r>
              <w:rPr>
                <w:rFonts w:hint="eastAsia" w:cs="Times New Roman"/>
                <w:color w:val="auto"/>
              </w:rPr>
              <w:t>二十八、信息产业中第6条</w:t>
            </w:r>
            <w:r>
              <w:rPr>
                <w:rFonts w:cs="Times New Roman"/>
                <w:color w:val="auto"/>
              </w:rPr>
              <w:t>“半导体、光电子器件、新型电子元器件等电子产品专用材料”，符合国家当前的产业政策。</w:t>
            </w:r>
          </w:p>
          <w:p>
            <w:pPr>
              <w:snapToGrid w:val="0"/>
              <w:ind w:firstLine="480"/>
              <w:rPr>
                <w:rFonts w:cs="Times New Roman"/>
                <w:color w:val="auto"/>
              </w:rPr>
            </w:pPr>
            <w:r>
              <w:rPr>
                <w:rFonts w:cs="Times New Roman"/>
                <w:color w:val="auto"/>
              </w:rPr>
              <w:t>本项目于2023年8月7日取得了乌拉特前旗工业和信息化局出具的项目备案意见表，项目编号为：2306-150823-07-01-682537。</w:t>
            </w:r>
          </w:p>
          <w:p>
            <w:pPr>
              <w:snapToGrid w:val="0"/>
              <w:ind w:firstLine="480"/>
              <w:rPr>
                <w:rFonts w:cs="Times New Roman"/>
                <w:color w:val="auto"/>
              </w:rPr>
            </w:pPr>
            <w:r>
              <w:rPr>
                <w:rFonts w:cs="Times New Roman"/>
                <w:color w:val="auto"/>
              </w:rPr>
              <w:t>综上，本项目符合国家产业政策。</w:t>
            </w:r>
          </w:p>
          <w:p>
            <w:pPr>
              <w:ind w:firstLine="482"/>
              <w:rPr>
                <w:rFonts w:cs="Times New Roman"/>
                <w:color w:val="auto"/>
              </w:rPr>
            </w:pPr>
            <w:r>
              <w:rPr>
                <w:rFonts w:cs="Times New Roman"/>
                <w:b/>
                <w:color w:val="auto"/>
              </w:rPr>
              <w:t>2、项目选址的合理性分析</w:t>
            </w:r>
          </w:p>
          <w:p>
            <w:pPr>
              <w:ind w:firstLine="480"/>
              <w:rPr>
                <w:rFonts w:cs="Times New Roman"/>
                <w:color w:val="auto"/>
              </w:rPr>
            </w:pPr>
            <w:r>
              <w:rPr>
                <w:rFonts w:cs="Times New Roman"/>
                <w:color w:val="auto"/>
              </w:rPr>
              <w:t>本项目位于</w:t>
            </w:r>
            <w:r>
              <w:rPr>
                <w:rFonts w:cs="Times New Roman"/>
                <w:color w:val="auto"/>
                <w:szCs w:val="32"/>
              </w:rPr>
              <w:t>内蒙古自治区巴彦淖尔市乌拉特前旗工业园区巴彦淖尔市同晨新材料有限责任公司内</w:t>
            </w:r>
            <w:r>
              <w:rPr>
                <w:rFonts w:cs="Times New Roman"/>
                <w:color w:val="auto"/>
              </w:rPr>
              <w:t>，项目四周200m范围的现状均为工业用地，项目评价范围内无自然保护区、文物古迹、景观、自然保护区等环境敏感点。</w:t>
            </w:r>
          </w:p>
          <w:p>
            <w:pPr>
              <w:ind w:firstLine="480"/>
              <w:rPr>
                <w:rFonts w:cs="Times New Roman"/>
                <w:color w:val="auto"/>
              </w:rPr>
            </w:pPr>
            <w:r>
              <w:rPr>
                <w:rFonts w:cs="Times New Roman"/>
                <w:color w:val="auto"/>
              </w:rPr>
              <w:t>园区供水、供电、供气和排水等基础设施能够满足企业需求。</w:t>
            </w:r>
          </w:p>
          <w:p>
            <w:pPr>
              <w:ind w:firstLine="480"/>
              <w:rPr>
                <w:rFonts w:cs="Times New Roman"/>
                <w:color w:val="auto"/>
              </w:rPr>
            </w:pPr>
            <w:r>
              <w:rPr>
                <w:rFonts w:cs="Times New Roman"/>
                <w:color w:val="auto"/>
              </w:rPr>
              <w:t>本项目运营期产生的废气经处理后可以达标排放；生活污水</w:t>
            </w:r>
            <w:r>
              <w:rPr>
                <w:rFonts w:hint="eastAsia" w:cs="Times New Roman"/>
                <w:color w:val="auto"/>
              </w:rPr>
              <w:t>、纯水制备浓水及锅炉排水</w:t>
            </w:r>
            <w:r>
              <w:rPr>
                <w:rFonts w:cs="Times New Roman"/>
                <w:color w:val="auto"/>
              </w:rPr>
              <w:t>排入厂区已建的一座处理能力为50t/d的地埋式一体化污水处理设备，</w:t>
            </w:r>
            <w:r>
              <w:rPr>
                <w:rFonts w:hint="eastAsia" w:cs="Times New Roman"/>
                <w:color w:val="auto"/>
              </w:rPr>
              <w:t>处理达标后拉运至乌拉特前旗工业园区污水处理厂</w:t>
            </w:r>
            <w:r>
              <w:rPr>
                <w:rFonts w:cs="Times New Roman"/>
                <w:color w:val="auto"/>
              </w:rPr>
              <w:t>；厂界四周噪声预测值满足标准限值；产生的固废全部妥善处置，不外排，对周围环境影响较小；综上，从环保角度，项目选址合理。</w:t>
            </w:r>
          </w:p>
          <w:p>
            <w:pPr>
              <w:ind w:firstLine="482"/>
              <w:rPr>
                <w:rFonts w:cs="Times New Roman"/>
                <w:b/>
                <w:bCs/>
                <w:color w:val="auto"/>
              </w:rPr>
            </w:pPr>
            <w:r>
              <w:rPr>
                <w:rFonts w:cs="Times New Roman"/>
                <w:b/>
                <w:bCs/>
                <w:color w:val="auto"/>
              </w:rPr>
              <w:t>3、“三线一单”规划符合性分析</w:t>
            </w:r>
          </w:p>
          <w:p>
            <w:pPr>
              <w:ind w:firstLine="480"/>
              <w:rPr>
                <w:rFonts w:cs="Times New Roman"/>
                <w:color w:val="auto"/>
              </w:rPr>
            </w:pPr>
            <w:r>
              <w:rPr>
                <w:rFonts w:cs="Times New Roman"/>
                <w:color w:val="auto"/>
              </w:rPr>
              <w:t>（1）生态保护红线</w:t>
            </w:r>
          </w:p>
          <w:p>
            <w:pPr>
              <w:ind w:firstLine="480"/>
              <w:rPr>
                <w:rFonts w:cs="Times New Roman"/>
                <w:color w:val="auto"/>
              </w:rPr>
            </w:pPr>
            <w:r>
              <w:rPr>
                <w:rFonts w:cs="Times New Roman"/>
                <w:color w:val="auto"/>
              </w:rPr>
              <w:t>根据《巴彦淖尔市人民政府办公室关于巴彦淖尔市2023年生态环境分区管控成果动态更新的通知》（巴政办字〔2023〕106号），巴彦淖尔市全市共划定环境管控单元256个，包括优先保护单元、重点管控单元、一般管控单元三类，实施分类管控。</w:t>
            </w:r>
          </w:p>
          <w:p>
            <w:pPr>
              <w:ind w:firstLine="480"/>
              <w:rPr>
                <w:rFonts w:cs="Times New Roman"/>
                <w:color w:val="auto"/>
              </w:rPr>
            </w:pPr>
            <w:r>
              <w:rPr>
                <w:rFonts w:cs="Times New Roman"/>
                <w:color w:val="auto"/>
              </w:rPr>
              <w:t>本项目位于内蒙古巴彦淖尔市乌拉特前旗工业园区内，位于乌拉特前旗工业园区重点管控单元，管控单元编码为ZH15082320001，不在生态保护红线范围内。</w:t>
            </w:r>
          </w:p>
          <w:p>
            <w:pPr>
              <w:ind w:firstLine="480"/>
              <w:rPr>
                <w:rFonts w:cs="Times New Roman"/>
                <w:color w:val="auto"/>
              </w:rPr>
            </w:pPr>
            <w:r>
              <w:rPr>
                <w:rFonts w:cs="Times New Roman"/>
                <w:color w:val="auto"/>
              </w:rPr>
              <w:t>（2）环境质量底线</w:t>
            </w:r>
          </w:p>
          <w:p>
            <w:pPr>
              <w:ind w:firstLine="480"/>
              <w:rPr>
                <w:rFonts w:cs="Times New Roman"/>
                <w:color w:val="auto"/>
              </w:rPr>
            </w:pPr>
            <w:r>
              <w:rPr>
                <w:rFonts w:cs="Times New Roman"/>
                <w:color w:val="auto"/>
              </w:rPr>
              <w:t>根据</w:t>
            </w:r>
            <w:r>
              <w:rPr>
                <w:rFonts w:cs="Times New Roman"/>
                <w:color w:val="auto"/>
                <w:kern w:val="0"/>
              </w:rPr>
              <w:t>《巴彦淖尔市环境质量状况公报（2022年）》，本项目所在地巴彦淖尔市乌拉特前旗2022年大气环境中6项污染物中SO</w:t>
            </w:r>
            <w:r>
              <w:rPr>
                <w:rFonts w:cs="Times New Roman"/>
                <w:color w:val="auto"/>
                <w:kern w:val="0"/>
                <w:vertAlign w:val="subscript"/>
              </w:rPr>
              <w:t>2</w:t>
            </w:r>
            <w:r>
              <w:rPr>
                <w:rFonts w:cs="Times New Roman"/>
                <w:color w:val="auto"/>
                <w:kern w:val="0"/>
              </w:rPr>
              <w:t>、NO</w:t>
            </w:r>
            <w:r>
              <w:rPr>
                <w:rFonts w:cs="Times New Roman"/>
                <w:color w:val="auto"/>
                <w:kern w:val="0"/>
                <w:vertAlign w:val="subscript"/>
              </w:rPr>
              <w:t>2</w:t>
            </w:r>
            <w:r>
              <w:rPr>
                <w:rFonts w:cs="Times New Roman"/>
                <w:color w:val="auto"/>
                <w:kern w:val="0"/>
              </w:rPr>
              <w:t>、PM</w:t>
            </w:r>
            <w:r>
              <w:rPr>
                <w:rFonts w:cs="Times New Roman"/>
                <w:color w:val="auto"/>
                <w:kern w:val="0"/>
                <w:vertAlign w:val="subscript"/>
              </w:rPr>
              <w:t>10</w:t>
            </w:r>
            <w:r>
              <w:rPr>
                <w:rFonts w:cs="Times New Roman"/>
                <w:color w:val="auto"/>
                <w:kern w:val="0"/>
              </w:rPr>
              <w:t>、PM</w:t>
            </w:r>
            <w:r>
              <w:rPr>
                <w:rFonts w:cs="Times New Roman"/>
                <w:color w:val="auto"/>
                <w:kern w:val="0"/>
                <w:vertAlign w:val="subscript"/>
              </w:rPr>
              <w:t>2.5</w:t>
            </w:r>
            <w:r>
              <w:rPr>
                <w:rFonts w:cs="Times New Roman"/>
                <w:color w:val="auto"/>
                <w:kern w:val="0"/>
              </w:rPr>
              <w:t>、CO和O</w:t>
            </w:r>
            <w:r>
              <w:rPr>
                <w:rFonts w:cs="Times New Roman"/>
                <w:color w:val="auto"/>
                <w:kern w:val="0"/>
                <w:vertAlign w:val="subscript"/>
              </w:rPr>
              <w:t>3</w:t>
            </w:r>
            <w:r>
              <w:rPr>
                <w:rFonts w:cs="Times New Roman"/>
                <w:color w:val="auto"/>
                <w:kern w:val="0"/>
              </w:rPr>
              <w:t>质量浓度均满足《环境空气质量标准》（GB3095-2012）二级标准限值，由此可判断乌拉特前旗为达标区；根据</w:t>
            </w:r>
            <w:r>
              <w:rPr>
                <w:rFonts w:cs="Times New Roman"/>
                <w:color w:val="auto"/>
              </w:rPr>
              <w:t>特征因子</w:t>
            </w:r>
            <w:r>
              <w:rPr>
                <w:rFonts w:cs="Times New Roman"/>
                <w:color w:val="auto"/>
                <w:kern w:val="0"/>
              </w:rPr>
              <w:t>监测数据可知，氟化物、TSP质量浓度满足《环境空气质量标准》（GB3095-2012）二级标准限值</w:t>
            </w:r>
            <w:r>
              <w:rPr>
                <w:rFonts w:cs="Times New Roman"/>
                <w:color w:val="auto"/>
              </w:rPr>
              <w:t>。</w:t>
            </w:r>
          </w:p>
          <w:p>
            <w:pPr>
              <w:ind w:firstLine="480"/>
              <w:rPr>
                <w:rFonts w:cs="Times New Roman"/>
                <w:color w:val="auto"/>
              </w:rPr>
            </w:pPr>
            <w:r>
              <w:rPr>
                <w:rFonts w:cs="Times New Roman"/>
                <w:color w:val="auto"/>
              </w:rPr>
              <w:t>本项目运营期产生的废气经处理后可以达标排放；生活污水</w:t>
            </w:r>
            <w:r>
              <w:rPr>
                <w:rFonts w:hint="eastAsia" w:cs="Times New Roman"/>
                <w:color w:val="auto"/>
              </w:rPr>
              <w:t>、纯水制备浓水及锅炉排水</w:t>
            </w:r>
            <w:r>
              <w:rPr>
                <w:rFonts w:cs="Times New Roman"/>
                <w:color w:val="auto"/>
              </w:rPr>
              <w:t>排入厂区已建的一座处理能力为50t/d的地埋式一体化污水处理设备，</w:t>
            </w:r>
            <w:r>
              <w:rPr>
                <w:rFonts w:hint="eastAsia" w:cs="Times New Roman"/>
                <w:color w:val="auto"/>
              </w:rPr>
              <w:t>处理达标后拉运至乌拉特前旗工业园区污水处理厂</w:t>
            </w:r>
            <w:r>
              <w:rPr>
                <w:rFonts w:cs="Times New Roman"/>
                <w:color w:val="auto"/>
              </w:rPr>
              <w:t>；厂界四周噪声预测值满足标准限值；产生的固废全部妥善处置，不外排，对周围环境影响较小。</w:t>
            </w:r>
          </w:p>
          <w:p>
            <w:pPr>
              <w:ind w:firstLine="480"/>
              <w:rPr>
                <w:rFonts w:cs="Times New Roman"/>
                <w:color w:val="auto"/>
              </w:rPr>
            </w:pPr>
            <w:r>
              <w:rPr>
                <w:rFonts w:cs="Times New Roman"/>
                <w:color w:val="auto"/>
              </w:rPr>
              <w:t>因此，本项目实施后不会对项目所在地的环境质量造成不利影响，项目所在地环境质量可维持现有水平，本项目符合环境质量底线要求。</w:t>
            </w:r>
          </w:p>
          <w:p>
            <w:pPr>
              <w:ind w:firstLine="480"/>
              <w:rPr>
                <w:rFonts w:cs="Times New Roman"/>
                <w:color w:val="auto"/>
              </w:rPr>
            </w:pPr>
            <w:r>
              <w:rPr>
                <w:rFonts w:cs="Times New Roman"/>
                <w:color w:val="auto"/>
              </w:rPr>
              <w:t>（3）资源利用上线</w:t>
            </w:r>
          </w:p>
          <w:p>
            <w:pPr>
              <w:ind w:firstLine="480"/>
              <w:rPr>
                <w:rFonts w:cs="Times New Roman"/>
                <w:color w:val="auto"/>
              </w:rPr>
            </w:pPr>
            <w:r>
              <w:rPr>
                <w:rFonts w:cs="Times New Roman"/>
                <w:color w:val="auto"/>
              </w:rPr>
              <w:t>本项目运行中消耗一定量水、电等资源，消耗量相对区域资源总量较少，本项目的建设满足区域资源利用上线。</w:t>
            </w:r>
          </w:p>
          <w:p>
            <w:pPr>
              <w:topLinePunct/>
              <w:autoSpaceDE w:val="0"/>
              <w:ind w:firstLine="480"/>
              <w:rPr>
                <w:rFonts w:cs="Times New Roman"/>
                <w:color w:val="auto"/>
              </w:rPr>
            </w:pPr>
            <w:r>
              <w:rPr>
                <w:rFonts w:cs="Times New Roman"/>
                <w:color w:val="auto"/>
              </w:rPr>
              <w:t>（4）生态环境准入清单</w:t>
            </w:r>
          </w:p>
          <w:p>
            <w:pPr>
              <w:snapToGrid w:val="0"/>
              <w:ind w:firstLine="480"/>
              <w:rPr>
                <w:rFonts w:cs="Times New Roman"/>
                <w:color w:val="auto"/>
              </w:rPr>
            </w:pPr>
            <w:r>
              <w:rPr>
                <w:rFonts w:cs="Times New Roman"/>
                <w:color w:val="auto"/>
              </w:rPr>
              <w:t>本项目厂区位于巴彦淖尔市农垦中滩工业园区，根据巴彦淖尔市环境管控单元图，属于乌拉特前旗工业园区环境管控单元，管控单元类别为重点管控单元，环境管控单元编码ZH15082320001，本项目生态环境准入清单符合性见下表。</w:t>
            </w:r>
          </w:p>
          <w:p>
            <w:pPr>
              <w:tabs>
                <w:tab w:val="left" w:pos="4252"/>
                <w:tab w:val="left" w:pos="6271"/>
              </w:tabs>
              <w:ind w:firstLine="482"/>
              <w:jc w:val="center"/>
              <w:rPr>
                <w:rFonts w:cs="Times New Roman"/>
                <w:b/>
                <w:bCs/>
                <w:color w:val="auto"/>
              </w:rPr>
            </w:pPr>
            <w:r>
              <w:rPr>
                <w:rFonts w:cs="Times New Roman"/>
                <w:b/>
                <w:bCs/>
                <w:color w:val="auto"/>
              </w:rPr>
              <w:t>表1-2巴彦淖尔市总体准入要求符合性分析表</w:t>
            </w:r>
          </w:p>
          <w:tbl>
            <w:tblPr>
              <w:tblStyle w:val="26"/>
              <w:tblW w:w="7653" w:type="dxa"/>
              <w:jc w:val="center"/>
              <w:tblLayout w:type="fixed"/>
              <w:tblCellMar>
                <w:top w:w="0" w:type="dxa"/>
                <w:left w:w="108" w:type="dxa"/>
                <w:bottom w:w="0" w:type="dxa"/>
                <w:right w:w="108" w:type="dxa"/>
              </w:tblCellMar>
            </w:tblPr>
            <w:tblGrid>
              <w:gridCol w:w="639"/>
              <w:gridCol w:w="4068"/>
              <w:gridCol w:w="2305"/>
              <w:gridCol w:w="641"/>
            </w:tblGrid>
            <w:tr>
              <w:tblPrEx>
                <w:tblCellMar>
                  <w:top w:w="0" w:type="dxa"/>
                  <w:left w:w="108" w:type="dxa"/>
                  <w:bottom w:w="0" w:type="dxa"/>
                  <w:right w:w="108" w:type="dxa"/>
                </w:tblCellMar>
              </w:tblPrEx>
              <w:trPr>
                <w:trHeight w:val="340" w:hRule="atLeast"/>
                <w:jc w:val="center"/>
              </w:trPr>
              <w:tc>
                <w:tcPr>
                  <w:tcW w:w="639"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管控类型</w:t>
                  </w:r>
                </w:p>
              </w:tc>
              <w:tc>
                <w:tcPr>
                  <w:tcW w:w="4068"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管控要求</w:t>
                  </w:r>
                </w:p>
              </w:tc>
              <w:tc>
                <w:tcPr>
                  <w:tcW w:w="2305"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本项目情况</w:t>
                  </w:r>
                </w:p>
              </w:tc>
              <w:tc>
                <w:tcPr>
                  <w:tcW w:w="641"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符合性</w:t>
                  </w:r>
                </w:p>
              </w:tc>
            </w:tr>
            <w:tr>
              <w:tblPrEx>
                <w:tblCellMar>
                  <w:top w:w="0" w:type="dxa"/>
                  <w:left w:w="108" w:type="dxa"/>
                  <w:bottom w:w="0" w:type="dxa"/>
                  <w:right w:w="108" w:type="dxa"/>
                </w:tblCellMar>
              </w:tblPrEx>
              <w:trPr>
                <w:trHeight w:val="340" w:hRule="atLeast"/>
                <w:jc w:val="center"/>
              </w:trPr>
              <w:tc>
                <w:tcPr>
                  <w:tcW w:w="639"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总体要求</w:t>
                  </w:r>
                </w:p>
              </w:tc>
              <w:tc>
                <w:tcPr>
                  <w:tcW w:w="4068"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420"/>
                    <w:jc w:val="left"/>
                    <w:rPr>
                      <w:rFonts w:cs="Times New Roman"/>
                      <w:color w:val="auto"/>
                      <w:kern w:val="0"/>
                      <w:sz w:val="21"/>
                      <w:szCs w:val="21"/>
                    </w:rPr>
                  </w:pPr>
                  <w:r>
                    <w:rPr>
                      <w:rFonts w:cs="Times New Roman"/>
                      <w:color w:val="auto"/>
                      <w:kern w:val="0"/>
                      <w:sz w:val="21"/>
                      <w:szCs w:val="21"/>
                    </w:rPr>
                    <w:t>1、除现有化工园区外，不再布局新的化工园区。现有园区扩大面积的，要与黄河中上游流域巴彦淖尔段及主要支流岸线至少保持1公里距离。</w:t>
                  </w:r>
                </w:p>
                <w:p>
                  <w:pPr>
                    <w:widowControl/>
                    <w:spacing w:line="240" w:lineRule="auto"/>
                    <w:ind w:firstLine="420"/>
                    <w:jc w:val="left"/>
                    <w:rPr>
                      <w:rFonts w:cs="Times New Roman"/>
                      <w:color w:val="auto"/>
                      <w:kern w:val="0"/>
                      <w:sz w:val="21"/>
                      <w:szCs w:val="21"/>
                    </w:rPr>
                  </w:pPr>
                  <w:r>
                    <w:rPr>
                      <w:rFonts w:cs="Times New Roman"/>
                      <w:color w:val="auto"/>
                      <w:kern w:val="0"/>
                      <w:sz w:val="21"/>
                      <w:szCs w:val="21"/>
                    </w:rPr>
                    <w:t>2、新建、改建、扩建“两高”项目须符合生态环境保护法律法规和相关法定规划，满足重点污染物排放总量控制、碳排放达峰目标、生态环境准入清单、相关规划环评和相应行业建设项目环境准入条件、环评文件审批要求。新建、扩建石化、化工、焦化、有色金属冶炼、平板玻璃项目应布设在依法合规设立并经规划环评的产业园区。</w:t>
                  </w:r>
                </w:p>
                <w:p>
                  <w:pPr>
                    <w:widowControl/>
                    <w:spacing w:line="240" w:lineRule="auto"/>
                    <w:ind w:firstLine="420"/>
                    <w:jc w:val="left"/>
                    <w:rPr>
                      <w:rFonts w:cs="Times New Roman"/>
                      <w:color w:val="auto"/>
                      <w:kern w:val="0"/>
                      <w:sz w:val="21"/>
                      <w:szCs w:val="21"/>
                    </w:rPr>
                  </w:pPr>
                  <w:r>
                    <w:rPr>
                      <w:rFonts w:cs="Times New Roman"/>
                      <w:color w:val="auto"/>
                      <w:kern w:val="0"/>
                      <w:sz w:val="21"/>
                      <w:szCs w:val="21"/>
                    </w:rPr>
                    <w:t>3、建设项目应满足区域、流域控制单元环境质量改善目标管理要求。所在区域、流域控制单元环境质量未达到国家或者地方环境质量标准的，建设项目应提出有效的区域削减方案，主要污染物实行区域倍量削减，确保项目投产后区域环境质量有改善。所在区域、流域控制单元环境质量达到国家或者地方环境质量标准的，原则上建设项目主要污染物实行区域等量削减，确保项目投产后区域环境质量不恶化。</w:t>
                  </w:r>
                </w:p>
                <w:p>
                  <w:pPr>
                    <w:widowControl/>
                    <w:spacing w:line="240" w:lineRule="auto"/>
                    <w:ind w:firstLine="420"/>
                    <w:jc w:val="left"/>
                    <w:rPr>
                      <w:rFonts w:cs="Times New Roman"/>
                      <w:color w:val="auto"/>
                      <w:kern w:val="0"/>
                      <w:sz w:val="21"/>
                      <w:szCs w:val="21"/>
                    </w:rPr>
                  </w:pPr>
                  <w:r>
                    <w:rPr>
                      <w:rFonts w:cs="Times New Roman"/>
                      <w:color w:val="auto"/>
                      <w:kern w:val="0"/>
                      <w:sz w:val="21"/>
                      <w:szCs w:val="21"/>
                    </w:rPr>
                    <w:t>4、各类园区及建设项目选址必须符合当地国土空间规划。新建工业企业原则上应在工业园区内建设并符合相关规划和园区定位。</w:t>
                  </w:r>
                </w:p>
                <w:p>
                  <w:pPr>
                    <w:widowControl/>
                    <w:spacing w:line="240" w:lineRule="auto"/>
                    <w:ind w:firstLine="420"/>
                    <w:jc w:val="left"/>
                    <w:rPr>
                      <w:rFonts w:cs="Times New Roman"/>
                      <w:color w:val="auto"/>
                      <w:kern w:val="0"/>
                      <w:sz w:val="21"/>
                      <w:szCs w:val="21"/>
                    </w:rPr>
                  </w:pPr>
                  <w:r>
                    <w:rPr>
                      <w:rFonts w:cs="Times New Roman"/>
                      <w:color w:val="auto"/>
                      <w:kern w:val="0"/>
                      <w:sz w:val="21"/>
                      <w:szCs w:val="21"/>
                    </w:rPr>
                    <w:t>5、新建矿山要全部达到绿色矿山建设标准，生产矿山要按照绿色矿山建设标准加快改造升级，限期达到绿色矿山建设标准。2025年底前，全部矿山达到国家或自治区绿色矿山建设标准，不符合绿色矿山建设标准的矿山企业依法逐步退出市场。</w:t>
                  </w:r>
                </w:p>
                <w:p>
                  <w:pPr>
                    <w:widowControl/>
                    <w:spacing w:line="240" w:lineRule="auto"/>
                    <w:ind w:firstLine="420"/>
                    <w:jc w:val="left"/>
                    <w:rPr>
                      <w:rFonts w:cs="Times New Roman"/>
                      <w:color w:val="auto"/>
                      <w:kern w:val="0"/>
                      <w:sz w:val="21"/>
                      <w:szCs w:val="21"/>
                    </w:rPr>
                  </w:pPr>
                  <w:r>
                    <w:rPr>
                      <w:rFonts w:cs="Times New Roman"/>
                      <w:color w:val="auto"/>
                      <w:kern w:val="0"/>
                      <w:sz w:val="21"/>
                      <w:szCs w:val="21"/>
                    </w:rPr>
                    <w:t>6、国家重点生态功能区要严格落实产业准入负面清单要求，在严格保护生态安全的前提下，鼓励和支持市场主体集约高效有序地发展符合主体功能定位的适宜产业；限制类产业要在规模产量、生产工艺、区位布局、清洁生产水平等方面严格执行有关规定，鼓励和引导市场主体对既有项目改造升级、入园入区；禁止类产业要严禁市场主体准入，行政机关不予审批、核准，不得办理有关手续。其他重点开发的城镇和重点生态功能区点状开发的城镇，新建矿产资源开采加工、火电、化工、冶金、有色等重大项目，应实行更加严格的环境标准，相关项目必须符合相应领域的专项规划，必须开展环境影响评价和社会稳定风险评估等，不得损害生态系统的稳定性和完整性。</w:t>
                  </w:r>
                </w:p>
                <w:p>
                  <w:pPr>
                    <w:widowControl/>
                    <w:spacing w:line="240" w:lineRule="auto"/>
                    <w:ind w:firstLine="420"/>
                    <w:jc w:val="left"/>
                    <w:rPr>
                      <w:rFonts w:cs="Times New Roman"/>
                      <w:color w:val="auto"/>
                      <w:kern w:val="0"/>
                      <w:sz w:val="21"/>
                      <w:szCs w:val="21"/>
                    </w:rPr>
                  </w:pPr>
                  <w:r>
                    <w:rPr>
                      <w:rFonts w:cs="Times New Roman"/>
                      <w:color w:val="auto"/>
                      <w:kern w:val="0"/>
                      <w:sz w:val="21"/>
                      <w:szCs w:val="21"/>
                    </w:rPr>
                    <w:t>7、畜禽养殖禁养区内不得新建、扩建和改建各类畜禽养殖场，限养区内严格限制新建和扩建各类规模化畜禽养殖场。适养区内现有的各类畜禽养殖场必须落实污染防治措施，对污水、废渣和恶臭应进行定期监测，确保排放的污染物达到《畜禽养殖业污染物排放标准》（GB18596-2001）的限值要求，并符合污染物排放总量控制要求。禁养区范围内的已建成的畜禽养殖场（小区）和养殖专业户，由所在地人民政府负责责令限期搬迁、关闭或取缔。</w:t>
                  </w:r>
                </w:p>
                <w:p>
                  <w:pPr>
                    <w:widowControl/>
                    <w:spacing w:line="240" w:lineRule="auto"/>
                    <w:ind w:firstLine="420"/>
                    <w:jc w:val="left"/>
                    <w:rPr>
                      <w:rFonts w:cs="Times New Roman"/>
                      <w:color w:val="auto"/>
                      <w:kern w:val="0"/>
                      <w:sz w:val="21"/>
                      <w:szCs w:val="21"/>
                    </w:rPr>
                  </w:pPr>
                  <w:r>
                    <w:rPr>
                      <w:rFonts w:cs="Times New Roman"/>
                      <w:color w:val="auto"/>
                      <w:kern w:val="0"/>
                      <w:sz w:val="21"/>
                      <w:szCs w:val="21"/>
                    </w:rPr>
                    <w:t>8、建设对环境有影响的项目，建设单位应当根据国家关于建设项目环境保护分类管理的规定，按照对环境造成影响的程度，组织编制环境影响报告书、环境影响报告表或者填写环境影响登记表。严格落实排污许可管理要求，加强排污许可证实施监管，督促企业采取有效措施控制污染物排放，达到排污许可证规定的许可排放量要求。</w:t>
                  </w:r>
                </w:p>
              </w:tc>
              <w:tc>
                <w:tcPr>
                  <w:tcW w:w="2305"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420"/>
                    <w:jc w:val="left"/>
                    <w:rPr>
                      <w:rFonts w:cs="Times New Roman"/>
                      <w:color w:val="auto"/>
                      <w:kern w:val="0"/>
                      <w:sz w:val="21"/>
                      <w:szCs w:val="21"/>
                    </w:rPr>
                  </w:pPr>
                  <w:r>
                    <w:rPr>
                      <w:rFonts w:cs="Times New Roman"/>
                      <w:color w:val="auto"/>
                      <w:kern w:val="0"/>
                      <w:sz w:val="21"/>
                      <w:szCs w:val="21"/>
                    </w:rPr>
                    <w:t>1、本项目为稀土抛光材料生产项目，位于乌拉特前旗工业园区内，不涉及新化工园区的布局和现有园区面积的扩大。</w:t>
                  </w:r>
                </w:p>
                <w:p>
                  <w:pPr>
                    <w:widowControl/>
                    <w:spacing w:line="240" w:lineRule="auto"/>
                    <w:ind w:firstLine="420"/>
                    <w:jc w:val="left"/>
                    <w:rPr>
                      <w:rFonts w:cs="Times New Roman"/>
                      <w:color w:val="auto"/>
                      <w:kern w:val="0"/>
                      <w:sz w:val="21"/>
                      <w:szCs w:val="21"/>
                    </w:rPr>
                  </w:pPr>
                  <w:r>
                    <w:rPr>
                      <w:rFonts w:cs="Times New Roman"/>
                      <w:color w:val="auto"/>
                      <w:kern w:val="0"/>
                      <w:sz w:val="21"/>
                      <w:szCs w:val="21"/>
                    </w:rPr>
                    <w:t>2、本项目不属于“两高”项目；不属于石化、化工、焦化、有色金属冶炼、平板玻璃项目。</w:t>
                  </w:r>
                </w:p>
                <w:p>
                  <w:pPr>
                    <w:widowControl/>
                    <w:spacing w:line="240" w:lineRule="auto"/>
                    <w:ind w:firstLine="420"/>
                    <w:jc w:val="left"/>
                    <w:rPr>
                      <w:rFonts w:cs="Times New Roman"/>
                      <w:color w:val="auto"/>
                      <w:kern w:val="0"/>
                      <w:sz w:val="21"/>
                      <w:szCs w:val="21"/>
                    </w:rPr>
                  </w:pPr>
                  <w:r>
                    <w:rPr>
                      <w:rFonts w:cs="Times New Roman"/>
                      <w:color w:val="auto"/>
                      <w:kern w:val="0"/>
                      <w:sz w:val="21"/>
                      <w:szCs w:val="21"/>
                    </w:rPr>
                    <w:t>3、根据《巴彦淖尔市环境质量状况公报（2022年）》，本项目所在地巴彦淖尔市乌拉特前旗为达标区；各污染物排放量较小，并且在采取相应环保措施后，各污染物均可达标排放，不会造成区域环境质量恶化。</w:t>
                  </w:r>
                </w:p>
                <w:p>
                  <w:pPr>
                    <w:widowControl/>
                    <w:spacing w:line="240" w:lineRule="auto"/>
                    <w:ind w:firstLine="420"/>
                    <w:jc w:val="left"/>
                    <w:rPr>
                      <w:rFonts w:cs="Times New Roman"/>
                      <w:color w:val="auto"/>
                      <w:kern w:val="0"/>
                      <w:sz w:val="21"/>
                      <w:szCs w:val="21"/>
                    </w:rPr>
                  </w:pPr>
                  <w:r>
                    <w:rPr>
                      <w:rFonts w:cs="Times New Roman"/>
                      <w:color w:val="auto"/>
                      <w:kern w:val="0"/>
                      <w:sz w:val="21"/>
                      <w:szCs w:val="21"/>
                    </w:rPr>
                    <w:t>4、本项目位于巴彦淖尔市农垦中滩工业园区，用地性质为工业用地，不占用耕地、基本农田；本项目符合内蒙古乌拉特前旗工业园区总体规划。</w:t>
                  </w:r>
                </w:p>
                <w:p>
                  <w:pPr>
                    <w:widowControl/>
                    <w:spacing w:line="240" w:lineRule="auto"/>
                    <w:ind w:firstLine="420"/>
                    <w:jc w:val="left"/>
                    <w:rPr>
                      <w:rFonts w:cs="Times New Roman"/>
                      <w:color w:val="auto"/>
                      <w:kern w:val="0"/>
                      <w:sz w:val="21"/>
                      <w:szCs w:val="21"/>
                    </w:rPr>
                  </w:pPr>
                  <w:r>
                    <w:rPr>
                      <w:rFonts w:cs="Times New Roman"/>
                      <w:color w:val="auto"/>
                      <w:kern w:val="0"/>
                      <w:sz w:val="21"/>
                      <w:szCs w:val="21"/>
                    </w:rPr>
                    <w:t>5、本项目不属于矿山企业。</w:t>
                  </w:r>
                </w:p>
                <w:p>
                  <w:pPr>
                    <w:widowControl/>
                    <w:spacing w:line="240" w:lineRule="auto"/>
                    <w:ind w:firstLine="420"/>
                    <w:jc w:val="left"/>
                    <w:rPr>
                      <w:rFonts w:cs="Times New Roman"/>
                      <w:color w:val="auto"/>
                      <w:kern w:val="0"/>
                      <w:sz w:val="21"/>
                      <w:szCs w:val="21"/>
                    </w:rPr>
                  </w:pPr>
                  <w:r>
                    <w:rPr>
                      <w:rFonts w:cs="Times New Roman"/>
                      <w:color w:val="auto"/>
                      <w:kern w:val="0"/>
                      <w:sz w:val="21"/>
                      <w:szCs w:val="21"/>
                    </w:rPr>
                    <w:t>6、本项目为稀土抛光材料生产项目，符合国家产业政策，不违反产业准入负面清单要求。本项目不属于矿产资源开采加工、火电、化工、冶金、有色等重大项目。</w:t>
                  </w:r>
                </w:p>
                <w:p>
                  <w:pPr>
                    <w:widowControl/>
                    <w:spacing w:line="240" w:lineRule="auto"/>
                    <w:ind w:firstLine="420"/>
                    <w:jc w:val="left"/>
                    <w:rPr>
                      <w:rFonts w:cs="Times New Roman"/>
                      <w:color w:val="auto"/>
                      <w:kern w:val="0"/>
                      <w:sz w:val="21"/>
                      <w:szCs w:val="21"/>
                    </w:rPr>
                  </w:pPr>
                  <w:r>
                    <w:rPr>
                      <w:rFonts w:cs="Times New Roman"/>
                      <w:color w:val="auto"/>
                      <w:kern w:val="0"/>
                      <w:sz w:val="21"/>
                      <w:szCs w:val="21"/>
                    </w:rPr>
                    <w:t>7、本项目为稀土抛光材料生产项目，不属于畜禽养殖业。</w:t>
                  </w:r>
                </w:p>
                <w:p>
                  <w:pPr>
                    <w:widowControl/>
                    <w:spacing w:line="240" w:lineRule="auto"/>
                    <w:ind w:firstLine="420"/>
                    <w:jc w:val="left"/>
                    <w:rPr>
                      <w:rFonts w:cs="Times New Roman"/>
                      <w:color w:val="auto"/>
                      <w:kern w:val="0"/>
                      <w:sz w:val="21"/>
                      <w:szCs w:val="21"/>
                    </w:rPr>
                  </w:pPr>
                  <w:r>
                    <w:rPr>
                      <w:rFonts w:cs="Times New Roman"/>
                      <w:color w:val="auto"/>
                      <w:kern w:val="0"/>
                      <w:sz w:val="21"/>
                      <w:szCs w:val="21"/>
                    </w:rPr>
                    <w:t>8、根据《建设项目环境影响评价分类管理名录（2021年版）》，本项目应编制环境影响报告表，根据预测，本项目各污染物均可达标排放。</w:t>
                  </w:r>
                </w:p>
              </w:tc>
              <w:tc>
                <w:tcPr>
                  <w:tcW w:w="641"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rPr>
                      <w:rFonts w:cs="Times New Roman"/>
                      <w:color w:val="auto"/>
                      <w:kern w:val="0"/>
                      <w:sz w:val="21"/>
                      <w:szCs w:val="21"/>
                    </w:rPr>
                  </w:pPr>
                  <w:r>
                    <w:rPr>
                      <w:rFonts w:cs="Times New Roman"/>
                      <w:color w:val="auto"/>
                      <w:kern w:val="0"/>
                      <w:sz w:val="21"/>
                      <w:szCs w:val="21"/>
                    </w:rPr>
                    <w:t>符合</w:t>
                  </w:r>
                </w:p>
              </w:tc>
            </w:tr>
          </w:tbl>
          <w:p>
            <w:pPr>
              <w:tabs>
                <w:tab w:val="left" w:pos="4252"/>
                <w:tab w:val="left" w:pos="6271"/>
              </w:tabs>
              <w:ind w:firstLine="482"/>
              <w:jc w:val="center"/>
              <w:rPr>
                <w:rFonts w:cs="Times New Roman"/>
                <w:b/>
                <w:bCs/>
                <w:color w:val="auto"/>
              </w:rPr>
            </w:pPr>
            <w:r>
              <w:rPr>
                <w:rFonts w:cs="Times New Roman"/>
                <w:b/>
                <w:bCs/>
                <w:color w:val="auto"/>
              </w:rPr>
              <w:t>表1-3巴彦淖尔市生态环境准入清单符合性分析表</w:t>
            </w:r>
          </w:p>
          <w:tbl>
            <w:tblPr>
              <w:tblStyle w:val="26"/>
              <w:tblW w:w="765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9"/>
              <w:gridCol w:w="458"/>
              <w:gridCol w:w="2969"/>
              <w:gridCol w:w="2692"/>
              <w:gridCol w:w="7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2" w:type="pct"/>
                  <w:tcBorders>
                    <w:top w:val="single" w:color="auto" w:sz="4" w:space="0"/>
                    <w:left w:val="single" w:color="auto" w:sz="0" w:space="0"/>
                  </w:tcBorders>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环境管控单元名称</w:t>
                  </w:r>
                </w:p>
              </w:tc>
              <w:tc>
                <w:tcPr>
                  <w:tcW w:w="2239" w:type="pct"/>
                  <w:gridSpan w:val="2"/>
                  <w:tcBorders>
                    <w:top w:val="single" w:color="auto" w:sz="4" w:space="0"/>
                  </w:tcBorders>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管控要求</w:t>
                  </w:r>
                </w:p>
              </w:tc>
              <w:tc>
                <w:tcPr>
                  <w:tcW w:w="1759" w:type="pct"/>
                  <w:tcBorders>
                    <w:top w:val="single" w:color="auto" w:sz="4" w:space="0"/>
                  </w:tcBorders>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本项目落实情况</w:t>
                  </w:r>
                </w:p>
              </w:tc>
              <w:tc>
                <w:tcPr>
                  <w:tcW w:w="500" w:type="pct"/>
                  <w:tcBorders>
                    <w:top w:val="single" w:color="auto" w:sz="4" w:space="0"/>
                    <w:right w:val="single" w:color="auto" w:sz="4" w:space="0"/>
                  </w:tcBorders>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2" w:type="pct"/>
                  <w:vMerge w:val="restart"/>
                  <w:tcBorders>
                    <w:left w:val="single" w:color="auto" w:sz="4" w:space="0"/>
                  </w:tcBorders>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乌拉特前旗工业园区</w:t>
                  </w:r>
                </w:p>
              </w:tc>
              <w:tc>
                <w:tcPr>
                  <w:tcW w:w="299" w:type="pct"/>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空间布局约束</w:t>
                  </w:r>
                </w:p>
              </w:tc>
              <w:tc>
                <w:tcPr>
                  <w:tcW w:w="1940" w:type="pct"/>
                  <w:vAlign w:val="center"/>
                </w:tcPr>
                <w:p>
                  <w:pPr>
                    <w:snapToGrid w:val="0"/>
                    <w:spacing w:line="240" w:lineRule="auto"/>
                    <w:ind w:firstLine="420"/>
                    <w:rPr>
                      <w:rFonts w:cs="Times New Roman"/>
                      <w:color w:val="auto"/>
                      <w:sz w:val="21"/>
                      <w:szCs w:val="21"/>
                    </w:rPr>
                  </w:pPr>
                  <w:r>
                    <w:rPr>
                      <w:rFonts w:cs="Times New Roman"/>
                      <w:color w:val="auto"/>
                      <w:sz w:val="21"/>
                      <w:szCs w:val="21"/>
                    </w:rPr>
                    <w:t>1、严格执行环境准入门槛，依法落实园区规划环评。对不符合园区产业定位、规划环评等的项目一律不予批准。与园区规划不符的企业，应采取措施逐步退出。</w:t>
                  </w:r>
                </w:p>
                <w:p>
                  <w:pPr>
                    <w:snapToGrid w:val="0"/>
                    <w:spacing w:line="240" w:lineRule="auto"/>
                    <w:ind w:firstLine="420"/>
                    <w:rPr>
                      <w:rFonts w:cs="Times New Roman"/>
                      <w:color w:val="auto"/>
                      <w:sz w:val="21"/>
                      <w:szCs w:val="21"/>
                    </w:rPr>
                  </w:pPr>
                  <w:r>
                    <w:rPr>
                      <w:rFonts w:cs="Times New Roman"/>
                      <w:color w:val="auto"/>
                      <w:sz w:val="21"/>
                      <w:szCs w:val="21"/>
                    </w:rPr>
                    <w:t>2、科学规划建设工业园区，引导新材料、冶金、化工等行业的工业企业入驻工业园区。原则上不得引入与园区主导行业不相符的高污染高耗能高耗水行业。新建、改建、扩建“两高”项目须符合生态环境保护法律法规和相关法定规划，满足重点污染物排放总量控制、碳达峰、碳中和目标、生态环境准入清单、相关规划环评和相应行业建设项目环境准入条件、环评文件审批原则要求。</w:t>
                  </w:r>
                </w:p>
                <w:p>
                  <w:pPr>
                    <w:snapToGrid w:val="0"/>
                    <w:spacing w:line="240" w:lineRule="auto"/>
                    <w:ind w:firstLine="420"/>
                    <w:rPr>
                      <w:rFonts w:cs="Times New Roman"/>
                      <w:color w:val="auto"/>
                      <w:sz w:val="21"/>
                      <w:szCs w:val="21"/>
                    </w:rPr>
                  </w:pPr>
                  <w:r>
                    <w:rPr>
                      <w:rFonts w:cs="Times New Roman"/>
                      <w:color w:val="auto"/>
                      <w:sz w:val="21"/>
                      <w:szCs w:val="21"/>
                    </w:rPr>
                    <w:t>3、国家明令淘汰的落后产能和不符合国家产业政策的项目，严禁向工业园区转移。</w:t>
                  </w:r>
                </w:p>
                <w:p>
                  <w:pPr>
                    <w:snapToGrid w:val="0"/>
                    <w:spacing w:line="240" w:lineRule="auto"/>
                    <w:ind w:firstLine="420"/>
                    <w:rPr>
                      <w:rFonts w:cs="Times New Roman"/>
                      <w:color w:val="auto"/>
                      <w:sz w:val="21"/>
                      <w:szCs w:val="21"/>
                    </w:rPr>
                  </w:pPr>
                  <w:r>
                    <w:rPr>
                      <w:rFonts w:cs="Times New Roman"/>
                      <w:color w:val="auto"/>
                      <w:sz w:val="21"/>
                      <w:szCs w:val="21"/>
                    </w:rPr>
                    <w:t>4、“十四五”时期沿黄重点地区拟建的工业项目，一律按要求进入合规工业园区，对现有已备案但尚未开工的拟建高污染、高耗水、高耗能项目一律重新进行评估。</w:t>
                  </w:r>
                </w:p>
                <w:p>
                  <w:pPr>
                    <w:snapToGrid w:val="0"/>
                    <w:spacing w:line="240" w:lineRule="auto"/>
                    <w:ind w:firstLine="420"/>
                    <w:rPr>
                      <w:rFonts w:cs="Times New Roman"/>
                      <w:color w:val="auto"/>
                      <w:sz w:val="21"/>
                      <w:szCs w:val="21"/>
                    </w:rPr>
                  </w:pPr>
                  <w:r>
                    <w:rPr>
                      <w:rFonts w:cs="Times New Roman"/>
                      <w:color w:val="auto"/>
                      <w:sz w:val="21"/>
                      <w:szCs w:val="21"/>
                    </w:rPr>
                    <w:t>5、对不符合产业政策、“三线一单”生态环境分区管控方案、规划环评以及能耗、水耗等有关要求的工业项目，一律不得批准或备案。</w:t>
                  </w:r>
                </w:p>
                <w:p>
                  <w:pPr>
                    <w:snapToGrid w:val="0"/>
                    <w:spacing w:line="240" w:lineRule="auto"/>
                    <w:ind w:firstLine="420"/>
                    <w:rPr>
                      <w:rFonts w:cs="Times New Roman"/>
                      <w:color w:val="auto"/>
                      <w:sz w:val="21"/>
                      <w:szCs w:val="21"/>
                    </w:rPr>
                  </w:pPr>
                  <w:r>
                    <w:rPr>
                      <w:rFonts w:cs="Times New Roman"/>
                      <w:color w:val="auto"/>
                      <w:sz w:val="21"/>
                      <w:szCs w:val="21"/>
                    </w:rPr>
                    <w:t>6、对已建成的高污染、高耗水、高耗能项目，全面梳理形成台账，逐一排查评估，属于落后产能的项目要坚决淘汰。对违反产业政策、未落实环评及其批复、区域削减措施、产能置换或煤炭减量替代要求、违规审批和建设的项目，坚决从严查处，并责令限期整改，逾期未完成整改或整改无望的坚决关停。</w:t>
                  </w:r>
                </w:p>
                <w:p>
                  <w:pPr>
                    <w:snapToGrid w:val="0"/>
                    <w:spacing w:line="240" w:lineRule="auto"/>
                    <w:ind w:firstLine="420"/>
                    <w:rPr>
                      <w:rFonts w:cs="Times New Roman"/>
                      <w:color w:val="auto"/>
                      <w:sz w:val="21"/>
                      <w:szCs w:val="21"/>
                    </w:rPr>
                  </w:pPr>
                  <w:r>
                    <w:rPr>
                      <w:rFonts w:cs="Times New Roman"/>
                      <w:color w:val="auto"/>
                      <w:sz w:val="21"/>
                      <w:szCs w:val="21"/>
                    </w:rPr>
                    <w:t>7、加快淘汰化解落后和过剩产能。引导产能过剩行业限制类产能（装备）有序退出，实施产能置换升级改造。列入《国家产业政策指导目录》（2019版）淘汰类和2020年连续停产1年以上的企业（装备）不得进行产能置换。</w:t>
                  </w:r>
                </w:p>
                <w:p>
                  <w:pPr>
                    <w:snapToGrid w:val="0"/>
                    <w:spacing w:line="240" w:lineRule="auto"/>
                    <w:ind w:firstLine="420"/>
                    <w:rPr>
                      <w:rFonts w:cs="Times New Roman"/>
                      <w:color w:val="auto"/>
                      <w:sz w:val="21"/>
                      <w:szCs w:val="21"/>
                    </w:rPr>
                  </w:pPr>
                  <w:r>
                    <w:rPr>
                      <w:rFonts w:cs="Times New Roman"/>
                      <w:color w:val="auto"/>
                      <w:sz w:val="21"/>
                      <w:szCs w:val="21"/>
                    </w:rPr>
                    <w:t>8、积极推进“两高”项目环评开展试点工作，衔接落实有关区域和行业碳达峰、碳中和行动方案、清洁能源替代、清洁运输、煤炭消费总量控制等政策要求。</w:t>
                  </w:r>
                </w:p>
                <w:p>
                  <w:pPr>
                    <w:snapToGrid w:val="0"/>
                    <w:spacing w:line="240" w:lineRule="auto"/>
                    <w:ind w:firstLine="420"/>
                    <w:rPr>
                      <w:rFonts w:cs="Times New Roman"/>
                      <w:color w:val="auto"/>
                      <w:sz w:val="21"/>
                      <w:szCs w:val="21"/>
                    </w:rPr>
                  </w:pPr>
                  <w:r>
                    <w:rPr>
                      <w:rFonts w:cs="Times New Roman"/>
                      <w:color w:val="auto"/>
                      <w:sz w:val="21"/>
                      <w:szCs w:val="21"/>
                    </w:rPr>
                    <w:t>9、大气环境高排放重点管控区内，应强化达标监管，引导工业项目落地集聚发展，有序推进区域内行业企业提标升级改造。</w:t>
                  </w:r>
                </w:p>
              </w:tc>
              <w:tc>
                <w:tcPr>
                  <w:tcW w:w="1759" w:type="pct"/>
                  <w:vAlign w:val="center"/>
                </w:tcPr>
                <w:p>
                  <w:pPr>
                    <w:snapToGrid w:val="0"/>
                    <w:spacing w:line="240" w:lineRule="auto"/>
                    <w:ind w:firstLine="420"/>
                    <w:rPr>
                      <w:rFonts w:cs="Times New Roman"/>
                      <w:color w:val="auto"/>
                      <w:sz w:val="21"/>
                      <w:szCs w:val="21"/>
                    </w:rPr>
                  </w:pPr>
                  <w:r>
                    <w:rPr>
                      <w:rFonts w:cs="Times New Roman"/>
                      <w:color w:val="auto"/>
                      <w:sz w:val="21"/>
                      <w:szCs w:val="21"/>
                    </w:rPr>
                    <w:t>1、本项目行业类别属于稀土抛光材料生产企业，属于电子专用材料，符合乌拉特前旗工业园区规划。</w:t>
                  </w:r>
                </w:p>
                <w:p>
                  <w:pPr>
                    <w:snapToGrid w:val="0"/>
                    <w:spacing w:line="240" w:lineRule="auto"/>
                    <w:ind w:firstLine="420"/>
                    <w:rPr>
                      <w:rFonts w:cs="Times New Roman"/>
                      <w:color w:val="auto"/>
                      <w:sz w:val="21"/>
                      <w:szCs w:val="21"/>
                    </w:rPr>
                  </w:pPr>
                  <w:r>
                    <w:rPr>
                      <w:rFonts w:cs="Times New Roman"/>
                      <w:color w:val="auto"/>
                      <w:sz w:val="21"/>
                      <w:szCs w:val="21"/>
                    </w:rPr>
                    <w:t>2、本项目为稀土抛光材料生产项目，属于国家发展和改革委员会令第7号《产业结构调整指导目录（2024年本）》中的鼓励类，“半导体、光电子器件、新型电子元器件等电子产品专用材料”，符合国家当前的产业政策；本项目不属于“两高”项目。</w:t>
                  </w:r>
                </w:p>
                <w:p>
                  <w:pPr>
                    <w:snapToGrid w:val="0"/>
                    <w:spacing w:line="240" w:lineRule="auto"/>
                    <w:ind w:firstLine="420"/>
                    <w:rPr>
                      <w:rFonts w:cs="Times New Roman"/>
                      <w:color w:val="auto"/>
                      <w:sz w:val="21"/>
                      <w:szCs w:val="21"/>
                    </w:rPr>
                  </w:pPr>
                  <w:r>
                    <w:rPr>
                      <w:rFonts w:cs="Times New Roman"/>
                      <w:color w:val="auto"/>
                      <w:sz w:val="21"/>
                      <w:szCs w:val="21"/>
                    </w:rPr>
                    <w:t>3、本项目取得了乌拉特前旗工业和信息化局出具的内蒙古自治区企业投资项目备案意见表，项目编号为：2306-150823-07-01-682537。</w:t>
                  </w:r>
                </w:p>
                <w:p>
                  <w:pPr>
                    <w:snapToGrid w:val="0"/>
                    <w:spacing w:line="240" w:lineRule="auto"/>
                    <w:ind w:firstLine="420"/>
                    <w:rPr>
                      <w:rFonts w:cs="Times New Roman"/>
                      <w:color w:val="auto"/>
                      <w:sz w:val="21"/>
                      <w:szCs w:val="21"/>
                    </w:rPr>
                  </w:pPr>
                  <w:r>
                    <w:rPr>
                      <w:rFonts w:cs="Times New Roman"/>
                      <w:color w:val="auto"/>
                      <w:sz w:val="21"/>
                      <w:szCs w:val="21"/>
                    </w:rPr>
                    <w:t>不属于国家明令淘汰的落后产能和不符合国家产业政策的项目。</w:t>
                  </w:r>
                </w:p>
                <w:p>
                  <w:pPr>
                    <w:snapToGrid w:val="0"/>
                    <w:spacing w:line="240" w:lineRule="auto"/>
                    <w:ind w:firstLine="420"/>
                    <w:rPr>
                      <w:rFonts w:cs="Times New Roman"/>
                      <w:color w:val="auto"/>
                      <w:sz w:val="21"/>
                      <w:szCs w:val="21"/>
                    </w:rPr>
                  </w:pPr>
                  <w:r>
                    <w:rPr>
                      <w:rFonts w:cs="Times New Roman"/>
                      <w:color w:val="auto"/>
                      <w:sz w:val="21"/>
                      <w:szCs w:val="21"/>
                    </w:rPr>
                    <w:t>4、本项目不属于高污染、高耗水、高耗能项目。</w:t>
                  </w:r>
                </w:p>
                <w:p>
                  <w:pPr>
                    <w:snapToGrid w:val="0"/>
                    <w:spacing w:line="240" w:lineRule="auto"/>
                    <w:ind w:firstLine="420"/>
                    <w:rPr>
                      <w:rFonts w:cs="Times New Roman"/>
                      <w:color w:val="auto"/>
                      <w:sz w:val="21"/>
                      <w:szCs w:val="21"/>
                    </w:rPr>
                  </w:pPr>
                  <w:r>
                    <w:rPr>
                      <w:rFonts w:cs="Times New Roman"/>
                      <w:color w:val="auto"/>
                      <w:sz w:val="21"/>
                      <w:szCs w:val="21"/>
                    </w:rPr>
                    <w:t>5、本项目符合产业政策、“三线一单”生态环境分区管控方案、规划环评。</w:t>
                  </w:r>
                </w:p>
                <w:p>
                  <w:pPr>
                    <w:snapToGrid w:val="0"/>
                    <w:spacing w:line="240" w:lineRule="auto"/>
                    <w:ind w:firstLine="420"/>
                    <w:rPr>
                      <w:rFonts w:cs="Times New Roman"/>
                      <w:color w:val="auto"/>
                      <w:sz w:val="21"/>
                      <w:szCs w:val="21"/>
                    </w:rPr>
                  </w:pPr>
                  <w:r>
                    <w:rPr>
                      <w:rFonts w:cs="Times New Roman"/>
                      <w:color w:val="auto"/>
                      <w:sz w:val="21"/>
                      <w:szCs w:val="21"/>
                    </w:rPr>
                    <w:t>6、本项目不属于高污染、高耗水、高耗能项目。</w:t>
                  </w:r>
                </w:p>
                <w:p>
                  <w:pPr>
                    <w:snapToGrid w:val="0"/>
                    <w:spacing w:line="240" w:lineRule="auto"/>
                    <w:ind w:firstLine="420"/>
                    <w:rPr>
                      <w:rFonts w:cs="Times New Roman"/>
                      <w:color w:val="auto"/>
                      <w:sz w:val="21"/>
                      <w:szCs w:val="21"/>
                    </w:rPr>
                  </w:pPr>
                  <w:r>
                    <w:rPr>
                      <w:rFonts w:cs="Times New Roman"/>
                      <w:color w:val="auto"/>
                      <w:sz w:val="21"/>
                      <w:szCs w:val="21"/>
                    </w:rPr>
                    <w:t>7、本项目不属于落后和过剩产能。</w:t>
                  </w:r>
                </w:p>
                <w:p>
                  <w:pPr>
                    <w:snapToGrid w:val="0"/>
                    <w:spacing w:line="240" w:lineRule="auto"/>
                    <w:ind w:firstLine="420"/>
                    <w:rPr>
                      <w:rFonts w:cs="Times New Roman"/>
                      <w:color w:val="auto"/>
                      <w:sz w:val="21"/>
                      <w:szCs w:val="21"/>
                    </w:rPr>
                  </w:pPr>
                  <w:r>
                    <w:rPr>
                      <w:rFonts w:cs="Times New Roman"/>
                      <w:color w:val="auto"/>
                      <w:sz w:val="21"/>
                      <w:szCs w:val="21"/>
                    </w:rPr>
                    <w:t>8、本项目不属于“两高”项目。</w:t>
                  </w:r>
                </w:p>
              </w:tc>
              <w:tc>
                <w:tcPr>
                  <w:tcW w:w="500" w:type="pct"/>
                  <w:tcBorders>
                    <w:right w:val="single" w:color="auto" w:sz="4" w:space="0"/>
                  </w:tcBorders>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2" w:type="pct"/>
                  <w:vMerge w:val="continue"/>
                  <w:tcBorders>
                    <w:left w:val="single" w:color="auto" w:sz="4" w:space="0"/>
                  </w:tcBorders>
                  <w:vAlign w:val="center"/>
                </w:tcPr>
                <w:p>
                  <w:pPr>
                    <w:snapToGrid w:val="0"/>
                    <w:spacing w:line="240" w:lineRule="auto"/>
                    <w:ind w:firstLine="0" w:firstLineChars="0"/>
                    <w:jc w:val="center"/>
                    <w:rPr>
                      <w:rFonts w:cs="Times New Roman"/>
                      <w:color w:val="auto"/>
                      <w:sz w:val="21"/>
                      <w:szCs w:val="21"/>
                    </w:rPr>
                  </w:pPr>
                </w:p>
              </w:tc>
              <w:tc>
                <w:tcPr>
                  <w:tcW w:w="299" w:type="pct"/>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污染物排放管控</w:t>
                  </w:r>
                </w:p>
              </w:tc>
              <w:tc>
                <w:tcPr>
                  <w:tcW w:w="1940" w:type="pct"/>
                  <w:vAlign w:val="center"/>
                </w:tcPr>
                <w:p>
                  <w:pPr>
                    <w:snapToGrid w:val="0"/>
                    <w:spacing w:line="240" w:lineRule="auto"/>
                    <w:ind w:firstLine="420"/>
                    <w:rPr>
                      <w:rFonts w:cs="Times New Roman"/>
                      <w:color w:val="auto"/>
                      <w:sz w:val="21"/>
                      <w:szCs w:val="21"/>
                    </w:rPr>
                  </w:pPr>
                  <w:r>
                    <w:rPr>
                      <w:rFonts w:cs="Times New Roman"/>
                      <w:color w:val="auto"/>
                      <w:sz w:val="21"/>
                      <w:szCs w:val="21"/>
                    </w:rPr>
                    <w:t>1、新建“两高”项目应按照《关于加强重点行业建设项目区域削减措施监督管理的通知》要求，依据区域环境质量改善目标，制定配套区域污染物削减方案，采取有效的污染物区域削减措施，腾出足够的环境容量。现有“两高”项目应依法制定并严格落实防治土壤与地下水污染的措施。推进水泥、焦化等行业超低排放改造。以电力、焦化、冶炼、钢铁等行业为重点，有序推进现有企业开展全流程智能化、清洁化、循环化、低碳化改造，促进传统产业绿色转</w:t>
                  </w:r>
                  <w:r>
                    <w:rPr>
                      <w:rFonts w:hint="eastAsia" w:cs="Times New Roman"/>
                      <w:color w:val="auto"/>
                      <w:sz w:val="21"/>
                      <w:szCs w:val="21"/>
                      <w:lang w:eastAsia="zh-CN"/>
                    </w:rPr>
                    <w:t>型升</w:t>
                  </w:r>
                  <w:r>
                    <w:rPr>
                      <w:rFonts w:cs="Times New Roman"/>
                      <w:color w:val="auto"/>
                      <w:sz w:val="21"/>
                      <w:szCs w:val="21"/>
                    </w:rPr>
                    <w:t>级，逐步淘汰落后产能。</w:t>
                  </w:r>
                </w:p>
                <w:p>
                  <w:pPr>
                    <w:snapToGrid w:val="0"/>
                    <w:spacing w:line="240" w:lineRule="auto"/>
                    <w:ind w:firstLine="420"/>
                    <w:rPr>
                      <w:rFonts w:cs="Times New Roman"/>
                      <w:color w:val="auto"/>
                      <w:sz w:val="21"/>
                      <w:szCs w:val="21"/>
                    </w:rPr>
                  </w:pPr>
                  <w:r>
                    <w:rPr>
                      <w:rFonts w:cs="Times New Roman"/>
                      <w:color w:val="auto"/>
                      <w:sz w:val="21"/>
                      <w:szCs w:val="21"/>
                    </w:rPr>
                    <w:t>2、加强对废气特别是有毒及恶臭气体的收集和处置，严格控制挥发性有机物（VOCs）排放。</w:t>
                  </w:r>
                </w:p>
                <w:p>
                  <w:pPr>
                    <w:snapToGrid w:val="0"/>
                    <w:spacing w:line="240" w:lineRule="auto"/>
                    <w:ind w:firstLine="420"/>
                    <w:rPr>
                      <w:rFonts w:cs="Times New Roman"/>
                      <w:color w:val="auto"/>
                      <w:sz w:val="21"/>
                      <w:szCs w:val="21"/>
                    </w:rPr>
                  </w:pPr>
                  <w:r>
                    <w:rPr>
                      <w:rFonts w:cs="Times New Roman"/>
                      <w:color w:val="auto"/>
                      <w:sz w:val="21"/>
                      <w:szCs w:val="21"/>
                    </w:rPr>
                    <w:t>3、禁止新建20蒸吨以下燃煤锅炉，现有和新建锅炉大气污染物排放要符合相关要求。</w:t>
                  </w:r>
                </w:p>
                <w:p>
                  <w:pPr>
                    <w:snapToGrid w:val="0"/>
                    <w:spacing w:line="240" w:lineRule="auto"/>
                    <w:ind w:firstLine="420"/>
                    <w:rPr>
                      <w:rFonts w:cs="Times New Roman"/>
                      <w:color w:val="auto"/>
                      <w:sz w:val="21"/>
                      <w:szCs w:val="21"/>
                    </w:rPr>
                  </w:pPr>
                  <w:r>
                    <w:rPr>
                      <w:rFonts w:cs="Times New Roman"/>
                      <w:color w:val="auto"/>
                      <w:sz w:val="21"/>
                      <w:szCs w:val="21"/>
                    </w:rPr>
                    <w:t>4、强化重点行业无组织排放管理。对物料（含废渣）运输、装卸、储存、转移和工艺过程等无组织排放实施深度治理。粉状物料堆场必须进行全封闭，块状物料必须安装抑尘设施。</w:t>
                  </w:r>
                </w:p>
                <w:p>
                  <w:pPr>
                    <w:snapToGrid w:val="0"/>
                    <w:spacing w:line="240" w:lineRule="auto"/>
                    <w:ind w:firstLine="420"/>
                    <w:rPr>
                      <w:rFonts w:cs="Times New Roman"/>
                      <w:color w:val="auto"/>
                      <w:sz w:val="21"/>
                      <w:szCs w:val="21"/>
                    </w:rPr>
                  </w:pPr>
                  <w:r>
                    <w:rPr>
                      <w:rFonts w:cs="Times New Roman"/>
                      <w:color w:val="auto"/>
                      <w:sz w:val="21"/>
                      <w:szCs w:val="21"/>
                    </w:rPr>
                    <w:t>5、以焦化制造、新材料、冶金等行业为重点，有序推进现有企业开展全流程智能化、清洁化、循环化、低碳化改造，促进传统产业绿色转型升级，逐步淘汰落后产能。推进焦化等行业超低排放改造。</w:t>
                  </w:r>
                </w:p>
                <w:p>
                  <w:pPr>
                    <w:snapToGrid w:val="0"/>
                    <w:spacing w:line="240" w:lineRule="auto"/>
                    <w:ind w:firstLine="420"/>
                    <w:rPr>
                      <w:rFonts w:cs="Times New Roman"/>
                      <w:color w:val="auto"/>
                      <w:sz w:val="21"/>
                      <w:szCs w:val="21"/>
                    </w:rPr>
                  </w:pPr>
                  <w:r>
                    <w:rPr>
                      <w:rFonts w:cs="Times New Roman"/>
                      <w:color w:val="auto"/>
                      <w:sz w:val="21"/>
                      <w:szCs w:val="21"/>
                    </w:rPr>
                    <w:t>6、化工园区必须建设集中式污水处理厂及配套管网，实现废水分类收集、分质预处理。</w:t>
                  </w:r>
                </w:p>
                <w:p>
                  <w:pPr>
                    <w:snapToGrid w:val="0"/>
                    <w:spacing w:line="240" w:lineRule="auto"/>
                    <w:ind w:firstLine="420"/>
                    <w:rPr>
                      <w:rFonts w:cs="Times New Roman"/>
                      <w:color w:val="auto"/>
                      <w:sz w:val="21"/>
                      <w:szCs w:val="21"/>
                    </w:rPr>
                  </w:pPr>
                  <w:r>
                    <w:rPr>
                      <w:rFonts w:cs="Times New Roman"/>
                      <w:color w:val="auto"/>
                      <w:sz w:val="21"/>
                      <w:szCs w:val="21"/>
                    </w:rPr>
                    <w:t>7、工业园区的工业企业排放的废水应当按照国家有关规定进行预处理（或者委托具备处理能力的第三方进行集中处理），未达到园区集中处理设施（不含园区企业预处理一级集中处理设施）处理工艺要求的，不得排入工业园区污水集中处理设施。</w:t>
                  </w:r>
                </w:p>
                <w:p>
                  <w:pPr>
                    <w:snapToGrid w:val="0"/>
                    <w:spacing w:line="240" w:lineRule="auto"/>
                    <w:ind w:firstLine="420"/>
                    <w:rPr>
                      <w:rFonts w:cs="Times New Roman"/>
                      <w:color w:val="auto"/>
                      <w:sz w:val="21"/>
                      <w:szCs w:val="21"/>
                    </w:rPr>
                  </w:pPr>
                  <w:r>
                    <w:rPr>
                      <w:rFonts w:cs="Times New Roman"/>
                      <w:color w:val="auto"/>
                      <w:sz w:val="21"/>
                      <w:szCs w:val="21"/>
                    </w:rPr>
                    <w:t>8、固体废物产生量大的化工园区应配套建设固体废物处置设施。</w:t>
                  </w:r>
                </w:p>
                <w:p>
                  <w:pPr>
                    <w:snapToGrid w:val="0"/>
                    <w:spacing w:line="240" w:lineRule="auto"/>
                    <w:ind w:firstLine="420"/>
                    <w:rPr>
                      <w:rFonts w:cs="Times New Roman"/>
                      <w:color w:val="auto"/>
                      <w:sz w:val="21"/>
                      <w:szCs w:val="21"/>
                    </w:rPr>
                  </w:pPr>
                  <w:r>
                    <w:rPr>
                      <w:rFonts w:cs="Times New Roman"/>
                      <w:color w:val="auto"/>
                      <w:sz w:val="21"/>
                      <w:szCs w:val="21"/>
                    </w:rPr>
                    <w:t>9、新建排放重金属污染物的建设项目全面执行重金属重点污染物特别排放限值。全市重点行业重点重金属污染物实行排放总量控制制度，新建、改建、扩建涉重金属重点行业建设项目必须遵循重点重金属污染物排放“减量置换”或“等量替换”的原则，严格把重金属污染物排放总量指标作为排放重金属污染物建设项目环境影响评价审批的前置条件，无明确具体总量来源的，不得批准相关环境影响评价文件。重点重金属污染物包括铅、汞、镉</w:t>
                  </w:r>
                  <w:r>
                    <w:rPr>
                      <w:rFonts w:hint="eastAsia" w:cs="Times New Roman"/>
                      <w:color w:val="auto"/>
                      <w:sz w:val="21"/>
                      <w:szCs w:val="21"/>
                      <w:lang w:eastAsia="zh-CN"/>
                    </w:rPr>
                    <w:t>和</w:t>
                  </w:r>
                  <w:r>
                    <w:rPr>
                      <w:rFonts w:cs="Times New Roman"/>
                      <w:color w:val="auto"/>
                      <w:sz w:val="21"/>
                      <w:szCs w:val="21"/>
                    </w:rPr>
                    <w:t>类金属砷铬。</w:t>
                  </w:r>
                </w:p>
              </w:tc>
              <w:tc>
                <w:tcPr>
                  <w:tcW w:w="1759" w:type="pct"/>
                  <w:vAlign w:val="center"/>
                </w:tcPr>
                <w:p>
                  <w:pPr>
                    <w:snapToGrid w:val="0"/>
                    <w:spacing w:line="240" w:lineRule="auto"/>
                    <w:ind w:firstLine="420"/>
                    <w:rPr>
                      <w:rFonts w:cs="Times New Roman"/>
                      <w:color w:val="auto"/>
                      <w:sz w:val="21"/>
                      <w:szCs w:val="21"/>
                    </w:rPr>
                  </w:pPr>
                  <w:r>
                    <w:rPr>
                      <w:rFonts w:cs="Times New Roman"/>
                      <w:color w:val="auto"/>
                      <w:sz w:val="21"/>
                      <w:szCs w:val="21"/>
                    </w:rPr>
                    <w:t>1、本项目不属于“两高”项目。</w:t>
                  </w:r>
                </w:p>
                <w:p>
                  <w:pPr>
                    <w:snapToGrid w:val="0"/>
                    <w:spacing w:line="240" w:lineRule="auto"/>
                    <w:ind w:firstLine="420"/>
                    <w:rPr>
                      <w:rFonts w:cs="Times New Roman"/>
                      <w:color w:val="auto"/>
                      <w:sz w:val="21"/>
                      <w:szCs w:val="21"/>
                    </w:rPr>
                  </w:pPr>
                  <w:r>
                    <w:rPr>
                      <w:rFonts w:cs="Times New Roman"/>
                      <w:color w:val="auto"/>
                      <w:sz w:val="21"/>
                      <w:szCs w:val="21"/>
                    </w:rPr>
                    <w:t>2、本项目氟化物经处理后，可达标排放。</w:t>
                  </w:r>
                </w:p>
                <w:p>
                  <w:pPr>
                    <w:snapToGrid w:val="0"/>
                    <w:spacing w:line="240" w:lineRule="auto"/>
                    <w:ind w:firstLine="420"/>
                    <w:rPr>
                      <w:rFonts w:cs="Times New Roman"/>
                      <w:color w:val="auto"/>
                      <w:sz w:val="21"/>
                      <w:szCs w:val="21"/>
                    </w:rPr>
                  </w:pPr>
                  <w:r>
                    <w:rPr>
                      <w:rFonts w:cs="Times New Roman"/>
                      <w:color w:val="auto"/>
                      <w:sz w:val="21"/>
                      <w:szCs w:val="21"/>
                    </w:rPr>
                    <w:t>3、本项目不涉及燃煤锅炉的建设。</w:t>
                  </w:r>
                </w:p>
                <w:p>
                  <w:pPr>
                    <w:snapToGrid w:val="0"/>
                    <w:spacing w:line="240" w:lineRule="auto"/>
                    <w:ind w:firstLine="420"/>
                    <w:rPr>
                      <w:rFonts w:cs="Times New Roman"/>
                      <w:color w:val="auto"/>
                      <w:sz w:val="21"/>
                      <w:szCs w:val="21"/>
                    </w:rPr>
                  </w:pPr>
                  <w:r>
                    <w:rPr>
                      <w:rFonts w:cs="Times New Roman"/>
                      <w:color w:val="auto"/>
                      <w:sz w:val="21"/>
                      <w:szCs w:val="21"/>
                    </w:rPr>
                    <w:t>4、本项目生产过程中，物料转运、储存过程中均在全封闭生产车间内进行。</w:t>
                  </w:r>
                </w:p>
                <w:p>
                  <w:pPr>
                    <w:snapToGrid w:val="0"/>
                    <w:spacing w:line="240" w:lineRule="auto"/>
                    <w:ind w:firstLine="420"/>
                    <w:rPr>
                      <w:rFonts w:cs="Times New Roman"/>
                      <w:color w:val="auto"/>
                      <w:sz w:val="21"/>
                      <w:szCs w:val="21"/>
                    </w:rPr>
                  </w:pPr>
                  <w:r>
                    <w:rPr>
                      <w:rFonts w:cs="Times New Roman"/>
                      <w:color w:val="auto"/>
                      <w:sz w:val="21"/>
                      <w:szCs w:val="21"/>
                    </w:rPr>
                    <w:t>5、本项目不属于焦化制造、新材料、冶金等行业。</w:t>
                  </w:r>
                </w:p>
                <w:p>
                  <w:pPr>
                    <w:snapToGrid w:val="0"/>
                    <w:spacing w:line="240" w:lineRule="auto"/>
                    <w:ind w:firstLine="420"/>
                    <w:rPr>
                      <w:rFonts w:cs="Times New Roman"/>
                      <w:color w:val="auto"/>
                      <w:sz w:val="21"/>
                      <w:szCs w:val="21"/>
                    </w:rPr>
                  </w:pPr>
                  <w:r>
                    <w:rPr>
                      <w:rFonts w:cs="Times New Roman"/>
                      <w:color w:val="auto"/>
                      <w:sz w:val="21"/>
                      <w:szCs w:val="21"/>
                    </w:rPr>
                    <w:t>6、本项目无生产废水产生，生活污水排入厂区已建的一座处理能力为50t/d的地埋式一体化污水处理设备，</w:t>
                  </w:r>
                  <w:r>
                    <w:rPr>
                      <w:rFonts w:hint="eastAsia" w:cs="Times New Roman"/>
                      <w:color w:val="auto"/>
                      <w:sz w:val="21"/>
                      <w:szCs w:val="21"/>
                    </w:rPr>
                    <w:t>生活污水、纯水制备浓水及锅炉排水排入厂区已建的一座处理能力为50t/d的地埋式一体化污水处理设备，处理达标后拉运至乌拉特前旗工业园区污水处理厂</w:t>
                  </w:r>
                  <w:r>
                    <w:rPr>
                      <w:rFonts w:cs="Times New Roman"/>
                      <w:color w:val="auto"/>
                      <w:sz w:val="21"/>
                      <w:szCs w:val="21"/>
                    </w:rPr>
                    <w:t>。</w:t>
                  </w:r>
                </w:p>
                <w:p>
                  <w:pPr>
                    <w:snapToGrid w:val="0"/>
                    <w:spacing w:line="240" w:lineRule="auto"/>
                    <w:ind w:firstLine="420"/>
                    <w:rPr>
                      <w:rFonts w:cs="Times New Roman"/>
                      <w:color w:val="auto"/>
                      <w:sz w:val="21"/>
                      <w:szCs w:val="21"/>
                    </w:rPr>
                  </w:pPr>
                  <w:r>
                    <w:rPr>
                      <w:rFonts w:cs="Times New Roman"/>
                      <w:color w:val="auto"/>
                      <w:sz w:val="21"/>
                      <w:szCs w:val="21"/>
                    </w:rPr>
                    <w:t>7、本项目无生产废水产生，生活污水排入厂区已建的一座处理能力为50t/d的地埋式一体化污水处理设备，</w:t>
                  </w:r>
                  <w:r>
                    <w:rPr>
                      <w:rFonts w:hint="eastAsia" w:cs="Times New Roman"/>
                      <w:color w:val="auto"/>
                      <w:sz w:val="21"/>
                      <w:szCs w:val="21"/>
                    </w:rPr>
                    <w:t>生活污水、纯水制备浓水及锅炉排水排入厂区已建的一座处理能力为50t/d的地埋式一体化污水处理设备，处理达标后拉运至乌拉特前旗工业园区污水处理厂</w:t>
                  </w:r>
                  <w:r>
                    <w:rPr>
                      <w:rFonts w:cs="Times New Roman"/>
                      <w:color w:val="auto"/>
                      <w:sz w:val="21"/>
                      <w:szCs w:val="21"/>
                    </w:rPr>
                    <w:t>。</w:t>
                  </w:r>
                </w:p>
                <w:p>
                  <w:pPr>
                    <w:snapToGrid w:val="0"/>
                    <w:spacing w:line="240" w:lineRule="auto"/>
                    <w:ind w:firstLine="420"/>
                    <w:rPr>
                      <w:rFonts w:cs="Times New Roman"/>
                      <w:color w:val="auto"/>
                      <w:sz w:val="21"/>
                      <w:szCs w:val="21"/>
                    </w:rPr>
                  </w:pPr>
                  <w:r>
                    <w:rPr>
                      <w:rFonts w:cs="Times New Roman"/>
                      <w:color w:val="auto"/>
                      <w:sz w:val="21"/>
                      <w:szCs w:val="21"/>
                    </w:rPr>
                    <w:t>8、本项目不属于化工项目。</w:t>
                  </w:r>
                </w:p>
                <w:p>
                  <w:pPr>
                    <w:snapToGrid w:val="0"/>
                    <w:spacing w:line="240" w:lineRule="auto"/>
                    <w:ind w:firstLine="420"/>
                    <w:rPr>
                      <w:rFonts w:cs="Times New Roman"/>
                      <w:color w:val="auto"/>
                      <w:sz w:val="21"/>
                      <w:szCs w:val="21"/>
                    </w:rPr>
                  </w:pPr>
                  <w:r>
                    <w:rPr>
                      <w:rFonts w:cs="Times New Roman"/>
                      <w:color w:val="auto"/>
                      <w:sz w:val="21"/>
                      <w:szCs w:val="21"/>
                    </w:rPr>
                    <w:t>9、本项目不排放重金属污染物。</w:t>
                  </w:r>
                </w:p>
              </w:tc>
              <w:tc>
                <w:tcPr>
                  <w:tcW w:w="500" w:type="pct"/>
                  <w:tcBorders>
                    <w:right w:val="single" w:color="auto" w:sz="4" w:space="0"/>
                  </w:tcBorders>
                  <w:vAlign w:val="center"/>
                </w:tcPr>
                <w:p>
                  <w:pPr>
                    <w:snapToGrid w:val="0"/>
                    <w:spacing w:line="240" w:lineRule="auto"/>
                    <w:ind w:firstLine="0" w:firstLineChars="0"/>
                    <w:rPr>
                      <w:rFonts w:cs="Times New Roman"/>
                      <w:color w:val="auto"/>
                      <w:sz w:val="21"/>
                      <w:szCs w:val="21"/>
                    </w:rPr>
                  </w:pPr>
                  <w:r>
                    <w:rPr>
                      <w:rFonts w:cs="Times New Roman"/>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2" w:type="pct"/>
                  <w:vMerge w:val="continue"/>
                  <w:tcBorders>
                    <w:left w:val="single" w:color="auto" w:sz="4" w:space="0"/>
                  </w:tcBorders>
                  <w:vAlign w:val="center"/>
                </w:tcPr>
                <w:p>
                  <w:pPr>
                    <w:snapToGrid w:val="0"/>
                    <w:spacing w:line="240" w:lineRule="auto"/>
                    <w:ind w:firstLine="0" w:firstLineChars="0"/>
                    <w:jc w:val="center"/>
                    <w:rPr>
                      <w:rFonts w:cs="Times New Roman"/>
                      <w:color w:val="auto"/>
                      <w:sz w:val="21"/>
                      <w:szCs w:val="21"/>
                    </w:rPr>
                  </w:pPr>
                </w:p>
              </w:tc>
              <w:tc>
                <w:tcPr>
                  <w:tcW w:w="299" w:type="pct"/>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环境风险防控</w:t>
                  </w:r>
                </w:p>
              </w:tc>
              <w:tc>
                <w:tcPr>
                  <w:tcW w:w="1940" w:type="pct"/>
                  <w:vAlign w:val="center"/>
                </w:tcPr>
                <w:p>
                  <w:pPr>
                    <w:snapToGrid w:val="0"/>
                    <w:spacing w:line="240" w:lineRule="auto"/>
                    <w:ind w:firstLine="420"/>
                    <w:rPr>
                      <w:rFonts w:cs="Times New Roman"/>
                      <w:color w:val="auto"/>
                      <w:sz w:val="21"/>
                      <w:szCs w:val="21"/>
                    </w:rPr>
                  </w:pPr>
                  <w:r>
                    <w:rPr>
                      <w:rFonts w:cs="Times New Roman"/>
                      <w:color w:val="auto"/>
                      <w:sz w:val="21"/>
                      <w:szCs w:val="21"/>
                    </w:rPr>
                    <w:t>1、园区应建立突发环境事件应急防控体系，增强突发环境事件处置能力，定期更新园区突发事件环境风险应急预案。</w:t>
                  </w:r>
                </w:p>
                <w:p>
                  <w:pPr>
                    <w:snapToGrid w:val="0"/>
                    <w:spacing w:line="240" w:lineRule="auto"/>
                    <w:ind w:firstLine="420"/>
                    <w:rPr>
                      <w:rFonts w:cs="Times New Roman"/>
                      <w:color w:val="auto"/>
                      <w:sz w:val="21"/>
                      <w:szCs w:val="21"/>
                    </w:rPr>
                  </w:pPr>
                  <w:r>
                    <w:rPr>
                      <w:rFonts w:cs="Times New Roman"/>
                      <w:color w:val="auto"/>
                      <w:sz w:val="21"/>
                      <w:szCs w:val="21"/>
                    </w:rPr>
                    <w:t>2、实行排污许可重点管理的排污单位，应当依法安装、使用、维护污染物排放自动监测设备，并与生态环境主管部门的监控设备联网。</w:t>
                  </w:r>
                </w:p>
                <w:p>
                  <w:pPr>
                    <w:snapToGrid w:val="0"/>
                    <w:spacing w:line="240" w:lineRule="auto"/>
                    <w:ind w:firstLine="420"/>
                    <w:rPr>
                      <w:rFonts w:cs="Times New Roman"/>
                      <w:color w:val="auto"/>
                      <w:sz w:val="21"/>
                      <w:szCs w:val="21"/>
                    </w:rPr>
                  </w:pPr>
                  <w:r>
                    <w:rPr>
                      <w:rFonts w:cs="Times New Roman"/>
                      <w:color w:val="auto"/>
                      <w:sz w:val="21"/>
                      <w:szCs w:val="21"/>
                    </w:rPr>
                    <w:t>3、建立项目台账，依法依规预留安全防护距离，加强日常环境风险监管。</w:t>
                  </w:r>
                </w:p>
              </w:tc>
              <w:tc>
                <w:tcPr>
                  <w:tcW w:w="1759" w:type="pct"/>
                  <w:vAlign w:val="center"/>
                </w:tcPr>
                <w:p>
                  <w:pPr>
                    <w:snapToGrid w:val="0"/>
                    <w:spacing w:line="240" w:lineRule="auto"/>
                    <w:ind w:firstLine="420"/>
                    <w:rPr>
                      <w:rFonts w:cs="Times New Roman"/>
                      <w:color w:val="auto"/>
                      <w:sz w:val="21"/>
                      <w:szCs w:val="21"/>
                    </w:rPr>
                  </w:pPr>
                  <w:r>
                    <w:rPr>
                      <w:rFonts w:cs="Times New Roman"/>
                      <w:color w:val="auto"/>
                      <w:sz w:val="21"/>
                      <w:szCs w:val="21"/>
                    </w:rPr>
                    <w:t>1、园区配套设置了突发环境事件应急防控体系。</w:t>
                  </w:r>
                </w:p>
                <w:p>
                  <w:pPr>
                    <w:snapToGrid w:val="0"/>
                    <w:spacing w:line="240" w:lineRule="auto"/>
                    <w:ind w:firstLine="420"/>
                    <w:rPr>
                      <w:rFonts w:cs="Times New Roman"/>
                      <w:color w:val="auto"/>
                      <w:sz w:val="21"/>
                      <w:szCs w:val="21"/>
                    </w:rPr>
                  </w:pPr>
                  <w:r>
                    <w:rPr>
                      <w:rFonts w:cs="Times New Roman"/>
                      <w:color w:val="auto"/>
                      <w:sz w:val="21"/>
                      <w:szCs w:val="21"/>
                    </w:rPr>
                    <w:t>2、本项目不属于排污许可重点管理的排污单位，无须设置自动监测设备。</w:t>
                  </w:r>
                </w:p>
                <w:p>
                  <w:pPr>
                    <w:snapToGrid w:val="0"/>
                    <w:spacing w:line="240" w:lineRule="auto"/>
                    <w:ind w:firstLine="420"/>
                    <w:rPr>
                      <w:rFonts w:cs="Times New Roman"/>
                      <w:color w:val="auto"/>
                      <w:sz w:val="21"/>
                      <w:szCs w:val="21"/>
                    </w:rPr>
                  </w:pPr>
                  <w:r>
                    <w:rPr>
                      <w:rFonts w:cs="Times New Roman"/>
                      <w:color w:val="auto"/>
                      <w:sz w:val="21"/>
                      <w:szCs w:val="21"/>
                    </w:rPr>
                    <w:t>3、本项目运营期应加强日常环境风险监管。</w:t>
                  </w:r>
                </w:p>
              </w:tc>
              <w:tc>
                <w:tcPr>
                  <w:tcW w:w="500" w:type="pct"/>
                  <w:tcBorders>
                    <w:right w:val="single" w:color="auto" w:sz="4" w:space="0"/>
                  </w:tcBorders>
                  <w:vAlign w:val="center"/>
                </w:tcPr>
                <w:p>
                  <w:pPr>
                    <w:snapToGrid w:val="0"/>
                    <w:spacing w:line="240" w:lineRule="auto"/>
                    <w:ind w:firstLine="0" w:firstLineChars="0"/>
                    <w:rPr>
                      <w:rFonts w:cs="Times New Roman"/>
                      <w:color w:val="auto"/>
                      <w:sz w:val="21"/>
                      <w:szCs w:val="21"/>
                    </w:rPr>
                  </w:pPr>
                  <w:r>
                    <w:rPr>
                      <w:rFonts w:cs="Times New Roman"/>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2" w:type="pct"/>
                  <w:vMerge w:val="continue"/>
                  <w:tcBorders>
                    <w:left w:val="single" w:color="auto" w:sz="4" w:space="0"/>
                  </w:tcBorders>
                  <w:vAlign w:val="center"/>
                </w:tcPr>
                <w:p>
                  <w:pPr>
                    <w:snapToGrid w:val="0"/>
                    <w:spacing w:line="240" w:lineRule="auto"/>
                    <w:ind w:firstLine="0" w:firstLineChars="0"/>
                    <w:jc w:val="center"/>
                    <w:rPr>
                      <w:rFonts w:cs="Times New Roman"/>
                      <w:color w:val="auto"/>
                      <w:sz w:val="21"/>
                      <w:szCs w:val="21"/>
                    </w:rPr>
                  </w:pPr>
                </w:p>
              </w:tc>
              <w:tc>
                <w:tcPr>
                  <w:tcW w:w="299" w:type="pct"/>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资源利用效率要求</w:t>
                  </w:r>
                </w:p>
              </w:tc>
              <w:tc>
                <w:tcPr>
                  <w:tcW w:w="1940" w:type="pct"/>
                  <w:vAlign w:val="center"/>
                </w:tcPr>
                <w:p>
                  <w:pPr>
                    <w:snapToGrid w:val="0"/>
                    <w:spacing w:line="240" w:lineRule="auto"/>
                    <w:ind w:firstLine="420"/>
                    <w:rPr>
                      <w:rFonts w:cs="Times New Roman"/>
                      <w:color w:val="auto"/>
                      <w:sz w:val="21"/>
                      <w:szCs w:val="21"/>
                    </w:rPr>
                  </w:pPr>
                  <w:r>
                    <w:rPr>
                      <w:rFonts w:cs="Times New Roman"/>
                      <w:color w:val="auto"/>
                      <w:sz w:val="21"/>
                      <w:szCs w:val="21"/>
                    </w:rPr>
                    <w:t>1、新建、改建、扩建的高耗水工业项目，禁止擅自使用地下水，优先配置利用中水等作为生产水源。</w:t>
                  </w:r>
                </w:p>
                <w:p>
                  <w:pPr>
                    <w:snapToGrid w:val="0"/>
                    <w:spacing w:line="240" w:lineRule="auto"/>
                    <w:ind w:firstLine="420"/>
                    <w:rPr>
                      <w:rFonts w:cs="Times New Roman"/>
                      <w:color w:val="auto"/>
                      <w:sz w:val="21"/>
                      <w:szCs w:val="21"/>
                    </w:rPr>
                  </w:pPr>
                  <w:r>
                    <w:rPr>
                      <w:rFonts w:cs="Times New Roman"/>
                      <w:color w:val="auto"/>
                      <w:sz w:val="21"/>
                      <w:szCs w:val="21"/>
                    </w:rPr>
                    <w:t>2、加强对已建成高污染、高耗水、高耗能项目的监管，有节能节水减排潜力的项目要升级改造，单位产品物耗、能耗、水耗等鼓励逐步达到清洁生产先进水平。</w:t>
                  </w:r>
                </w:p>
                <w:p>
                  <w:pPr>
                    <w:snapToGrid w:val="0"/>
                    <w:spacing w:line="240" w:lineRule="auto"/>
                    <w:ind w:firstLine="420"/>
                    <w:rPr>
                      <w:rFonts w:cs="Times New Roman"/>
                      <w:color w:val="auto"/>
                      <w:sz w:val="21"/>
                      <w:szCs w:val="21"/>
                    </w:rPr>
                  </w:pPr>
                  <w:r>
                    <w:rPr>
                      <w:rFonts w:cs="Times New Roman"/>
                      <w:color w:val="auto"/>
                      <w:sz w:val="21"/>
                      <w:szCs w:val="21"/>
                    </w:rPr>
                    <w:t>3、优先配置利用中水等作为生产水源；具备使用非常规水源条件的园区，限期关闭企业生产用地下水自备水井。</w:t>
                  </w:r>
                </w:p>
                <w:p>
                  <w:pPr>
                    <w:snapToGrid w:val="0"/>
                    <w:spacing w:line="240" w:lineRule="auto"/>
                    <w:ind w:firstLine="420"/>
                    <w:rPr>
                      <w:rFonts w:cs="Times New Roman"/>
                      <w:color w:val="auto"/>
                      <w:sz w:val="21"/>
                      <w:szCs w:val="21"/>
                    </w:rPr>
                  </w:pPr>
                  <w:r>
                    <w:rPr>
                      <w:rFonts w:cs="Times New Roman"/>
                      <w:color w:val="auto"/>
                      <w:sz w:val="21"/>
                      <w:szCs w:val="21"/>
                    </w:rPr>
                    <w:t>4、新建、扩建“两高”项目应采用先进适用的工艺技术和装备，单位产品物耗、能耗、水耗等达到清洁生产先进水平，依法制定并严格落实防治土壤与地下水污染的措施。</w:t>
                  </w:r>
                </w:p>
                <w:p>
                  <w:pPr>
                    <w:snapToGrid w:val="0"/>
                    <w:spacing w:line="240" w:lineRule="auto"/>
                    <w:ind w:firstLine="420"/>
                    <w:rPr>
                      <w:rFonts w:cs="Times New Roman"/>
                      <w:color w:val="auto"/>
                      <w:sz w:val="21"/>
                      <w:szCs w:val="21"/>
                    </w:rPr>
                  </w:pPr>
                  <w:r>
                    <w:rPr>
                      <w:rFonts w:cs="Times New Roman"/>
                      <w:color w:val="auto"/>
                      <w:sz w:val="21"/>
                      <w:szCs w:val="21"/>
                    </w:rPr>
                    <w:t>5、除食品和制药行业外，禁止使用地下水建设高耗水工业项目；工业企业的设备冷却水、空调冷却水、锅炉冷凝水应当循环使用或者回收利用，不得直接排放。</w:t>
                  </w:r>
                </w:p>
              </w:tc>
              <w:tc>
                <w:tcPr>
                  <w:tcW w:w="1759" w:type="pct"/>
                  <w:vAlign w:val="center"/>
                </w:tcPr>
                <w:p>
                  <w:pPr>
                    <w:snapToGrid w:val="0"/>
                    <w:spacing w:line="240" w:lineRule="auto"/>
                    <w:ind w:firstLine="420"/>
                    <w:rPr>
                      <w:rFonts w:cs="Times New Roman"/>
                      <w:color w:val="auto"/>
                      <w:sz w:val="21"/>
                      <w:szCs w:val="21"/>
                    </w:rPr>
                  </w:pPr>
                  <w:r>
                    <w:rPr>
                      <w:rFonts w:cs="Times New Roman"/>
                      <w:color w:val="auto"/>
                      <w:sz w:val="21"/>
                      <w:szCs w:val="21"/>
                    </w:rPr>
                    <w:t>1、本项目生产用水、生活用水采用园区供水管网统一供给。2、本项目不属于高污染、高耗水、高耗能项目。</w:t>
                  </w:r>
                </w:p>
                <w:p>
                  <w:pPr>
                    <w:snapToGrid w:val="0"/>
                    <w:spacing w:line="240" w:lineRule="auto"/>
                    <w:ind w:firstLine="420"/>
                    <w:rPr>
                      <w:rFonts w:cs="Times New Roman"/>
                      <w:color w:val="auto"/>
                      <w:sz w:val="21"/>
                      <w:szCs w:val="21"/>
                    </w:rPr>
                  </w:pPr>
                  <w:r>
                    <w:rPr>
                      <w:rFonts w:cs="Times New Roman"/>
                      <w:color w:val="auto"/>
                      <w:sz w:val="21"/>
                      <w:szCs w:val="21"/>
                    </w:rPr>
                    <w:t>3、本项目生产用水、生活用水采用园区供水管网统一供给。</w:t>
                  </w:r>
                </w:p>
                <w:p>
                  <w:pPr>
                    <w:snapToGrid w:val="0"/>
                    <w:spacing w:line="240" w:lineRule="auto"/>
                    <w:ind w:firstLine="420"/>
                    <w:rPr>
                      <w:rFonts w:cs="Times New Roman"/>
                      <w:color w:val="auto"/>
                      <w:sz w:val="21"/>
                      <w:szCs w:val="21"/>
                    </w:rPr>
                  </w:pPr>
                  <w:r>
                    <w:rPr>
                      <w:rFonts w:cs="Times New Roman"/>
                      <w:color w:val="auto"/>
                      <w:sz w:val="21"/>
                      <w:szCs w:val="21"/>
                    </w:rPr>
                    <w:t>4、本项目不属于“两高”项目。</w:t>
                  </w:r>
                </w:p>
                <w:p>
                  <w:pPr>
                    <w:snapToGrid w:val="0"/>
                    <w:spacing w:line="240" w:lineRule="auto"/>
                    <w:ind w:firstLine="420"/>
                    <w:rPr>
                      <w:rFonts w:cs="Times New Roman"/>
                      <w:color w:val="auto"/>
                      <w:sz w:val="21"/>
                      <w:szCs w:val="21"/>
                    </w:rPr>
                  </w:pPr>
                  <w:r>
                    <w:rPr>
                      <w:rFonts w:cs="Times New Roman"/>
                      <w:color w:val="auto"/>
                      <w:sz w:val="21"/>
                      <w:szCs w:val="21"/>
                    </w:rPr>
                    <w:t>5、本项目无生产废水排放。</w:t>
                  </w:r>
                </w:p>
              </w:tc>
              <w:tc>
                <w:tcPr>
                  <w:tcW w:w="500" w:type="pct"/>
                  <w:vAlign w:val="center"/>
                </w:tcPr>
                <w:p>
                  <w:pPr>
                    <w:snapToGrid w:val="0"/>
                    <w:spacing w:line="240" w:lineRule="auto"/>
                    <w:ind w:firstLine="0" w:firstLineChars="0"/>
                    <w:rPr>
                      <w:rFonts w:cs="Times New Roman"/>
                      <w:color w:val="auto"/>
                      <w:sz w:val="21"/>
                      <w:szCs w:val="21"/>
                    </w:rPr>
                  </w:pPr>
                  <w:r>
                    <w:rPr>
                      <w:rFonts w:cs="Times New Roman"/>
                      <w:color w:val="auto"/>
                      <w:sz w:val="21"/>
                      <w:szCs w:val="21"/>
                    </w:rPr>
                    <w:t>符合</w:t>
                  </w:r>
                </w:p>
              </w:tc>
            </w:tr>
          </w:tbl>
          <w:p>
            <w:pPr>
              <w:tabs>
                <w:tab w:val="center" w:pos="4153"/>
                <w:tab w:val="right" w:pos="8306"/>
              </w:tabs>
              <w:ind w:firstLine="480"/>
              <w:rPr>
                <w:rFonts w:cs="Times New Roman"/>
                <w:color w:val="auto"/>
              </w:rPr>
            </w:pPr>
            <w:r>
              <w:rPr>
                <w:rFonts w:cs="Times New Roman"/>
                <w:color w:val="auto"/>
              </w:rPr>
              <w:t>根据《巴彦淖尔市人民政府办公室关于巴彦淖尔市2023年生态环境分区管控成果动态更新的通知》（巴政办字〔2023〕106号），巴彦淖尔市全市共划定环境管控单元256个，包括优先保护单元、重点管控单元、一般管控单元三类，实施分类管控。</w:t>
            </w:r>
          </w:p>
          <w:p>
            <w:pPr>
              <w:tabs>
                <w:tab w:val="center" w:pos="4153"/>
                <w:tab w:val="right" w:pos="8306"/>
              </w:tabs>
              <w:ind w:firstLine="480"/>
              <w:rPr>
                <w:rFonts w:cs="Times New Roman"/>
                <w:color w:val="auto"/>
              </w:rPr>
            </w:pPr>
            <w:r>
              <w:rPr>
                <w:rFonts w:cs="Times New Roman"/>
                <w:color w:val="auto"/>
              </w:rPr>
              <w:t>本项目属于乌拉特前旗工业园区环境管控单元，管控单元类别为重点管控单元，环境管控单元编码ZH15082320001，从空间布局约束、污染物排放管控、环境风险防控、资源利用效率要求等方面分析，扩建项目配套设置环保措施，环境影响及环境风险可控。</w:t>
            </w:r>
          </w:p>
          <w:p>
            <w:pPr>
              <w:tabs>
                <w:tab w:val="center" w:pos="4153"/>
                <w:tab w:val="right" w:pos="8306"/>
              </w:tabs>
              <w:ind w:firstLine="480"/>
              <w:rPr>
                <w:rFonts w:cs="Times New Roman"/>
                <w:color w:val="auto"/>
              </w:rPr>
            </w:pPr>
            <w:r>
              <w:rPr>
                <w:rFonts w:cs="Times New Roman"/>
                <w:color w:val="auto"/>
              </w:rPr>
              <w:t>因此，本项目符合三线一单管控要求。</w:t>
            </w:r>
          </w:p>
          <w:p>
            <w:pPr>
              <w:spacing w:line="240" w:lineRule="auto"/>
              <w:ind w:firstLine="0" w:firstLineChars="0"/>
              <w:jc w:val="center"/>
              <w:rPr>
                <w:color w:val="auto"/>
                <w:sz w:val="21"/>
                <w:szCs w:val="21"/>
              </w:rPr>
            </w:pPr>
          </w:p>
          <w:p>
            <w:pPr>
              <w:ind w:firstLine="480"/>
              <w:jc w:val="left"/>
              <w:rPr>
                <w:rFonts w:cs="Times New Roman"/>
                <w:color w:val="auto"/>
              </w:rPr>
            </w:pPr>
          </w:p>
          <w:p>
            <w:pPr>
              <w:pStyle w:val="2"/>
              <w:ind w:left="0" w:leftChars="0"/>
              <w:rPr>
                <w:color w:val="auto"/>
                <w:lang w:eastAsia="zh-CN" w:bidi="ar-SA"/>
              </w:rPr>
            </w:pPr>
          </w:p>
        </w:tc>
      </w:tr>
    </w:tbl>
    <w:p>
      <w:pPr>
        <w:ind w:firstLine="560"/>
        <w:rPr>
          <w:rFonts w:cs="Times New Roman"/>
          <w:color w:val="auto"/>
          <w:sz w:val="28"/>
          <w:szCs w:val="28"/>
        </w:rPr>
      </w:pPr>
    </w:p>
    <w:p>
      <w:pPr>
        <w:ind w:firstLine="560"/>
        <w:rPr>
          <w:rFonts w:cs="Times New Roman"/>
          <w:color w:val="auto"/>
          <w:sz w:val="28"/>
          <w:szCs w:val="28"/>
        </w:rPr>
        <w:sectPr>
          <w:footerReference r:id="rId11" w:type="default"/>
          <w:pgSz w:w="11906" w:h="16838"/>
          <w:pgMar w:top="1440" w:right="1800" w:bottom="1440" w:left="1800" w:header="851" w:footer="992" w:gutter="0"/>
          <w:pgNumType w:start="1"/>
          <w:cols w:space="425" w:num="1"/>
          <w:docGrid w:type="lines" w:linePitch="312" w:charSpace="0"/>
        </w:sectPr>
      </w:pPr>
    </w:p>
    <w:p>
      <w:pPr>
        <w:pStyle w:val="3"/>
        <w:ind w:firstLine="562"/>
        <w:rPr>
          <w:rFonts w:eastAsia="宋体" w:cs="Times New Roman"/>
          <w:color w:val="auto"/>
        </w:rPr>
      </w:pPr>
      <w:r>
        <w:rPr>
          <w:rFonts w:eastAsia="宋体" w:cs="Times New Roman"/>
          <w:color w:val="auto"/>
        </w:rPr>
        <w:t>二、建设项目工程分析</w:t>
      </w:r>
    </w:p>
    <w:tbl>
      <w:tblPr>
        <w:tblStyle w:val="27"/>
        <w:tblW w:w="91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7"/>
        <w:gridCol w:w="87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457" w:type="dxa"/>
            <w:vAlign w:val="center"/>
          </w:tcPr>
          <w:p>
            <w:pPr>
              <w:ind w:firstLine="0" w:firstLineChars="0"/>
              <w:jc w:val="center"/>
              <w:rPr>
                <w:rFonts w:cs="Times New Roman"/>
                <w:b/>
                <w:bCs/>
                <w:color w:val="auto"/>
              </w:rPr>
            </w:pPr>
            <w:r>
              <w:rPr>
                <w:rFonts w:cs="Times New Roman"/>
                <w:b/>
                <w:bCs/>
                <w:color w:val="auto"/>
              </w:rPr>
              <w:t>建设内容</w:t>
            </w:r>
          </w:p>
        </w:tc>
        <w:tc>
          <w:tcPr>
            <w:tcW w:w="8739" w:type="dxa"/>
            <w:vAlign w:val="center"/>
          </w:tcPr>
          <w:p>
            <w:pPr>
              <w:ind w:firstLine="482"/>
              <w:rPr>
                <w:rFonts w:cs="Times New Roman"/>
                <w:b/>
                <w:bCs/>
                <w:color w:val="auto"/>
              </w:rPr>
            </w:pPr>
            <w:r>
              <w:rPr>
                <w:rFonts w:cs="Times New Roman"/>
                <w:b/>
                <w:bCs/>
                <w:color w:val="auto"/>
              </w:rPr>
              <w:t>1、现有厂区概况</w:t>
            </w:r>
          </w:p>
          <w:p>
            <w:pPr>
              <w:ind w:firstLine="480"/>
              <w:rPr>
                <w:color w:val="auto"/>
              </w:rPr>
            </w:pPr>
            <w:r>
              <w:rPr>
                <w:color w:val="auto"/>
              </w:rPr>
              <w:t>本项目位于内蒙古自治区巴彦淖尔市乌拉特前旗工业园区巴彦淖尔市同晨新材料有限责任公司厂区内。</w:t>
            </w:r>
          </w:p>
          <w:p>
            <w:pPr>
              <w:ind w:firstLine="480"/>
              <w:rPr>
                <w:color w:val="auto"/>
              </w:rPr>
            </w:pPr>
            <w:r>
              <w:rPr>
                <w:color w:val="auto"/>
              </w:rPr>
              <w:t>同晨公司现有工程包括1500t/a单一稀土金属建设项目（含钕铁硼废边角料焙烧窑生产线、稀土氧化物电解生产线）和600吨/年磁性材料机加工项目。其中，1500t/a单一稀土金属建设项目于2006年2月通过巴彦淖尔市环境保护局审批（巴环审表[2006]51号），该项目于2009年3月开工建设，钕铁硼废边角料焙烧窑生产线于2011年12月通过巴彦淖尔市环境保护局验收（巴环验[2011]57号），稀土氧化物电解生产线于2016年10月通过巴彦淖尔市环境保护局验收（巴环验[2016]58号），600吨/年磁性材料机加工项目于2013年11月通过巴彦淖尔市环境保护局审批（巴环审发〔2013〕56号），该项目于2013年11月开工建设，2015年2月通过巴彦淖尔市环境保护局验收（巴环验[2015]12号）。</w:t>
            </w:r>
          </w:p>
          <w:p>
            <w:pPr>
              <w:ind w:firstLine="480"/>
              <w:rPr>
                <w:rFonts w:hint="eastAsia"/>
                <w:color w:val="auto"/>
              </w:rPr>
            </w:pPr>
            <w:r>
              <w:rPr>
                <w:color w:val="auto"/>
              </w:rPr>
              <w:t>2019年7月，中冶东方控股有限公司编制完成《巴彦淖尔市同晨新材料有限责任公司年产3000吨稀土金属和稀土合金项目环境影响报告书》。2019年9月12日巴彦淖尔市生态环境局以巴环审发〔2019〕30号文对该项目环境影响报告书予以批复</w:t>
            </w:r>
            <w:r>
              <w:rPr>
                <w:rFonts w:hint="eastAsia"/>
                <w:color w:val="auto"/>
              </w:rPr>
              <w:t>，</w:t>
            </w:r>
            <w:r>
              <w:rPr>
                <w:color w:val="auto"/>
              </w:rPr>
              <w:t>同年完成验收工作</w:t>
            </w:r>
            <w:r>
              <w:rPr>
                <w:rFonts w:hint="eastAsia"/>
                <w:color w:val="auto"/>
              </w:rPr>
              <w:t>；并于2022年12月16日取得巴彦淖尔市生态环境局颁发的排污许可证，证书编号：91150823660979453N001V。</w:t>
            </w:r>
          </w:p>
          <w:p>
            <w:pPr>
              <w:ind w:firstLine="480"/>
              <w:rPr>
                <w:rFonts w:cs="Times New Roman"/>
                <w:color w:val="auto"/>
              </w:rPr>
            </w:pPr>
            <w:r>
              <w:rPr>
                <w:rFonts w:cs="Times New Roman"/>
                <w:color w:val="auto"/>
              </w:rPr>
              <w:t>本项目利用</w:t>
            </w:r>
            <w:r>
              <w:rPr>
                <w:rFonts w:cs="Times New Roman"/>
                <w:bCs/>
                <w:color w:val="auto"/>
              </w:rPr>
              <w:t>巴彦淖尔市同晨新材料有限责任公司厂区内北侧、西北侧两个预留车间</w:t>
            </w:r>
            <w:r>
              <w:rPr>
                <w:rFonts w:cs="Times New Roman"/>
                <w:color w:val="auto"/>
              </w:rPr>
              <w:t>进行建设。其中生产车间利旧，生产设施新建，原料库和成品库依托现有厂区。</w:t>
            </w:r>
          </w:p>
          <w:p>
            <w:pPr>
              <w:ind w:firstLine="482"/>
              <w:rPr>
                <w:rFonts w:cs="Times New Roman"/>
                <w:b/>
                <w:bCs/>
                <w:color w:val="auto"/>
              </w:rPr>
            </w:pPr>
            <w:r>
              <w:rPr>
                <w:rFonts w:cs="Times New Roman"/>
                <w:b/>
                <w:bCs/>
                <w:color w:val="auto"/>
              </w:rPr>
              <w:t>2、本次工程建设概况</w:t>
            </w:r>
          </w:p>
          <w:p>
            <w:pPr>
              <w:ind w:firstLine="482"/>
              <w:rPr>
                <w:rFonts w:cs="Times New Roman"/>
                <w:b/>
                <w:bCs/>
                <w:color w:val="auto"/>
              </w:rPr>
            </w:pPr>
            <w:r>
              <w:rPr>
                <w:rFonts w:cs="Times New Roman"/>
                <w:b/>
                <w:bCs/>
                <w:color w:val="auto"/>
              </w:rPr>
              <w:t>2.1本次工程基本建设概况</w:t>
            </w:r>
          </w:p>
          <w:p>
            <w:pPr>
              <w:ind w:firstLine="480"/>
              <w:rPr>
                <w:rFonts w:cs="Times New Roman"/>
                <w:color w:val="auto"/>
              </w:rPr>
            </w:pPr>
            <w:r>
              <w:rPr>
                <w:rFonts w:cs="Times New Roman"/>
                <w:color w:val="auto"/>
              </w:rPr>
              <w:t>（1）项目名称：巴彦淖尔市同晨新材料有限责任公司年产3000吨高端稀土抛光材料生产项目。</w:t>
            </w:r>
          </w:p>
          <w:p>
            <w:pPr>
              <w:ind w:firstLine="480"/>
              <w:rPr>
                <w:rFonts w:cs="Times New Roman"/>
                <w:color w:val="auto"/>
              </w:rPr>
            </w:pPr>
            <w:r>
              <w:rPr>
                <w:rFonts w:cs="Times New Roman"/>
                <w:color w:val="auto"/>
              </w:rPr>
              <w:t>（2）建设性质：新建。</w:t>
            </w:r>
          </w:p>
          <w:p>
            <w:pPr>
              <w:ind w:firstLine="480"/>
              <w:rPr>
                <w:rFonts w:cs="Times New Roman"/>
                <w:color w:val="auto"/>
              </w:rPr>
            </w:pPr>
            <w:r>
              <w:rPr>
                <w:rFonts w:cs="Times New Roman"/>
                <w:color w:val="auto"/>
              </w:rPr>
              <w:t>（3）建设单位：巴彦淖尔市同晨新材料有限责任公司。</w:t>
            </w:r>
          </w:p>
          <w:p>
            <w:pPr>
              <w:ind w:firstLine="480"/>
              <w:rPr>
                <w:rFonts w:cs="Times New Roman"/>
                <w:color w:val="auto"/>
              </w:rPr>
            </w:pPr>
            <w:r>
              <w:rPr>
                <w:rFonts w:cs="Times New Roman"/>
                <w:color w:val="auto"/>
              </w:rPr>
              <w:t>（4）建设地点：本项目位于巴彦淖尔市乌拉特前旗工业园区</w:t>
            </w:r>
            <w:r>
              <w:rPr>
                <w:rFonts w:cs="Times New Roman"/>
                <w:bCs/>
                <w:color w:val="auto"/>
              </w:rPr>
              <w:t>巴彦淖尔市同晨新材料有限责任公司厂区内</w:t>
            </w:r>
            <w:r>
              <w:rPr>
                <w:rFonts w:cs="Times New Roman"/>
                <w:color w:val="auto"/>
              </w:rPr>
              <w:t>，项目厂址四界坐标地理见下表1。位置图见附图1。</w:t>
            </w:r>
          </w:p>
          <w:p>
            <w:pPr>
              <w:ind w:firstLine="482"/>
              <w:jc w:val="center"/>
              <w:rPr>
                <w:rFonts w:cs="Times New Roman"/>
                <w:b/>
                <w:bCs/>
                <w:color w:val="auto"/>
              </w:rPr>
            </w:pPr>
            <w:r>
              <w:rPr>
                <w:rFonts w:cs="Times New Roman"/>
                <w:b/>
                <w:bCs/>
                <w:color w:val="auto"/>
              </w:rPr>
              <w:t>表2-1本项目厂址坐标</w:t>
            </w:r>
          </w:p>
          <w:tbl>
            <w:tblPr>
              <w:tblStyle w:val="27"/>
              <w:tblW w:w="500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94"/>
              <w:gridCol w:w="4087"/>
              <w:gridCol w:w="284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48" w:type="dxa"/>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序号</w:t>
                  </w:r>
                </w:p>
              </w:tc>
              <w:tc>
                <w:tcPr>
                  <w:tcW w:w="3969" w:type="dxa"/>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经度</w:t>
                  </w:r>
                </w:p>
              </w:tc>
              <w:tc>
                <w:tcPr>
                  <w:tcW w:w="2760" w:type="dxa"/>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纬度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48"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w:t>
                  </w:r>
                </w:p>
              </w:tc>
              <w:tc>
                <w:tcPr>
                  <w:tcW w:w="3969"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109°18′29″</w:t>
                  </w:r>
                </w:p>
              </w:tc>
              <w:tc>
                <w:tcPr>
                  <w:tcW w:w="2760"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40°36′34″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48"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2</w:t>
                  </w:r>
                </w:p>
              </w:tc>
              <w:tc>
                <w:tcPr>
                  <w:tcW w:w="3969"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109°18′35″</w:t>
                  </w:r>
                </w:p>
              </w:tc>
              <w:tc>
                <w:tcPr>
                  <w:tcW w:w="2760"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40°36′34″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48"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3</w:t>
                  </w:r>
                </w:p>
              </w:tc>
              <w:tc>
                <w:tcPr>
                  <w:tcW w:w="3969"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109°18′35″</w:t>
                  </w:r>
                </w:p>
              </w:tc>
              <w:tc>
                <w:tcPr>
                  <w:tcW w:w="2760"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40°36′27″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48"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4</w:t>
                  </w:r>
                </w:p>
              </w:tc>
              <w:tc>
                <w:tcPr>
                  <w:tcW w:w="3969"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109°18′29″</w:t>
                  </w:r>
                </w:p>
              </w:tc>
              <w:tc>
                <w:tcPr>
                  <w:tcW w:w="2760"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40°36′27″</w:t>
                  </w:r>
                </w:p>
              </w:tc>
            </w:tr>
          </w:tbl>
          <w:p>
            <w:pPr>
              <w:ind w:firstLine="480"/>
              <w:rPr>
                <w:rFonts w:cs="Times New Roman"/>
                <w:color w:val="auto"/>
              </w:rPr>
            </w:pPr>
            <w:r>
              <w:rPr>
                <w:rFonts w:cs="Times New Roman"/>
                <w:color w:val="auto"/>
              </w:rPr>
              <w:t>（5）项目投资：总投资3500万元，其中环保投资为54万元，占总投资的1.54%。</w:t>
            </w:r>
          </w:p>
          <w:p>
            <w:pPr>
              <w:ind w:firstLine="480"/>
              <w:rPr>
                <w:rFonts w:cs="Times New Roman"/>
                <w:color w:val="auto"/>
              </w:rPr>
            </w:pPr>
            <w:r>
              <w:rPr>
                <w:rFonts w:cs="Times New Roman"/>
                <w:color w:val="auto"/>
              </w:rPr>
              <w:t>（6）项目四邻关系：厂址东侧为旺达金属、南侧为园区规划道路，西侧为园区预留工业用地，北侧为万金隆钢构。项目厂区四邻关系图见附图4。</w:t>
            </w:r>
          </w:p>
          <w:p>
            <w:pPr>
              <w:ind w:firstLine="480"/>
              <w:rPr>
                <w:rFonts w:cs="Times New Roman"/>
                <w:color w:val="auto"/>
              </w:rPr>
            </w:pPr>
            <w:r>
              <w:rPr>
                <w:rFonts w:cs="Times New Roman"/>
                <w:color w:val="auto"/>
              </w:rPr>
              <w:t>（7）建设内容：本项目利用</w:t>
            </w:r>
            <w:r>
              <w:rPr>
                <w:rFonts w:cs="Times New Roman"/>
                <w:bCs/>
                <w:color w:val="auto"/>
              </w:rPr>
              <w:t>巴彦淖尔市同晨新材料有限责任公司北侧、西北侧两个预留车间</w:t>
            </w:r>
            <w:r>
              <w:rPr>
                <w:rFonts w:cs="Times New Roman"/>
                <w:color w:val="auto"/>
              </w:rPr>
              <w:t>进行建设。其中生产车间利旧，生产设施新建，原料库和成品库依托现有厂区。</w:t>
            </w:r>
          </w:p>
          <w:p>
            <w:pPr>
              <w:ind w:firstLine="480"/>
              <w:rPr>
                <w:rFonts w:cs="Times New Roman"/>
                <w:color w:val="auto"/>
              </w:rPr>
            </w:pPr>
            <w:bookmarkStart w:id="3" w:name="_Hlk162003065"/>
            <w:bookmarkStart w:id="4" w:name="_Hlk163638403"/>
            <w:r>
              <w:rPr>
                <w:rFonts w:cs="Times New Roman"/>
                <w:color w:val="auto"/>
              </w:rPr>
              <w:t>本项目分两期进行建设，一期工程建设内容包括建设电加热辊道窑1套、天然气辊道窑1套、闪蒸干燥1套、喷雾干燥1套、天然气锅炉2台以及附属配套设施，建成后生产规模为年产1500吨高端稀土抛光材料；二期建设内容包括建设回转窑1条、闪蒸干燥1套、天然气锅炉1台以及附属配套设施，建成后生产规模为年产1500吨高端稀土抛光材料。</w:t>
            </w:r>
            <w:bookmarkEnd w:id="3"/>
            <w:r>
              <w:rPr>
                <w:rFonts w:cs="Times New Roman"/>
                <w:color w:val="auto"/>
              </w:rPr>
              <w:t>本项目建成后，生产总规模为年产3000吨高端稀土抛光材料。一期建成投产后二期进行建设。</w:t>
            </w:r>
          </w:p>
          <w:bookmarkEnd w:id="4"/>
          <w:p>
            <w:pPr>
              <w:ind w:firstLine="480"/>
              <w:rPr>
                <w:rFonts w:cs="Times New Roman"/>
                <w:color w:val="auto"/>
              </w:rPr>
            </w:pPr>
            <w:r>
              <w:rPr>
                <w:rFonts w:cs="Times New Roman"/>
                <w:color w:val="auto"/>
              </w:rPr>
              <w:t>本项目工程组成见表2-2。</w:t>
            </w:r>
          </w:p>
          <w:p>
            <w:pPr>
              <w:ind w:firstLine="482"/>
              <w:jc w:val="center"/>
              <w:rPr>
                <w:rFonts w:cs="Times New Roman"/>
                <w:b/>
                <w:bCs/>
                <w:color w:val="auto"/>
                <w:szCs w:val="32"/>
              </w:rPr>
            </w:pPr>
            <w:r>
              <w:rPr>
                <w:rFonts w:cs="Times New Roman"/>
                <w:b/>
                <w:bCs/>
                <w:color w:val="auto"/>
                <w:szCs w:val="32"/>
              </w:rPr>
              <w:t>表2-2项目工程组成一览表</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86"/>
              <w:gridCol w:w="1464"/>
              <w:gridCol w:w="5054"/>
              <w:gridCol w:w="91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7" w:type="pct"/>
                  <w:tcBorders>
                    <w:tl2br w:val="nil"/>
                    <w:tr2bl w:val="nil"/>
                  </w:tcBorders>
                  <w:vAlign w:val="center"/>
                </w:tcPr>
                <w:p>
                  <w:pPr>
                    <w:snapToGrid w:val="0"/>
                    <w:spacing w:line="240" w:lineRule="auto"/>
                    <w:ind w:firstLine="0" w:firstLineChars="0"/>
                    <w:jc w:val="center"/>
                    <w:rPr>
                      <w:rFonts w:cs="Times New Roman"/>
                      <w:b/>
                      <w:bCs/>
                      <w:color w:val="auto"/>
                      <w:sz w:val="21"/>
                      <w:szCs w:val="21"/>
                    </w:rPr>
                  </w:pPr>
                  <w:bookmarkStart w:id="5" w:name="_Hlk162003073"/>
                  <w:r>
                    <w:rPr>
                      <w:rFonts w:cs="Times New Roman"/>
                      <w:b/>
                      <w:bCs/>
                      <w:color w:val="auto"/>
                      <w:sz w:val="21"/>
                      <w:szCs w:val="21"/>
                    </w:rPr>
                    <w:t>名称</w:t>
                  </w:r>
                </w:p>
              </w:tc>
              <w:tc>
                <w:tcPr>
                  <w:tcW w:w="3824" w:type="pct"/>
                  <w:gridSpan w:val="2"/>
                  <w:tcBorders>
                    <w:tl2br w:val="nil"/>
                    <w:tr2bl w:val="nil"/>
                  </w:tcBorders>
                  <w:vAlign w:val="center"/>
                </w:tcPr>
                <w:p>
                  <w:pPr>
                    <w:snapToGrid w:val="0"/>
                    <w:spacing w:line="240" w:lineRule="auto"/>
                    <w:ind w:firstLine="0" w:firstLineChars="0"/>
                    <w:jc w:val="center"/>
                    <w:rPr>
                      <w:rFonts w:cs="Times New Roman"/>
                      <w:b/>
                      <w:bCs/>
                      <w:color w:val="auto"/>
                      <w:sz w:val="21"/>
                      <w:szCs w:val="21"/>
                    </w:rPr>
                  </w:pPr>
                  <w:r>
                    <w:rPr>
                      <w:rFonts w:cs="Times New Roman"/>
                      <w:b/>
                      <w:bCs/>
                      <w:color w:val="auto"/>
                      <w:sz w:val="21"/>
                      <w:szCs w:val="21"/>
                    </w:rPr>
                    <w:t>项目主要建设内容</w:t>
                  </w:r>
                </w:p>
              </w:tc>
              <w:tc>
                <w:tcPr>
                  <w:tcW w:w="539" w:type="pct"/>
                  <w:tcBorders>
                    <w:tl2br w:val="nil"/>
                    <w:tr2bl w:val="nil"/>
                  </w:tcBorders>
                  <w:vAlign w:val="center"/>
                </w:tcPr>
                <w:p>
                  <w:pPr>
                    <w:snapToGrid w:val="0"/>
                    <w:spacing w:line="240" w:lineRule="auto"/>
                    <w:ind w:firstLine="0" w:firstLineChars="0"/>
                    <w:jc w:val="center"/>
                    <w:rPr>
                      <w:rFonts w:cs="Times New Roman"/>
                      <w:b/>
                      <w:bCs/>
                      <w:color w:val="auto"/>
                      <w:sz w:val="21"/>
                      <w:szCs w:val="21"/>
                    </w:rPr>
                  </w:pPr>
                  <w:r>
                    <w:rPr>
                      <w:rFonts w:cs="Times New Roman"/>
                      <w:b/>
                      <w:bCs/>
                      <w:color w:val="auto"/>
                      <w:sz w:val="21"/>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7" w:type="pct"/>
                  <w:vMerge w:val="restart"/>
                  <w:tcBorders>
                    <w:tl2br w:val="nil"/>
                    <w:tr2bl w:val="nil"/>
                  </w:tcBorders>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主体工程</w:t>
                  </w:r>
                </w:p>
              </w:tc>
              <w:tc>
                <w:tcPr>
                  <w:tcW w:w="859" w:type="pct"/>
                  <w:tcBorders>
                    <w:tl2br w:val="nil"/>
                    <w:tr2bl w:val="nil"/>
                  </w:tcBorders>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1#生产车间（一期工程）</w:t>
                  </w:r>
                </w:p>
              </w:tc>
              <w:tc>
                <w:tcPr>
                  <w:tcW w:w="2965" w:type="pct"/>
                  <w:tcBorders>
                    <w:tl2br w:val="nil"/>
                    <w:tr2bl w:val="nil"/>
                  </w:tcBorders>
                  <w:vAlign w:val="center"/>
                </w:tcPr>
                <w:p>
                  <w:pPr>
                    <w:snapToGrid w:val="0"/>
                    <w:spacing w:line="240" w:lineRule="auto"/>
                    <w:ind w:firstLine="420"/>
                    <w:rPr>
                      <w:rFonts w:cs="Times New Roman"/>
                      <w:color w:val="auto"/>
                      <w:sz w:val="21"/>
                      <w:szCs w:val="21"/>
                    </w:rPr>
                  </w:pPr>
                  <w:r>
                    <w:rPr>
                      <w:rFonts w:cs="Times New Roman"/>
                      <w:color w:val="auto"/>
                      <w:sz w:val="21"/>
                      <w:szCs w:val="21"/>
                    </w:rPr>
                    <w:t>车间位于厂区西北侧，占地面积为1471m</w:t>
                  </w:r>
                  <w:r>
                    <w:rPr>
                      <w:rFonts w:cs="Times New Roman"/>
                      <w:color w:val="auto"/>
                      <w:sz w:val="21"/>
                      <w:szCs w:val="21"/>
                      <w:vertAlign w:val="superscript"/>
                    </w:rPr>
                    <w:t>2</w:t>
                  </w:r>
                  <w:r>
                    <w:rPr>
                      <w:rFonts w:cs="Times New Roman"/>
                      <w:color w:val="auto"/>
                      <w:sz w:val="21"/>
                      <w:szCs w:val="21"/>
                    </w:rPr>
                    <w:t>，高度为11m，全封闭钢结构，内设置氟化工序、煅烧工序、湿法研磨工序、干法气流粉碎工序、</w:t>
                  </w:r>
                  <w:r>
                    <w:rPr>
                      <w:rFonts w:cs="Times New Roman"/>
                      <w:color w:val="auto"/>
                      <w:kern w:val="0"/>
                      <w:sz w:val="21"/>
                      <w:szCs w:val="21"/>
                    </w:rPr>
                    <w:t>混料包装工段。</w:t>
                  </w:r>
                </w:p>
                <w:p>
                  <w:pPr>
                    <w:snapToGrid w:val="0"/>
                    <w:spacing w:line="240" w:lineRule="auto"/>
                    <w:ind w:firstLine="0" w:firstLineChars="0"/>
                    <w:rPr>
                      <w:rFonts w:cs="Times New Roman"/>
                      <w:color w:val="auto"/>
                      <w:sz w:val="21"/>
                      <w:szCs w:val="21"/>
                    </w:rPr>
                  </w:pPr>
                  <w:r>
                    <w:rPr>
                      <w:rFonts w:cs="Times New Roman"/>
                      <w:color w:val="auto"/>
                      <w:sz w:val="21"/>
                      <w:szCs w:val="21"/>
                    </w:rPr>
                    <w:t>内设电加热辊道窑1套、天然气辊道窑1套、闪蒸干燥1套、混料机2台、筛分机2台、气流粉碎机2台、射流分级机1台、喷雾干燥1套、天然气锅炉2台（吨位为2t）。车间地面已进行混凝土硬化。</w:t>
                  </w:r>
                </w:p>
              </w:tc>
              <w:tc>
                <w:tcPr>
                  <w:tcW w:w="539" w:type="pct"/>
                  <w:tcBorders>
                    <w:tl2br w:val="nil"/>
                    <w:tr2bl w:val="nil"/>
                  </w:tcBorders>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生产车间利旧，生产设施新建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7" w:type="pct"/>
                  <w:vMerge w:val="continue"/>
                  <w:tcBorders>
                    <w:tl2br w:val="nil"/>
                    <w:tr2bl w:val="nil"/>
                  </w:tcBorders>
                  <w:vAlign w:val="center"/>
                </w:tcPr>
                <w:p>
                  <w:pPr>
                    <w:snapToGrid w:val="0"/>
                    <w:spacing w:line="240" w:lineRule="auto"/>
                    <w:ind w:firstLine="0" w:firstLineChars="0"/>
                    <w:jc w:val="center"/>
                    <w:rPr>
                      <w:rFonts w:cs="Times New Roman"/>
                      <w:color w:val="auto"/>
                      <w:sz w:val="21"/>
                      <w:szCs w:val="21"/>
                    </w:rPr>
                  </w:pPr>
                </w:p>
              </w:tc>
              <w:tc>
                <w:tcPr>
                  <w:tcW w:w="859" w:type="pct"/>
                  <w:tcBorders>
                    <w:tl2br w:val="nil"/>
                    <w:tr2bl w:val="nil"/>
                  </w:tcBorders>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2#生产车间（二期工程）</w:t>
                  </w:r>
                </w:p>
              </w:tc>
              <w:tc>
                <w:tcPr>
                  <w:tcW w:w="2965" w:type="pct"/>
                  <w:tcBorders>
                    <w:tl2br w:val="nil"/>
                    <w:tr2bl w:val="nil"/>
                  </w:tcBorders>
                  <w:vAlign w:val="center"/>
                </w:tcPr>
                <w:p>
                  <w:pPr>
                    <w:snapToGrid w:val="0"/>
                    <w:spacing w:line="240" w:lineRule="auto"/>
                    <w:ind w:firstLine="420"/>
                    <w:rPr>
                      <w:rFonts w:cs="Times New Roman"/>
                      <w:color w:val="auto"/>
                      <w:sz w:val="21"/>
                      <w:szCs w:val="21"/>
                    </w:rPr>
                  </w:pPr>
                  <w:r>
                    <w:rPr>
                      <w:rFonts w:cs="Times New Roman"/>
                      <w:color w:val="auto"/>
                      <w:sz w:val="21"/>
                      <w:szCs w:val="21"/>
                    </w:rPr>
                    <w:t>位于厂区北侧，占地面积为648m</w:t>
                  </w:r>
                  <w:r>
                    <w:rPr>
                      <w:rFonts w:cs="Times New Roman"/>
                      <w:color w:val="auto"/>
                      <w:sz w:val="21"/>
                      <w:szCs w:val="21"/>
                      <w:vertAlign w:val="superscript"/>
                    </w:rPr>
                    <w:t>2</w:t>
                  </w:r>
                  <w:r>
                    <w:rPr>
                      <w:rFonts w:cs="Times New Roman"/>
                      <w:color w:val="auto"/>
                      <w:sz w:val="21"/>
                      <w:szCs w:val="21"/>
                    </w:rPr>
                    <w:t>，高度为11m，全封闭钢结构，内设置氟化工序、煅烧工序，后续湿法研磨工序、干法气流粉碎工序、</w:t>
                  </w:r>
                  <w:r>
                    <w:rPr>
                      <w:rFonts w:cs="Times New Roman"/>
                      <w:color w:val="auto"/>
                      <w:kern w:val="0"/>
                      <w:sz w:val="21"/>
                      <w:szCs w:val="21"/>
                    </w:rPr>
                    <w:t>混料包装工段与一期共用。</w:t>
                  </w:r>
                  <w:r>
                    <w:rPr>
                      <w:rFonts w:cs="Times New Roman"/>
                      <w:color w:val="auto"/>
                      <w:sz w:val="21"/>
                      <w:szCs w:val="21"/>
                    </w:rPr>
                    <w:t>内设置回转窑1套、闪蒸干燥1套、天然气锅炉1台（吨位为2t）。车间地面已进行混凝土硬化。</w:t>
                  </w:r>
                </w:p>
              </w:tc>
              <w:tc>
                <w:tcPr>
                  <w:tcW w:w="539" w:type="pct"/>
                  <w:tcBorders>
                    <w:tl2br w:val="nil"/>
                    <w:tr2bl w:val="nil"/>
                  </w:tcBorders>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生产车间利旧，生产设施新建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7" w:type="pct"/>
                  <w:vMerge w:val="restart"/>
                  <w:tcBorders>
                    <w:tl2br w:val="nil"/>
                    <w:tr2bl w:val="nil"/>
                  </w:tcBorders>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储运工程</w:t>
                  </w:r>
                </w:p>
              </w:tc>
              <w:tc>
                <w:tcPr>
                  <w:tcW w:w="859" w:type="pct"/>
                  <w:tcBorders>
                    <w:tl2br w:val="nil"/>
                    <w:tr2bl w:val="nil"/>
                  </w:tcBorders>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原料库</w:t>
                  </w:r>
                </w:p>
              </w:tc>
              <w:tc>
                <w:tcPr>
                  <w:tcW w:w="2965" w:type="pct"/>
                  <w:tcBorders>
                    <w:tl2br w:val="nil"/>
                    <w:tr2bl w:val="nil"/>
                  </w:tcBorders>
                  <w:vAlign w:val="center"/>
                </w:tcPr>
                <w:p>
                  <w:pPr>
                    <w:snapToGrid w:val="0"/>
                    <w:spacing w:line="240" w:lineRule="auto"/>
                    <w:ind w:firstLine="420"/>
                    <w:rPr>
                      <w:rFonts w:cs="Times New Roman"/>
                      <w:bCs/>
                      <w:color w:val="auto"/>
                      <w:sz w:val="21"/>
                      <w:szCs w:val="21"/>
                    </w:rPr>
                  </w:pPr>
                  <w:r>
                    <w:rPr>
                      <w:rFonts w:cs="Times New Roman"/>
                      <w:color w:val="auto"/>
                      <w:sz w:val="21"/>
                      <w:szCs w:val="21"/>
                    </w:rPr>
                    <w:t>原料库位于1#生产车间东面，已建成，尺寸为（15m×15m×4.5m），主要存放原料</w:t>
                  </w:r>
                  <w:r>
                    <w:rPr>
                      <w:rFonts w:cs="Times New Roman"/>
                      <w:bCs/>
                      <w:color w:val="auto"/>
                      <w:sz w:val="21"/>
                      <w:szCs w:val="21"/>
                      <w:lang w:val="zh-CN"/>
                    </w:rPr>
                    <w:t>碳酸</w:t>
                  </w:r>
                  <w:r>
                    <w:rPr>
                      <w:rFonts w:cs="Times New Roman"/>
                      <w:bCs/>
                      <w:color w:val="auto"/>
                      <w:sz w:val="21"/>
                      <w:szCs w:val="21"/>
                    </w:rPr>
                    <w:t>镧铈和辅料氢氟酸，</w:t>
                  </w:r>
                  <w:r>
                    <w:rPr>
                      <w:rFonts w:cs="Times New Roman"/>
                      <w:bCs/>
                      <w:color w:val="auto"/>
                      <w:sz w:val="21"/>
                      <w:szCs w:val="21"/>
                      <w:lang w:val="zh-CN"/>
                    </w:rPr>
                    <w:t>碳酸</w:t>
                  </w:r>
                  <w:r>
                    <w:rPr>
                      <w:rFonts w:cs="Times New Roman"/>
                      <w:bCs/>
                      <w:color w:val="auto"/>
                      <w:sz w:val="21"/>
                      <w:szCs w:val="21"/>
                    </w:rPr>
                    <w:t>镧铈采用袋装，氢氟酸采用桶装，设置1个1t规格大小的桶，并设置150mm围堰，设置1个容积为10m</w:t>
                  </w:r>
                  <w:r>
                    <w:rPr>
                      <w:rFonts w:cs="Times New Roman"/>
                      <w:bCs/>
                      <w:color w:val="auto"/>
                      <w:sz w:val="21"/>
                      <w:szCs w:val="21"/>
                      <w:vertAlign w:val="superscript"/>
                    </w:rPr>
                    <w:t>3</w:t>
                  </w:r>
                  <w:r>
                    <w:rPr>
                      <w:rFonts w:cs="Times New Roman"/>
                      <w:bCs/>
                      <w:color w:val="auto"/>
                      <w:sz w:val="21"/>
                      <w:szCs w:val="21"/>
                    </w:rPr>
                    <w:t>的事故罐，</w:t>
                  </w:r>
                  <w:r>
                    <w:rPr>
                      <w:rFonts w:hint="eastAsia" w:cs="Times New Roman"/>
                      <w:bCs/>
                      <w:color w:val="auto"/>
                      <w:sz w:val="21"/>
                      <w:szCs w:val="21"/>
                    </w:rPr>
                    <w:t>用于事故状态下氢氟酸泄漏收集，并在事故罐顶部设置集气装置，将挥发的废气引至喷淋塔处理；</w:t>
                  </w:r>
                  <w:r>
                    <w:rPr>
                      <w:rFonts w:cs="Times New Roman"/>
                      <w:bCs/>
                      <w:color w:val="auto"/>
                      <w:sz w:val="21"/>
                      <w:szCs w:val="21"/>
                    </w:rPr>
                    <w:t>氢氟酸原料储存区域按照重点防渗</w:t>
                  </w:r>
                  <w:r>
                    <w:rPr>
                      <w:rFonts w:hint="eastAsia" w:cs="Times New Roman"/>
                      <w:bCs/>
                      <w:color w:val="auto"/>
                      <w:sz w:val="21"/>
                      <w:szCs w:val="21"/>
                    </w:rPr>
                    <w:t>、防腐</w:t>
                  </w:r>
                  <w:r>
                    <w:rPr>
                      <w:rFonts w:cs="Times New Roman"/>
                      <w:bCs/>
                      <w:color w:val="auto"/>
                      <w:sz w:val="21"/>
                      <w:szCs w:val="21"/>
                    </w:rPr>
                    <w:t>要求，要求为等效黏土防渗层Mb≥6m，K≤1×10</w:t>
                  </w:r>
                  <w:r>
                    <w:rPr>
                      <w:rFonts w:cs="Times New Roman"/>
                      <w:bCs/>
                      <w:color w:val="auto"/>
                      <w:sz w:val="21"/>
                      <w:szCs w:val="21"/>
                      <w:vertAlign w:val="superscript"/>
                    </w:rPr>
                    <w:t>-7</w:t>
                  </w:r>
                  <w:r>
                    <w:rPr>
                      <w:rFonts w:cs="Times New Roman"/>
                      <w:bCs/>
                      <w:color w:val="auto"/>
                      <w:sz w:val="21"/>
                      <w:szCs w:val="21"/>
                    </w:rPr>
                    <w:t>cm/s；</w:t>
                  </w:r>
                </w:p>
                <w:p>
                  <w:pPr>
                    <w:snapToGrid w:val="0"/>
                    <w:spacing w:line="240" w:lineRule="auto"/>
                    <w:ind w:firstLine="420"/>
                    <w:rPr>
                      <w:rFonts w:cs="Times New Roman"/>
                      <w:bCs/>
                      <w:color w:val="auto"/>
                      <w:sz w:val="21"/>
                      <w:szCs w:val="21"/>
                    </w:rPr>
                  </w:pPr>
                  <w:r>
                    <w:rPr>
                      <w:rFonts w:cs="Times New Roman"/>
                      <w:bCs/>
                      <w:color w:val="auto"/>
                      <w:sz w:val="21"/>
                      <w:szCs w:val="21"/>
                    </w:rPr>
                    <w:t>目前原料库主要存放钕铁硼废边角料，目前剩余空间还可容纳约200t的物料。</w:t>
                  </w:r>
                </w:p>
              </w:tc>
              <w:tc>
                <w:tcPr>
                  <w:tcW w:w="539" w:type="pct"/>
                  <w:tcBorders>
                    <w:tl2br w:val="nil"/>
                    <w:tr2bl w:val="nil"/>
                  </w:tcBorders>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依托现有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7" w:type="pct"/>
                  <w:vMerge w:val="continue"/>
                  <w:tcBorders>
                    <w:tl2br w:val="nil"/>
                    <w:tr2bl w:val="nil"/>
                  </w:tcBorders>
                  <w:vAlign w:val="center"/>
                </w:tcPr>
                <w:p>
                  <w:pPr>
                    <w:snapToGrid w:val="0"/>
                    <w:spacing w:line="240" w:lineRule="auto"/>
                    <w:ind w:firstLine="0" w:firstLineChars="0"/>
                    <w:jc w:val="center"/>
                    <w:rPr>
                      <w:rFonts w:cs="Times New Roman"/>
                      <w:color w:val="auto"/>
                      <w:sz w:val="21"/>
                      <w:szCs w:val="21"/>
                    </w:rPr>
                  </w:pPr>
                </w:p>
              </w:tc>
              <w:tc>
                <w:tcPr>
                  <w:tcW w:w="859" w:type="pct"/>
                  <w:tcBorders>
                    <w:tl2br w:val="nil"/>
                    <w:tr2bl w:val="nil"/>
                  </w:tcBorders>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产品库</w:t>
                  </w:r>
                </w:p>
              </w:tc>
              <w:tc>
                <w:tcPr>
                  <w:tcW w:w="2965" w:type="pct"/>
                  <w:tcBorders>
                    <w:tl2br w:val="nil"/>
                    <w:tr2bl w:val="nil"/>
                  </w:tcBorders>
                  <w:vAlign w:val="center"/>
                </w:tcPr>
                <w:p>
                  <w:pPr>
                    <w:snapToGrid w:val="0"/>
                    <w:spacing w:line="240" w:lineRule="auto"/>
                    <w:ind w:firstLine="420"/>
                    <w:rPr>
                      <w:rFonts w:cs="Times New Roman"/>
                      <w:color w:val="auto"/>
                      <w:sz w:val="21"/>
                      <w:szCs w:val="21"/>
                    </w:rPr>
                  </w:pPr>
                  <w:r>
                    <w:rPr>
                      <w:rFonts w:cs="Times New Roman"/>
                      <w:color w:val="auto"/>
                      <w:sz w:val="21"/>
                      <w:szCs w:val="21"/>
                    </w:rPr>
                    <w:t>产品库紧靠原料库旁，尺寸为（48m×6m×4m），已建成，地面已进行钢筋混凝土+渗透结晶型防水剂，渗透系数≤10</w:t>
                  </w:r>
                  <w:r>
                    <w:rPr>
                      <w:rFonts w:cs="Times New Roman"/>
                      <w:color w:val="auto"/>
                      <w:sz w:val="21"/>
                      <w:szCs w:val="21"/>
                      <w:vertAlign w:val="superscript"/>
                    </w:rPr>
                    <w:t>-7</w:t>
                  </w:r>
                  <w:r>
                    <w:rPr>
                      <w:rFonts w:cs="Times New Roman"/>
                      <w:color w:val="auto"/>
                      <w:sz w:val="21"/>
                      <w:szCs w:val="21"/>
                    </w:rPr>
                    <w:t>cm/s，主要存放产品</w:t>
                  </w:r>
                  <w:r>
                    <w:rPr>
                      <w:rFonts w:cs="Times New Roman"/>
                      <w:color w:val="auto"/>
                      <w:kern w:val="0"/>
                      <w:sz w:val="21"/>
                      <w:szCs w:val="21"/>
                      <w:lang w:val="zh-CN"/>
                    </w:rPr>
                    <w:t>抛光粉</w:t>
                  </w:r>
                  <w:r>
                    <w:rPr>
                      <w:rFonts w:cs="Times New Roman"/>
                      <w:color w:val="auto"/>
                      <w:sz w:val="21"/>
                      <w:szCs w:val="21"/>
                    </w:rPr>
                    <w:t>，</w:t>
                  </w:r>
                  <w:r>
                    <w:rPr>
                      <w:rFonts w:cs="Times New Roman"/>
                      <w:bCs/>
                      <w:color w:val="auto"/>
                      <w:sz w:val="21"/>
                      <w:szCs w:val="21"/>
                    </w:rPr>
                    <w:t>采用袋装。目前产品库主要存放钕铁硼产品，目前剩余空间还可容纳约300t的物料。</w:t>
                  </w:r>
                </w:p>
              </w:tc>
              <w:tc>
                <w:tcPr>
                  <w:tcW w:w="539" w:type="pct"/>
                  <w:tcBorders>
                    <w:tl2br w:val="nil"/>
                    <w:tr2bl w:val="nil"/>
                  </w:tcBorders>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依托现有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7" w:type="pct"/>
                  <w:vMerge w:val="continue"/>
                  <w:tcBorders>
                    <w:tl2br w:val="nil"/>
                    <w:tr2bl w:val="nil"/>
                  </w:tcBorders>
                  <w:vAlign w:val="center"/>
                </w:tcPr>
                <w:p>
                  <w:pPr>
                    <w:snapToGrid w:val="0"/>
                    <w:spacing w:line="240" w:lineRule="auto"/>
                    <w:ind w:firstLine="0" w:firstLineChars="0"/>
                    <w:jc w:val="center"/>
                    <w:rPr>
                      <w:rFonts w:cs="Times New Roman"/>
                      <w:color w:val="auto"/>
                      <w:sz w:val="21"/>
                      <w:szCs w:val="21"/>
                    </w:rPr>
                  </w:pPr>
                </w:p>
              </w:tc>
              <w:tc>
                <w:tcPr>
                  <w:tcW w:w="859" w:type="pct"/>
                  <w:tcBorders>
                    <w:tl2br w:val="nil"/>
                    <w:tr2bl w:val="nil"/>
                  </w:tcBorders>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一般固废暂存库</w:t>
                  </w:r>
                </w:p>
              </w:tc>
              <w:tc>
                <w:tcPr>
                  <w:tcW w:w="2965" w:type="pct"/>
                  <w:tcBorders>
                    <w:tl2br w:val="nil"/>
                    <w:tr2bl w:val="nil"/>
                  </w:tcBorders>
                  <w:vAlign w:val="center"/>
                </w:tcPr>
                <w:p>
                  <w:pPr>
                    <w:snapToGrid w:val="0"/>
                    <w:spacing w:line="240" w:lineRule="auto"/>
                    <w:ind w:firstLine="420"/>
                    <w:rPr>
                      <w:rFonts w:cs="Times New Roman"/>
                      <w:color w:val="auto"/>
                      <w:sz w:val="21"/>
                      <w:szCs w:val="21"/>
                    </w:rPr>
                  </w:pPr>
                  <w:r>
                    <w:rPr>
                      <w:rFonts w:cs="Times New Roman"/>
                      <w:color w:val="auto"/>
                      <w:sz w:val="21"/>
                      <w:szCs w:val="21"/>
                    </w:rPr>
                    <w:t>现有一般固废暂存库位于2#生产车间的南侧，面积约为861m</w:t>
                  </w:r>
                  <w:r>
                    <w:rPr>
                      <w:rFonts w:cs="Times New Roman"/>
                      <w:color w:val="auto"/>
                      <w:sz w:val="21"/>
                      <w:szCs w:val="21"/>
                      <w:vertAlign w:val="superscript"/>
                    </w:rPr>
                    <w:t>2</w:t>
                  </w:r>
                  <w:r>
                    <w:rPr>
                      <w:rFonts w:cs="Times New Roman"/>
                      <w:color w:val="auto"/>
                      <w:sz w:val="21"/>
                      <w:szCs w:val="21"/>
                    </w:rPr>
                    <w:t>，储存本项目产生的废外包装袋、除尘灰、沉降粉尘等，均采用吨袋袋装。</w:t>
                  </w:r>
                </w:p>
                <w:p>
                  <w:pPr>
                    <w:snapToGrid w:val="0"/>
                    <w:spacing w:line="240" w:lineRule="auto"/>
                    <w:ind w:firstLine="420"/>
                    <w:rPr>
                      <w:rFonts w:cs="Times New Roman"/>
                      <w:color w:val="auto"/>
                      <w:sz w:val="21"/>
                      <w:szCs w:val="21"/>
                    </w:rPr>
                  </w:pPr>
                  <w:r>
                    <w:rPr>
                      <w:rFonts w:cs="Times New Roman"/>
                      <w:color w:val="auto"/>
                      <w:sz w:val="21"/>
                      <w:szCs w:val="21"/>
                    </w:rPr>
                    <w:t>地面已进行钢筋混凝土+渗透结晶型防水剂，渗透系数≤10</w:t>
                  </w:r>
                  <w:r>
                    <w:rPr>
                      <w:rFonts w:cs="Times New Roman"/>
                      <w:color w:val="auto"/>
                      <w:sz w:val="21"/>
                      <w:szCs w:val="21"/>
                      <w:vertAlign w:val="superscript"/>
                    </w:rPr>
                    <w:t>-7</w:t>
                  </w:r>
                  <w:r>
                    <w:rPr>
                      <w:rFonts w:cs="Times New Roman"/>
                      <w:color w:val="auto"/>
                      <w:sz w:val="21"/>
                      <w:szCs w:val="21"/>
                    </w:rPr>
                    <w:t>cm/s。</w:t>
                  </w:r>
                  <w:r>
                    <w:rPr>
                      <w:rFonts w:cs="Times New Roman"/>
                      <w:bCs/>
                      <w:color w:val="auto"/>
                      <w:sz w:val="21"/>
                      <w:szCs w:val="21"/>
                    </w:rPr>
                    <w:t>目前</w:t>
                  </w:r>
                  <w:r>
                    <w:rPr>
                      <w:rFonts w:cs="Times New Roman"/>
                      <w:color w:val="auto"/>
                      <w:sz w:val="21"/>
                      <w:szCs w:val="21"/>
                    </w:rPr>
                    <w:t>一般固废暂存库</w:t>
                  </w:r>
                  <w:r>
                    <w:rPr>
                      <w:rFonts w:cs="Times New Roman"/>
                      <w:bCs/>
                      <w:color w:val="auto"/>
                      <w:sz w:val="21"/>
                      <w:szCs w:val="21"/>
                    </w:rPr>
                    <w:t>主要存放厂区非废包装、生产过程中其他一般固废，目前剩余空间还可容纳约300t的物料。</w:t>
                  </w:r>
                </w:p>
              </w:tc>
              <w:tc>
                <w:tcPr>
                  <w:tcW w:w="539" w:type="pct"/>
                  <w:tcBorders>
                    <w:tl2br w:val="nil"/>
                    <w:tr2bl w:val="nil"/>
                  </w:tcBorders>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依托现有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7" w:type="pct"/>
                  <w:vMerge w:val="restart"/>
                  <w:tcBorders>
                    <w:tl2br w:val="nil"/>
                    <w:tr2bl w:val="nil"/>
                  </w:tcBorders>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公用工程</w:t>
                  </w:r>
                </w:p>
              </w:tc>
              <w:tc>
                <w:tcPr>
                  <w:tcW w:w="859" w:type="pct"/>
                  <w:tcBorders>
                    <w:tl2br w:val="nil"/>
                    <w:tr2bl w:val="nil"/>
                  </w:tcBorders>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给水</w:t>
                  </w:r>
                </w:p>
              </w:tc>
              <w:tc>
                <w:tcPr>
                  <w:tcW w:w="2965" w:type="pct"/>
                  <w:tcBorders>
                    <w:tl2br w:val="nil"/>
                    <w:tr2bl w:val="nil"/>
                  </w:tcBorders>
                  <w:vAlign w:val="center"/>
                </w:tcPr>
                <w:p>
                  <w:pPr>
                    <w:snapToGrid w:val="0"/>
                    <w:spacing w:line="240" w:lineRule="auto"/>
                    <w:ind w:firstLine="420"/>
                    <w:rPr>
                      <w:rFonts w:cs="Times New Roman"/>
                      <w:color w:val="auto"/>
                      <w:sz w:val="21"/>
                      <w:szCs w:val="21"/>
                    </w:rPr>
                  </w:pPr>
                  <w:r>
                    <w:rPr>
                      <w:rFonts w:cs="Times New Roman"/>
                      <w:color w:val="auto"/>
                      <w:sz w:val="21"/>
                      <w:szCs w:val="21"/>
                    </w:rPr>
                    <w:t>本项目用水由乌拉特前旗工业园区供水厂统一供给。</w:t>
                  </w:r>
                </w:p>
              </w:tc>
              <w:tc>
                <w:tcPr>
                  <w:tcW w:w="539" w:type="pct"/>
                  <w:tcBorders>
                    <w:tl2br w:val="nil"/>
                    <w:tr2bl w:val="nil"/>
                  </w:tcBorders>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依托现有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7" w:type="pct"/>
                  <w:vMerge w:val="continue"/>
                  <w:tcBorders>
                    <w:tl2br w:val="nil"/>
                    <w:tr2bl w:val="nil"/>
                  </w:tcBorders>
                  <w:vAlign w:val="center"/>
                </w:tcPr>
                <w:p>
                  <w:pPr>
                    <w:snapToGrid w:val="0"/>
                    <w:spacing w:line="240" w:lineRule="auto"/>
                    <w:ind w:firstLine="0" w:firstLineChars="0"/>
                    <w:jc w:val="center"/>
                    <w:rPr>
                      <w:rFonts w:cs="Times New Roman"/>
                      <w:color w:val="auto"/>
                      <w:sz w:val="21"/>
                      <w:szCs w:val="21"/>
                    </w:rPr>
                  </w:pPr>
                </w:p>
              </w:tc>
              <w:tc>
                <w:tcPr>
                  <w:tcW w:w="859" w:type="pct"/>
                  <w:vMerge w:val="restart"/>
                  <w:tcBorders>
                    <w:tl2br w:val="nil"/>
                    <w:tr2bl w:val="nil"/>
                  </w:tcBorders>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排水</w:t>
                  </w:r>
                </w:p>
              </w:tc>
              <w:tc>
                <w:tcPr>
                  <w:tcW w:w="2965" w:type="pct"/>
                  <w:tcBorders>
                    <w:tl2br w:val="nil"/>
                    <w:tr2bl w:val="nil"/>
                  </w:tcBorders>
                  <w:vAlign w:val="center"/>
                </w:tcPr>
                <w:p>
                  <w:pPr>
                    <w:snapToGrid w:val="0"/>
                    <w:spacing w:line="240" w:lineRule="auto"/>
                    <w:ind w:firstLine="420"/>
                    <w:rPr>
                      <w:rFonts w:cs="Times New Roman"/>
                      <w:color w:val="auto"/>
                      <w:sz w:val="21"/>
                      <w:szCs w:val="21"/>
                    </w:rPr>
                  </w:pPr>
                  <w:r>
                    <w:rPr>
                      <w:rFonts w:cs="Times New Roman"/>
                      <w:color w:val="auto"/>
                      <w:sz w:val="21"/>
                      <w:szCs w:val="21"/>
                    </w:rPr>
                    <w:t>本工程循环冷却装置及配套设施采取闭路循环，不外排；氟化后真空脱水后的废水循环到氟化工段，不外排。</w:t>
                  </w:r>
                </w:p>
              </w:tc>
              <w:tc>
                <w:tcPr>
                  <w:tcW w:w="539" w:type="pct"/>
                  <w:tcBorders>
                    <w:tl2br w:val="nil"/>
                    <w:tr2bl w:val="nil"/>
                  </w:tcBorders>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7" w:type="pct"/>
                  <w:vMerge w:val="continue"/>
                  <w:tcBorders>
                    <w:tl2br w:val="nil"/>
                    <w:tr2bl w:val="nil"/>
                  </w:tcBorders>
                  <w:vAlign w:val="center"/>
                </w:tcPr>
                <w:p>
                  <w:pPr>
                    <w:snapToGrid w:val="0"/>
                    <w:spacing w:line="240" w:lineRule="auto"/>
                    <w:ind w:firstLine="0" w:firstLineChars="0"/>
                    <w:jc w:val="center"/>
                    <w:rPr>
                      <w:rFonts w:cs="Times New Roman"/>
                      <w:color w:val="auto"/>
                      <w:sz w:val="21"/>
                      <w:szCs w:val="21"/>
                    </w:rPr>
                  </w:pPr>
                </w:p>
              </w:tc>
              <w:tc>
                <w:tcPr>
                  <w:tcW w:w="859" w:type="pct"/>
                  <w:vMerge w:val="continue"/>
                  <w:tcBorders>
                    <w:tl2br w:val="nil"/>
                    <w:tr2bl w:val="nil"/>
                  </w:tcBorders>
                  <w:vAlign w:val="center"/>
                </w:tcPr>
                <w:p>
                  <w:pPr>
                    <w:snapToGrid w:val="0"/>
                    <w:spacing w:line="240" w:lineRule="auto"/>
                    <w:ind w:firstLine="0" w:firstLineChars="0"/>
                    <w:jc w:val="center"/>
                    <w:rPr>
                      <w:rFonts w:cs="Times New Roman"/>
                      <w:color w:val="auto"/>
                      <w:sz w:val="21"/>
                      <w:szCs w:val="21"/>
                    </w:rPr>
                  </w:pPr>
                </w:p>
              </w:tc>
              <w:tc>
                <w:tcPr>
                  <w:tcW w:w="2965" w:type="pct"/>
                  <w:tcBorders>
                    <w:tl2br w:val="nil"/>
                    <w:tr2bl w:val="nil"/>
                  </w:tcBorders>
                  <w:vAlign w:val="center"/>
                </w:tcPr>
                <w:p>
                  <w:pPr>
                    <w:snapToGrid w:val="0"/>
                    <w:spacing w:line="240" w:lineRule="auto"/>
                    <w:ind w:firstLine="420"/>
                    <w:rPr>
                      <w:rFonts w:cs="Times New Roman"/>
                      <w:color w:val="auto"/>
                      <w:sz w:val="21"/>
                      <w:szCs w:val="21"/>
                    </w:rPr>
                  </w:pPr>
                  <w:r>
                    <w:rPr>
                      <w:rFonts w:cs="Times New Roman"/>
                      <w:color w:val="auto"/>
                      <w:sz w:val="21"/>
                      <w:szCs w:val="21"/>
                    </w:rPr>
                    <w:t>本项目运营后外排废水主要为生活污水、纯水制备含盐废水和锅炉排水。</w:t>
                  </w:r>
                </w:p>
                <w:p>
                  <w:pPr>
                    <w:snapToGrid w:val="0"/>
                    <w:spacing w:line="240" w:lineRule="auto"/>
                    <w:ind w:firstLine="420"/>
                    <w:rPr>
                      <w:rFonts w:cs="Times New Roman"/>
                      <w:color w:val="auto"/>
                      <w:sz w:val="21"/>
                      <w:szCs w:val="21"/>
                    </w:rPr>
                  </w:pPr>
                  <w:r>
                    <w:rPr>
                      <w:rFonts w:cs="Times New Roman"/>
                      <w:color w:val="auto"/>
                      <w:sz w:val="21"/>
                      <w:szCs w:val="21"/>
                    </w:rPr>
                    <w:t>生活污水、纯水制备含盐废水和锅炉排水依托厂区已建的一座处理能力为50t/d的地埋式一体化污水处理设备，处理达标后</w:t>
                  </w:r>
                  <w:r>
                    <w:rPr>
                      <w:rFonts w:hint="eastAsia" w:cs="Times New Roman"/>
                      <w:color w:val="auto"/>
                      <w:sz w:val="21"/>
                      <w:szCs w:val="21"/>
                    </w:rPr>
                    <w:t>满足《稀土工业污染物排放标准》（GB26451-2011）表2新建企业水污染物排放浓度限值及单位产品基准排水量中“间接排放限值”后拉运至</w:t>
                  </w:r>
                  <w:r>
                    <w:rPr>
                      <w:rFonts w:cs="Times New Roman"/>
                      <w:color w:val="auto"/>
                      <w:sz w:val="21"/>
                      <w:szCs w:val="21"/>
                    </w:rPr>
                    <w:t>乌拉特前旗工业园区污水处理厂。</w:t>
                  </w:r>
                </w:p>
              </w:tc>
              <w:tc>
                <w:tcPr>
                  <w:tcW w:w="539" w:type="pct"/>
                  <w:tcBorders>
                    <w:tl2br w:val="nil"/>
                    <w:tr2bl w:val="nil"/>
                  </w:tcBorders>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依托现有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7" w:type="pct"/>
                  <w:vMerge w:val="continue"/>
                  <w:tcBorders>
                    <w:tl2br w:val="nil"/>
                    <w:tr2bl w:val="nil"/>
                  </w:tcBorders>
                  <w:vAlign w:val="center"/>
                </w:tcPr>
                <w:p>
                  <w:pPr>
                    <w:snapToGrid w:val="0"/>
                    <w:spacing w:line="240" w:lineRule="auto"/>
                    <w:ind w:firstLine="0" w:firstLineChars="0"/>
                    <w:jc w:val="center"/>
                    <w:rPr>
                      <w:rFonts w:cs="Times New Roman"/>
                      <w:color w:val="auto"/>
                      <w:sz w:val="21"/>
                      <w:szCs w:val="21"/>
                    </w:rPr>
                  </w:pPr>
                </w:p>
              </w:tc>
              <w:tc>
                <w:tcPr>
                  <w:tcW w:w="859" w:type="pct"/>
                  <w:tcBorders>
                    <w:tl2br w:val="nil"/>
                    <w:tr2bl w:val="nil"/>
                  </w:tcBorders>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供电</w:t>
                  </w:r>
                </w:p>
              </w:tc>
              <w:tc>
                <w:tcPr>
                  <w:tcW w:w="2965" w:type="pct"/>
                  <w:tcBorders>
                    <w:tl2br w:val="nil"/>
                    <w:tr2bl w:val="nil"/>
                  </w:tcBorders>
                  <w:vAlign w:val="center"/>
                </w:tcPr>
                <w:p>
                  <w:pPr>
                    <w:snapToGrid w:val="0"/>
                    <w:spacing w:line="240" w:lineRule="auto"/>
                    <w:ind w:firstLine="420"/>
                    <w:rPr>
                      <w:rFonts w:cs="Times New Roman"/>
                      <w:color w:val="auto"/>
                      <w:sz w:val="21"/>
                      <w:szCs w:val="21"/>
                    </w:rPr>
                  </w:pPr>
                  <w:r>
                    <w:rPr>
                      <w:rFonts w:cs="Times New Roman"/>
                      <w:color w:val="auto"/>
                      <w:sz w:val="21"/>
                      <w:szCs w:val="21"/>
                    </w:rPr>
                    <w:t>本项目供电由乌拉特前旗工业园区供电管网供给。</w:t>
                  </w:r>
                </w:p>
              </w:tc>
              <w:tc>
                <w:tcPr>
                  <w:tcW w:w="539" w:type="pct"/>
                  <w:tcBorders>
                    <w:tl2br w:val="nil"/>
                    <w:tr2bl w:val="nil"/>
                  </w:tcBorders>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依托现有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7" w:type="pct"/>
                  <w:vMerge w:val="continue"/>
                  <w:tcBorders>
                    <w:tl2br w:val="nil"/>
                    <w:tr2bl w:val="nil"/>
                  </w:tcBorders>
                  <w:vAlign w:val="center"/>
                </w:tcPr>
                <w:p>
                  <w:pPr>
                    <w:snapToGrid w:val="0"/>
                    <w:spacing w:line="240" w:lineRule="auto"/>
                    <w:ind w:firstLine="0" w:firstLineChars="0"/>
                    <w:jc w:val="center"/>
                    <w:rPr>
                      <w:rFonts w:cs="Times New Roman"/>
                      <w:color w:val="auto"/>
                      <w:sz w:val="21"/>
                      <w:szCs w:val="21"/>
                    </w:rPr>
                  </w:pPr>
                </w:p>
              </w:tc>
              <w:tc>
                <w:tcPr>
                  <w:tcW w:w="859" w:type="pct"/>
                  <w:tcBorders>
                    <w:tl2br w:val="nil"/>
                    <w:tr2bl w:val="nil"/>
                  </w:tcBorders>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供暖</w:t>
                  </w:r>
                </w:p>
              </w:tc>
              <w:tc>
                <w:tcPr>
                  <w:tcW w:w="2965" w:type="pct"/>
                  <w:tcBorders>
                    <w:tl2br w:val="nil"/>
                    <w:tr2bl w:val="nil"/>
                  </w:tcBorders>
                  <w:vAlign w:val="center"/>
                </w:tcPr>
                <w:p>
                  <w:pPr>
                    <w:snapToGrid w:val="0"/>
                    <w:spacing w:line="240" w:lineRule="auto"/>
                    <w:ind w:firstLine="420"/>
                    <w:rPr>
                      <w:rFonts w:cs="Times New Roman"/>
                      <w:color w:val="auto"/>
                      <w:sz w:val="21"/>
                      <w:szCs w:val="21"/>
                    </w:rPr>
                  </w:pPr>
                  <w:r>
                    <w:rPr>
                      <w:rFonts w:cs="Times New Roman"/>
                      <w:color w:val="auto"/>
                      <w:sz w:val="21"/>
                      <w:szCs w:val="21"/>
                    </w:rPr>
                    <w:t>冬季生产车间内不需要供暖</w:t>
                  </w:r>
                </w:p>
              </w:tc>
              <w:tc>
                <w:tcPr>
                  <w:tcW w:w="539" w:type="pct"/>
                  <w:tcBorders>
                    <w:tl2br w:val="nil"/>
                    <w:tr2bl w:val="nil"/>
                  </w:tcBorders>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7" w:type="pct"/>
                  <w:vMerge w:val="continue"/>
                  <w:tcBorders>
                    <w:tl2br w:val="nil"/>
                    <w:tr2bl w:val="nil"/>
                  </w:tcBorders>
                  <w:vAlign w:val="center"/>
                </w:tcPr>
                <w:p>
                  <w:pPr>
                    <w:snapToGrid w:val="0"/>
                    <w:spacing w:line="240" w:lineRule="auto"/>
                    <w:ind w:firstLine="0" w:firstLineChars="0"/>
                    <w:jc w:val="center"/>
                    <w:rPr>
                      <w:rFonts w:cs="Times New Roman"/>
                      <w:color w:val="auto"/>
                      <w:sz w:val="21"/>
                      <w:szCs w:val="21"/>
                    </w:rPr>
                  </w:pPr>
                </w:p>
              </w:tc>
              <w:tc>
                <w:tcPr>
                  <w:tcW w:w="859" w:type="pct"/>
                  <w:tcBorders>
                    <w:tl2br w:val="nil"/>
                    <w:tr2bl w:val="nil"/>
                  </w:tcBorders>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供气</w:t>
                  </w:r>
                </w:p>
              </w:tc>
              <w:tc>
                <w:tcPr>
                  <w:tcW w:w="2965" w:type="pct"/>
                  <w:tcBorders>
                    <w:tl2br w:val="nil"/>
                    <w:tr2bl w:val="nil"/>
                  </w:tcBorders>
                  <w:vAlign w:val="center"/>
                </w:tcPr>
                <w:p>
                  <w:pPr>
                    <w:snapToGrid w:val="0"/>
                    <w:spacing w:line="240" w:lineRule="auto"/>
                    <w:ind w:firstLine="420"/>
                    <w:rPr>
                      <w:rFonts w:cs="Times New Roman"/>
                      <w:color w:val="auto"/>
                      <w:sz w:val="21"/>
                      <w:szCs w:val="21"/>
                    </w:rPr>
                  </w:pPr>
                  <w:r>
                    <w:rPr>
                      <w:rFonts w:cs="Times New Roman"/>
                      <w:color w:val="auto"/>
                      <w:sz w:val="21"/>
                      <w:szCs w:val="21"/>
                    </w:rPr>
                    <w:t>一期设置2台燃气锅炉（1用1备），二期设置1台燃气锅炉，产生蒸汽供给氟化工序加温。</w:t>
                  </w:r>
                </w:p>
              </w:tc>
              <w:tc>
                <w:tcPr>
                  <w:tcW w:w="539" w:type="pct"/>
                  <w:tcBorders>
                    <w:tl2br w:val="nil"/>
                    <w:tr2bl w:val="nil"/>
                  </w:tcBorders>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7" w:type="pct"/>
                  <w:vMerge w:val="restart"/>
                  <w:tcBorders>
                    <w:tl2br w:val="nil"/>
                    <w:tr2bl w:val="nil"/>
                  </w:tcBorders>
                  <w:vAlign w:val="center"/>
                </w:tcPr>
                <w:p>
                  <w:pPr>
                    <w:snapToGrid w:val="0"/>
                    <w:spacing w:line="240" w:lineRule="auto"/>
                    <w:ind w:firstLine="0" w:firstLineChars="0"/>
                    <w:jc w:val="center"/>
                    <w:rPr>
                      <w:rFonts w:cs="Times New Roman"/>
                      <w:color w:val="auto"/>
                      <w:sz w:val="21"/>
                      <w:szCs w:val="21"/>
                    </w:rPr>
                  </w:pPr>
                  <w:r>
                    <w:rPr>
                      <w:rFonts w:cs="Times New Roman"/>
                      <w:bCs/>
                      <w:color w:val="auto"/>
                      <w:sz w:val="21"/>
                      <w:szCs w:val="21"/>
                    </w:rPr>
                    <w:t>环保工程</w:t>
                  </w:r>
                </w:p>
              </w:tc>
              <w:tc>
                <w:tcPr>
                  <w:tcW w:w="859" w:type="pct"/>
                  <w:tcBorders>
                    <w:tl2br w:val="nil"/>
                    <w:tr2bl w:val="nil"/>
                  </w:tcBorders>
                  <w:vAlign w:val="center"/>
                </w:tcPr>
                <w:p>
                  <w:pPr>
                    <w:tabs>
                      <w:tab w:val="left" w:pos="1260"/>
                    </w:tabs>
                    <w:snapToGrid w:val="0"/>
                    <w:spacing w:line="240" w:lineRule="auto"/>
                    <w:ind w:firstLine="0" w:firstLineChars="0"/>
                    <w:jc w:val="center"/>
                    <w:rPr>
                      <w:rFonts w:cs="Times New Roman"/>
                      <w:bCs/>
                      <w:color w:val="auto"/>
                      <w:sz w:val="21"/>
                      <w:szCs w:val="21"/>
                    </w:rPr>
                  </w:pPr>
                  <w:r>
                    <w:rPr>
                      <w:rFonts w:cs="Times New Roman"/>
                      <w:bCs/>
                      <w:color w:val="auto"/>
                      <w:sz w:val="21"/>
                      <w:szCs w:val="21"/>
                    </w:rPr>
                    <w:t>废气治理</w:t>
                  </w:r>
                </w:p>
              </w:tc>
              <w:tc>
                <w:tcPr>
                  <w:tcW w:w="2965" w:type="pct"/>
                  <w:tcBorders>
                    <w:tl2br w:val="nil"/>
                    <w:tr2bl w:val="nil"/>
                  </w:tcBorders>
                  <w:vAlign w:val="center"/>
                </w:tcPr>
                <w:p>
                  <w:pPr>
                    <w:snapToGrid w:val="0"/>
                    <w:spacing w:line="240" w:lineRule="auto"/>
                    <w:ind w:firstLine="420"/>
                    <w:rPr>
                      <w:rFonts w:cs="Times New Roman"/>
                      <w:color w:val="auto"/>
                      <w:sz w:val="21"/>
                      <w:szCs w:val="21"/>
                    </w:rPr>
                  </w:pPr>
                  <w:r>
                    <w:rPr>
                      <w:rFonts w:cs="Times New Roman"/>
                      <w:color w:val="auto"/>
                      <w:sz w:val="21"/>
                      <w:szCs w:val="21"/>
                    </w:rPr>
                    <w:t>一期工程：</w:t>
                  </w:r>
                </w:p>
                <w:p>
                  <w:pPr>
                    <w:snapToGrid w:val="0"/>
                    <w:spacing w:line="240" w:lineRule="auto"/>
                    <w:ind w:firstLine="480" w:firstLineChars="0"/>
                    <w:rPr>
                      <w:rFonts w:cs="Times New Roman"/>
                      <w:color w:val="auto"/>
                      <w:sz w:val="21"/>
                      <w:szCs w:val="21"/>
                    </w:rPr>
                  </w:pPr>
                  <w:r>
                    <w:rPr>
                      <w:rFonts w:cs="Times New Roman"/>
                      <w:color w:val="auto"/>
                      <w:sz w:val="21"/>
                      <w:szCs w:val="21"/>
                    </w:rPr>
                    <w:t>①氟化、闪蒸干燥工段废气</w:t>
                  </w:r>
                </w:p>
                <w:p>
                  <w:pPr>
                    <w:snapToGrid w:val="0"/>
                    <w:spacing w:line="240" w:lineRule="auto"/>
                    <w:ind w:firstLine="420"/>
                    <w:rPr>
                      <w:rFonts w:cs="Times New Roman"/>
                      <w:color w:val="auto"/>
                      <w:sz w:val="21"/>
                      <w:szCs w:val="21"/>
                    </w:rPr>
                  </w:pPr>
                  <w:r>
                    <w:rPr>
                      <w:rFonts w:cs="Times New Roman"/>
                      <w:color w:val="auto"/>
                      <w:sz w:val="21"/>
                      <w:szCs w:val="21"/>
                    </w:rPr>
                    <w:t>氟化、闪蒸干燥工段废气经风机抽送至碱喷淋塔（1套）内进行处置，处理后的废气通过1根15m排气筒（P1）排放；</w:t>
                  </w:r>
                </w:p>
                <w:p>
                  <w:pPr>
                    <w:snapToGrid w:val="0"/>
                    <w:spacing w:line="240" w:lineRule="auto"/>
                    <w:ind w:firstLine="480" w:firstLineChars="0"/>
                    <w:rPr>
                      <w:rFonts w:cs="Times New Roman"/>
                      <w:color w:val="auto"/>
                      <w:sz w:val="21"/>
                      <w:szCs w:val="21"/>
                    </w:rPr>
                  </w:pPr>
                  <w:r>
                    <w:rPr>
                      <w:rFonts w:cs="Times New Roman"/>
                      <w:color w:val="auto"/>
                      <w:sz w:val="21"/>
                      <w:szCs w:val="21"/>
                    </w:rPr>
                    <w:t>②电辊道窑废气和天然气辊道窑废气</w:t>
                  </w:r>
                </w:p>
                <w:p>
                  <w:pPr>
                    <w:snapToGrid w:val="0"/>
                    <w:spacing w:line="240" w:lineRule="auto"/>
                    <w:ind w:firstLine="420"/>
                    <w:rPr>
                      <w:rFonts w:cs="Times New Roman"/>
                      <w:color w:val="auto"/>
                      <w:sz w:val="21"/>
                      <w:szCs w:val="21"/>
                    </w:rPr>
                  </w:pPr>
                  <w:r>
                    <w:rPr>
                      <w:rFonts w:cs="Times New Roman"/>
                      <w:color w:val="auto"/>
                      <w:sz w:val="21"/>
                      <w:szCs w:val="21"/>
                    </w:rPr>
                    <w:t>电辊道窑废气和天然气辊道窑废气经风机抽送至碱喷淋塔（1套）内进行处置，处理后的废气通过1根15m排气筒（P2）排放；</w:t>
                  </w:r>
                </w:p>
                <w:p>
                  <w:pPr>
                    <w:snapToGrid w:val="0"/>
                    <w:spacing w:line="240" w:lineRule="auto"/>
                    <w:ind w:firstLine="420"/>
                    <w:rPr>
                      <w:rFonts w:cs="Times New Roman"/>
                      <w:color w:val="auto"/>
                      <w:sz w:val="21"/>
                      <w:szCs w:val="21"/>
                    </w:rPr>
                  </w:pPr>
                  <w:r>
                    <w:rPr>
                      <w:rFonts w:cs="Times New Roman"/>
                      <w:color w:val="auto"/>
                      <w:sz w:val="21"/>
                      <w:szCs w:val="21"/>
                    </w:rPr>
                    <w:t>③混料过筛、气流粉碎、射流分级废气（一期、二期共用）</w:t>
                  </w:r>
                </w:p>
                <w:p>
                  <w:pPr>
                    <w:snapToGrid w:val="0"/>
                    <w:spacing w:line="240" w:lineRule="auto"/>
                    <w:ind w:firstLine="420"/>
                    <w:rPr>
                      <w:rFonts w:cs="Times New Roman"/>
                      <w:color w:val="auto"/>
                      <w:sz w:val="21"/>
                      <w:szCs w:val="21"/>
                    </w:rPr>
                  </w:pPr>
                  <w:r>
                    <w:rPr>
                      <w:rFonts w:cs="Times New Roman"/>
                      <w:color w:val="auto"/>
                      <w:sz w:val="21"/>
                      <w:szCs w:val="21"/>
                    </w:rPr>
                    <w:t>2台混料过筛机、2台气流粉碎、1台射流分级产生废气经风机抽送至布袋除尘器（1套）内进行处置，处理后的废气通过1根15m排气筒（P3）排放；</w:t>
                  </w:r>
                </w:p>
                <w:p>
                  <w:pPr>
                    <w:snapToGrid w:val="0"/>
                    <w:spacing w:line="240" w:lineRule="auto"/>
                    <w:ind w:firstLine="480" w:firstLineChars="0"/>
                    <w:rPr>
                      <w:rFonts w:cs="Times New Roman"/>
                      <w:color w:val="auto"/>
                      <w:sz w:val="21"/>
                      <w:szCs w:val="21"/>
                    </w:rPr>
                  </w:pPr>
                  <w:r>
                    <w:rPr>
                      <w:rFonts w:cs="Times New Roman"/>
                      <w:color w:val="auto"/>
                      <w:sz w:val="21"/>
                      <w:szCs w:val="21"/>
                    </w:rPr>
                    <w:t>④喷雾干燥燃气废气（一期、二期共用）</w:t>
                  </w:r>
                </w:p>
                <w:p>
                  <w:pPr>
                    <w:snapToGrid w:val="0"/>
                    <w:spacing w:line="240" w:lineRule="auto"/>
                    <w:ind w:firstLine="420"/>
                    <w:rPr>
                      <w:rFonts w:cs="Times New Roman"/>
                      <w:color w:val="auto"/>
                      <w:sz w:val="21"/>
                      <w:szCs w:val="21"/>
                    </w:rPr>
                  </w:pPr>
                  <w:r>
                    <w:rPr>
                      <w:rFonts w:cs="Times New Roman"/>
                      <w:color w:val="auto"/>
                      <w:kern w:val="0"/>
                      <w:sz w:val="21"/>
                      <w:szCs w:val="21"/>
                    </w:rPr>
                    <w:t>喷雾干燥燃烧废气</w:t>
                  </w:r>
                  <w:r>
                    <w:rPr>
                      <w:rFonts w:cs="Times New Roman"/>
                      <w:color w:val="auto"/>
                      <w:sz w:val="21"/>
                      <w:szCs w:val="21"/>
                    </w:rPr>
                    <w:t>经风机抽送至混料过筛、气流粉碎、射流分级工段布袋除尘器（1套）内进行处置，处理后的废气通过1根15m排气筒（P3）排放</w:t>
                  </w:r>
                  <w:r>
                    <w:rPr>
                      <w:rFonts w:cs="Times New Roman"/>
                      <w:color w:val="auto"/>
                      <w:kern w:val="0"/>
                      <w:sz w:val="21"/>
                      <w:szCs w:val="21"/>
                    </w:rPr>
                    <w:t>。</w:t>
                  </w:r>
                </w:p>
                <w:p>
                  <w:pPr>
                    <w:snapToGrid w:val="0"/>
                    <w:spacing w:line="240" w:lineRule="auto"/>
                    <w:ind w:firstLine="420"/>
                    <w:rPr>
                      <w:rFonts w:cs="Times New Roman"/>
                      <w:color w:val="auto"/>
                      <w:sz w:val="21"/>
                      <w:szCs w:val="21"/>
                    </w:rPr>
                  </w:pPr>
                  <w:r>
                    <w:rPr>
                      <w:rFonts w:cs="Times New Roman"/>
                      <w:color w:val="auto"/>
                      <w:sz w:val="21"/>
                      <w:szCs w:val="21"/>
                    </w:rPr>
                    <w:t>二期工程：</w:t>
                  </w:r>
                </w:p>
                <w:p>
                  <w:pPr>
                    <w:snapToGrid w:val="0"/>
                    <w:spacing w:line="240" w:lineRule="auto"/>
                    <w:ind w:firstLine="420"/>
                    <w:rPr>
                      <w:rFonts w:cs="Times New Roman"/>
                      <w:color w:val="auto"/>
                      <w:sz w:val="21"/>
                      <w:szCs w:val="21"/>
                    </w:rPr>
                  </w:pPr>
                  <w:r>
                    <w:rPr>
                      <w:rFonts w:cs="Times New Roman"/>
                      <w:color w:val="auto"/>
                      <w:sz w:val="21"/>
                      <w:szCs w:val="21"/>
                    </w:rPr>
                    <w:t>①氟化、闪蒸干燥工段废气</w:t>
                  </w:r>
                </w:p>
                <w:p>
                  <w:pPr>
                    <w:snapToGrid w:val="0"/>
                    <w:spacing w:line="240" w:lineRule="auto"/>
                    <w:ind w:firstLine="420"/>
                    <w:rPr>
                      <w:rFonts w:cs="Times New Roman"/>
                      <w:color w:val="auto"/>
                      <w:sz w:val="21"/>
                      <w:szCs w:val="21"/>
                    </w:rPr>
                  </w:pPr>
                  <w:r>
                    <w:rPr>
                      <w:rFonts w:cs="Times New Roman"/>
                      <w:color w:val="auto"/>
                      <w:sz w:val="21"/>
                      <w:szCs w:val="21"/>
                    </w:rPr>
                    <w:t>氟化、闪蒸干燥工段废气经风机抽送至碱喷淋塔（1套）内进行处置，处理后的废气通过1根15m排气筒（P4）排放；</w:t>
                  </w:r>
                </w:p>
                <w:p>
                  <w:pPr>
                    <w:snapToGrid w:val="0"/>
                    <w:spacing w:line="240" w:lineRule="auto"/>
                    <w:ind w:firstLine="420"/>
                    <w:rPr>
                      <w:rFonts w:cs="Times New Roman"/>
                      <w:color w:val="auto"/>
                      <w:sz w:val="21"/>
                      <w:szCs w:val="21"/>
                    </w:rPr>
                  </w:pPr>
                  <w:r>
                    <w:rPr>
                      <w:rFonts w:cs="Times New Roman"/>
                      <w:color w:val="auto"/>
                      <w:sz w:val="21"/>
                      <w:szCs w:val="21"/>
                    </w:rPr>
                    <w:t>②天然气回转窑窑废气</w:t>
                  </w:r>
                </w:p>
                <w:p>
                  <w:pPr>
                    <w:snapToGrid w:val="0"/>
                    <w:spacing w:line="240" w:lineRule="auto"/>
                    <w:ind w:firstLine="420"/>
                    <w:rPr>
                      <w:rFonts w:cs="Times New Roman"/>
                      <w:color w:val="auto"/>
                      <w:sz w:val="21"/>
                      <w:szCs w:val="21"/>
                    </w:rPr>
                  </w:pPr>
                  <w:r>
                    <w:rPr>
                      <w:rFonts w:cs="Times New Roman"/>
                      <w:color w:val="auto"/>
                      <w:sz w:val="21"/>
                      <w:szCs w:val="21"/>
                    </w:rPr>
                    <w:t>天然气回转窑废气经风机抽送至碱喷淋塔（1套）内进行处置，处理后的废气通过1根15m排气筒（P5）排放；</w:t>
                  </w:r>
                </w:p>
                <w:p>
                  <w:pPr>
                    <w:snapToGrid w:val="0"/>
                    <w:spacing w:line="240" w:lineRule="auto"/>
                    <w:ind w:firstLine="420"/>
                    <w:rPr>
                      <w:rFonts w:cs="Times New Roman"/>
                      <w:color w:val="auto"/>
                      <w:sz w:val="21"/>
                      <w:szCs w:val="21"/>
                    </w:rPr>
                  </w:pPr>
                  <w:r>
                    <w:rPr>
                      <w:rFonts w:cs="Times New Roman"/>
                      <w:color w:val="auto"/>
                      <w:sz w:val="21"/>
                      <w:szCs w:val="21"/>
                    </w:rPr>
                    <w:t>辅助工程：</w:t>
                  </w:r>
                </w:p>
                <w:p>
                  <w:pPr>
                    <w:snapToGrid w:val="0"/>
                    <w:spacing w:line="240" w:lineRule="auto"/>
                    <w:ind w:firstLine="420"/>
                    <w:rPr>
                      <w:rFonts w:cs="Times New Roman"/>
                      <w:color w:val="auto"/>
                      <w:sz w:val="21"/>
                      <w:szCs w:val="21"/>
                    </w:rPr>
                  </w:pPr>
                  <w:r>
                    <w:rPr>
                      <w:rFonts w:cs="Times New Roman"/>
                      <w:color w:val="auto"/>
                      <w:sz w:val="21"/>
                      <w:szCs w:val="21"/>
                    </w:rPr>
                    <w:t>天然气锅炉废气</w:t>
                  </w:r>
                </w:p>
                <w:p>
                  <w:pPr>
                    <w:snapToGrid w:val="0"/>
                    <w:spacing w:line="240" w:lineRule="auto"/>
                    <w:ind w:firstLine="420"/>
                    <w:rPr>
                      <w:rFonts w:cs="Times New Roman"/>
                      <w:color w:val="auto"/>
                      <w:sz w:val="21"/>
                      <w:szCs w:val="21"/>
                    </w:rPr>
                  </w:pPr>
                  <w:r>
                    <w:rPr>
                      <w:rFonts w:cs="Times New Roman"/>
                      <w:color w:val="auto"/>
                      <w:sz w:val="21"/>
                      <w:szCs w:val="21"/>
                    </w:rPr>
                    <w:t>2台锅炉产生的废气经低氮燃烧器+1根14m高的排气筒（P6）排放。</w:t>
                  </w:r>
                </w:p>
              </w:tc>
              <w:tc>
                <w:tcPr>
                  <w:tcW w:w="539" w:type="pct"/>
                  <w:tcBorders>
                    <w:tl2br w:val="nil"/>
                    <w:tr2bl w:val="nil"/>
                  </w:tcBorders>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7" w:type="pct"/>
                  <w:vMerge w:val="continue"/>
                  <w:tcBorders>
                    <w:tl2br w:val="nil"/>
                    <w:tr2bl w:val="nil"/>
                  </w:tcBorders>
                  <w:vAlign w:val="center"/>
                </w:tcPr>
                <w:p>
                  <w:pPr>
                    <w:snapToGrid w:val="0"/>
                    <w:spacing w:line="240" w:lineRule="auto"/>
                    <w:ind w:firstLine="0" w:firstLineChars="0"/>
                    <w:jc w:val="center"/>
                    <w:rPr>
                      <w:rFonts w:cs="Times New Roman"/>
                      <w:color w:val="auto"/>
                      <w:sz w:val="21"/>
                      <w:szCs w:val="21"/>
                    </w:rPr>
                  </w:pPr>
                </w:p>
              </w:tc>
              <w:tc>
                <w:tcPr>
                  <w:tcW w:w="859" w:type="pct"/>
                  <w:tcBorders>
                    <w:tl2br w:val="nil"/>
                    <w:tr2bl w:val="nil"/>
                  </w:tcBorders>
                  <w:vAlign w:val="center"/>
                </w:tcPr>
                <w:p>
                  <w:pPr>
                    <w:snapToGrid w:val="0"/>
                    <w:spacing w:line="240" w:lineRule="auto"/>
                    <w:ind w:firstLine="0" w:firstLineChars="0"/>
                    <w:jc w:val="center"/>
                    <w:outlineLvl w:val="0"/>
                    <w:rPr>
                      <w:rFonts w:cs="Times New Roman"/>
                      <w:bCs/>
                      <w:color w:val="auto"/>
                      <w:sz w:val="21"/>
                      <w:szCs w:val="21"/>
                    </w:rPr>
                  </w:pPr>
                  <w:r>
                    <w:rPr>
                      <w:rFonts w:cs="Times New Roman"/>
                      <w:bCs/>
                      <w:color w:val="auto"/>
                      <w:sz w:val="21"/>
                      <w:szCs w:val="21"/>
                    </w:rPr>
                    <w:t>废水治理</w:t>
                  </w:r>
                </w:p>
              </w:tc>
              <w:tc>
                <w:tcPr>
                  <w:tcW w:w="2965" w:type="pct"/>
                  <w:tcBorders>
                    <w:tl2br w:val="nil"/>
                    <w:tr2bl w:val="nil"/>
                  </w:tcBorders>
                  <w:vAlign w:val="center"/>
                </w:tcPr>
                <w:p>
                  <w:pPr>
                    <w:snapToGrid w:val="0"/>
                    <w:spacing w:line="240" w:lineRule="auto"/>
                    <w:ind w:firstLine="420"/>
                    <w:rPr>
                      <w:rFonts w:cs="Times New Roman"/>
                      <w:color w:val="auto"/>
                      <w:sz w:val="21"/>
                      <w:szCs w:val="21"/>
                    </w:rPr>
                  </w:pPr>
                  <w:r>
                    <w:rPr>
                      <w:rFonts w:cs="Times New Roman"/>
                      <w:color w:val="auto"/>
                      <w:sz w:val="21"/>
                      <w:szCs w:val="21"/>
                    </w:rPr>
                    <w:t>本项目运营后外排废水主要为生活污水、纯水制备含盐废水和锅炉排水。</w:t>
                  </w:r>
                </w:p>
                <w:p>
                  <w:pPr>
                    <w:snapToGrid w:val="0"/>
                    <w:spacing w:line="240" w:lineRule="auto"/>
                    <w:ind w:firstLine="420"/>
                    <w:rPr>
                      <w:rFonts w:cs="Times New Roman"/>
                      <w:color w:val="auto"/>
                      <w:sz w:val="21"/>
                      <w:szCs w:val="21"/>
                    </w:rPr>
                  </w:pPr>
                  <w:r>
                    <w:rPr>
                      <w:rFonts w:cs="Times New Roman"/>
                      <w:color w:val="auto"/>
                      <w:sz w:val="21"/>
                      <w:szCs w:val="21"/>
                    </w:rPr>
                    <w:t>生活污水、纯水制备含盐废水和锅炉排水依托厂区已建的一座处理能力为50t/d的地埋式一体化污水处理设备，处理达标后</w:t>
                  </w:r>
                  <w:r>
                    <w:rPr>
                      <w:rFonts w:hint="eastAsia" w:cs="Times New Roman"/>
                      <w:color w:val="auto"/>
                      <w:sz w:val="21"/>
                      <w:szCs w:val="21"/>
                    </w:rPr>
                    <w:t>满足《稀土工业污染物排放标准》（GB26451-2011）表2新建企业水污染物排放浓度限值及单位产品基准排水量中“间接排放限值”后拉运至</w:t>
                  </w:r>
                  <w:r>
                    <w:rPr>
                      <w:rFonts w:cs="Times New Roman"/>
                      <w:color w:val="auto"/>
                      <w:sz w:val="21"/>
                      <w:szCs w:val="21"/>
                    </w:rPr>
                    <w:t>乌拉特前旗工业园区污水处理厂。</w:t>
                  </w:r>
                </w:p>
              </w:tc>
              <w:tc>
                <w:tcPr>
                  <w:tcW w:w="539" w:type="pct"/>
                  <w:tcBorders>
                    <w:tl2br w:val="nil"/>
                    <w:tr2bl w:val="nil"/>
                  </w:tcBorders>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依托现有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7" w:type="pct"/>
                  <w:vMerge w:val="continue"/>
                  <w:tcBorders>
                    <w:tl2br w:val="nil"/>
                    <w:tr2bl w:val="nil"/>
                  </w:tcBorders>
                  <w:vAlign w:val="center"/>
                </w:tcPr>
                <w:p>
                  <w:pPr>
                    <w:snapToGrid w:val="0"/>
                    <w:spacing w:line="240" w:lineRule="auto"/>
                    <w:ind w:firstLine="0" w:firstLineChars="0"/>
                    <w:jc w:val="center"/>
                    <w:rPr>
                      <w:rFonts w:cs="Times New Roman"/>
                      <w:color w:val="auto"/>
                      <w:sz w:val="21"/>
                      <w:szCs w:val="21"/>
                    </w:rPr>
                  </w:pPr>
                </w:p>
              </w:tc>
              <w:tc>
                <w:tcPr>
                  <w:tcW w:w="859" w:type="pct"/>
                  <w:tcBorders>
                    <w:tl2br w:val="nil"/>
                    <w:tr2bl w:val="nil"/>
                  </w:tcBorders>
                  <w:vAlign w:val="center"/>
                </w:tcPr>
                <w:p>
                  <w:pPr>
                    <w:snapToGrid w:val="0"/>
                    <w:spacing w:line="240" w:lineRule="auto"/>
                    <w:ind w:firstLine="0" w:firstLineChars="0"/>
                    <w:jc w:val="center"/>
                    <w:outlineLvl w:val="0"/>
                    <w:rPr>
                      <w:rFonts w:cs="Times New Roman"/>
                      <w:bCs/>
                      <w:color w:val="auto"/>
                      <w:sz w:val="21"/>
                      <w:szCs w:val="21"/>
                    </w:rPr>
                  </w:pPr>
                  <w:r>
                    <w:rPr>
                      <w:rFonts w:cs="Times New Roman"/>
                      <w:bCs/>
                      <w:color w:val="auto"/>
                      <w:sz w:val="21"/>
                      <w:szCs w:val="21"/>
                    </w:rPr>
                    <w:t>噪声治理</w:t>
                  </w:r>
                </w:p>
              </w:tc>
              <w:tc>
                <w:tcPr>
                  <w:tcW w:w="2965" w:type="pct"/>
                  <w:tcBorders>
                    <w:tl2br w:val="nil"/>
                    <w:tr2bl w:val="nil"/>
                  </w:tcBorders>
                  <w:vAlign w:val="center"/>
                </w:tcPr>
                <w:p>
                  <w:pPr>
                    <w:snapToGrid w:val="0"/>
                    <w:spacing w:line="240" w:lineRule="auto"/>
                    <w:ind w:firstLine="420"/>
                    <w:rPr>
                      <w:rFonts w:cs="Times New Roman"/>
                      <w:color w:val="auto"/>
                      <w:sz w:val="21"/>
                      <w:szCs w:val="21"/>
                    </w:rPr>
                  </w:pPr>
                  <w:r>
                    <w:rPr>
                      <w:rFonts w:cs="Times New Roman"/>
                      <w:color w:val="auto"/>
                      <w:sz w:val="21"/>
                      <w:szCs w:val="21"/>
                    </w:rPr>
                    <w:t>采取厂房隔声、减振等措施。</w:t>
                  </w:r>
                </w:p>
              </w:tc>
              <w:tc>
                <w:tcPr>
                  <w:tcW w:w="539" w:type="pct"/>
                  <w:tcBorders>
                    <w:tl2br w:val="nil"/>
                    <w:tr2bl w:val="nil"/>
                  </w:tcBorders>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7" w:type="pct"/>
                  <w:vMerge w:val="continue"/>
                  <w:tcBorders>
                    <w:tl2br w:val="nil"/>
                    <w:tr2bl w:val="nil"/>
                  </w:tcBorders>
                  <w:vAlign w:val="center"/>
                </w:tcPr>
                <w:p>
                  <w:pPr>
                    <w:snapToGrid w:val="0"/>
                    <w:spacing w:line="240" w:lineRule="auto"/>
                    <w:ind w:firstLine="0" w:firstLineChars="0"/>
                    <w:jc w:val="center"/>
                    <w:rPr>
                      <w:rFonts w:cs="Times New Roman"/>
                      <w:color w:val="auto"/>
                      <w:sz w:val="21"/>
                      <w:szCs w:val="21"/>
                    </w:rPr>
                  </w:pPr>
                </w:p>
              </w:tc>
              <w:tc>
                <w:tcPr>
                  <w:tcW w:w="859" w:type="pct"/>
                  <w:tcBorders>
                    <w:tl2br w:val="nil"/>
                    <w:tr2bl w:val="nil"/>
                  </w:tcBorders>
                  <w:vAlign w:val="center"/>
                </w:tcPr>
                <w:p>
                  <w:pPr>
                    <w:snapToGrid w:val="0"/>
                    <w:spacing w:line="240" w:lineRule="auto"/>
                    <w:ind w:firstLine="0" w:firstLineChars="0"/>
                    <w:jc w:val="center"/>
                    <w:outlineLvl w:val="0"/>
                    <w:rPr>
                      <w:rFonts w:cs="Times New Roman"/>
                      <w:bCs/>
                      <w:color w:val="auto"/>
                      <w:sz w:val="21"/>
                      <w:szCs w:val="21"/>
                    </w:rPr>
                  </w:pPr>
                  <w:r>
                    <w:rPr>
                      <w:rFonts w:cs="Times New Roman"/>
                      <w:bCs/>
                      <w:color w:val="auto"/>
                      <w:sz w:val="21"/>
                      <w:szCs w:val="21"/>
                    </w:rPr>
                    <w:t>固废治理</w:t>
                  </w:r>
                </w:p>
              </w:tc>
              <w:tc>
                <w:tcPr>
                  <w:tcW w:w="2965" w:type="pct"/>
                  <w:tcBorders>
                    <w:tl2br w:val="nil"/>
                    <w:tr2bl w:val="nil"/>
                  </w:tcBorders>
                  <w:vAlign w:val="center"/>
                </w:tcPr>
                <w:p>
                  <w:pPr>
                    <w:snapToGrid w:val="0"/>
                    <w:spacing w:line="240" w:lineRule="auto"/>
                    <w:ind w:firstLine="420"/>
                    <w:rPr>
                      <w:rFonts w:cs="Times New Roman"/>
                      <w:color w:val="auto"/>
                      <w:sz w:val="21"/>
                      <w:szCs w:val="21"/>
                    </w:rPr>
                  </w:pPr>
                  <w:r>
                    <w:rPr>
                      <w:rFonts w:cs="Times New Roman"/>
                      <w:color w:val="auto"/>
                      <w:sz w:val="21"/>
                      <w:szCs w:val="21"/>
                    </w:rPr>
                    <w:t>本项目产生的固废主要为废包装袋、除尘灰、废离子交换树脂和生活垃圾。</w:t>
                  </w:r>
                </w:p>
                <w:p>
                  <w:pPr>
                    <w:snapToGrid w:val="0"/>
                    <w:spacing w:line="240" w:lineRule="auto"/>
                    <w:ind w:firstLine="420"/>
                    <w:rPr>
                      <w:rFonts w:cs="Times New Roman"/>
                      <w:color w:val="auto"/>
                      <w:sz w:val="21"/>
                      <w:szCs w:val="21"/>
                    </w:rPr>
                  </w:pPr>
                  <w:r>
                    <w:rPr>
                      <w:rFonts w:cs="Times New Roman"/>
                      <w:color w:val="auto"/>
                      <w:sz w:val="21"/>
                      <w:szCs w:val="21"/>
                    </w:rPr>
                    <w:t>原料的废外包装袋属于一般工业固体废物，暂存于厂区现有的1座一般固废暂存库内，定期外售处理。</w:t>
                  </w:r>
                </w:p>
                <w:p>
                  <w:pPr>
                    <w:snapToGrid w:val="0"/>
                    <w:spacing w:line="240" w:lineRule="auto"/>
                    <w:ind w:firstLine="420"/>
                    <w:rPr>
                      <w:rFonts w:cs="Times New Roman"/>
                      <w:color w:val="auto"/>
                      <w:sz w:val="21"/>
                      <w:szCs w:val="21"/>
                    </w:rPr>
                  </w:pPr>
                  <w:r>
                    <w:rPr>
                      <w:rFonts w:cs="Times New Roman"/>
                      <w:color w:val="auto"/>
                      <w:sz w:val="21"/>
                      <w:szCs w:val="21"/>
                    </w:rPr>
                    <w:t>布袋除尘器收集的除尘灰和生产过程产生的沉降粉尘直接作为产品外售，不在厂区暂存，不作为固废管理；</w:t>
                  </w:r>
                </w:p>
                <w:p>
                  <w:pPr>
                    <w:snapToGrid w:val="0"/>
                    <w:spacing w:line="240" w:lineRule="auto"/>
                    <w:ind w:firstLine="420"/>
                    <w:rPr>
                      <w:rFonts w:cs="Times New Roman"/>
                      <w:color w:val="auto"/>
                      <w:sz w:val="21"/>
                      <w:szCs w:val="21"/>
                    </w:rPr>
                  </w:pPr>
                  <w:r>
                    <w:rPr>
                      <w:rFonts w:cs="Times New Roman"/>
                      <w:color w:val="auto"/>
                      <w:sz w:val="21"/>
                      <w:szCs w:val="21"/>
                    </w:rPr>
                    <w:t>废离子交换树脂由厂家直接回收利用，不在厂区内暂存。</w:t>
                  </w:r>
                </w:p>
                <w:p>
                  <w:pPr>
                    <w:snapToGrid w:val="0"/>
                    <w:spacing w:line="240" w:lineRule="auto"/>
                    <w:ind w:firstLine="420"/>
                    <w:rPr>
                      <w:rFonts w:cs="Times New Roman"/>
                      <w:color w:val="auto"/>
                      <w:sz w:val="21"/>
                      <w:szCs w:val="21"/>
                    </w:rPr>
                  </w:pPr>
                  <w:r>
                    <w:rPr>
                      <w:rFonts w:cs="Times New Roman"/>
                      <w:color w:val="auto"/>
                      <w:sz w:val="21"/>
                      <w:szCs w:val="21"/>
                    </w:rPr>
                    <w:t>生活垃圾经垃圾桶收集后，由当地环卫部门定期清运。</w:t>
                  </w:r>
                </w:p>
              </w:tc>
              <w:tc>
                <w:tcPr>
                  <w:tcW w:w="539" w:type="pct"/>
                  <w:tcBorders>
                    <w:tl2br w:val="nil"/>
                    <w:tr2bl w:val="nil"/>
                  </w:tcBorders>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储存设施依托现有工程</w:t>
                  </w:r>
                </w:p>
              </w:tc>
            </w:tr>
            <w:bookmarkEnd w:id="5"/>
          </w:tbl>
          <w:p>
            <w:pPr>
              <w:ind w:firstLine="482"/>
              <w:rPr>
                <w:rFonts w:cs="Times New Roman"/>
                <w:b/>
                <w:bCs/>
                <w:color w:val="auto"/>
                <w:szCs w:val="32"/>
              </w:rPr>
            </w:pPr>
            <w:r>
              <w:rPr>
                <w:rFonts w:cs="Times New Roman"/>
                <w:b/>
                <w:bCs/>
                <w:color w:val="auto"/>
                <w:szCs w:val="32"/>
              </w:rPr>
              <w:t>2.2本项目主要设备</w:t>
            </w:r>
          </w:p>
          <w:p>
            <w:pPr>
              <w:ind w:firstLine="480"/>
              <w:rPr>
                <w:rFonts w:cs="Times New Roman"/>
                <w:color w:val="auto"/>
                <w:szCs w:val="32"/>
              </w:rPr>
            </w:pPr>
            <w:r>
              <w:rPr>
                <w:rFonts w:cs="Times New Roman"/>
                <w:color w:val="auto"/>
                <w:szCs w:val="32"/>
              </w:rPr>
              <w:t>本项目的主要设备表见表2-3。</w:t>
            </w:r>
          </w:p>
          <w:p>
            <w:pPr>
              <w:ind w:firstLine="482"/>
              <w:jc w:val="center"/>
              <w:rPr>
                <w:rFonts w:cs="Times New Roman"/>
                <w:b/>
                <w:bCs/>
                <w:color w:val="auto"/>
                <w:szCs w:val="32"/>
              </w:rPr>
            </w:pPr>
            <w:r>
              <w:rPr>
                <w:rFonts w:cs="Times New Roman"/>
                <w:b/>
                <w:bCs/>
                <w:color w:val="auto"/>
                <w:szCs w:val="32"/>
              </w:rPr>
              <w:t>表2-3本项目设备一览表（一期）</w:t>
            </w:r>
          </w:p>
          <w:tbl>
            <w:tblPr>
              <w:tblStyle w:val="26"/>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15" w:type="dxa"/>
                <w:left w:w="15" w:type="dxa"/>
                <w:bottom w:w="15" w:type="dxa"/>
                <w:right w:w="15" w:type="dxa"/>
              </w:tblCellMar>
            </w:tblPr>
            <w:tblGrid>
              <w:gridCol w:w="859"/>
              <w:gridCol w:w="1098"/>
              <w:gridCol w:w="2178"/>
              <w:gridCol w:w="1042"/>
              <w:gridCol w:w="1042"/>
              <w:gridCol w:w="1152"/>
              <w:gridCol w:w="1152"/>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trPr>
              <w:tc>
                <w:tcPr>
                  <w:tcW w:w="504"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序号</w:t>
                  </w:r>
                </w:p>
              </w:tc>
              <w:tc>
                <w:tcPr>
                  <w:tcW w:w="644"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类别</w:t>
                  </w:r>
                </w:p>
              </w:tc>
              <w:tc>
                <w:tcPr>
                  <w:tcW w:w="1278"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设备名称</w:t>
                  </w:r>
                </w:p>
              </w:tc>
              <w:tc>
                <w:tcPr>
                  <w:tcW w:w="611" w:type="pct"/>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型号</w:t>
                  </w:r>
                </w:p>
              </w:tc>
              <w:tc>
                <w:tcPr>
                  <w:tcW w:w="611"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数量</w:t>
                  </w:r>
                </w:p>
              </w:tc>
              <w:tc>
                <w:tcPr>
                  <w:tcW w:w="676"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单位</w:t>
                  </w:r>
                </w:p>
              </w:tc>
              <w:tc>
                <w:tcPr>
                  <w:tcW w:w="676" w:type="pct"/>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备注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trPr>
              <w:tc>
                <w:tcPr>
                  <w:tcW w:w="504"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w:t>
                  </w:r>
                </w:p>
              </w:tc>
              <w:tc>
                <w:tcPr>
                  <w:tcW w:w="644" w:type="pct"/>
                  <w:vMerge w:val="restar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氟化</w:t>
                  </w:r>
                </w:p>
              </w:tc>
              <w:tc>
                <w:tcPr>
                  <w:tcW w:w="1278" w:type="pct"/>
                  <w:tcBorders>
                    <w:tl2br w:val="nil"/>
                    <w:tr2bl w:val="nil"/>
                  </w:tcBorders>
                  <w:shd w:val="clear" w:color="auto" w:fill="auto"/>
                  <w:vAlign w:val="center"/>
                </w:tcPr>
                <w:p>
                  <w:pPr>
                    <w:spacing w:line="240" w:lineRule="auto"/>
                    <w:ind w:firstLine="0" w:firstLineChars="0"/>
                    <w:jc w:val="center"/>
                    <w:rPr>
                      <w:rFonts w:cs="Times New Roman"/>
                      <w:color w:val="auto"/>
                      <w:kern w:val="0"/>
                      <w:sz w:val="21"/>
                      <w:szCs w:val="21"/>
                      <w:lang w:bidi="ar"/>
                    </w:rPr>
                  </w:pPr>
                  <w:r>
                    <w:rPr>
                      <w:rFonts w:cs="Times New Roman"/>
                      <w:color w:val="auto"/>
                      <w:kern w:val="0"/>
                      <w:sz w:val="21"/>
                      <w:szCs w:val="21"/>
                      <w:lang w:bidi="ar"/>
                    </w:rPr>
                    <w:t>调浆槽</w:t>
                  </w:r>
                </w:p>
              </w:tc>
              <w:tc>
                <w:tcPr>
                  <w:tcW w:w="611" w:type="pct"/>
                  <w:tcBorders>
                    <w:tl2br w:val="nil"/>
                    <w:tr2bl w:val="nil"/>
                  </w:tcBorders>
                </w:tcPr>
                <w:p>
                  <w:pPr>
                    <w:spacing w:line="240" w:lineRule="auto"/>
                    <w:ind w:firstLine="0" w:firstLineChars="0"/>
                    <w:jc w:val="center"/>
                    <w:rPr>
                      <w:rFonts w:cs="Times New Roman"/>
                      <w:color w:val="auto"/>
                      <w:kern w:val="0"/>
                      <w:sz w:val="21"/>
                      <w:szCs w:val="21"/>
                      <w:lang w:bidi="ar"/>
                    </w:rPr>
                  </w:pPr>
                  <w:r>
                    <w:rPr>
                      <w:rFonts w:cs="Times New Roman"/>
                      <w:color w:val="auto"/>
                      <w:kern w:val="0"/>
                      <w:sz w:val="21"/>
                      <w:szCs w:val="21"/>
                      <w:lang w:bidi="ar"/>
                    </w:rPr>
                    <w:t>∅1.5*2.2</w:t>
                  </w:r>
                </w:p>
              </w:tc>
              <w:tc>
                <w:tcPr>
                  <w:tcW w:w="611" w:type="pct"/>
                  <w:tcBorders>
                    <w:tl2br w:val="nil"/>
                    <w:tr2bl w:val="nil"/>
                  </w:tcBorders>
                  <w:shd w:val="clear" w:color="auto" w:fill="auto"/>
                  <w:vAlign w:val="center"/>
                </w:tcPr>
                <w:p>
                  <w:pPr>
                    <w:spacing w:line="240" w:lineRule="auto"/>
                    <w:ind w:firstLine="0" w:firstLineChars="0"/>
                    <w:jc w:val="center"/>
                    <w:rPr>
                      <w:rFonts w:cs="Times New Roman"/>
                      <w:color w:val="auto"/>
                      <w:kern w:val="0"/>
                      <w:sz w:val="21"/>
                      <w:szCs w:val="21"/>
                      <w:lang w:bidi="ar"/>
                    </w:rPr>
                  </w:pPr>
                  <w:r>
                    <w:rPr>
                      <w:rFonts w:cs="Times New Roman"/>
                      <w:color w:val="auto"/>
                      <w:kern w:val="0"/>
                      <w:sz w:val="21"/>
                      <w:szCs w:val="21"/>
                      <w:lang w:bidi="ar"/>
                    </w:rPr>
                    <w:t>2</w:t>
                  </w:r>
                </w:p>
              </w:tc>
              <w:tc>
                <w:tcPr>
                  <w:tcW w:w="676"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台</w:t>
                  </w:r>
                </w:p>
              </w:tc>
              <w:tc>
                <w:tcPr>
                  <w:tcW w:w="676" w:type="pct"/>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trPr>
              <w:tc>
                <w:tcPr>
                  <w:tcW w:w="504"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2</w:t>
                  </w:r>
                </w:p>
              </w:tc>
              <w:tc>
                <w:tcPr>
                  <w:tcW w:w="644" w:type="pct"/>
                  <w:vMerge w:val="continue"/>
                  <w:tcBorders>
                    <w:tl2br w:val="nil"/>
                    <w:tr2bl w:val="nil"/>
                  </w:tcBorders>
                  <w:shd w:val="clear" w:color="auto" w:fill="auto"/>
                  <w:vAlign w:val="center"/>
                </w:tcPr>
                <w:p>
                  <w:pPr>
                    <w:spacing w:line="240" w:lineRule="auto"/>
                    <w:ind w:firstLine="420"/>
                    <w:jc w:val="center"/>
                    <w:rPr>
                      <w:rFonts w:cs="Times New Roman"/>
                      <w:color w:val="auto"/>
                      <w:sz w:val="21"/>
                      <w:szCs w:val="21"/>
                    </w:rPr>
                  </w:pPr>
                </w:p>
              </w:tc>
              <w:tc>
                <w:tcPr>
                  <w:tcW w:w="1278"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kern w:val="0"/>
                      <w:sz w:val="21"/>
                      <w:szCs w:val="21"/>
                      <w:lang w:bidi="ar"/>
                    </w:rPr>
                    <w:t>氟化槽</w:t>
                  </w:r>
                </w:p>
              </w:tc>
              <w:tc>
                <w:tcPr>
                  <w:tcW w:w="611" w:type="pct"/>
                  <w:tcBorders>
                    <w:tl2br w:val="nil"/>
                    <w:tr2bl w:val="nil"/>
                  </w:tcBorders>
                </w:tcPr>
                <w:p>
                  <w:pPr>
                    <w:spacing w:line="240" w:lineRule="auto"/>
                    <w:ind w:firstLine="0" w:firstLineChars="0"/>
                    <w:jc w:val="center"/>
                    <w:rPr>
                      <w:rFonts w:cs="Times New Roman"/>
                      <w:color w:val="auto"/>
                      <w:kern w:val="0"/>
                      <w:sz w:val="21"/>
                      <w:szCs w:val="21"/>
                      <w:lang w:bidi="ar"/>
                    </w:rPr>
                  </w:pPr>
                  <w:r>
                    <w:rPr>
                      <w:rFonts w:cs="Times New Roman"/>
                      <w:color w:val="auto"/>
                      <w:kern w:val="0"/>
                      <w:sz w:val="21"/>
                      <w:szCs w:val="21"/>
                      <w:lang w:bidi="ar"/>
                    </w:rPr>
                    <w:t>∅1.8*3.25</w:t>
                  </w:r>
                </w:p>
              </w:tc>
              <w:tc>
                <w:tcPr>
                  <w:tcW w:w="611"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kern w:val="0"/>
                      <w:sz w:val="21"/>
                      <w:szCs w:val="21"/>
                      <w:lang w:bidi="ar"/>
                    </w:rPr>
                    <w:t>2</w:t>
                  </w:r>
                </w:p>
              </w:tc>
              <w:tc>
                <w:tcPr>
                  <w:tcW w:w="676"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套</w:t>
                  </w:r>
                </w:p>
              </w:tc>
              <w:tc>
                <w:tcPr>
                  <w:tcW w:w="676" w:type="pct"/>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trPr>
              <w:tc>
                <w:tcPr>
                  <w:tcW w:w="504"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3</w:t>
                  </w:r>
                </w:p>
              </w:tc>
              <w:tc>
                <w:tcPr>
                  <w:tcW w:w="644" w:type="pct"/>
                  <w:vMerge w:val="continue"/>
                  <w:tcBorders>
                    <w:tl2br w:val="nil"/>
                    <w:tr2bl w:val="nil"/>
                  </w:tcBorders>
                  <w:shd w:val="clear" w:color="auto" w:fill="auto"/>
                  <w:vAlign w:val="center"/>
                </w:tcPr>
                <w:p>
                  <w:pPr>
                    <w:spacing w:line="240" w:lineRule="auto"/>
                    <w:ind w:firstLine="420"/>
                    <w:jc w:val="center"/>
                    <w:rPr>
                      <w:rFonts w:cs="Times New Roman"/>
                      <w:color w:val="auto"/>
                      <w:sz w:val="21"/>
                      <w:szCs w:val="21"/>
                    </w:rPr>
                  </w:pPr>
                </w:p>
              </w:tc>
              <w:tc>
                <w:tcPr>
                  <w:tcW w:w="1278"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真空脱水机</w:t>
                  </w:r>
                </w:p>
              </w:tc>
              <w:tc>
                <w:tcPr>
                  <w:tcW w:w="611" w:type="pct"/>
                  <w:tcBorders>
                    <w:tl2br w:val="nil"/>
                    <w:tr2bl w:val="nil"/>
                  </w:tcBorders>
                </w:tcPr>
                <w:p>
                  <w:pPr>
                    <w:spacing w:line="240" w:lineRule="auto"/>
                    <w:ind w:firstLine="0" w:firstLineChars="0"/>
                    <w:jc w:val="center"/>
                    <w:rPr>
                      <w:rFonts w:cs="Times New Roman"/>
                      <w:color w:val="auto"/>
                      <w:sz w:val="21"/>
                      <w:szCs w:val="21"/>
                    </w:rPr>
                  </w:pPr>
                </w:p>
              </w:tc>
              <w:tc>
                <w:tcPr>
                  <w:tcW w:w="611"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2</w:t>
                  </w:r>
                </w:p>
              </w:tc>
              <w:tc>
                <w:tcPr>
                  <w:tcW w:w="676"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台</w:t>
                  </w:r>
                </w:p>
              </w:tc>
              <w:tc>
                <w:tcPr>
                  <w:tcW w:w="676" w:type="pct"/>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trPr>
              <w:tc>
                <w:tcPr>
                  <w:tcW w:w="504"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4</w:t>
                  </w:r>
                </w:p>
              </w:tc>
              <w:tc>
                <w:tcPr>
                  <w:tcW w:w="644" w:type="pct"/>
                  <w:vMerge w:val="continue"/>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p>
              </w:tc>
              <w:tc>
                <w:tcPr>
                  <w:tcW w:w="1278"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通风系统</w:t>
                  </w:r>
                </w:p>
              </w:tc>
              <w:tc>
                <w:tcPr>
                  <w:tcW w:w="611" w:type="pct"/>
                  <w:tcBorders>
                    <w:tl2br w:val="nil"/>
                    <w:tr2bl w:val="nil"/>
                  </w:tcBorders>
                </w:tcPr>
                <w:p>
                  <w:pPr>
                    <w:spacing w:line="240" w:lineRule="auto"/>
                    <w:ind w:firstLine="0" w:firstLineChars="0"/>
                    <w:jc w:val="center"/>
                    <w:rPr>
                      <w:rFonts w:cs="Times New Roman"/>
                      <w:color w:val="auto"/>
                      <w:sz w:val="21"/>
                      <w:szCs w:val="21"/>
                    </w:rPr>
                  </w:pPr>
                </w:p>
              </w:tc>
              <w:tc>
                <w:tcPr>
                  <w:tcW w:w="611"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2</w:t>
                  </w:r>
                </w:p>
              </w:tc>
              <w:tc>
                <w:tcPr>
                  <w:tcW w:w="676"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套</w:t>
                  </w:r>
                </w:p>
              </w:tc>
              <w:tc>
                <w:tcPr>
                  <w:tcW w:w="676" w:type="pct"/>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trPr>
              <w:tc>
                <w:tcPr>
                  <w:tcW w:w="504"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5</w:t>
                  </w:r>
                </w:p>
              </w:tc>
              <w:tc>
                <w:tcPr>
                  <w:tcW w:w="644" w:type="pct"/>
                  <w:vMerge w:val="continue"/>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p>
              </w:tc>
              <w:tc>
                <w:tcPr>
                  <w:tcW w:w="1278"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喷淋系统</w:t>
                  </w:r>
                </w:p>
              </w:tc>
              <w:tc>
                <w:tcPr>
                  <w:tcW w:w="611" w:type="pct"/>
                  <w:tcBorders>
                    <w:tl2br w:val="nil"/>
                    <w:tr2bl w:val="nil"/>
                  </w:tcBorders>
                </w:tcPr>
                <w:p>
                  <w:pPr>
                    <w:spacing w:line="240" w:lineRule="auto"/>
                    <w:ind w:firstLine="0" w:firstLineChars="0"/>
                    <w:jc w:val="center"/>
                    <w:rPr>
                      <w:rFonts w:cs="Times New Roman"/>
                      <w:color w:val="auto"/>
                      <w:sz w:val="21"/>
                      <w:szCs w:val="21"/>
                    </w:rPr>
                  </w:pPr>
                </w:p>
              </w:tc>
              <w:tc>
                <w:tcPr>
                  <w:tcW w:w="611"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w:t>
                  </w:r>
                </w:p>
              </w:tc>
              <w:tc>
                <w:tcPr>
                  <w:tcW w:w="676"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套</w:t>
                  </w:r>
                </w:p>
              </w:tc>
              <w:tc>
                <w:tcPr>
                  <w:tcW w:w="676" w:type="pct"/>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trPr>
              <w:tc>
                <w:tcPr>
                  <w:tcW w:w="504"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6</w:t>
                  </w:r>
                </w:p>
              </w:tc>
              <w:tc>
                <w:tcPr>
                  <w:tcW w:w="644" w:type="pct"/>
                  <w:vMerge w:val="continue"/>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p>
              </w:tc>
              <w:tc>
                <w:tcPr>
                  <w:tcW w:w="1278"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离心通风机</w:t>
                  </w:r>
                </w:p>
              </w:tc>
              <w:tc>
                <w:tcPr>
                  <w:tcW w:w="611" w:type="pct"/>
                  <w:tcBorders>
                    <w:tl2br w:val="nil"/>
                    <w:tr2bl w:val="nil"/>
                  </w:tcBorders>
                </w:tcPr>
                <w:p>
                  <w:pPr>
                    <w:spacing w:line="240" w:lineRule="auto"/>
                    <w:ind w:firstLine="0" w:firstLineChars="0"/>
                    <w:jc w:val="center"/>
                    <w:rPr>
                      <w:rFonts w:cs="Times New Roman"/>
                      <w:color w:val="auto"/>
                      <w:sz w:val="21"/>
                      <w:szCs w:val="21"/>
                    </w:rPr>
                  </w:pPr>
                </w:p>
              </w:tc>
              <w:tc>
                <w:tcPr>
                  <w:tcW w:w="611"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2</w:t>
                  </w:r>
                </w:p>
              </w:tc>
              <w:tc>
                <w:tcPr>
                  <w:tcW w:w="676"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台</w:t>
                  </w:r>
                </w:p>
              </w:tc>
              <w:tc>
                <w:tcPr>
                  <w:tcW w:w="676" w:type="pct"/>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trPr>
              <w:tc>
                <w:tcPr>
                  <w:tcW w:w="504"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7</w:t>
                  </w:r>
                </w:p>
              </w:tc>
              <w:tc>
                <w:tcPr>
                  <w:tcW w:w="644" w:type="pct"/>
                  <w:vMerge w:val="restar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煅烧</w:t>
                  </w:r>
                </w:p>
              </w:tc>
              <w:tc>
                <w:tcPr>
                  <w:tcW w:w="1278"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闪蒸干燥</w:t>
                  </w:r>
                </w:p>
              </w:tc>
              <w:tc>
                <w:tcPr>
                  <w:tcW w:w="611" w:type="pct"/>
                  <w:tcBorders>
                    <w:tl2br w:val="nil"/>
                    <w:tr2bl w:val="nil"/>
                  </w:tcBorders>
                </w:tcPr>
                <w:p>
                  <w:pPr>
                    <w:spacing w:line="240" w:lineRule="auto"/>
                    <w:ind w:firstLine="0" w:firstLineChars="0"/>
                    <w:jc w:val="center"/>
                    <w:rPr>
                      <w:rFonts w:cs="Times New Roman"/>
                      <w:color w:val="auto"/>
                      <w:sz w:val="21"/>
                      <w:szCs w:val="21"/>
                    </w:rPr>
                  </w:pPr>
                </w:p>
              </w:tc>
              <w:tc>
                <w:tcPr>
                  <w:tcW w:w="611"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w:t>
                  </w:r>
                </w:p>
              </w:tc>
              <w:tc>
                <w:tcPr>
                  <w:tcW w:w="676"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台</w:t>
                  </w:r>
                </w:p>
              </w:tc>
              <w:tc>
                <w:tcPr>
                  <w:tcW w:w="676" w:type="pct"/>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trPr>
              <w:tc>
                <w:tcPr>
                  <w:tcW w:w="504"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8</w:t>
                  </w:r>
                </w:p>
              </w:tc>
              <w:tc>
                <w:tcPr>
                  <w:tcW w:w="644" w:type="pct"/>
                  <w:vMerge w:val="continue"/>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p>
              </w:tc>
              <w:tc>
                <w:tcPr>
                  <w:tcW w:w="1278"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电加热辊道窑</w:t>
                  </w:r>
                </w:p>
              </w:tc>
              <w:tc>
                <w:tcPr>
                  <w:tcW w:w="611" w:type="pct"/>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48m长</w:t>
                  </w:r>
                </w:p>
              </w:tc>
              <w:tc>
                <w:tcPr>
                  <w:tcW w:w="611"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w:t>
                  </w:r>
                </w:p>
              </w:tc>
              <w:tc>
                <w:tcPr>
                  <w:tcW w:w="676"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套</w:t>
                  </w:r>
                </w:p>
              </w:tc>
              <w:tc>
                <w:tcPr>
                  <w:tcW w:w="676" w:type="pct"/>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trPr>
              <w:tc>
                <w:tcPr>
                  <w:tcW w:w="504"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9</w:t>
                  </w:r>
                </w:p>
              </w:tc>
              <w:tc>
                <w:tcPr>
                  <w:tcW w:w="644" w:type="pct"/>
                  <w:vMerge w:val="continue"/>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p>
              </w:tc>
              <w:tc>
                <w:tcPr>
                  <w:tcW w:w="1278"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kern w:val="0"/>
                      <w:sz w:val="21"/>
                      <w:szCs w:val="21"/>
                      <w:lang w:bidi="ar"/>
                    </w:rPr>
                    <w:t>天然气辊道窑</w:t>
                  </w:r>
                </w:p>
              </w:tc>
              <w:tc>
                <w:tcPr>
                  <w:tcW w:w="611" w:type="pct"/>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44m</w:t>
                  </w:r>
                </w:p>
              </w:tc>
              <w:tc>
                <w:tcPr>
                  <w:tcW w:w="611"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w:t>
                  </w:r>
                </w:p>
              </w:tc>
              <w:tc>
                <w:tcPr>
                  <w:tcW w:w="676"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套</w:t>
                  </w:r>
                </w:p>
              </w:tc>
              <w:tc>
                <w:tcPr>
                  <w:tcW w:w="676" w:type="pct"/>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trPr>
              <w:tc>
                <w:tcPr>
                  <w:tcW w:w="504"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10</w:t>
                  </w:r>
                </w:p>
              </w:tc>
              <w:tc>
                <w:tcPr>
                  <w:tcW w:w="644" w:type="pct"/>
                  <w:vMerge w:val="continue"/>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p>
              </w:tc>
              <w:tc>
                <w:tcPr>
                  <w:tcW w:w="1278" w:type="pct"/>
                  <w:tcBorders>
                    <w:tl2br w:val="nil"/>
                    <w:tr2bl w:val="nil"/>
                  </w:tcBorders>
                  <w:shd w:val="clear" w:color="auto" w:fill="auto"/>
                  <w:vAlign w:val="center"/>
                </w:tcPr>
                <w:p>
                  <w:pPr>
                    <w:spacing w:line="240" w:lineRule="auto"/>
                    <w:ind w:firstLine="0" w:firstLineChars="0"/>
                    <w:jc w:val="center"/>
                    <w:rPr>
                      <w:rFonts w:cs="Times New Roman"/>
                      <w:color w:val="auto"/>
                      <w:kern w:val="0"/>
                      <w:sz w:val="21"/>
                      <w:szCs w:val="21"/>
                      <w:lang w:bidi="ar"/>
                    </w:rPr>
                  </w:pPr>
                  <w:r>
                    <w:rPr>
                      <w:rFonts w:cs="Times New Roman"/>
                      <w:color w:val="auto"/>
                      <w:sz w:val="21"/>
                      <w:szCs w:val="21"/>
                    </w:rPr>
                    <w:t>喷淋系统</w:t>
                  </w:r>
                </w:p>
              </w:tc>
              <w:tc>
                <w:tcPr>
                  <w:tcW w:w="611" w:type="pct"/>
                  <w:tcBorders>
                    <w:tl2br w:val="nil"/>
                    <w:tr2bl w:val="nil"/>
                  </w:tcBorders>
                </w:tcPr>
                <w:p>
                  <w:pPr>
                    <w:spacing w:line="240" w:lineRule="auto"/>
                    <w:ind w:firstLine="0" w:firstLineChars="0"/>
                    <w:jc w:val="center"/>
                    <w:rPr>
                      <w:rFonts w:cs="Times New Roman"/>
                      <w:color w:val="auto"/>
                      <w:sz w:val="21"/>
                      <w:szCs w:val="21"/>
                    </w:rPr>
                  </w:pPr>
                </w:p>
              </w:tc>
              <w:tc>
                <w:tcPr>
                  <w:tcW w:w="611"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w:t>
                  </w:r>
                </w:p>
              </w:tc>
              <w:tc>
                <w:tcPr>
                  <w:tcW w:w="676"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套</w:t>
                  </w:r>
                </w:p>
              </w:tc>
              <w:tc>
                <w:tcPr>
                  <w:tcW w:w="676" w:type="pct"/>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trPr>
              <w:tc>
                <w:tcPr>
                  <w:tcW w:w="504"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11</w:t>
                  </w:r>
                </w:p>
              </w:tc>
              <w:tc>
                <w:tcPr>
                  <w:tcW w:w="644" w:type="pct"/>
                  <w:vMerge w:val="restar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颗粒整形（一期、二期共用）</w:t>
                  </w:r>
                </w:p>
              </w:tc>
              <w:tc>
                <w:tcPr>
                  <w:tcW w:w="1278"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混料机</w:t>
                  </w:r>
                </w:p>
              </w:tc>
              <w:tc>
                <w:tcPr>
                  <w:tcW w:w="611" w:type="pct"/>
                  <w:tcBorders>
                    <w:tl2br w:val="nil"/>
                    <w:tr2bl w:val="nil"/>
                  </w:tcBorders>
                </w:tcPr>
                <w:p>
                  <w:pPr>
                    <w:spacing w:line="240" w:lineRule="auto"/>
                    <w:ind w:firstLine="0" w:firstLineChars="0"/>
                    <w:jc w:val="center"/>
                    <w:rPr>
                      <w:rFonts w:cs="Times New Roman"/>
                      <w:color w:val="auto"/>
                      <w:sz w:val="21"/>
                      <w:szCs w:val="21"/>
                    </w:rPr>
                  </w:pPr>
                </w:p>
              </w:tc>
              <w:tc>
                <w:tcPr>
                  <w:tcW w:w="611"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2</w:t>
                  </w:r>
                </w:p>
              </w:tc>
              <w:tc>
                <w:tcPr>
                  <w:tcW w:w="676"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台</w:t>
                  </w:r>
                </w:p>
              </w:tc>
              <w:tc>
                <w:tcPr>
                  <w:tcW w:w="676" w:type="pct"/>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trPr>
              <w:tc>
                <w:tcPr>
                  <w:tcW w:w="504"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12</w:t>
                  </w:r>
                </w:p>
              </w:tc>
              <w:tc>
                <w:tcPr>
                  <w:tcW w:w="644" w:type="pct"/>
                  <w:vMerge w:val="continue"/>
                  <w:tcBorders>
                    <w:tl2br w:val="nil"/>
                    <w:tr2bl w:val="nil"/>
                  </w:tcBorders>
                  <w:shd w:val="clear" w:color="auto" w:fill="auto"/>
                  <w:vAlign w:val="center"/>
                </w:tcPr>
                <w:p>
                  <w:pPr>
                    <w:spacing w:line="240" w:lineRule="auto"/>
                    <w:ind w:firstLine="420"/>
                    <w:jc w:val="center"/>
                    <w:rPr>
                      <w:rFonts w:cs="Times New Roman"/>
                      <w:color w:val="auto"/>
                      <w:sz w:val="21"/>
                      <w:szCs w:val="21"/>
                    </w:rPr>
                  </w:pPr>
                </w:p>
              </w:tc>
              <w:tc>
                <w:tcPr>
                  <w:tcW w:w="1278"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筛分机</w:t>
                  </w:r>
                </w:p>
              </w:tc>
              <w:tc>
                <w:tcPr>
                  <w:tcW w:w="611" w:type="pct"/>
                  <w:tcBorders>
                    <w:tl2br w:val="nil"/>
                    <w:tr2bl w:val="nil"/>
                  </w:tcBorders>
                </w:tcPr>
                <w:p>
                  <w:pPr>
                    <w:spacing w:line="240" w:lineRule="auto"/>
                    <w:ind w:firstLine="0" w:firstLineChars="0"/>
                    <w:jc w:val="center"/>
                    <w:rPr>
                      <w:rFonts w:cs="Times New Roman"/>
                      <w:color w:val="auto"/>
                      <w:sz w:val="21"/>
                      <w:szCs w:val="21"/>
                    </w:rPr>
                  </w:pPr>
                </w:p>
              </w:tc>
              <w:tc>
                <w:tcPr>
                  <w:tcW w:w="611"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2</w:t>
                  </w:r>
                </w:p>
              </w:tc>
              <w:tc>
                <w:tcPr>
                  <w:tcW w:w="676"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台</w:t>
                  </w:r>
                </w:p>
              </w:tc>
              <w:tc>
                <w:tcPr>
                  <w:tcW w:w="676" w:type="pct"/>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trPr>
              <w:tc>
                <w:tcPr>
                  <w:tcW w:w="504"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13</w:t>
                  </w:r>
                </w:p>
              </w:tc>
              <w:tc>
                <w:tcPr>
                  <w:tcW w:w="644" w:type="pct"/>
                  <w:vMerge w:val="continue"/>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p>
              </w:tc>
              <w:tc>
                <w:tcPr>
                  <w:tcW w:w="1278"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气流粉碎机</w:t>
                  </w:r>
                </w:p>
              </w:tc>
              <w:tc>
                <w:tcPr>
                  <w:tcW w:w="611" w:type="pct"/>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QDF-400</w:t>
                  </w:r>
                </w:p>
              </w:tc>
              <w:tc>
                <w:tcPr>
                  <w:tcW w:w="611"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2</w:t>
                  </w:r>
                </w:p>
              </w:tc>
              <w:tc>
                <w:tcPr>
                  <w:tcW w:w="676"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台</w:t>
                  </w:r>
                </w:p>
              </w:tc>
              <w:tc>
                <w:tcPr>
                  <w:tcW w:w="676" w:type="pct"/>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trPr>
              <w:tc>
                <w:tcPr>
                  <w:tcW w:w="504"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14</w:t>
                  </w:r>
                </w:p>
              </w:tc>
              <w:tc>
                <w:tcPr>
                  <w:tcW w:w="644" w:type="pct"/>
                  <w:vMerge w:val="continue"/>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p>
              </w:tc>
              <w:tc>
                <w:tcPr>
                  <w:tcW w:w="1278"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射流分级机</w:t>
                  </w:r>
                </w:p>
              </w:tc>
              <w:tc>
                <w:tcPr>
                  <w:tcW w:w="611" w:type="pct"/>
                  <w:tcBorders>
                    <w:tl2br w:val="nil"/>
                    <w:tr2bl w:val="nil"/>
                  </w:tcBorders>
                </w:tcPr>
                <w:p>
                  <w:pPr>
                    <w:spacing w:line="240" w:lineRule="auto"/>
                    <w:ind w:firstLine="0" w:firstLineChars="0"/>
                    <w:jc w:val="center"/>
                    <w:rPr>
                      <w:rFonts w:cs="Times New Roman"/>
                      <w:color w:val="auto"/>
                      <w:sz w:val="21"/>
                      <w:szCs w:val="21"/>
                    </w:rPr>
                  </w:pPr>
                </w:p>
              </w:tc>
              <w:tc>
                <w:tcPr>
                  <w:tcW w:w="611"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w:t>
                  </w:r>
                </w:p>
              </w:tc>
              <w:tc>
                <w:tcPr>
                  <w:tcW w:w="676"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套</w:t>
                  </w:r>
                </w:p>
              </w:tc>
              <w:tc>
                <w:tcPr>
                  <w:tcW w:w="676" w:type="pct"/>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trPr>
              <w:tc>
                <w:tcPr>
                  <w:tcW w:w="504"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15</w:t>
                  </w:r>
                </w:p>
              </w:tc>
              <w:tc>
                <w:tcPr>
                  <w:tcW w:w="644" w:type="pct"/>
                  <w:vMerge w:val="continue"/>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p>
              </w:tc>
              <w:tc>
                <w:tcPr>
                  <w:tcW w:w="1278" w:type="pct"/>
                  <w:tcBorders>
                    <w:tl2br w:val="nil"/>
                    <w:tr2bl w:val="nil"/>
                  </w:tcBorders>
                  <w:shd w:val="clear" w:color="auto" w:fill="auto"/>
                  <w:vAlign w:val="center"/>
                </w:tcPr>
                <w:p>
                  <w:pPr>
                    <w:spacing w:line="240" w:lineRule="auto"/>
                    <w:ind w:firstLine="0" w:firstLineChars="0"/>
                    <w:jc w:val="center"/>
                    <w:rPr>
                      <w:rFonts w:cs="Times New Roman"/>
                      <w:color w:val="auto"/>
                      <w:kern w:val="0"/>
                      <w:sz w:val="21"/>
                      <w:szCs w:val="21"/>
                      <w:lang w:bidi="ar"/>
                    </w:rPr>
                  </w:pPr>
                  <w:r>
                    <w:rPr>
                      <w:rFonts w:cs="Times New Roman"/>
                      <w:color w:val="auto"/>
                      <w:kern w:val="0"/>
                      <w:sz w:val="21"/>
                      <w:szCs w:val="21"/>
                      <w:lang w:bidi="ar"/>
                    </w:rPr>
                    <w:t>混料包装机</w:t>
                  </w:r>
                </w:p>
              </w:tc>
              <w:tc>
                <w:tcPr>
                  <w:tcW w:w="611" w:type="pct"/>
                  <w:tcBorders>
                    <w:tl2br w:val="nil"/>
                    <w:tr2bl w:val="nil"/>
                  </w:tcBorders>
                </w:tcPr>
                <w:p>
                  <w:pPr>
                    <w:spacing w:line="240" w:lineRule="auto"/>
                    <w:ind w:firstLine="0" w:firstLineChars="0"/>
                    <w:jc w:val="center"/>
                    <w:rPr>
                      <w:rFonts w:cs="Times New Roman"/>
                      <w:color w:val="auto"/>
                      <w:kern w:val="0"/>
                      <w:sz w:val="21"/>
                      <w:szCs w:val="21"/>
                      <w:lang w:bidi="ar"/>
                    </w:rPr>
                  </w:pPr>
                </w:p>
              </w:tc>
              <w:tc>
                <w:tcPr>
                  <w:tcW w:w="611" w:type="pct"/>
                  <w:tcBorders>
                    <w:tl2br w:val="nil"/>
                    <w:tr2bl w:val="nil"/>
                  </w:tcBorders>
                  <w:shd w:val="clear" w:color="auto" w:fill="auto"/>
                  <w:vAlign w:val="center"/>
                </w:tcPr>
                <w:p>
                  <w:pPr>
                    <w:spacing w:line="240" w:lineRule="auto"/>
                    <w:ind w:firstLine="0" w:firstLineChars="0"/>
                    <w:jc w:val="center"/>
                    <w:rPr>
                      <w:rFonts w:cs="Times New Roman"/>
                      <w:color w:val="auto"/>
                      <w:kern w:val="0"/>
                      <w:sz w:val="21"/>
                      <w:szCs w:val="21"/>
                      <w:lang w:bidi="ar"/>
                    </w:rPr>
                  </w:pPr>
                  <w:r>
                    <w:rPr>
                      <w:rFonts w:cs="Times New Roman"/>
                      <w:color w:val="auto"/>
                      <w:kern w:val="0"/>
                      <w:sz w:val="21"/>
                      <w:szCs w:val="21"/>
                      <w:lang w:bidi="ar"/>
                    </w:rPr>
                    <w:t>2</w:t>
                  </w:r>
                </w:p>
              </w:tc>
              <w:tc>
                <w:tcPr>
                  <w:tcW w:w="676"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台</w:t>
                  </w:r>
                </w:p>
              </w:tc>
              <w:tc>
                <w:tcPr>
                  <w:tcW w:w="676" w:type="pct"/>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trPr>
              <w:tc>
                <w:tcPr>
                  <w:tcW w:w="504"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16</w:t>
                  </w:r>
                </w:p>
              </w:tc>
              <w:tc>
                <w:tcPr>
                  <w:tcW w:w="644" w:type="pct"/>
                  <w:vMerge w:val="continue"/>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p>
              </w:tc>
              <w:tc>
                <w:tcPr>
                  <w:tcW w:w="1278"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kern w:val="0"/>
                      <w:sz w:val="21"/>
                      <w:szCs w:val="21"/>
                      <w:lang w:bidi="ar"/>
                    </w:rPr>
                    <w:t>调浆槽</w:t>
                  </w:r>
                </w:p>
              </w:tc>
              <w:tc>
                <w:tcPr>
                  <w:tcW w:w="611" w:type="pct"/>
                  <w:tcBorders>
                    <w:tl2br w:val="nil"/>
                    <w:tr2bl w:val="nil"/>
                  </w:tcBorders>
                </w:tcPr>
                <w:p>
                  <w:pPr>
                    <w:spacing w:line="240" w:lineRule="auto"/>
                    <w:ind w:firstLine="0" w:firstLineChars="0"/>
                    <w:jc w:val="center"/>
                    <w:rPr>
                      <w:rFonts w:cs="Times New Roman"/>
                      <w:color w:val="auto"/>
                      <w:kern w:val="0"/>
                      <w:sz w:val="21"/>
                      <w:szCs w:val="21"/>
                      <w:lang w:bidi="ar"/>
                    </w:rPr>
                  </w:pPr>
                  <w:r>
                    <w:rPr>
                      <w:rFonts w:cs="Times New Roman"/>
                      <w:color w:val="auto"/>
                      <w:kern w:val="0"/>
                      <w:sz w:val="21"/>
                      <w:szCs w:val="21"/>
                      <w:lang w:bidi="ar"/>
                    </w:rPr>
                    <w:t>∅1.5*2.2</w:t>
                  </w:r>
                </w:p>
              </w:tc>
              <w:tc>
                <w:tcPr>
                  <w:tcW w:w="611"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kern w:val="0"/>
                      <w:sz w:val="21"/>
                      <w:szCs w:val="21"/>
                      <w:lang w:bidi="ar"/>
                    </w:rPr>
                    <w:t>1</w:t>
                  </w:r>
                </w:p>
              </w:tc>
              <w:tc>
                <w:tcPr>
                  <w:tcW w:w="676"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套</w:t>
                  </w:r>
                </w:p>
              </w:tc>
              <w:tc>
                <w:tcPr>
                  <w:tcW w:w="676" w:type="pct"/>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trPr>
              <w:tc>
                <w:tcPr>
                  <w:tcW w:w="504"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17</w:t>
                  </w:r>
                </w:p>
              </w:tc>
              <w:tc>
                <w:tcPr>
                  <w:tcW w:w="644" w:type="pct"/>
                  <w:vMerge w:val="continue"/>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p>
              </w:tc>
              <w:tc>
                <w:tcPr>
                  <w:tcW w:w="1278"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湿磨机</w:t>
                  </w:r>
                </w:p>
              </w:tc>
              <w:tc>
                <w:tcPr>
                  <w:tcW w:w="611" w:type="pct"/>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60L</w:t>
                  </w:r>
                </w:p>
              </w:tc>
              <w:tc>
                <w:tcPr>
                  <w:tcW w:w="611"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2</w:t>
                  </w:r>
                </w:p>
              </w:tc>
              <w:tc>
                <w:tcPr>
                  <w:tcW w:w="676"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台</w:t>
                  </w:r>
                </w:p>
              </w:tc>
              <w:tc>
                <w:tcPr>
                  <w:tcW w:w="676" w:type="pct"/>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trPr>
              <w:tc>
                <w:tcPr>
                  <w:tcW w:w="504"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18</w:t>
                  </w:r>
                </w:p>
              </w:tc>
              <w:tc>
                <w:tcPr>
                  <w:tcW w:w="644" w:type="pct"/>
                  <w:vMerge w:val="continue"/>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p>
              </w:tc>
              <w:tc>
                <w:tcPr>
                  <w:tcW w:w="1278"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喷雾干燥</w:t>
                  </w:r>
                </w:p>
              </w:tc>
              <w:tc>
                <w:tcPr>
                  <w:tcW w:w="611" w:type="pct"/>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200L</w:t>
                  </w:r>
                </w:p>
              </w:tc>
              <w:tc>
                <w:tcPr>
                  <w:tcW w:w="611"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w:t>
                  </w:r>
                </w:p>
              </w:tc>
              <w:tc>
                <w:tcPr>
                  <w:tcW w:w="676"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台</w:t>
                  </w:r>
                </w:p>
              </w:tc>
              <w:tc>
                <w:tcPr>
                  <w:tcW w:w="676" w:type="pct"/>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trPr>
              <w:tc>
                <w:tcPr>
                  <w:tcW w:w="504"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19</w:t>
                  </w:r>
                </w:p>
              </w:tc>
              <w:tc>
                <w:tcPr>
                  <w:tcW w:w="644"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供热系统</w:t>
                  </w:r>
                </w:p>
              </w:tc>
              <w:tc>
                <w:tcPr>
                  <w:tcW w:w="1278"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天然气锅炉</w:t>
                  </w:r>
                </w:p>
              </w:tc>
              <w:tc>
                <w:tcPr>
                  <w:tcW w:w="611" w:type="pct"/>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2t/h</w:t>
                  </w:r>
                </w:p>
              </w:tc>
              <w:tc>
                <w:tcPr>
                  <w:tcW w:w="611"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2（2用1备）</w:t>
                  </w:r>
                </w:p>
              </w:tc>
              <w:tc>
                <w:tcPr>
                  <w:tcW w:w="676"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台</w:t>
                  </w:r>
                </w:p>
              </w:tc>
              <w:tc>
                <w:tcPr>
                  <w:tcW w:w="676" w:type="pct"/>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新建</w:t>
                  </w:r>
                </w:p>
              </w:tc>
            </w:tr>
          </w:tbl>
          <w:p>
            <w:pPr>
              <w:ind w:firstLine="482"/>
              <w:jc w:val="center"/>
              <w:rPr>
                <w:rFonts w:cs="Times New Roman"/>
                <w:b/>
                <w:bCs/>
                <w:color w:val="auto"/>
                <w:szCs w:val="32"/>
              </w:rPr>
            </w:pPr>
            <w:r>
              <w:rPr>
                <w:rFonts w:cs="Times New Roman"/>
                <w:b/>
                <w:bCs/>
                <w:color w:val="auto"/>
                <w:szCs w:val="32"/>
              </w:rPr>
              <w:t>表2-4本项目设备一览表（二期）</w:t>
            </w:r>
          </w:p>
          <w:tbl>
            <w:tblPr>
              <w:tblStyle w:val="26"/>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15" w:type="dxa"/>
                <w:left w:w="15" w:type="dxa"/>
                <w:bottom w:w="15" w:type="dxa"/>
                <w:right w:w="15" w:type="dxa"/>
              </w:tblCellMar>
            </w:tblPr>
            <w:tblGrid>
              <w:gridCol w:w="977"/>
              <w:gridCol w:w="1251"/>
              <w:gridCol w:w="2482"/>
              <w:gridCol w:w="1186"/>
              <w:gridCol w:w="1314"/>
              <w:gridCol w:w="131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trPr>
              <w:tc>
                <w:tcPr>
                  <w:tcW w:w="573" w:type="pct"/>
                  <w:tcBorders>
                    <w:tl2br w:val="nil"/>
                    <w:tr2bl w:val="nil"/>
                  </w:tcBorders>
                  <w:shd w:val="clear" w:color="auto" w:fill="auto"/>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序号</w:t>
                  </w:r>
                </w:p>
              </w:tc>
              <w:tc>
                <w:tcPr>
                  <w:tcW w:w="734" w:type="pct"/>
                  <w:tcBorders>
                    <w:tl2br w:val="nil"/>
                    <w:tr2bl w:val="nil"/>
                  </w:tcBorders>
                  <w:shd w:val="clear" w:color="auto" w:fill="auto"/>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类别</w:t>
                  </w:r>
                </w:p>
              </w:tc>
              <w:tc>
                <w:tcPr>
                  <w:tcW w:w="1456" w:type="pct"/>
                  <w:tcBorders>
                    <w:tl2br w:val="nil"/>
                    <w:tr2bl w:val="nil"/>
                  </w:tcBorders>
                  <w:shd w:val="clear" w:color="auto" w:fill="auto"/>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设备名称</w:t>
                  </w:r>
                </w:p>
              </w:tc>
              <w:tc>
                <w:tcPr>
                  <w:tcW w:w="696" w:type="pct"/>
                  <w:tcBorders>
                    <w:tl2br w:val="nil"/>
                    <w:tr2bl w:val="nil"/>
                  </w:tcBorders>
                  <w:shd w:val="clear" w:color="auto" w:fill="auto"/>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数量</w:t>
                  </w:r>
                </w:p>
              </w:tc>
              <w:tc>
                <w:tcPr>
                  <w:tcW w:w="771" w:type="pct"/>
                  <w:tcBorders>
                    <w:tl2br w:val="nil"/>
                    <w:tr2bl w:val="nil"/>
                  </w:tcBorders>
                  <w:shd w:val="clear" w:color="auto" w:fill="auto"/>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单位</w:t>
                  </w:r>
                </w:p>
              </w:tc>
              <w:tc>
                <w:tcPr>
                  <w:tcW w:w="771" w:type="pct"/>
                  <w:tcBorders>
                    <w:tl2br w:val="nil"/>
                    <w:tr2bl w:val="nil"/>
                  </w:tcBorders>
                </w:tcPr>
                <w:p>
                  <w:pPr>
                    <w:spacing w:line="240" w:lineRule="auto"/>
                    <w:ind w:firstLine="0" w:firstLineChars="0"/>
                    <w:jc w:val="center"/>
                    <w:rPr>
                      <w:rFonts w:cs="Times New Roman"/>
                      <w:b/>
                      <w:bCs/>
                      <w:color w:val="auto"/>
                      <w:sz w:val="21"/>
                      <w:szCs w:val="21"/>
                    </w:rPr>
                  </w:pPr>
                  <w:r>
                    <w:rPr>
                      <w:rFonts w:cs="Times New Roman"/>
                      <w:b/>
                      <w:bCs/>
                      <w:color w:val="auto"/>
                      <w:sz w:val="21"/>
                      <w:szCs w:val="21"/>
                    </w:rPr>
                    <w:t>备注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trPr>
              <w:tc>
                <w:tcPr>
                  <w:tcW w:w="573"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w:t>
                  </w:r>
                </w:p>
              </w:tc>
              <w:tc>
                <w:tcPr>
                  <w:tcW w:w="734" w:type="pct"/>
                  <w:vMerge w:val="restar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氟化</w:t>
                  </w:r>
                </w:p>
              </w:tc>
              <w:tc>
                <w:tcPr>
                  <w:tcW w:w="1456" w:type="pct"/>
                  <w:tcBorders>
                    <w:tl2br w:val="nil"/>
                    <w:tr2bl w:val="nil"/>
                  </w:tcBorders>
                  <w:shd w:val="clear" w:color="auto" w:fill="auto"/>
                  <w:vAlign w:val="center"/>
                </w:tcPr>
                <w:p>
                  <w:pPr>
                    <w:spacing w:line="240" w:lineRule="auto"/>
                    <w:ind w:firstLine="0" w:firstLineChars="0"/>
                    <w:jc w:val="center"/>
                    <w:rPr>
                      <w:rFonts w:cs="Times New Roman"/>
                      <w:color w:val="auto"/>
                      <w:kern w:val="0"/>
                      <w:sz w:val="21"/>
                      <w:szCs w:val="21"/>
                      <w:lang w:bidi="ar"/>
                    </w:rPr>
                  </w:pPr>
                  <w:r>
                    <w:rPr>
                      <w:rFonts w:cs="Times New Roman"/>
                      <w:color w:val="auto"/>
                      <w:kern w:val="0"/>
                      <w:sz w:val="21"/>
                      <w:szCs w:val="21"/>
                      <w:lang w:bidi="ar"/>
                    </w:rPr>
                    <w:t>调浆槽</w:t>
                  </w:r>
                </w:p>
              </w:tc>
              <w:tc>
                <w:tcPr>
                  <w:tcW w:w="696" w:type="pct"/>
                  <w:tcBorders>
                    <w:tl2br w:val="nil"/>
                    <w:tr2bl w:val="nil"/>
                  </w:tcBorders>
                  <w:shd w:val="clear" w:color="auto" w:fill="auto"/>
                  <w:vAlign w:val="center"/>
                </w:tcPr>
                <w:p>
                  <w:pPr>
                    <w:spacing w:line="240" w:lineRule="auto"/>
                    <w:ind w:firstLine="0" w:firstLineChars="0"/>
                    <w:jc w:val="center"/>
                    <w:rPr>
                      <w:rFonts w:cs="Times New Roman"/>
                      <w:color w:val="auto"/>
                      <w:kern w:val="0"/>
                      <w:sz w:val="21"/>
                      <w:szCs w:val="21"/>
                      <w:lang w:bidi="ar"/>
                    </w:rPr>
                  </w:pPr>
                  <w:r>
                    <w:rPr>
                      <w:rFonts w:cs="Times New Roman"/>
                      <w:color w:val="auto"/>
                      <w:kern w:val="0"/>
                      <w:sz w:val="21"/>
                      <w:szCs w:val="21"/>
                      <w:lang w:bidi="ar"/>
                    </w:rPr>
                    <w:t>2</w:t>
                  </w:r>
                </w:p>
              </w:tc>
              <w:tc>
                <w:tcPr>
                  <w:tcW w:w="771"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台</w:t>
                  </w:r>
                </w:p>
              </w:tc>
              <w:tc>
                <w:tcPr>
                  <w:tcW w:w="771" w:type="pct"/>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trPr>
              <w:tc>
                <w:tcPr>
                  <w:tcW w:w="573"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2</w:t>
                  </w:r>
                </w:p>
              </w:tc>
              <w:tc>
                <w:tcPr>
                  <w:tcW w:w="734" w:type="pct"/>
                  <w:vMerge w:val="continue"/>
                  <w:tcBorders>
                    <w:tl2br w:val="nil"/>
                    <w:tr2bl w:val="nil"/>
                  </w:tcBorders>
                  <w:shd w:val="clear" w:color="auto" w:fill="auto"/>
                  <w:vAlign w:val="center"/>
                </w:tcPr>
                <w:p>
                  <w:pPr>
                    <w:spacing w:line="240" w:lineRule="auto"/>
                    <w:ind w:firstLine="420"/>
                    <w:jc w:val="center"/>
                    <w:rPr>
                      <w:rFonts w:cs="Times New Roman"/>
                      <w:color w:val="auto"/>
                      <w:sz w:val="21"/>
                      <w:szCs w:val="21"/>
                    </w:rPr>
                  </w:pPr>
                </w:p>
              </w:tc>
              <w:tc>
                <w:tcPr>
                  <w:tcW w:w="1456"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kern w:val="0"/>
                      <w:sz w:val="21"/>
                      <w:szCs w:val="21"/>
                      <w:lang w:bidi="ar"/>
                    </w:rPr>
                    <w:t>氟化槽</w:t>
                  </w:r>
                </w:p>
              </w:tc>
              <w:tc>
                <w:tcPr>
                  <w:tcW w:w="696"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kern w:val="0"/>
                      <w:sz w:val="21"/>
                      <w:szCs w:val="21"/>
                      <w:lang w:bidi="ar"/>
                    </w:rPr>
                    <w:t>2</w:t>
                  </w:r>
                </w:p>
              </w:tc>
              <w:tc>
                <w:tcPr>
                  <w:tcW w:w="771"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套</w:t>
                  </w:r>
                </w:p>
              </w:tc>
              <w:tc>
                <w:tcPr>
                  <w:tcW w:w="771" w:type="pct"/>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trPr>
              <w:tc>
                <w:tcPr>
                  <w:tcW w:w="573"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3</w:t>
                  </w:r>
                </w:p>
              </w:tc>
              <w:tc>
                <w:tcPr>
                  <w:tcW w:w="734" w:type="pct"/>
                  <w:vMerge w:val="continue"/>
                  <w:tcBorders>
                    <w:tl2br w:val="nil"/>
                    <w:tr2bl w:val="nil"/>
                  </w:tcBorders>
                  <w:shd w:val="clear" w:color="auto" w:fill="auto"/>
                  <w:vAlign w:val="center"/>
                </w:tcPr>
                <w:p>
                  <w:pPr>
                    <w:spacing w:line="240" w:lineRule="auto"/>
                    <w:ind w:firstLine="420"/>
                    <w:jc w:val="center"/>
                    <w:rPr>
                      <w:rFonts w:cs="Times New Roman"/>
                      <w:color w:val="auto"/>
                      <w:sz w:val="21"/>
                      <w:szCs w:val="21"/>
                    </w:rPr>
                  </w:pPr>
                </w:p>
              </w:tc>
              <w:tc>
                <w:tcPr>
                  <w:tcW w:w="1456"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真空脱水机</w:t>
                  </w:r>
                </w:p>
              </w:tc>
              <w:tc>
                <w:tcPr>
                  <w:tcW w:w="696"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2</w:t>
                  </w:r>
                </w:p>
              </w:tc>
              <w:tc>
                <w:tcPr>
                  <w:tcW w:w="771"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台</w:t>
                  </w:r>
                </w:p>
              </w:tc>
              <w:tc>
                <w:tcPr>
                  <w:tcW w:w="771" w:type="pct"/>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trPr>
              <w:tc>
                <w:tcPr>
                  <w:tcW w:w="573"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4</w:t>
                  </w:r>
                </w:p>
              </w:tc>
              <w:tc>
                <w:tcPr>
                  <w:tcW w:w="734" w:type="pct"/>
                  <w:vMerge w:val="continue"/>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p>
              </w:tc>
              <w:tc>
                <w:tcPr>
                  <w:tcW w:w="1456"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通风系统</w:t>
                  </w:r>
                </w:p>
              </w:tc>
              <w:tc>
                <w:tcPr>
                  <w:tcW w:w="696"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2</w:t>
                  </w:r>
                </w:p>
              </w:tc>
              <w:tc>
                <w:tcPr>
                  <w:tcW w:w="771"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套</w:t>
                  </w:r>
                </w:p>
              </w:tc>
              <w:tc>
                <w:tcPr>
                  <w:tcW w:w="771" w:type="pct"/>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trPr>
              <w:tc>
                <w:tcPr>
                  <w:tcW w:w="573"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5</w:t>
                  </w:r>
                </w:p>
              </w:tc>
              <w:tc>
                <w:tcPr>
                  <w:tcW w:w="734" w:type="pct"/>
                  <w:vMerge w:val="continue"/>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p>
              </w:tc>
              <w:tc>
                <w:tcPr>
                  <w:tcW w:w="1456"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喷淋系统</w:t>
                  </w:r>
                </w:p>
              </w:tc>
              <w:tc>
                <w:tcPr>
                  <w:tcW w:w="696"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w:t>
                  </w:r>
                </w:p>
              </w:tc>
              <w:tc>
                <w:tcPr>
                  <w:tcW w:w="771"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套</w:t>
                  </w:r>
                </w:p>
              </w:tc>
              <w:tc>
                <w:tcPr>
                  <w:tcW w:w="771" w:type="pct"/>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trPr>
              <w:tc>
                <w:tcPr>
                  <w:tcW w:w="573"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6</w:t>
                  </w:r>
                </w:p>
              </w:tc>
              <w:tc>
                <w:tcPr>
                  <w:tcW w:w="734" w:type="pct"/>
                  <w:vMerge w:val="continue"/>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p>
              </w:tc>
              <w:tc>
                <w:tcPr>
                  <w:tcW w:w="1456"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离心通风机</w:t>
                  </w:r>
                </w:p>
              </w:tc>
              <w:tc>
                <w:tcPr>
                  <w:tcW w:w="696"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2</w:t>
                  </w:r>
                </w:p>
              </w:tc>
              <w:tc>
                <w:tcPr>
                  <w:tcW w:w="771"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台</w:t>
                  </w:r>
                </w:p>
              </w:tc>
              <w:tc>
                <w:tcPr>
                  <w:tcW w:w="771" w:type="pct"/>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trPr>
              <w:tc>
                <w:tcPr>
                  <w:tcW w:w="573"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7</w:t>
                  </w:r>
                </w:p>
              </w:tc>
              <w:tc>
                <w:tcPr>
                  <w:tcW w:w="734" w:type="pct"/>
                  <w:vMerge w:val="restar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煅烧</w:t>
                  </w:r>
                </w:p>
              </w:tc>
              <w:tc>
                <w:tcPr>
                  <w:tcW w:w="1456"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闪蒸干燥</w:t>
                  </w:r>
                </w:p>
              </w:tc>
              <w:tc>
                <w:tcPr>
                  <w:tcW w:w="696"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w:t>
                  </w:r>
                </w:p>
              </w:tc>
              <w:tc>
                <w:tcPr>
                  <w:tcW w:w="771"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台</w:t>
                  </w:r>
                </w:p>
              </w:tc>
              <w:tc>
                <w:tcPr>
                  <w:tcW w:w="771" w:type="pct"/>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trPr>
              <w:tc>
                <w:tcPr>
                  <w:tcW w:w="573"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8</w:t>
                  </w:r>
                </w:p>
              </w:tc>
              <w:tc>
                <w:tcPr>
                  <w:tcW w:w="734" w:type="pct"/>
                  <w:vMerge w:val="continue"/>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p>
              </w:tc>
              <w:tc>
                <w:tcPr>
                  <w:tcW w:w="1456"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天然气回转窑</w:t>
                  </w:r>
                </w:p>
              </w:tc>
              <w:tc>
                <w:tcPr>
                  <w:tcW w:w="696"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w:t>
                  </w:r>
                </w:p>
              </w:tc>
              <w:tc>
                <w:tcPr>
                  <w:tcW w:w="771"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套</w:t>
                  </w:r>
                </w:p>
              </w:tc>
              <w:tc>
                <w:tcPr>
                  <w:tcW w:w="771" w:type="pct"/>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trPr>
              <w:tc>
                <w:tcPr>
                  <w:tcW w:w="573"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p>
              </w:tc>
              <w:tc>
                <w:tcPr>
                  <w:tcW w:w="734" w:type="pct"/>
                  <w:vMerge w:val="continue"/>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p>
              </w:tc>
              <w:tc>
                <w:tcPr>
                  <w:tcW w:w="1456"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喷淋系统</w:t>
                  </w:r>
                </w:p>
              </w:tc>
              <w:tc>
                <w:tcPr>
                  <w:tcW w:w="696"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w:t>
                  </w:r>
                </w:p>
              </w:tc>
              <w:tc>
                <w:tcPr>
                  <w:tcW w:w="771"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套</w:t>
                  </w:r>
                </w:p>
              </w:tc>
              <w:tc>
                <w:tcPr>
                  <w:tcW w:w="771" w:type="pct"/>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trPr>
              <w:tc>
                <w:tcPr>
                  <w:tcW w:w="573"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9</w:t>
                  </w:r>
                </w:p>
              </w:tc>
              <w:tc>
                <w:tcPr>
                  <w:tcW w:w="734"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供热系统</w:t>
                  </w:r>
                </w:p>
              </w:tc>
              <w:tc>
                <w:tcPr>
                  <w:tcW w:w="1456"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锅炉2t/h</w:t>
                  </w:r>
                </w:p>
              </w:tc>
              <w:tc>
                <w:tcPr>
                  <w:tcW w:w="696"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w:t>
                  </w:r>
                </w:p>
              </w:tc>
              <w:tc>
                <w:tcPr>
                  <w:tcW w:w="771" w:type="pct"/>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台</w:t>
                  </w:r>
                </w:p>
              </w:tc>
              <w:tc>
                <w:tcPr>
                  <w:tcW w:w="771" w:type="pct"/>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新建</w:t>
                  </w:r>
                </w:p>
              </w:tc>
            </w:tr>
          </w:tbl>
          <w:p>
            <w:pPr>
              <w:ind w:firstLine="482"/>
              <w:jc w:val="left"/>
              <w:rPr>
                <w:rFonts w:cs="Times New Roman"/>
                <w:color w:val="auto"/>
                <w:szCs w:val="32"/>
              </w:rPr>
            </w:pPr>
            <w:r>
              <w:rPr>
                <w:rFonts w:cs="Times New Roman"/>
                <w:b/>
                <w:bCs/>
                <w:color w:val="auto"/>
                <w:szCs w:val="32"/>
              </w:rPr>
              <w:t>2.3本项目生产规模方案</w:t>
            </w:r>
          </w:p>
          <w:p>
            <w:pPr>
              <w:ind w:firstLine="482"/>
              <w:jc w:val="center"/>
              <w:rPr>
                <w:rFonts w:cs="Times New Roman"/>
                <w:b/>
                <w:bCs/>
                <w:color w:val="auto"/>
                <w:szCs w:val="32"/>
              </w:rPr>
            </w:pPr>
            <w:r>
              <w:rPr>
                <w:rFonts w:cs="Times New Roman"/>
                <w:b/>
                <w:bCs/>
                <w:color w:val="auto"/>
                <w:szCs w:val="32"/>
              </w:rPr>
              <w:t>表2-5项目产品方案表</w:t>
            </w:r>
          </w:p>
          <w:tbl>
            <w:tblPr>
              <w:tblStyle w:val="26"/>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 w:type="dxa"/>
                <w:bottom w:w="0" w:type="dxa"/>
                <w:right w:w="10" w:type="dxa"/>
              </w:tblCellMar>
            </w:tblPr>
            <w:tblGrid>
              <w:gridCol w:w="464"/>
              <w:gridCol w:w="2001"/>
              <w:gridCol w:w="2006"/>
              <w:gridCol w:w="994"/>
              <w:gridCol w:w="747"/>
              <w:gridCol w:w="1302"/>
              <w:gridCol w:w="1009"/>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 w:type="dxa"/>
                  <w:bottom w:w="0" w:type="dxa"/>
                  <w:right w:w="10" w:type="dxa"/>
                </w:tblCellMar>
              </w:tblPrEx>
              <w:trPr>
                <w:trHeight w:val="340" w:hRule="atLeast"/>
                <w:jc w:val="center"/>
              </w:trPr>
              <w:tc>
                <w:tcPr>
                  <w:tcW w:w="272" w:type="pct"/>
                  <w:tcBorders>
                    <w:tl2br w:val="nil"/>
                    <w:tr2bl w:val="nil"/>
                  </w:tcBorders>
                  <w:shd w:val="clear" w:color="000000" w:fill="auto"/>
                  <w:tcMar>
                    <w:left w:w="108" w:type="dxa"/>
                    <w:right w:w="108" w:type="dxa"/>
                  </w:tcMar>
                  <w:vAlign w:val="center"/>
                </w:tcPr>
                <w:p>
                  <w:pPr>
                    <w:snapToGrid w:val="0"/>
                    <w:spacing w:line="240" w:lineRule="auto"/>
                    <w:ind w:firstLine="0" w:firstLineChars="0"/>
                    <w:jc w:val="center"/>
                    <w:rPr>
                      <w:rFonts w:cs="Times New Roman"/>
                      <w:color w:val="auto"/>
                      <w:sz w:val="21"/>
                      <w:szCs w:val="21"/>
                    </w:rPr>
                  </w:pPr>
                  <w:bookmarkStart w:id="6" w:name="_Hlk162003106"/>
                  <w:r>
                    <w:rPr>
                      <w:rFonts w:cs="Times New Roman"/>
                      <w:b/>
                      <w:color w:val="auto"/>
                      <w:sz w:val="21"/>
                      <w:szCs w:val="21"/>
                    </w:rPr>
                    <w:t>序号</w:t>
                  </w:r>
                </w:p>
              </w:tc>
              <w:tc>
                <w:tcPr>
                  <w:tcW w:w="2351" w:type="pct"/>
                  <w:gridSpan w:val="2"/>
                  <w:tcBorders>
                    <w:tl2br w:val="nil"/>
                    <w:tr2bl w:val="nil"/>
                  </w:tcBorders>
                  <w:shd w:val="clear" w:color="000000" w:fill="auto"/>
                  <w:vAlign w:val="center"/>
                </w:tcPr>
                <w:p>
                  <w:pPr>
                    <w:snapToGrid w:val="0"/>
                    <w:spacing w:line="240" w:lineRule="auto"/>
                    <w:ind w:firstLine="0" w:firstLineChars="0"/>
                    <w:jc w:val="center"/>
                    <w:rPr>
                      <w:rFonts w:cs="Times New Roman"/>
                      <w:color w:val="auto"/>
                      <w:sz w:val="21"/>
                      <w:szCs w:val="21"/>
                    </w:rPr>
                  </w:pPr>
                  <w:r>
                    <w:rPr>
                      <w:rFonts w:cs="Times New Roman"/>
                      <w:b/>
                      <w:color w:val="auto"/>
                      <w:sz w:val="21"/>
                      <w:szCs w:val="21"/>
                    </w:rPr>
                    <w:t>项目名称</w:t>
                  </w:r>
                </w:p>
              </w:tc>
              <w:tc>
                <w:tcPr>
                  <w:tcW w:w="583" w:type="pct"/>
                  <w:tcBorders>
                    <w:tl2br w:val="nil"/>
                    <w:tr2bl w:val="nil"/>
                  </w:tcBorders>
                  <w:shd w:val="clear" w:color="000000" w:fill="auto"/>
                  <w:tcMar>
                    <w:left w:w="108" w:type="dxa"/>
                    <w:right w:w="108" w:type="dxa"/>
                  </w:tcMar>
                  <w:vAlign w:val="center"/>
                </w:tcPr>
                <w:p>
                  <w:pPr>
                    <w:snapToGrid w:val="0"/>
                    <w:spacing w:line="240" w:lineRule="auto"/>
                    <w:ind w:firstLine="0" w:firstLineChars="0"/>
                    <w:jc w:val="center"/>
                    <w:rPr>
                      <w:rFonts w:cs="Times New Roman"/>
                      <w:color w:val="auto"/>
                      <w:sz w:val="21"/>
                      <w:szCs w:val="21"/>
                    </w:rPr>
                  </w:pPr>
                  <w:r>
                    <w:rPr>
                      <w:rFonts w:cs="Times New Roman"/>
                      <w:b/>
                      <w:color w:val="auto"/>
                      <w:sz w:val="21"/>
                      <w:szCs w:val="21"/>
                    </w:rPr>
                    <w:t>单位</w:t>
                  </w:r>
                </w:p>
              </w:tc>
              <w:tc>
                <w:tcPr>
                  <w:tcW w:w="438" w:type="pct"/>
                  <w:tcBorders>
                    <w:tl2br w:val="nil"/>
                    <w:tr2bl w:val="nil"/>
                  </w:tcBorders>
                  <w:shd w:val="clear" w:color="000000" w:fill="auto"/>
                  <w:tcMar>
                    <w:left w:w="108" w:type="dxa"/>
                    <w:right w:w="108" w:type="dxa"/>
                  </w:tcMar>
                  <w:vAlign w:val="center"/>
                </w:tcPr>
                <w:p>
                  <w:pPr>
                    <w:snapToGrid w:val="0"/>
                    <w:spacing w:line="240" w:lineRule="auto"/>
                    <w:ind w:firstLine="0" w:firstLineChars="0"/>
                    <w:jc w:val="center"/>
                    <w:rPr>
                      <w:rFonts w:cs="Times New Roman"/>
                      <w:color w:val="auto"/>
                      <w:sz w:val="21"/>
                      <w:szCs w:val="21"/>
                    </w:rPr>
                  </w:pPr>
                  <w:r>
                    <w:rPr>
                      <w:rFonts w:cs="Times New Roman"/>
                      <w:b/>
                      <w:color w:val="auto"/>
                      <w:sz w:val="21"/>
                      <w:szCs w:val="21"/>
                    </w:rPr>
                    <w:t>数量</w:t>
                  </w:r>
                </w:p>
              </w:tc>
              <w:tc>
                <w:tcPr>
                  <w:tcW w:w="764" w:type="pct"/>
                  <w:tcBorders>
                    <w:tl2br w:val="nil"/>
                    <w:tr2bl w:val="nil"/>
                  </w:tcBorders>
                  <w:shd w:val="clear" w:color="000000" w:fill="auto"/>
                  <w:vAlign w:val="center"/>
                </w:tcPr>
                <w:p>
                  <w:pPr>
                    <w:snapToGrid w:val="0"/>
                    <w:spacing w:line="240" w:lineRule="auto"/>
                    <w:ind w:firstLine="0" w:firstLineChars="0"/>
                    <w:jc w:val="center"/>
                    <w:rPr>
                      <w:rFonts w:cs="Times New Roman"/>
                      <w:b/>
                      <w:color w:val="auto"/>
                      <w:sz w:val="21"/>
                      <w:szCs w:val="21"/>
                    </w:rPr>
                  </w:pPr>
                  <w:r>
                    <w:rPr>
                      <w:rFonts w:cs="Times New Roman"/>
                      <w:color w:val="auto"/>
                      <w:sz w:val="21"/>
                      <w:szCs w:val="21"/>
                    </w:rPr>
                    <w:t>中心粒径</w:t>
                  </w:r>
                </w:p>
              </w:tc>
              <w:tc>
                <w:tcPr>
                  <w:tcW w:w="593" w:type="pct"/>
                  <w:tcBorders>
                    <w:tl2br w:val="nil"/>
                    <w:tr2bl w:val="nil"/>
                  </w:tcBorders>
                  <w:shd w:val="clear" w:color="000000" w:fill="auto"/>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备注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 w:type="dxa"/>
                  <w:bottom w:w="0" w:type="dxa"/>
                  <w:right w:w="10" w:type="dxa"/>
                </w:tblCellMar>
              </w:tblPrEx>
              <w:trPr>
                <w:trHeight w:val="340" w:hRule="atLeast"/>
                <w:jc w:val="center"/>
              </w:trPr>
              <w:tc>
                <w:tcPr>
                  <w:tcW w:w="5000" w:type="pct"/>
                  <w:gridSpan w:val="7"/>
                  <w:tcBorders>
                    <w:tl2br w:val="nil"/>
                    <w:tr2bl w:val="nil"/>
                  </w:tcBorders>
                  <w:shd w:val="clear" w:color="000000" w:fill="auto"/>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一期工程</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 w:type="dxa"/>
                  <w:bottom w:w="0" w:type="dxa"/>
                  <w:right w:w="10" w:type="dxa"/>
                </w:tblCellMar>
              </w:tblPrEx>
              <w:trPr>
                <w:trHeight w:val="340" w:hRule="atLeast"/>
                <w:jc w:val="center"/>
              </w:trPr>
              <w:tc>
                <w:tcPr>
                  <w:tcW w:w="272" w:type="pct"/>
                  <w:tcBorders>
                    <w:tl2br w:val="nil"/>
                    <w:tr2bl w:val="nil"/>
                  </w:tcBorders>
                  <w:shd w:val="clear" w:color="000000" w:fill="auto"/>
                  <w:tcMar>
                    <w:left w:w="108" w:type="dxa"/>
                    <w:right w:w="10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1</w:t>
                  </w:r>
                </w:p>
              </w:tc>
              <w:tc>
                <w:tcPr>
                  <w:tcW w:w="1174" w:type="pct"/>
                  <w:vMerge w:val="restart"/>
                  <w:tcBorders>
                    <w:tl2br w:val="nil"/>
                    <w:tr2bl w:val="nil"/>
                  </w:tcBorders>
                  <w:shd w:val="clear" w:color="000000" w:fill="auto"/>
                  <w:vAlign w:val="center"/>
                </w:tcPr>
                <w:p>
                  <w:pPr>
                    <w:snapToGrid w:val="0"/>
                    <w:spacing w:line="240" w:lineRule="auto"/>
                    <w:ind w:firstLine="0" w:firstLineChars="0"/>
                    <w:jc w:val="center"/>
                    <w:rPr>
                      <w:rFonts w:cs="Times New Roman"/>
                      <w:color w:val="auto"/>
                      <w:sz w:val="21"/>
                      <w:szCs w:val="21"/>
                    </w:rPr>
                  </w:pPr>
                  <w:r>
                    <w:rPr>
                      <w:rFonts w:cs="Times New Roman"/>
                      <w:color w:val="auto"/>
                      <w:kern w:val="0"/>
                      <w:sz w:val="21"/>
                      <w:szCs w:val="21"/>
                      <w:lang w:val="zh-CN"/>
                    </w:rPr>
                    <w:t>镧铈抛光粉</w:t>
                  </w:r>
                </w:p>
              </w:tc>
              <w:tc>
                <w:tcPr>
                  <w:tcW w:w="1176" w:type="pct"/>
                  <w:tcBorders>
                    <w:tl2br w:val="nil"/>
                    <w:tr2bl w:val="nil"/>
                  </w:tcBorders>
                  <w:shd w:val="clear" w:color="000000" w:fill="auto"/>
                  <w:tcMar>
                    <w:left w:w="108" w:type="dxa"/>
                    <w:right w:w="10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2.5D手机玻璃用稀土抛光粉</w:t>
                  </w:r>
                </w:p>
              </w:tc>
              <w:tc>
                <w:tcPr>
                  <w:tcW w:w="583" w:type="pct"/>
                  <w:tcBorders>
                    <w:tl2br w:val="nil"/>
                    <w:tr2bl w:val="nil"/>
                  </w:tcBorders>
                  <w:shd w:val="clear" w:color="000000" w:fill="auto"/>
                  <w:tcMar>
                    <w:left w:w="108" w:type="dxa"/>
                    <w:right w:w="10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t/a</w:t>
                  </w:r>
                </w:p>
              </w:tc>
              <w:tc>
                <w:tcPr>
                  <w:tcW w:w="438" w:type="pct"/>
                  <w:tcBorders>
                    <w:tl2br w:val="nil"/>
                    <w:tr2bl w:val="nil"/>
                  </w:tcBorders>
                  <w:shd w:val="clear" w:color="000000" w:fill="auto"/>
                  <w:tcMar>
                    <w:left w:w="108" w:type="dxa"/>
                    <w:right w:w="10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750</w:t>
                  </w:r>
                </w:p>
              </w:tc>
              <w:tc>
                <w:tcPr>
                  <w:tcW w:w="764" w:type="pct"/>
                  <w:tcBorders>
                    <w:tl2br w:val="nil"/>
                    <w:tr2bl w:val="nil"/>
                  </w:tcBorders>
                  <w:shd w:val="clear" w:color="000000" w:fill="auto"/>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D50：（1.3-2.0）μm</w:t>
                  </w:r>
                </w:p>
              </w:tc>
              <w:tc>
                <w:tcPr>
                  <w:tcW w:w="593" w:type="pct"/>
                  <w:tcBorders>
                    <w:tl2br w:val="nil"/>
                    <w:tr2bl w:val="nil"/>
                  </w:tcBorders>
                  <w:shd w:val="clear" w:color="000000" w:fill="auto"/>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天然气辊道窑</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 w:type="dxa"/>
                  <w:bottom w:w="0" w:type="dxa"/>
                  <w:right w:w="10" w:type="dxa"/>
                </w:tblCellMar>
              </w:tblPrEx>
              <w:trPr>
                <w:trHeight w:val="90" w:hRule="atLeast"/>
                <w:jc w:val="center"/>
              </w:trPr>
              <w:tc>
                <w:tcPr>
                  <w:tcW w:w="272" w:type="pct"/>
                  <w:tcBorders>
                    <w:tl2br w:val="nil"/>
                    <w:tr2bl w:val="nil"/>
                  </w:tcBorders>
                  <w:shd w:val="clear" w:color="000000" w:fill="auto"/>
                  <w:tcMar>
                    <w:left w:w="108" w:type="dxa"/>
                    <w:right w:w="10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2</w:t>
                  </w:r>
                </w:p>
              </w:tc>
              <w:tc>
                <w:tcPr>
                  <w:tcW w:w="1174" w:type="pct"/>
                  <w:vMerge w:val="continue"/>
                  <w:tcBorders>
                    <w:tl2br w:val="nil"/>
                    <w:tr2bl w:val="nil"/>
                  </w:tcBorders>
                  <w:shd w:val="clear" w:color="000000" w:fill="auto"/>
                  <w:vAlign w:val="center"/>
                </w:tcPr>
                <w:p>
                  <w:pPr>
                    <w:snapToGrid w:val="0"/>
                    <w:spacing w:line="240" w:lineRule="auto"/>
                    <w:ind w:firstLine="0" w:firstLineChars="0"/>
                    <w:jc w:val="center"/>
                    <w:rPr>
                      <w:rFonts w:cs="Times New Roman"/>
                      <w:color w:val="auto"/>
                      <w:sz w:val="21"/>
                      <w:szCs w:val="21"/>
                    </w:rPr>
                  </w:pPr>
                </w:p>
              </w:tc>
              <w:tc>
                <w:tcPr>
                  <w:tcW w:w="1176" w:type="pct"/>
                  <w:tcBorders>
                    <w:tl2br w:val="nil"/>
                    <w:tr2bl w:val="nil"/>
                  </w:tcBorders>
                  <w:shd w:val="clear" w:color="000000" w:fill="auto"/>
                  <w:tcMar>
                    <w:left w:w="108" w:type="dxa"/>
                    <w:right w:w="10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3D手机玻璃用稀土抛光粉</w:t>
                  </w:r>
                </w:p>
              </w:tc>
              <w:tc>
                <w:tcPr>
                  <w:tcW w:w="583" w:type="pct"/>
                  <w:tcBorders>
                    <w:tl2br w:val="nil"/>
                    <w:tr2bl w:val="nil"/>
                  </w:tcBorders>
                  <w:shd w:val="clear" w:color="000000" w:fill="auto"/>
                  <w:tcMar>
                    <w:left w:w="108" w:type="dxa"/>
                    <w:right w:w="10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t/a</w:t>
                  </w:r>
                </w:p>
              </w:tc>
              <w:tc>
                <w:tcPr>
                  <w:tcW w:w="438" w:type="pct"/>
                  <w:tcBorders>
                    <w:tl2br w:val="nil"/>
                    <w:tr2bl w:val="nil"/>
                  </w:tcBorders>
                  <w:shd w:val="clear" w:color="000000" w:fill="auto"/>
                  <w:tcMar>
                    <w:left w:w="108" w:type="dxa"/>
                    <w:right w:w="10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750</w:t>
                  </w:r>
                </w:p>
              </w:tc>
              <w:tc>
                <w:tcPr>
                  <w:tcW w:w="764" w:type="pct"/>
                  <w:tcBorders>
                    <w:tl2br w:val="nil"/>
                    <w:tr2bl w:val="nil"/>
                  </w:tcBorders>
                  <w:shd w:val="clear" w:color="000000" w:fill="auto"/>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D50：（1.3-2.0）μm</w:t>
                  </w:r>
                </w:p>
              </w:tc>
              <w:tc>
                <w:tcPr>
                  <w:tcW w:w="593" w:type="pct"/>
                  <w:tcBorders>
                    <w:tl2br w:val="nil"/>
                    <w:tr2bl w:val="nil"/>
                  </w:tcBorders>
                  <w:shd w:val="clear" w:color="000000" w:fill="auto"/>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电辊道窑</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 w:type="dxa"/>
                  <w:bottom w:w="0" w:type="dxa"/>
                  <w:right w:w="10" w:type="dxa"/>
                </w:tblCellMar>
              </w:tblPrEx>
              <w:trPr>
                <w:trHeight w:val="340" w:hRule="atLeast"/>
                <w:jc w:val="center"/>
              </w:trPr>
              <w:tc>
                <w:tcPr>
                  <w:tcW w:w="5000" w:type="pct"/>
                  <w:gridSpan w:val="7"/>
                  <w:tcBorders>
                    <w:tl2br w:val="nil"/>
                    <w:tr2bl w:val="nil"/>
                  </w:tcBorders>
                  <w:shd w:val="clear" w:color="000000" w:fill="auto"/>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二期工程</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 w:type="dxa"/>
                  <w:bottom w:w="0" w:type="dxa"/>
                  <w:right w:w="10" w:type="dxa"/>
                </w:tblCellMar>
              </w:tblPrEx>
              <w:trPr>
                <w:trHeight w:val="340" w:hRule="atLeast"/>
                <w:jc w:val="center"/>
              </w:trPr>
              <w:tc>
                <w:tcPr>
                  <w:tcW w:w="272" w:type="pct"/>
                  <w:tcBorders>
                    <w:tl2br w:val="nil"/>
                    <w:tr2bl w:val="nil"/>
                  </w:tcBorders>
                  <w:shd w:val="clear" w:color="000000" w:fill="auto"/>
                  <w:tcMar>
                    <w:left w:w="108" w:type="dxa"/>
                    <w:right w:w="10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3</w:t>
                  </w:r>
                </w:p>
              </w:tc>
              <w:tc>
                <w:tcPr>
                  <w:tcW w:w="1174" w:type="pct"/>
                  <w:tcBorders>
                    <w:tl2br w:val="nil"/>
                    <w:tr2bl w:val="nil"/>
                  </w:tcBorders>
                  <w:shd w:val="clear" w:color="000000" w:fill="auto"/>
                  <w:vAlign w:val="center"/>
                </w:tcPr>
                <w:p>
                  <w:pPr>
                    <w:snapToGrid w:val="0"/>
                    <w:spacing w:line="240" w:lineRule="auto"/>
                    <w:ind w:firstLine="0" w:firstLineChars="0"/>
                    <w:jc w:val="center"/>
                    <w:rPr>
                      <w:rFonts w:cs="Times New Roman"/>
                      <w:color w:val="auto"/>
                      <w:sz w:val="21"/>
                      <w:szCs w:val="21"/>
                    </w:rPr>
                  </w:pPr>
                  <w:r>
                    <w:rPr>
                      <w:rFonts w:cs="Times New Roman"/>
                      <w:color w:val="auto"/>
                      <w:kern w:val="0"/>
                      <w:sz w:val="21"/>
                      <w:szCs w:val="21"/>
                      <w:lang w:val="zh-CN"/>
                    </w:rPr>
                    <w:t>铈抛光粉</w:t>
                  </w:r>
                </w:p>
              </w:tc>
              <w:tc>
                <w:tcPr>
                  <w:tcW w:w="1176" w:type="pct"/>
                  <w:tcBorders>
                    <w:tl2br w:val="nil"/>
                    <w:tr2bl w:val="nil"/>
                  </w:tcBorders>
                  <w:shd w:val="clear" w:color="000000" w:fill="auto"/>
                  <w:tcMar>
                    <w:left w:w="108" w:type="dxa"/>
                    <w:right w:w="10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LCD用稀土抛光</w:t>
                  </w:r>
                </w:p>
              </w:tc>
              <w:tc>
                <w:tcPr>
                  <w:tcW w:w="583" w:type="pct"/>
                  <w:tcBorders>
                    <w:tl2br w:val="nil"/>
                    <w:tr2bl w:val="nil"/>
                  </w:tcBorders>
                  <w:shd w:val="clear" w:color="000000" w:fill="auto"/>
                  <w:tcMar>
                    <w:left w:w="108" w:type="dxa"/>
                    <w:right w:w="10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t/a</w:t>
                  </w:r>
                </w:p>
              </w:tc>
              <w:tc>
                <w:tcPr>
                  <w:tcW w:w="438" w:type="pct"/>
                  <w:tcBorders>
                    <w:tl2br w:val="nil"/>
                    <w:tr2bl w:val="nil"/>
                  </w:tcBorders>
                  <w:shd w:val="clear" w:color="000000" w:fill="auto"/>
                  <w:tcMar>
                    <w:left w:w="108" w:type="dxa"/>
                    <w:right w:w="10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1500</w:t>
                  </w:r>
                </w:p>
              </w:tc>
              <w:tc>
                <w:tcPr>
                  <w:tcW w:w="764" w:type="pct"/>
                  <w:tcBorders>
                    <w:tl2br w:val="nil"/>
                    <w:tr2bl w:val="nil"/>
                  </w:tcBorders>
                  <w:shd w:val="clear" w:color="000000" w:fill="auto"/>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D50：（1.5-2.0）μm</w:t>
                  </w:r>
                </w:p>
              </w:tc>
              <w:tc>
                <w:tcPr>
                  <w:tcW w:w="593" w:type="pct"/>
                  <w:tcBorders>
                    <w:tl2br w:val="nil"/>
                    <w:tr2bl w:val="nil"/>
                  </w:tcBorders>
                  <w:shd w:val="clear" w:color="000000" w:fill="auto"/>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回转窑</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 w:type="dxa"/>
                  <w:bottom w:w="0" w:type="dxa"/>
                  <w:right w:w="10" w:type="dxa"/>
                </w:tblCellMar>
              </w:tblPrEx>
              <w:trPr>
                <w:trHeight w:val="340" w:hRule="atLeast"/>
                <w:jc w:val="center"/>
              </w:trPr>
              <w:tc>
                <w:tcPr>
                  <w:tcW w:w="2622" w:type="pct"/>
                  <w:gridSpan w:val="3"/>
                  <w:tcBorders>
                    <w:tl2br w:val="nil"/>
                    <w:tr2bl w:val="nil"/>
                  </w:tcBorders>
                  <w:shd w:val="clear" w:color="000000" w:fill="auto"/>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总计</w:t>
                  </w:r>
                </w:p>
              </w:tc>
              <w:tc>
                <w:tcPr>
                  <w:tcW w:w="583" w:type="pct"/>
                  <w:tcBorders>
                    <w:tl2br w:val="nil"/>
                    <w:tr2bl w:val="nil"/>
                  </w:tcBorders>
                  <w:shd w:val="clear" w:color="000000" w:fill="auto"/>
                  <w:tcMar>
                    <w:left w:w="108" w:type="dxa"/>
                    <w:right w:w="10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t/a</w:t>
                  </w:r>
                </w:p>
              </w:tc>
              <w:tc>
                <w:tcPr>
                  <w:tcW w:w="438" w:type="pct"/>
                  <w:tcBorders>
                    <w:tl2br w:val="nil"/>
                    <w:tr2bl w:val="nil"/>
                  </w:tcBorders>
                  <w:shd w:val="clear" w:color="000000" w:fill="auto"/>
                  <w:tcMar>
                    <w:left w:w="108" w:type="dxa"/>
                    <w:right w:w="10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3000</w:t>
                  </w:r>
                </w:p>
              </w:tc>
              <w:tc>
                <w:tcPr>
                  <w:tcW w:w="764" w:type="pct"/>
                  <w:tcBorders>
                    <w:tl2br w:val="nil"/>
                    <w:tr2bl w:val="nil"/>
                  </w:tcBorders>
                  <w:shd w:val="clear" w:color="000000" w:fill="auto"/>
                  <w:vAlign w:val="center"/>
                </w:tcPr>
                <w:p>
                  <w:pPr>
                    <w:snapToGrid w:val="0"/>
                    <w:spacing w:line="240" w:lineRule="auto"/>
                    <w:ind w:firstLine="0" w:firstLineChars="0"/>
                    <w:jc w:val="center"/>
                    <w:rPr>
                      <w:rFonts w:cs="Times New Roman"/>
                      <w:color w:val="auto"/>
                      <w:sz w:val="21"/>
                      <w:szCs w:val="21"/>
                    </w:rPr>
                  </w:pPr>
                </w:p>
              </w:tc>
              <w:tc>
                <w:tcPr>
                  <w:tcW w:w="593" w:type="pct"/>
                  <w:tcBorders>
                    <w:tl2br w:val="nil"/>
                    <w:tr2bl w:val="nil"/>
                  </w:tcBorders>
                  <w:shd w:val="clear" w:color="000000" w:fill="auto"/>
                  <w:vAlign w:val="center"/>
                </w:tcPr>
                <w:p>
                  <w:pPr>
                    <w:snapToGrid w:val="0"/>
                    <w:spacing w:line="240" w:lineRule="auto"/>
                    <w:ind w:firstLine="0" w:firstLineChars="0"/>
                    <w:jc w:val="center"/>
                    <w:rPr>
                      <w:rFonts w:cs="Times New Roman"/>
                      <w:color w:val="auto"/>
                      <w:sz w:val="21"/>
                      <w:szCs w:val="21"/>
                    </w:rPr>
                  </w:pPr>
                </w:p>
              </w:tc>
            </w:tr>
            <w:bookmarkEnd w:id="6"/>
          </w:tbl>
          <w:p>
            <w:pPr>
              <w:ind w:firstLine="480"/>
              <w:rPr>
                <w:rFonts w:cs="Times New Roman"/>
                <w:color w:val="auto"/>
              </w:rPr>
            </w:pPr>
            <w:r>
              <w:rPr>
                <w:rFonts w:cs="Times New Roman"/>
                <w:color w:val="auto"/>
              </w:rPr>
              <w:t>产品编号为QT-500LCD，产品质量标准见下表：</w:t>
            </w:r>
          </w:p>
          <w:p>
            <w:pPr>
              <w:keepLines/>
              <w:topLinePunct/>
              <w:autoSpaceDE w:val="0"/>
              <w:adjustRightInd w:val="0"/>
              <w:snapToGrid w:val="0"/>
              <w:ind w:firstLine="482"/>
              <w:jc w:val="center"/>
              <w:rPr>
                <w:rFonts w:cs="Times New Roman"/>
                <w:b/>
                <w:color w:val="auto"/>
              </w:rPr>
            </w:pPr>
            <w:r>
              <w:rPr>
                <w:rFonts w:cs="Times New Roman"/>
                <w:b/>
                <w:color w:val="auto"/>
              </w:rPr>
              <w:t>表2-6抛光粉产品质量标准QT-500LCD</w:t>
            </w:r>
          </w:p>
          <w:tbl>
            <w:tblPr>
              <w:tblStyle w:val="26"/>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 w:type="dxa"/>
                <w:bottom w:w="0" w:type="dxa"/>
                <w:right w:w="10" w:type="dxa"/>
              </w:tblCellMar>
            </w:tblPr>
            <w:tblGrid>
              <w:gridCol w:w="2456"/>
              <w:gridCol w:w="1913"/>
              <w:gridCol w:w="415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 w:type="dxa"/>
                  <w:bottom w:w="0" w:type="dxa"/>
                  <w:right w:w="10" w:type="dxa"/>
                </w:tblCellMar>
              </w:tblPrEx>
              <w:trPr>
                <w:trHeight w:val="340" w:hRule="atLeast"/>
                <w:jc w:val="center"/>
              </w:trPr>
              <w:tc>
                <w:tcPr>
                  <w:tcW w:w="5000" w:type="pct"/>
                  <w:gridSpan w:val="3"/>
                  <w:shd w:val="clear" w:color="auto" w:fill="auto"/>
                  <w:tcMar>
                    <w:left w:w="108" w:type="dxa"/>
                    <w:right w:w="108" w:type="dxa"/>
                  </w:tcMar>
                  <w:vAlign w:val="center"/>
                </w:tcPr>
                <w:p>
                  <w:pPr>
                    <w:snapToGrid w:val="0"/>
                    <w:spacing w:line="240" w:lineRule="auto"/>
                    <w:ind w:firstLine="0" w:firstLineChars="0"/>
                    <w:jc w:val="center"/>
                    <w:rPr>
                      <w:rFonts w:cs="Times New Roman"/>
                      <w:color w:val="auto"/>
                      <w:kern w:val="0"/>
                      <w:sz w:val="21"/>
                      <w:szCs w:val="21"/>
                      <w:lang w:val="zh-CN"/>
                    </w:rPr>
                  </w:pPr>
                  <w:r>
                    <w:rPr>
                      <w:rFonts w:cs="Times New Roman"/>
                      <w:color w:val="auto"/>
                      <w:kern w:val="0"/>
                      <w:sz w:val="21"/>
                      <w:szCs w:val="21"/>
                      <w:lang w:val="zh-CN"/>
                    </w:rPr>
                    <w:t>（1）化学组成</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 w:type="dxa"/>
                  <w:bottom w:w="0" w:type="dxa"/>
                  <w:right w:w="10" w:type="dxa"/>
                </w:tblCellMar>
              </w:tblPrEx>
              <w:trPr>
                <w:trHeight w:val="340" w:hRule="atLeast"/>
                <w:jc w:val="center"/>
              </w:trPr>
              <w:tc>
                <w:tcPr>
                  <w:tcW w:w="1441" w:type="pct"/>
                  <w:shd w:val="clear" w:color="auto" w:fill="auto"/>
                  <w:tcMar>
                    <w:left w:w="108" w:type="dxa"/>
                    <w:right w:w="108" w:type="dxa"/>
                  </w:tcMar>
                  <w:vAlign w:val="center"/>
                </w:tcPr>
                <w:p>
                  <w:pPr>
                    <w:spacing w:line="240" w:lineRule="auto"/>
                    <w:ind w:firstLine="420"/>
                    <w:rPr>
                      <w:rFonts w:cs="Times New Roman"/>
                      <w:bCs/>
                      <w:color w:val="auto"/>
                      <w:sz w:val="21"/>
                      <w:szCs w:val="21"/>
                    </w:rPr>
                  </w:pPr>
                  <w:r>
                    <w:rPr>
                      <w:rFonts w:cs="Times New Roman"/>
                      <w:color w:val="auto"/>
                      <w:sz w:val="21"/>
                      <w:szCs w:val="21"/>
                    </w:rPr>
                    <w:t>TREO</w:t>
                  </w:r>
                </w:p>
              </w:tc>
              <w:tc>
                <w:tcPr>
                  <w:tcW w:w="1122" w:type="pct"/>
                  <w:shd w:val="clear" w:color="auto" w:fill="auto"/>
                  <w:tcMar>
                    <w:left w:w="108" w:type="dxa"/>
                    <w:right w:w="108" w:type="dxa"/>
                  </w:tcMar>
                  <w:vAlign w:val="center"/>
                </w:tcPr>
                <w:p>
                  <w:pPr>
                    <w:snapToGrid w:val="0"/>
                    <w:spacing w:line="240" w:lineRule="auto"/>
                    <w:ind w:firstLine="0" w:firstLineChars="0"/>
                    <w:jc w:val="center"/>
                    <w:rPr>
                      <w:rFonts w:cs="Times New Roman"/>
                      <w:color w:val="auto"/>
                      <w:kern w:val="0"/>
                      <w:sz w:val="21"/>
                      <w:szCs w:val="21"/>
                      <w:lang w:val="zh-CN"/>
                    </w:rPr>
                  </w:pPr>
                  <w:r>
                    <w:rPr>
                      <w:rFonts w:cs="Times New Roman"/>
                      <w:color w:val="auto"/>
                      <w:kern w:val="0"/>
                      <w:sz w:val="21"/>
                      <w:szCs w:val="21"/>
                      <w:lang w:val="zh-CN"/>
                    </w:rPr>
                    <w:t>%</w:t>
                  </w:r>
                </w:p>
              </w:tc>
              <w:tc>
                <w:tcPr>
                  <w:tcW w:w="2437" w:type="pct"/>
                  <w:shd w:val="clear" w:color="auto" w:fill="auto"/>
                  <w:tcMar>
                    <w:left w:w="108" w:type="dxa"/>
                    <w:right w:w="108" w:type="dxa"/>
                  </w:tcMar>
                  <w:vAlign w:val="center"/>
                </w:tcPr>
                <w:p>
                  <w:pPr>
                    <w:snapToGrid w:val="0"/>
                    <w:spacing w:line="240" w:lineRule="auto"/>
                    <w:ind w:firstLine="0" w:firstLineChars="0"/>
                    <w:jc w:val="center"/>
                    <w:rPr>
                      <w:rFonts w:cs="Times New Roman"/>
                      <w:color w:val="auto"/>
                      <w:kern w:val="0"/>
                      <w:sz w:val="21"/>
                      <w:szCs w:val="21"/>
                      <w:lang w:val="zh-CN"/>
                    </w:rPr>
                  </w:pPr>
                  <w:r>
                    <w:rPr>
                      <w:rFonts w:cs="Times New Roman"/>
                      <w:color w:val="auto"/>
                      <w:kern w:val="0"/>
                      <w:sz w:val="21"/>
                      <w:szCs w:val="21"/>
                      <w:lang w:val="zh-CN"/>
                    </w:rPr>
                    <w:t>94-96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 w:type="dxa"/>
                  <w:bottom w:w="0" w:type="dxa"/>
                  <w:right w:w="10" w:type="dxa"/>
                </w:tblCellMar>
              </w:tblPrEx>
              <w:trPr>
                <w:trHeight w:val="340" w:hRule="atLeast"/>
                <w:jc w:val="center"/>
              </w:trPr>
              <w:tc>
                <w:tcPr>
                  <w:tcW w:w="1441" w:type="pct"/>
                  <w:shd w:val="clear" w:color="auto" w:fill="auto"/>
                  <w:tcMar>
                    <w:left w:w="108" w:type="dxa"/>
                    <w:right w:w="108" w:type="dxa"/>
                  </w:tcMar>
                  <w:vAlign w:val="center"/>
                </w:tcPr>
                <w:p>
                  <w:pPr>
                    <w:spacing w:line="240" w:lineRule="auto"/>
                    <w:ind w:firstLine="420"/>
                    <w:rPr>
                      <w:rFonts w:cs="Times New Roman"/>
                      <w:bCs/>
                      <w:color w:val="auto"/>
                      <w:sz w:val="21"/>
                      <w:szCs w:val="21"/>
                    </w:rPr>
                  </w:pPr>
                  <w:r>
                    <w:rPr>
                      <w:rFonts w:cs="Times New Roman"/>
                      <w:bCs/>
                      <w:color w:val="auto"/>
                      <w:sz w:val="21"/>
                      <w:szCs w:val="21"/>
                    </w:rPr>
                    <w:t>CeO</w:t>
                  </w:r>
                  <w:r>
                    <w:rPr>
                      <w:rFonts w:cs="Times New Roman"/>
                      <w:bCs/>
                      <w:color w:val="auto"/>
                      <w:sz w:val="21"/>
                      <w:szCs w:val="21"/>
                      <w:vertAlign w:val="subscript"/>
                    </w:rPr>
                    <w:t>2</w:t>
                  </w:r>
                </w:p>
              </w:tc>
              <w:tc>
                <w:tcPr>
                  <w:tcW w:w="1122" w:type="pct"/>
                  <w:shd w:val="clear" w:color="auto" w:fill="auto"/>
                  <w:tcMar>
                    <w:left w:w="108" w:type="dxa"/>
                    <w:right w:w="108" w:type="dxa"/>
                  </w:tcMar>
                  <w:vAlign w:val="center"/>
                </w:tcPr>
                <w:p>
                  <w:pPr>
                    <w:snapToGrid w:val="0"/>
                    <w:spacing w:line="240" w:lineRule="auto"/>
                    <w:ind w:firstLine="0" w:firstLineChars="0"/>
                    <w:jc w:val="center"/>
                    <w:rPr>
                      <w:rFonts w:cs="Times New Roman"/>
                      <w:color w:val="auto"/>
                      <w:kern w:val="0"/>
                      <w:sz w:val="21"/>
                      <w:szCs w:val="21"/>
                      <w:lang w:val="zh-CN"/>
                    </w:rPr>
                  </w:pPr>
                  <w:r>
                    <w:rPr>
                      <w:rFonts w:cs="Times New Roman"/>
                      <w:color w:val="auto"/>
                      <w:kern w:val="0"/>
                      <w:sz w:val="21"/>
                      <w:szCs w:val="21"/>
                      <w:lang w:val="zh-CN"/>
                    </w:rPr>
                    <w:t>%</w:t>
                  </w:r>
                </w:p>
              </w:tc>
              <w:tc>
                <w:tcPr>
                  <w:tcW w:w="2437" w:type="pct"/>
                  <w:shd w:val="clear" w:color="auto" w:fill="auto"/>
                  <w:tcMar>
                    <w:left w:w="108" w:type="dxa"/>
                    <w:right w:w="108" w:type="dxa"/>
                  </w:tcMar>
                  <w:vAlign w:val="center"/>
                </w:tcPr>
                <w:p>
                  <w:pPr>
                    <w:snapToGrid w:val="0"/>
                    <w:spacing w:line="240" w:lineRule="auto"/>
                    <w:ind w:firstLine="0" w:firstLineChars="0"/>
                    <w:jc w:val="center"/>
                    <w:rPr>
                      <w:rFonts w:cs="Times New Roman"/>
                      <w:color w:val="auto"/>
                      <w:kern w:val="0"/>
                      <w:sz w:val="21"/>
                      <w:szCs w:val="21"/>
                      <w:lang w:val="zh-CN"/>
                    </w:rPr>
                  </w:pPr>
                  <w:r>
                    <w:rPr>
                      <w:rFonts w:cs="Times New Roman"/>
                      <w:color w:val="auto"/>
                      <w:kern w:val="0"/>
                      <w:sz w:val="21"/>
                      <w:szCs w:val="21"/>
                      <w:lang w:val="zh-CN"/>
                    </w:rPr>
                    <w:t>58-62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 w:type="dxa"/>
                  <w:bottom w:w="0" w:type="dxa"/>
                  <w:right w:w="10" w:type="dxa"/>
                </w:tblCellMar>
              </w:tblPrEx>
              <w:trPr>
                <w:trHeight w:val="340" w:hRule="atLeast"/>
                <w:jc w:val="center"/>
              </w:trPr>
              <w:tc>
                <w:tcPr>
                  <w:tcW w:w="1441" w:type="pct"/>
                  <w:shd w:val="clear" w:color="auto" w:fill="auto"/>
                  <w:tcMar>
                    <w:left w:w="108" w:type="dxa"/>
                    <w:right w:w="108" w:type="dxa"/>
                  </w:tcMar>
                  <w:vAlign w:val="center"/>
                </w:tcPr>
                <w:p>
                  <w:pPr>
                    <w:spacing w:line="240" w:lineRule="auto"/>
                    <w:ind w:firstLine="420"/>
                    <w:rPr>
                      <w:rFonts w:cs="Times New Roman"/>
                      <w:bCs/>
                      <w:color w:val="auto"/>
                      <w:sz w:val="21"/>
                      <w:szCs w:val="21"/>
                    </w:rPr>
                  </w:pPr>
                  <w:r>
                    <w:rPr>
                      <w:rFonts w:cs="Times New Roman"/>
                      <w:bCs/>
                      <w:color w:val="auto"/>
                      <w:sz w:val="21"/>
                      <w:szCs w:val="21"/>
                    </w:rPr>
                    <w:t>烧毁量</w:t>
                  </w:r>
                </w:p>
              </w:tc>
              <w:tc>
                <w:tcPr>
                  <w:tcW w:w="1122" w:type="pct"/>
                  <w:shd w:val="clear" w:color="auto" w:fill="auto"/>
                  <w:tcMar>
                    <w:left w:w="108" w:type="dxa"/>
                    <w:right w:w="108" w:type="dxa"/>
                  </w:tcMar>
                  <w:vAlign w:val="center"/>
                </w:tcPr>
                <w:p>
                  <w:pPr>
                    <w:snapToGrid w:val="0"/>
                    <w:spacing w:line="240" w:lineRule="auto"/>
                    <w:ind w:firstLine="0" w:firstLineChars="0"/>
                    <w:jc w:val="center"/>
                    <w:rPr>
                      <w:rFonts w:cs="Times New Roman"/>
                      <w:color w:val="auto"/>
                      <w:kern w:val="0"/>
                      <w:sz w:val="21"/>
                      <w:szCs w:val="21"/>
                      <w:lang w:val="zh-CN"/>
                    </w:rPr>
                  </w:pPr>
                  <w:r>
                    <w:rPr>
                      <w:rFonts w:cs="Times New Roman"/>
                      <w:color w:val="auto"/>
                      <w:kern w:val="0"/>
                      <w:sz w:val="21"/>
                      <w:szCs w:val="21"/>
                      <w:lang w:val="zh-CN"/>
                    </w:rPr>
                    <w:t>%</w:t>
                  </w:r>
                </w:p>
              </w:tc>
              <w:tc>
                <w:tcPr>
                  <w:tcW w:w="2437" w:type="pct"/>
                  <w:shd w:val="clear" w:color="auto" w:fill="auto"/>
                  <w:tcMar>
                    <w:left w:w="108" w:type="dxa"/>
                    <w:right w:w="108" w:type="dxa"/>
                  </w:tcMar>
                  <w:vAlign w:val="center"/>
                </w:tcPr>
                <w:p>
                  <w:pPr>
                    <w:snapToGrid w:val="0"/>
                    <w:spacing w:line="240" w:lineRule="auto"/>
                    <w:ind w:firstLine="0" w:firstLineChars="0"/>
                    <w:jc w:val="center"/>
                    <w:rPr>
                      <w:rFonts w:cs="Times New Roman"/>
                      <w:color w:val="auto"/>
                      <w:kern w:val="0"/>
                      <w:sz w:val="21"/>
                      <w:szCs w:val="21"/>
                      <w:lang w:val="zh-CN"/>
                    </w:rPr>
                  </w:pPr>
                  <w:r>
                    <w:rPr>
                      <w:rFonts w:cs="Times New Roman"/>
                      <w:color w:val="auto"/>
                      <w:kern w:val="0"/>
                      <w:sz w:val="21"/>
                      <w:szCs w:val="21"/>
                      <w:lang w:val="zh-CN"/>
                    </w:rPr>
                    <w:t>1.5-2.5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 w:type="dxa"/>
                  <w:bottom w:w="0" w:type="dxa"/>
                  <w:right w:w="10" w:type="dxa"/>
                </w:tblCellMar>
              </w:tblPrEx>
              <w:trPr>
                <w:trHeight w:val="340" w:hRule="atLeast"/>
                <w:jc w:val="center"/>
              </w:trPr>
              <w:tc>
                <w:tcPr>
                  <w:tcW w:w="1441" w:type="pct"/>
                  <w:shd w:val="clear" w:color="auto" w:fill="auto"/>
                  <w:tcMar>
                    <w:left w:w="108" w:type="dxa"/>
                    <w:right w:w="108" w:type="dxa"/>
                  </w:tcMar>
                  <w:vAlign w:val="center"/>
                </w:tcPr>
                <w:p>
                  <w:pPr>
                    <w:spacing w:line="240" w:lineRule="auto"/>
                    <w:ind w:firstLine="420"/>
                    <w:rPr>
                      <w:rFonts w:cs="Times New Roman"/>
                      <w:bCs/>
                      <w:color w:val="auto"/>
                      <w:sz w:val="21"/>
                      <w:szCs w:val="21"/>
                    </w:rPr>
                  </w:pPr>
                  <w:r>
                    <w:rPr>
                      <w:rFonts w:cs="Times New Roman"/>
                      <w:bCs/>
                      <w:color w:val="auto"/>
                      <w:sz w:val="21"/>
                      <w:szCs w:val="21"/>
                    </w:rPr>
                    <w:t>酸不溶物</w:t>
                  </w:r>
                </w:p>
              </w:tc>
              <w:tc>
                <w:tcPr>
                  <w:tcW w:w="1122" w:type="pct"/>
                  <w:shd w:val="clear" w:color="auto" w:fill="auto"/>
                  <w:tcMar>
                    <w:left w:w="108" w:type="dxa"/>
                    <w:right w:w="108" w:type="dxa"/>
                  </w:tcMar>
                  <w:vAlign w:val="center"/>
                </w:tcPr>
                <w:p>
                  <w:pPr>
                    <w:snapToGrid w:val="0"/>
                    <w:spacing w:line="240" w:lineRule="auto"/>
                    <w:ind w:firstLine="0" w:firstLineChars="0"/>
                    <w:jc w:val="center"/>
                    <w:rPr>
                      <w:rFonts w:cs="Times New Roman"/>
                      <w:color w:val="auto"/>
                      <w:kern w:val="0"/>
                      <w:sz w:val="21"/>
                      <w:szCs w:val="21"/>
                      <w:lang w:val="zh-CN"/>
                    </w:rPr>
                  </w:pPr>
                  <w:r>
                    <w:rPr>
                      <w:rFonts w:cs="Times New Roman"/>
                      <w:color w:val="auto"/>
                      <w:kern w:val="0"/>
                      <w:sz w:val="21"/>
                      <w:szCs w:val="21"/>
                      <w:lang w:val="zh-CN"/>
                    </w:rPr>
                    <w:t>%</w:t>
                  </w:r>
                </w:p>
              </w:tc>
              <w:tc>
                <w:tcPr>
                  <w:tcW w:w="2437" w:type="pct"/>
                  <w:shd w:val="clear" w:color="auto" w:fill="auto"/>
                  <w:tcMar>
                    <w:left w:w="108" w:type="dxa"/>
                    <w:right w:w="108" w:type="dxa"/>
                  </w:tcMar>
                  <w:vAlign w:val="center"/>
                </w:tcPr>
                <w:p>
                  <w:pPr>
                    <w:snapToGrid w:val="0"/>
                    <w:spacing w:line="240" w:lineRule="auto"/>
                    <w:ind w:firstLine="0" w:firstLineChars="0"/>
                    <w:jc w:val="center"/>
                    <w:rPr>
                      <w:rFonts w:cs="Times New Roman"/>
                      <w:color w:val="auto"/>
                      <w:kern w:val="0"/>
                      <w:sz w:val="21"/>
                      <w:szCs w:val="21"/>
                      <w:lang w:val="zh-CN"/>
                    </w:rPr>
                  </w:pPr>
                  <w:r>
                    <w:rPr>
                      <w:rFonts w:cs="Times New Roman"/>
                      <w:color w:val="auto"/>
                      <w:kern w:val="0"/>
                      <w:sz w:val="21"/>
                      <w:szCs w:val="21"/>
                      <w:lang w:val="zh-CN"/>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 w:type="dxa"/>
                  <w:bottom w:w="0" w:type="dxa"/>
                  <w:right w:w="10" w:type="dxa"/>
                </w:tblCellMar>
              </w:tblPrEx>
              <w:trPr>
                <w:trHeight w:val="340" w:hRule="atLeast"/>
                <w:jc w:val="center"/>
              </w:trPr>
              <w:tc>
                <w:tcPr>
                  <w:tcW w:w="1441" w:type="pct"/>
                  <w:shd w:val="clear" w:color="auto" w:fill="auto"/>
                  <w:tcMar>
                    <w:left w:w="108" w:type="dxa"/>
                    <w:right w:w="108" w:type="dxa"/>
                  </w:tcMar>
                  <w:vAlign w:val="center"/>
                </w:tcPr>
                <w:p>
                  <w:pPr>
                    <w:spacing w:line="240" w:lineRule="auto"/>
                    <w:ind w:firstLine="420"/>
                    <w:rPr>
                      <w:rFonts w:cs="Times New Roman"/>
                      <w:bCs/>
                      <w:color w:val="auto"/>
                      <w:sz w:val="21"/>
                      <w:szCs w:val="21"/>
                    </w:rPr>
                  </w:pPr>
                  <w:r>
                    <w:rPr>
                      <w:rFonts w:cs="Times New Roman"/>
                      <w:bCs/>
                      <w:color w:val="auto"/>
                      <w:sz w:val="21"/>
                      <w:szCs w:val="21"/>
                    </w:rPr>
                    <w:t>非稀土杂质</w:t>
                  </w:r>
                </w:p>
              </w:tc>
              <w:tc>
                <w:tcPr>
                  <w:tcW w:w="1122" w:type="pct"/>
                  <w:shd w:val="clear" w:color="auto" w:fill="auto"/>
                  <w:tcMar>
                    <w:left w:w="108" w:type="dxa"/>
                    <w:right w:w="108" w:type="dxa"/>
                  </w:tcMar>
                  <w:vAlign w:val="center"/>
                </w:tcPr>
                <w:p>
                  <w:pPr>
                    <w:snapToGrid w:val="0"/>
                    <w:spacing w:line="240" w:lineRule="auto"/>
                    <w:ind w:firstLine="0" w:firstLineChars="0"/>
                    <w:jc w:val="center"/>
                    <w:rPr>
                      <w:rFonts w:cs="Times New Roman"/>
                      <w:color w:val="auto"/>
                      <w:kern w:val="0"/>
                      <w:sz w:val="21"/>
                      <w:szCs w:val="21"/>
                      <w:lang w:val="zh-CN"/>
                    </w:rPr>
                  </w:pPr>
                  <w:r>
                    <w:rPr>
                      <w:rFonts w:cs="Times New Roman"/>
                      <w:color w:val="auto"/>
                      <w:kern w:val="0"/>
                      <w:sz w:val="21"/>
                      <w:szCs w:val="21"/>
                      <w:lang w:val="zh-CN"/>
                    </w:rPr>
                    <w:t>%</w:t>
                  </w:r>
                </w:p>
              </w:tc>
              <w:tc>
                <w:tcPr>
                  <w:tcW w:w="2437" w:type="pct"/>
                  <w:shd w:val="clear" w:color="auto" w:fill="auto"/>
                  <w:tcMar>
                    <w:left w:w="108" w:type="dxa"/>
                    <w:right w:w="108" w:type="dxa"/>
                  </w:tcMar>
                  <w:vAlign w:val="center"/>
                </w:tcPr>
                <w:p>
                  <w:pPr>
                    <w:snapToGrid w:val="0"/>
                    <w:spacing w:line="240" w:lineRule="auto"/>
                    <w:ind w:firstLine="0" w:firstLineChars="0"/>
                    <w:jc w:val="center"/>
                    <w:rPr>
                      <w:rFonts w:cs="Times New Roman"/>
                      <w:color w:val="auto"/>
                      <w:kern w:val="0"/>
                      <w:sz w:val="21"/>
                      <w:szCs w:val="21"/>
                      <w:lang w:val="zh-CN"/>
                    </w:rPr>
                  </w:pPr>
                  <w:r>
                    <w:rPr>
                      <w:rFonts w:cs="Times New Roman"/>
                      <w:color w:val="auto"/>
                      <w:kern w:val="0"/>
                      <w:sz w:val="21"/>
                      <w:szCs w:val="21"/>
                      <w:lang w:val="zh-CN"/>
                    </w:rPr>
                    <w:t>-3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 w:type="dxa"/>
                  <w:bottom w:w="0" w:type="dxa"/>
                  <w:right w:w="10" w:type="dxa"/>
                </w:tblCellMar>
              </w:tblPrEx>
              <w:trPr>
                <w:trHeight w:val="340" w:hRule="atLeast"/>
                <w:jc w:val="center"/>
              </w:trPr>
              <w:tc>
                <w:tcPr>
                  <w:tcW w:w="5000" w:type="pct"/>
                  <w:gridSpan w:val="3"/>
                  <w:shd w:val="clear" w:color="auto" w:fill="auto"/>
                  <w:tcMar>
                    <w:left w:w="108" w:type="dxa"/>
                    <w:right w:w="108" w:type="dxa"/>
                  </w:tcMar>
                  <w:vAlign w:val="center"/>
                </w:tcPr>
                <w:p>
                  <w:pPr>
                    <w:snapToGrid w:val="0"/>
                    <w:spacing w:line="240" w:lineRule="auto"/>
                    <w:ind w:firstLine="0" w:firstLineChars="0"/>
                    <w:jc w:val="center"/>
                    <w:rPr>
                      <w:rFonts w:cs="Times New Roman"/>
                      <w:color w:val="auto"/>
                      <w:kern w:val="0"/>
                      <w:sz w:val="21"/>
                      <w:szCs w:val="21"/>
                      <w:lang w:val="zh-CN"/>
                    </w:rPr>
                  </w:pPr>
                  <w:r>
                    <w:rPr>
                      <w:rFonts w:cs="Times New Roman"/>
                      <w:color w:val="auto"/>
                      <w:kern w:val="0"/>
                      <w:sz w:val="21"/>
                      <w:szCs w:val="21"/>
                      <w:lang w:val="zh-CN"/>
                    </w:rPr>
                    <w:t>（2）物理特性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 w:type="dxa"/>
                  <w:bottom w:w="0" w:type="dxa"/>
                  <w:right w:w="10" w:type="dxa"/>
                </w:tblCellMar>
              </w:tblPrEx>
              <w:trPr>
                <w:trHeight w:val="340" w:hRule="atLeast"/>
                <w:jc w:val="center"/>
              </w:trPr>
              <w:tc>
                <w:tcPr>
                  <w:tcW w:w="1441" w:type="pct"/>
                  <w:shd w:val="clear" w:color="auto" w:fill="auto"/>
                  <w:tcMar>
                    <w:left w:w="108" w:type="dxa"/>
                    <w:right w:w="108" w:type="dxa"/>
                  </w:tcMar>
                  <w:vAlign w:val="center"/>
                </w:tcPr>
                <w:p>
                  <w:pPr>
                    <w:spacing w:line="240" w:lineRule="auto"/>
                    <w:ind w:firstLine="420"/>
                    <w:rPr>
                      <w:rFonts w:cs="Times New Roman"/>
                      <w:bCs/>
                      <w:color w:val="auto"/>
                      <w:sz w:val="21"/>
                      <w:szCs w:val="21"/>
                    </w:rPr>
                  </w:pPr>
                  <w:r>
                    <w:rPr>
                      <w:rFonts w:cs="Times New Roman"/>
                      <w:bCs/>
                      <w:color w:val="auto"/>
                      <w:sz w:val="21"/>
                      <w:szCs w:val="21"/>
                    </w:rPr>
                    <w:t>平均粒度d50</w:t>
                  </w:r>
                </w:p>
              </w:tc>
              <w:tc>
                <w:tcPr>
                  <w:tcW w:w="1122" w:type="pct"/>
                  <w:shd w:val="clear" w:color="auto" w:fill="auto"/>
                  <w:tcMar>
                    <w:left w:w="108" w:type="dxa"/>
                    <w:right w:w="108" w:type="dxa"/>
                  </w:tcMar>
                  <w:vAlign w:val="center"/>
                </w:tcPr>
                <w:p>
                  <w:pPr>
                    <w:snapToGrid w:val="0"/>
                    <w:spacing w:line="240" w:lineRule="auto"/>
                    <w:ind w:firstLine="0" w:firstLineChars="0"/>
                    <w:jc w:val="center"/>
                    <w:rPr>
                      <w:rFonts w:cs="Times New Roman"/>
                      <w:color w:val="auto"/>
                      <w:kern w:val="0"/>
                      <w:sz w:val="21"/>
                      <w:szCs w:val="21"/>
                      <w:lang w:val="zh-CN"/>
                    </w:rPr>
                  </w:pPr>
                  <w:r>
                    <w:rPr>
                      <w:rFonts w:cs="Times New Roman"/>
                      <w:color w:val="auto"/>
                      <w:kern w:val="0"/>
                      <w:sz w:val="21"/>
                      <w:szCs w:val="21"/>
                      <w:lang w:val="zh-CN"/>
                    </w:rPr>
                    <w:t>um</w:t>
                  </w:r>
                </w:p>
              </w:tc>
              <w:tc>
                <w:tcPr>
                  <w:tcW w:w="2437" w:type="pct"/>
                  <w:shd w:val="clear" w:color="auto" w:fill="auto"/>
                  <w:tcMar>
                    <w:left w:w="108" w:type="dxa"/>
                    <w:right w:w="108" w:type="dxa"/>
                  </w:tcMar>
                  <w:vAlign w:val="center"/>
                </w:tcPr>
                <w:p>
                  <w:pPr>
                    <w:snapToGrid w:val="0"/>
                    <w:spacing w:line="240" w:lineRule="auto"/>
                    <w:ind w:firstLine="0" w:firstLineChars="0"/>
                    <w:jc w:val="center"/>
                    <w:rPr>
                      <w:rFonts w:cs="Times New Roman"/>
                      <w:color w:val="auto"/>
                      <w:kern w:val="0"/>
                      <w:sz w:val="21"/>
                      <w:szCs w:val="21"/>
                      <w:lang w:val="zh-CN"/>
                    </w:rPr>
                  </w:pPr>
                  <w:r>
                    <w:rPr>
                      <w:rFonts w:cs="Times New Roman"/>
                      <w:color w:val="auto"/>
                      <w:kern w:val="0"/>
                      <w:sz w:val="21"/>
                      <w:szCs w:val="21"/>
                      <w:lang w:val="zh-CN"/>
                    </w:rPr>
                    <w:t>根据各品种不同进行调整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 w:type="dxa"/>
                  <w:bottom w:w="0" w:type="dxa"/>
                  <w:right w:w="10" w:type="dxa"/>
                </w:tblCellMar>
              </w:tblPrEx>
              <w:trPr>
                <w:trHeight w:val="340" w:hRule="atLeast"/>
                <w:jc w:val="center"/>
              </w:trPr>
              <w:tc>
                <w:tcPr>
                  <w:tcW w:w="1441" w:type="pct"/>
                  <w:shd w:val="clear" w:color="auto" w:fill="auto"/>
                  <w:tcMar>
                    <w:left w:w="108" w:type="dxa"/>
                    <w:right w:w="108" w:type="dxa"/>
                  </w:tcMar>
                  <w:vAlign w:val="center"/>
                </w:tcPr>
                <w:p>
                  <w:pPr>
                    <w:spacing w:line="240" w:lineRule="auto"/>
                    <w:ind w:firstLine="420"/>
                    <w:rPr>
                      <w:rFonts w:cs="Times New Roman"/>
                      <w:bCs/>
                      <w:color w:val="auto"/>
                      <w:sz w:val="21"/>
                      <w:szCs w:val="21"/>
                    </w:rPr>
                  </w:pPr>
                  <w:r>
                    <w:rPr>
                      <w:rFonts w:cs="Times New Roman"/>
                      <w:bCs/>
                      <w:color w:val="auto"/>
                      <w:sz w:val="21"/>
                      <w:szCs w:val="21"/>
                    </w:rPr>
                    <w:t>最大粒径d，max</w:t>
                  </w:r>
                </w:p>
              </w:tc>
              <w:tc>
                <w:tcPr>
                  <w:tcW w:w="1122" w:type="pct"/>
                  <w:shd w:val="clear" w:color="auto" w:fill="auto"/>
                  <w:tcMar>
                    <w:left w:w="108" w:type="dxa"/>
                    <w:right w:w="108" w:type="dxa"/>
                  </w:tcMar>
                  <w:vAlign w:val="center"/>
                </w:tcPr>
                <w:p>
                  <w:pPr>
                    <w:snapToGrid w:val="0"/>
                    <w:spacing w:line="240" w:lineRule="auto"/>
                    <w:ind w:firstLine="0" w:firstLineChars="0"/>
                    <w:jc w:val="center"/>
                    <w:rPr>
                      <w:rFonts w:cs="Times New Roman"/>
                      <w:color w:val="auto"/>
                      <w:kern w:val="0"/>
                      <w:sz w:val="21"/>
                      <w:szCs w:val="21"/>
                      <w:lang w:val="zh-CN"/>
                    </w:rPr>
                  </w:pPr>
                  <w:r>
                    <w:rPr>
                      <w:rFonts w:cs="Times New Roman"/>
                      <w:color w:val="auto"/>
                      <w:kern w:val="0"/>
                      <w:sz w:val="21"/>
                      <w:szCs w:val="21"/>
                      <w:lang w:val="zh-CN"/>
                    </w:rPr>
                    <w:t>um</w:t>
                  </w:r>
                </w:p>
              </w:tc>
              <w:tc>
                <w:tcPr>
                  <w:tcW w:w="2437" w:type="pct"/>
                  <w:shd w:val="clear" w:color="auto" w:fill="auto"/>
                  <w:tcMar>
                    <w:left w:w="108" w:type="dxa"/>
                    <w:right w:w="108" w:type="dxa"/>
                  </w:tcMar>
                  <w:vAlign w:val="center"/>
                </w:tcPr>
                <w:p>
                  <w:pPr>
                    <w:snapToGrid w:val="0"/>
                    <w:spacing w:line="240" w:lineRule="auto"/>
                    <w:ind w:firstLine="0" w:firstLineChars="0"/>
                    <w:jc w:val="center"/>
                    <w:rPr>
                      <w:rFonts w:cs="Times New Roman"/>
                      <w:color w:val="auto"/>
                      <w:kern w:val="0"/>
                      <w:sz w:val="21"/>
                      <w:szCs w:val="21"/>
                      <w:lang w:val="zh-CN"/>
                    </w:rPr>
                  </w:pPr>
                  <w:r>
                    <w:rPr>
                      <w:rFonts w:cs="Times New Roman"/>
                      <w:color w:val="auto"/>
                      <w:kern w:val="0"/>
                      <w:sz w:val="21"/>
                      <w:szCs w:val="21"/>
                      <w:lang w:val="zh-CN"/>
                    </w:rPr>
                    <w:t>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 w:type="dxa"/>
                  <w:bottom w:w="0" w:type="dxa"/>
                  <w:right w:w="10" w:type="dxa"/>
                </w:tblCellMar>
              </w:tblPrEx>
              <w:trPr>
                <w:trHeight w:val="340" w:hRule="atLeast"/>
                <w:jc w:val="center"/>
              </w:trPr>
              <w:tc>
                <w:tcPr>
                  <w:tcW w:w="1441" w:type="pct"/>
                  <w:shd w:val="clear" w:color="auto" w:fill="auto"/>
                  <w:tcMar>
                    <w:left w:w="108" w:type="dxa"/>
                    <w:right w:w="108" w:type="dxa"/>
                  </w:tcMar>
                  <w:vAlign w:val="center"/>
                </w:tcPr>
                <w:p>
                  <w:pPr>
                    <w:spacing w:line="240" w:lineRule="auto"/>
                    <w:ind w:firstLine="420"/>
                    <w:rPr>
                      <w:rFonts w:cs="Times New Roman"/>
                      <w:bCs/>
                      <w:color w:val="auto"/>
                      <w:sz w:val="21"/>
                      <w:szCs w:val="21"/>
                    </w:rPr>
                  </w:pPr>
                  <w:r>
                    <w:rPr>
                      <w:rFonts w:cs="Times New Roman"/>
                      <w:bCs/>
                      <w:color w:val="auto"/>
                      <w:sz w:val="21"/>
                      <w:szCs w:val="21"/>
                    </w:rPr>
                    <w:t>真比重</w:t>
                  </w:r>
                </w:p>
              </w:tc>
              <w:tc>
                <w:tcPr>
                  <w:tcW w:w="1122" w:type="pct"/>
                  <w:shd w:val="clear" w:color="auto" w:fill="auto"/>
                  <w:tcMar>
                    <w:left w:w="108" w:type="dxa"/>
                    <w:right w:w="108" w:type="dxa"/>
                  </w:tcMar>
                  <w:vAlign w:val="center"/>
                </w:tcPr>
                <w:p>
                  <w:pPr>
                    <w:snapToGrid w:val="0"/>
                    <w:spacing w:line="240" w:lineRule="auto"/>
                    <w:ind w:firstLine="0" w:firstLineChars="0"/>
                    <w:jc w:val="center"/>
                    <w:rPr>
                      <w:rFonts w:cs="Times New Roman"/>
                      <w:color w:val="auto"/>
                      <w:kern w:val="0"/>
                      <w:sz w:val="21"/>
                      <w:szCs w:val="21"/>
                      <w:lang w:val="zh-CN"/>
                    </w:rPr>
                  </w:pPr>
                  <w:r>
                    <w:rPr>
                      <w:rFonts w:cs="Times New Roman"/>
                      <w:color w:val="auto"/>
                      <w:kern w:val="0"/>
                      <w:sz w:val="21"/>
                      <w:szCs w:val="21"/>
                      <w:lang w:val="zh-CN"/>
                    </w:rPr>
                    <w:t>g/cc</w:t>
                  </w:r>
                </w:p>
              </w:tc>
              <w:tc>
                <w:tcPr>
                  <w:tcW w:w="2437" w:type="pct"/>
                  <w:shd w:val="clear" w:color="auto" w:fill="auto"/>
                  <w:tcMar>
                    <w:left w:w="108" w:type="dxa"/>
                    <w:right w:w="108" w:type="dxa"/>
                  </w:tcMar>
                  <w:vAlign w:val="center"/>
                </w:tcPr>
                <w:p>
                  <w:pPr>
                    <w:snapToGrid w:val="0"/>
                    <w:spacing w:line="240" w:lineRule="auto"/>
                    <w:ind w:firstLine="0" w:firstLineChars="0"/>
                    <w:jc w:val="center"/>
                    <w:rPr>
                      <w:rFonts w:cs="Times New Roman"/>
                      <w:color w:val="auto"/>
                      <w:kern w:val="0"/>
                      <w:sz w:val="21"/>
                      <w:szCs w:val="21"/>
                      <w:lang w:val="zh-CN"/>
                    </w:rPr>
                  </w:pPr>
                  <w:r>
                    <w:rPr>
                      <w:rFonts w:cs="Times New Roman"/>
                      <w:color w:val="auto"/>
                      <w:kern w:val="0"/>
                      <w:sz w:val="21"/>
                      <w:szCs w:val="21"/>
                      <w:lang w:val="zh-CN"/>
                    </w:rPr>
                    <w:t>6.6-6.8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 w:type="dxa"/>
                  <w:bottom w:w="0" w:type="dxa"/>
                  <w:right w:w="10" w:type="dxa"/>
                </w:tblCellMar>
              </w:tblPrEx>
              <w:trPr>
                <w:trHeight w:val="340" w:hRule="atLeast"/>
                <w:jc w:val="center"/>
              </w:trPr>
              <w:tc>
                <w:tcPr>
                  <w:tcW w:w="5000" w:type="pct"/>
                  <w:gridSpan w:val="3"/>
                  <w:shd w:val="clear" w:color="auto" w:fill="auto"/>
                  <w:tcMar>
                    <w:left w:w="108" w:type="dxa"/>
                    <w:right w:w="108" w:type="dxa"/>
                  </w:tcMar>
                  <w:vAlign w:val="center"/>
                </w:tcPr>
                <w:p>
                  <w:pPr>
                    <w:snapToGrid w:val="0"/>
                    <w:spacing w:line="240" w:lineRule="auto"/>
                    <w:ind w:firstLine="0" w:firstLineChars="0"/>
                    <w:jc w:val="center"/>
                    <w:rPr>
                      <w:rFonts w:cs="Times New Roman"/>
                      <w:color w:val="auto"/>
                      <w:kern w:val="0"/>
                      <w:sz w:val="21"/>
                      <w:szCs w:val="21"/>
                      <w:lang w:val="zh-CN"/>
                    </w:rPr>
                  </w:pPr>
                  <w:r>
                    <w:rPr>
                      <w:rFonts w:cs="Times New Roman"/>
                      <w:color w:val="auto"/>
                      <w:kern w:val="0"/>
                      <w:sz w:val="21"/>
                      <w:szCs w:val="21"/>
                      <w:lang w:val="zh-CN"/>
                    </w:rPr>
                    <w:t>（研磨表面特征）</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 w:type="dxa"/>
                  <w:bottom w:w="0" w:type="dxa"/>
                  <w:right w:w="10" w:type="dxa"/>
                </w:tblCellMar>
              </w:tblPrEx>
              <w:trPr>
                <w:trHeight w:val="340" w:hRule="atLeast"/>
                <w:jc w:val="center"/>
              </w:trPr>
              <w:tc>
                <w:tcPr>
                  <w:tcW w:w="5000" w:type="pct"/>
                  <w:gridSpan w:val="3"/>
                  <w:shd w:val="clear" w:color="auto" w:fill="auto"/>
                  <w:tcMar>
                    <w:left w:w="108" w:type="dxa"/>
                    <w:right w:w="108" w:type="dxa"/>
                  </w:tcMar>
                  <w:vAlign w:val="center"/>
                </w:tcPr>
                <w:p>
                  <w:pPr>
                    <w:snapToGrid w:val="0"/>
                    <w:spacing w:line="240" w:lineRule="auto"/>
                    <w:ind w:firstLine="0" w:firstLineChars="0"/>
                    <w:jc w:val="center"/>
                    <w:rPr>
                      <w:rFonts w:cs="Times New Roman"/>
                      <w:color w:val="auto"/>
                      <w:kern w:val="0"/>
                      <w:sz w:val="21"/>
                      <w:szCs w:val="21"/>
                      <w:lang w:val="zh-CN"/>
                    </w:rPr>
                  </w:pPr>
                  <w:r>
                    <w:rPr>
                      <w:rFonts w:cs="Times New Roman"/>
                      <w:color w:val="auto"/>
                      <w:kern w:val="0"/>
                      <w:sz w:val="21"/>
                      <w:szCs w:val="21"/>
                      <w:lang w:val="zh-CN"/>
                    </w:rPr>
                    <w:t>玻璃材质50SF-5/40万Lux光度灯，目视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 w:type="dxa"/>
                  <w:bottom w:w="0" w:type="dxa"/>
                  <w:right w:w="10" w:type="dxa"/>
                </w:tblCellMar>
              </w:tblPrEx>
              <w:trPr>
                <w:trHeight w:val="340" w:hRule="atLeast"/>
                <w:jc w:val="center"/>
              </w:trPr>
              <w:tc>
                <w:tcPr>
                  <w:tcW w:w="5000" w:type="pct"/>
                  <w:gridSpan w:val="3"/>
                  <w:shd w:val="clear" w:color="auto" w:fill="auto"/>
                  <w:tcMar>
                    <w:left w:w="108" w:type="dxa"/>
                    <w:right w:w="108" w:type="dxa"/>
                  </w:tcMar>
                  <w:vAlign w:val="center"/>
                </w:tcPr>
                <w:p>
                  <w:pPr>
                    <w:snapToGrid w:val="0"/>
                    <w:spacing w:line="240" w:lineRule="auto"/>
                    <w:ind w:firstLine="0" w:firstLineChars="0"/>
                    <w:jc w:val="center"/>
                    <w:rPr>
                      <w:rFonts w:cs="Times New Roman"/>
                      <w:color w:val="auto"/>
                      <w:kern w:val="0"/>
                      <w:sz w:val="21"/>
                      <w:szCs w:val="21"/>
                      <w:lang w:val="zh-CN"/>
                    </w:rPr>
                  </w:pPr>
                  <w:r>
                    <w:rPr>
                      <w:rFonts w:cs="Times New Roman"/>
                      <w:color w:val="auto"/>
                      <w:kern w:val="0"/>
                      <w:sz w:val="21"/>
                      <w:szCs w:val="21"/>
                      <w:lang w:val="zh-CN"/>
                    </w:rPr>
                    <w:t>划痕：没抛光10片玻璃，有划痕者在2片以下</w:t>
                  </w:r>
                </w:p>
              </w:tc>
            </w:tr>
          </w:tbl>
          <w:p>
            <w:pPr>
              <w:keepLines/>
              <w:topLinePunct/>
              <w:autoSpaceDE w:val="0"/>
              <w:adjustRightInd w:val="0"/>
              <w:snapToGrid w:val="0"/>
              <w:ind w:firstLine="482"/>
              <w:rPr>
                <w:rFonts w:cs="Times New Roman"/>
                <w:b/>
                <w:color w:val="auto"/>
              </w:rPr>
            </w:pPr>
            <w:r>
              <w:rPr>
                <w:rFonts w:cs="Times New Roman"/>
                <w:b/>
                <w:bCs/>
                <w:color w:val="auto"/>
                <w:szCs w:val="32"/>
              </w:rPr>
              <w:t>2.4</w:t>
            </w:r>
            <w:r>
              <w:rPr>
                <w:rFonts w:cs="Times New Roman"/>
                <w:b/>
                <w:color w:val="auto"/>
              </w:rPr>
              <w:t>原辅材料</w:t>
            </w:r>
          </w:p>
          <w:p>
            <w:pPr>
              <w:snapToGrid w:val="0"/>
              <w:ind w:firstLine="480"/>
              <w:rPr>
                <w:rFonts w:cs="Times New Roman"/>
                <w:color w:val="auto"/>
                <w:kern w:val="0"/>
                <w:lang w:bidi="ar"/>
              </w:rPr>
            </w:pPr>
            <w:r>
              <w:rPr>
                <w:rFonts w:cs="Times New Roman"/>
                <w:color w:val="auto"/>
              </w:rPr>
              <w:t>本项目原材料消耗详见表2-7。</w:t>
            </w:r>
          </w:p>
          <w:p>
            <w:pPr>
              <w:keepLines/>
              <w:topLinePunct/>
              <w:autoSpaceDE w:val="0"/>
              <w:adjustRightInd w:val="0"/>
              <w:snapToGrid w:val="0"/>
              <w:ind w:firstLine="482"/>
              <w:jc w:val="center"/>
              <w:rPr>
                <w:rFonts w:cs="Times New Roman"/>
                <w:b/>
                <w:color w:val="auto"/>
              </w:rPr>
            </w:pPr>
            <w:r>
              <w:rPr>
                <w:rFonts w:cs="Times New Roman"/>
                <w:b/>
                <w:color w:val="auto"/>
              </w:rPr>
              <w:t>表2-7本项目原材料消耗一览表</w:t>
            </w:r>
          </w:p>
          <w:tbl>
            <w:tblPr>
              <w:tblStyle w:val="26"/>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 w:type="dxa"/>
                <w:bottom w:w="0" w:type="dxa"/>
                <w:right w:w="10" w:type="dxa"/>
              </w:tblCellMar>
            </w:tblPr>
            <w:tblGrid>
              <w:gridCol w:w="678"/>
              <w:gridCol w:w="1410"/>
              <w:gridCol w:w="696"/>
              <w:gridCol w:w="1109"/>
              <w:gridCol w:w="1036"/>
              <w:gridCol w:w="1198"/>
              <w:gridCol w:w="1198"/>
              <w:gridCol w:w="1198"/>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 w:type="dxa"/>
                  <w:bottom w:w="0" w:type="dxa"/>
                  <w:right w:w="10" w:type="dxa"/>
                </w:tblCellMar>
              </w:tblPrEx>
              <w:trPr>
                <w:trHeight w:val="340" w:hRule="atLeast"/>
                <w:jc w:val="center"/>
              </w:trPr>
              <w:tc>
                <w:tcPr>
                  <w:tcW w:w="659" w:type="dxa"/>
                  <w:shd w:val="clear" w:color="auto" w:fill="auto"/>
                  <w:tcMar>
                    <w:left w:w="108" w:type="dxa"/>
                    <w:right w:w="108" w:type="dxa"/>
                  </w:tcMar>
                  <w:vAlign w:val="center"/>
                </w:tcPr>
                <w:p>
                  <w:pPr>
                    <w:spacing w:line="240" w:lineRule="auto"/>
                    <w:ind w:firstLine="0" w:firstLineChars="0"/>
                    <w:jc w:val="center"/>
                    <w:rPr>
                      <w:rFonts w:cs="Times New Roman"/>
                      <w:b/>
                      <w:color w:val="auto"/>
                      <w:sz w:val="21"/>
                      <w:szCs w:val="21"/>
                      <w:lang w:val="zh-CN"/>
                    </w:rPr>
                  </w:pPr>
                  <w:bookmarkStart w:id="7" w:name="_Hlk162003097"/>
                  <w:r>
                    <w:rPr>
                      <w:rFonts w:cs="Times New Roman"/>
                      <w:b/>
                      <w:color w:val="auto"/>
                      <w:sz w:val="21"/>
                      <w:szCs w:val="21"/>
                      <w:lang w:val="zh-CN"/>
                    </w:rPr>
                    <w:t>序号</w:t>
                  </w:r>
                </w:p>
              </w:tc>
              <w:tc>
                <w:tcPr>
                  <w:tcW w:w="1370" w:type="dxa"/>
                  <w:shd w:val="clear" w:color="auto" w:fill="auto"/>
                  <w:tcMar>
                    <w:left w:w="108" w:type="dxa"/>
                    <w:right w:w="108" w:type="dxa"/>
                  </w:tcMar>
                  <w:vAlign w:val="center"/>
                </w:tcPr>
                <w:p>
                  <w:pPr>
                    <w:spacing w:line="240" w:lineRule="auto"/>
                    <w:ind w:firstLine="0" w:firstLineChars="0"/>
                    <w:jc w:val="center"/>
                    <w:rPr>
                      <w:rFonts w:cs="Times New Roman"/>
                      <w:b/>
                      <w:color w:val="auto"/>
                      <w:sz w:val="21"/>
                      <w:szCs w:val="21"/>
                      <w:lang w:val="zh-CN"/>
                    </w:rPr>
                  </w:pPr>
                  <w:r>
                    <w:rPr>
                      <w:rFonts w:cs="Times New Roman"/>
                      <w:b/>
                      <w:color w:val="auto"/>
                      <w:sz w:val="21"/>
                      <w:szCs w:val="21"/>
                      <w:lang w:val="zh-CN"/>
                    </w:rPr>
                    <w:t>项目名称</w:t>
                  </w:r>
                </w:p>
              </w:tc>
              <w:tc>
                <w:tcPr>
                  <w:tcW w:w="676" w:type="dxa"/>
                  <w:shd w:val="clear" w:color="auto" w:fill="auto"/>
                  <w:tcMar>
                    <w:left w:w="108" w:type="dxa"/>
                    <w:right w:w="108" w:type="dxa"/>
                  </w:tcMar>
                  <w:vAlign w:val="center"/>
                </w:tcPr>
                <w:p>
                  <w:pPr>
                    <w:spacing w:line="240" w:lineRule="auto"/>
                    <w:ind w:firstLine="0" w:firstLineChars="0"/>
                    <w:jc w:val="center"/>
                    <w:rPr>
                      <w:rFonts w:cs="Times New Roman"/>
                      <w:b/>
                      <w:color w:val="auto"/>
                      <w:sz w:val="21"/>
                      <w:szCs w:val="21"/>
                      <w:lang w:val="zh-CN"/>
                    </w:rPr>
                  </w:pPr>
                  <w:r>
                    <w:rPr>
                      <w:rFonts w:cs="Times New Roman"/>
                      <w:b/>
                      <w:color w:val="auto"/>
                      <w:sz w:val="21"/>
                      <w:szCs w:val="21"/>
                      <w:lang w:val="zh-CN"/>
                    </w:rPr>
                    <w:t>单位</w:t>
                  </w:r>
                </w:p>
              </w:tc>
              <w:tc>
                <w:tcPr>
                  <w:tcW w:w="1077" w:type="dxa"/>
                  <w:shd w:val="clear" w:color="auto" w:fill="auto"/>
                  <w:tcMar>
                    <w:left w:w="108" w:type="dxa"/>
                    <w:right w:w="108" w:type="dxa"/>
                  </w:tcMar>
                  <w:vAlign w:val="center"/>
                </w:tcPr>
                <w:p>
                  <w:pPr>
                    <w:spacing w:line="240" w:lineRule="auto"/>
                    <w:ind w:firstLine="0" w:firstLineChars="0"/>
                    <w:jc w:val="center"/>
                    <w:rPr>
                      <w:rFonts w:cs="Times New Roman"/>
                      <w:b/>
                      <w:color w:val="auto"/>
                      <w:sz w:val="21"/>
                      <w:szCs w:val="21"/>
                      <w:lang w:val="zh-CN"/>
                    </w:rPr>
                  </w:pPr>
                  <w:r>
                    <w:rPr>
                      <w:rFonts w:cs="Times New Roman"/>
                      <w:b/>
                      <w:color w:val="auto"/>
                      <w:sz w:val="21"/>
                      <w:szCs w:val="21"/>
                      <w:lang w:val="zh-CN"/>
                    </w:rPr>
                    <w:t>年用量</w:t>
                  </w:r>
                </w:p>
              </w:tc>
              <w:tc>
                <w:tcPr>
                  <w:tcW w:w="1006" w:type="dxa"/>
                  <w:shd w:val="clear" w:color="auto" w:fill="auto"/>
                  <w:tcMar>
                    <w:left w:w="108" w:type="dxa"/>
                    <w:right w:w="108" w:type="dxa"/>
                  </w:tcMar>
                  <w:vAlign w:val="center"/>
                </w:tcPr>
                <w:p>
                  <w:pPr>
                    <w:spacing w:line="240" w:lineRule="auto"/>
                    <w:ind w:firstLine="0" w:firstLineChars="0"/>
                    <w:jc w:val="center"/>
                    <w:rPr>
                      <w:rFonts w:cs="Times New Roman"/>
                      <w:b/>
                      <w:color w:val="auto"/>
                      <w:sz w:val="21"/>
                      <w:szCs w:val="21"/>
                      <w:lang w:val="zh-CN"/>
                    </w:rPr>
                  </w:pPr>
                  <w:r>
                    <w:rPr>
                      <w:rFonts w:cs="Times New Roman"/>
                      <w:b/>
                      <w:color w:val="auto"/>
                      <w:sz w:val="21"/>
                      <w:szCs w:val="21"/>
                      <w:lang w:val="zh-CN"/>
                    </w:rPr>
                    <w:t>包装</w:t>
                  </w:r>
                </w:p>
              </w:tc>
              <w:tc>
                <w:tcPr>
                  <w:tcW w:w="1163" w:type="dxa"/>
                  <w:shd w:val="clear" w:color="auto" w:fill="auto"/>
                  <w:tcMar>
                    <w:left w:w="108" w:type="dxa"/>
                    <w:right w:w="108" w:type="dxa"/>
                  </w:tcMar>
                  <w:vAlign w:val="center"/>
                </w:tcPr>
                <w:p>
                  <w:pPr>
                    <w:spacing w:line="240" w:lineRule="auto"/>
                    <w:ind w:firstLine="0" w:firstLineChars="0"/>
                    <w:jc w:val="center"/>
                    <w:rPr>
                      <w:rFonts w:cs="Times New Roman"/>
                      <w:b/>
                      <w:color w:val="auto"/>
                      <w:sz w:val="21"/>
                      <w:szCs w:val="21"/>
                      <w:lang w:val="zh-CN"/>
                    </w:rPr>
                  </w:pPr>
                  <w:r>
                    <w:rPr>
                      <w:rFonts w:cs="Times New Roman"/>
                      <w:b/>
                      <w:color w:val="auto"/>
                      <w:sz w:val="21"/>
                      <w:szCs w:val="21"/>
                      <w:lang w:val="zh-CN"/>
                    </w:rPr>
                    <w:t>储存地点</w:t>
                  </w:r>
                </w:p>
              </w:tc>
              <w:tc>
                <w:tcPr>
                  <w:tcW w:w="1163" w:type="dxa"/>
                  <w:shd w:val="clear" w:color="auto" w:fill="auto"/>
                  <w:tcMar>
                    <w:left w:w="108" w:type="dxa"/>
                    <w:right w:w="108" w:type="dxa"/>
                  </w:tcMar>
                  <w:vAlign w:val="center"/>
                </w:tcPr>
                <w:p>
                  <w:pPr>
                    <w:spacing w:line="240" w:lineRule="auto"/>
                    <w:ind w:firstLine="0" w:firstLineChars="0"/>
                    <w:jc w:val="center"/>
                    <w:rPr>
                      <w:rFonts w:cs="Times New Roman"/>
                      <w:b/>
                      <w:color w:val="auto"/>
                      <w:sz w:val="21"/>
                      <w:szCs w:val="21"/>
                      <w:lang w:val="zh-CN"/>
                    </w:rPr>
                  </w:pPr>
                  <w:r>
                    <w:rPr>
                      <w:rFonts w:cs="Times New Roman"/>
                      <w:b/>
                      <w:color w:val="auto"/>
                      <w:sz w:val="21"/>
                      <w:szCs w:val="21"/>
                      <w:lang w:val="zh-CN"/>
                    </w:rPr>
                    <w:t>运输方式</w:t>
                  </w:r>
                </w:p>
              </w:tc>
              <w:tc>
                <w:tcPr>
                  <w:tcW w:w="1163" w:type="dxa"/>
                  <w:shd w:val="clear" w:color="auto" w:fill="auto"/>
                  <w:tcMar>
                    <w:left w:w="108" w:type="dxa"/>
                    <w:right w:w="108" w:type="dxa"/>
                  </w:tcMar>
                  <w:vAlign w:val="center"/>
                </w:tcPr>
                <w:p>
                  <w:pPr>
                    <w:spacing w:line="240" w:lineRule="auto"/>
                    <w:ind w:firstLine="0" w:firstLineChars="0"/>
                    <w:jc w:val="center"/>
                    <w:rPr>
                      <w:rFonts w:cs="Times New Roman"/>
                      <w:b/>
                      <w:color w:val="auto"/>
                      <w:sz w:val="21"/>
                      <w:szCs w:val="21"/>
                      <w:lang w:val="zh-CN"/>
                    </w:rPr>
                  </w:pPr>
                  <w:r>
                    <w:rPr>
                      <w:rFonts w:cs="Times New Roman"/>
                      <w:b/>
                      <w:color w:val="auto"/>
                      <w:sz w:val="21"/>
                      <w:szCs w:val="21"/>
                      <w:lang w:val="zh-CN"/>
                    </w:rPr>
                    <w:t>来源</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 w:type="dxa"/>
                  <w:bottom w:w="0" w:type="dxa"/>
                  <w:right w:w="10" w:type="dxa"/>
                </w:tblCellMar>
              </w:tblPrEx>
              <w:trPr>
                <w:trHeight w:val="340" w:hRule="atLeast"/>
                <w:jc w:val="center"/>
              </w:trPr>
              <w:tc>
                <w:tcPr>
                  <w:tcW w:w="659" w:type="dxa"/>
                  <w:shd w:val="clear" w:color="auto" w:fill="auto"/>
                  <w:tcMar>
                    <w:left w:w="108" w:type="dxa"/>
                    <w:right w:w="108" w:type="dxa"/>
                  </w:tcMar>
                  <w:vAlign w:val="center"/>
                </w:tcPr>
                <w:p>
                  <w:pPr>
                    <w:spacing w:line="240" w:lineRule="auto"/>
                    <w:ind w:firstLine="0" w:firstLineChars="0"/>
                    <w:jc w:val="center"/>
                    <w:rPr>
                      <w:rFonts w:cs="Times New Roman"/>
                      <w:bCs/>
                      <w:color w:val="auto"/>
                      <w:sz w:val="21"/>
                      <w:szCs w:val="21"/>
                      <w:lang w:val="zh-CN"/>
                    </w:rPr>
                  </w:pPr>
                  <w:r>
                    <w:rPr>
                      <w:rFonts w:cs="Times New Roman"/>
                      <w:bCs/>
                      <w:color w:val="auto"/>
                      <w:sz w:val="21"/>
                      <w:szCs w:val="21"/>
                      <w:lang w:val="zh-CN"/>
                    </w:rPr>
                    <w:t>1</w:t>
                  </w:r>
                </w:p>
              </w:tc>
              <w:tc>
                <w:tcPr>
                  <w:tcW w:w="1370" w:type="dxa"/>
                  <w:shd w:val="clear" w:color="auto" w:fill="auto"/>
                  <w:tcMar>
                    <w:left w:w="108" w:type="dxa"/>
                    <w:right w:w="108" w:type="dxa"/>
                  </w:tcMar>
                  <w:vAlign w:val="center"/>
                </w:tcPr>
                <w:p>
                  <w:pPr>
                    <w:spacing w:line="240" w:lineRule="auto"/>
                    <w:ind w:firstLine="0" w:firstLineChars="0"/>
                    <w:jc w:val="center"/>
                    <w:rPr>
                      <w:rFonts w:cs="Times New Roman"/>
                      <w:bCs/>
                      <w:color w:val="auto"/>
                      <w:sz w:val="21"/>
                      <w:szCs w:val="21"/>
                    </w:rPr>
                  </w:pPr>
                  <w:r>
                    <w:rPr>
                      <w:rFonts w:cs="Times New Roman"/>
                      <w:bCs/>
                      <w:color w:val="auto"/>
                      <w:sz w:val="21"/>
                      <w:szCs w:val="21"/>
                      <w:lang w:val="zh-CN"/>
                    </w:rPr>
                    <w:t>碳酸</w:t>
                  </w:r>
                  <w:r>
                    <w:rPr>
                      <w:rFonts w:cs="Times New Roman"/>
                      <w:bCs/>
                      <w:color w:val="auto"/>
                      <w:sz w:val="21"/>
                      <w:szCs w:val="21"/>
                    </w:rPr>
                    <w:t>镧铈</w:t>
                  </w:r>
                </w:p>
              </w:tc>
              <w:tc>
                <w:tcPr>
                  <w:tcW w:w="676" w:type="dxa"/>
                  <w:shd w:val="clear" w:color="auto" w:fill="auto"/>
                  <w:tcMar>
                    <w:left w:w="108" w:type="dxa"/>
                    <w:right w:w="108" w:type="dxa"/>
                  </w:tcMar>
                  <w:vAlign w:val="center"/>
                </w:tcPr>
                <w:p>
                  <w:pPr>
                    <w:spacing w:line="240" w:lineRule="auto"/>
                    <w:ind w:firstLine="0" w:firstLineChars="0"/>
                    <w:jc w:val="center"/>
                    <w:rPr>
                      <w:rFonts w:cs="Times New Roman"/>
                      <w:bCs/>
                      <w:color w:val="auto"/>
                      <w:sz w:val="21"/>
                      <w:szCs w:val="21"/>
                    </w:rPr>
                  </w:pPr>
                  <w:r>
                    <w:rPr>
                      <w:rFonts w:cs="Times New Roman"/>
                      <w:bCs/>
                      <w:color w:val="auto"/>
                      <w:sz w:val="21"/>
                      <w:szCs w:val="21"/>
                    </w:rPr>
                    <w:t>t/a</w:t>
                  </w:r>
                </w:p>
              </w:tc>
              <w:tc>
                <w:tcPr>
                  <w:tcW w:w="1077" w:type="dxa"/>
                  <w:shd w:val="clear" w:color="auto" w:fill="auto"/>
                  <w:tcMar>
                    <w:left w:w="108" w:type="dxa"/>
                    <w:right w:w="108" w:type="dxa"/>
                  </w:tcMar>
                </w:tcPr>
                <w:p>
                  <w:pPr>
                    <w:spacing w:line="240" w:lineRule="auto"/>
                    <w:ind w:firstLine="0" w:firstLineChars="0"/>
                    <w:jc w:val="center"/>
                    <w:rPr>
                      <w:rFonts w:cs="Times New Roman"/>
                      <w:bCs/>
                      <w:color w:val="auto"/>
                      <w:sz w:val="21"/>
                      <w:szCs w:val="21"/>
                    </w:rPr>
                  </w:pPr>
                  <w:r>
                    <w:rPr>
                      <w:rFonts w:cs="Times New Roman"/>
                      <w:bCs/>
                      <w:color w:val="auto"/>
                      <w:sz w:val="21"/>
                      <w:szCs w:val="21"/>
                    </w:rPr>
                    <w:t>6337.64</w:t>
                  </w:r>
                </w:p>
              </w:tc>
              <w:tc>
                <w:tcPr>
                  <w:tcW w:w="1006" w:type="dxa"/>
                  <w:shd w:val="clear" w:color="auto" w:fill="auto"/>
                  <w:tcMar>
                    <w:left w:w="108" w:type="dxa"/>
                    <w:right w:w="108" w:type="dxa"/>
                  </w:tcMar>
                  <w:vAlign w:val="center"/>
                </w:tcPr>
                <w:p>
                  <w:pPr>
                    <w:spacing w:line="240" w:lineRule="auto"/>
                    <w:ind w:firstLine="0" w:firstLineChars="0"/>
                    <w:jc w:val="center"/>
                    <w:rPr>
                      <w:rFonts w:cs="Times New Roman"/>
                      <w:bCs/>
                      <w:color w:val="auto"/>
                      <w:sz w:val="21"/>
                      <w:szCs w:val="21"/>
                      <w:lang w:val="zh-CN"/>
                    </w:rPr>
                  </w:pPr>
                  <w:r>
                    <w:rPr>
                      <w:rFonts w:cs="Times New Roman"/>
                      <w:bCs/>
                      <w:color w:val="auto"/>
                      <w:sz w:val="21"/>
                      <w:szCs w:val="21"/>
                      <w:lang w:val="zh-CN"/>
                    </w:rPr>
                    <w:t>袋装</w:t>
                  </w:r>
                </w:p>
              </w:tc>
              <w:tc>
                <w:tcPr>
                  <w:tcW w:w="1163" w:type="dxa"/>
                  <w:shd w:val="clear" w:color="auto" w:fill="auto"/>
                  <w:tcMar>
                    <w:left w:w="108" w:type="dxa"/>
                    <w:right w:w="108" w:type="dxa"/>
                  </w:tcMar>
                  <w:vAlign w:val="center"/>
                </w:tcPr>
                <w:p>
                  <w:pPr>
                    <w:spacing w:line="240" w:lineRule="auto"/>
                    <w:ind w:firstLine="0" w:firstLineChars="0"/>
                    <w:jc w:val="center"/>
                    <w:rPr>
                      <w:rFonts w:cs="Times New Roman"/>
                      <w:bCs/>
                      <w:color w:val="auto"/>
                      <w:sz w:val="21"/>
                      <w:szCs w:val="21"/>
                      <w:lang w:val="zh-CN"/>
                    </w:rPr>
                  </w:pPr>
                  <w:r>
                    <w:rPr>
                      <w:rFonts w:cs="Times New Roman"/>
                      <w:bCs/>
                      <w:color w:val="auto"/>
                      <w:sz w:val="21"/>
                      <w:szCs w:val="21"/>
                      <w:lang w:val="zh-CN"/>
                    </w:rPr>
                    <w:t>原料库</w:t>
                  </w:r>
                </w:p>
              </w:tc>
              <w:tc>
                <w:tcPr>
                  <w:tcW w:w="1163" w:type="dxa"/>
                  <w:shd w:val="clear" w:color="auto" w:fill="auto"/>
                  <w:tcMar>
                    <w:left w:w="108" w:type="dxa"/>
                    <w:right w:w="108" w:type="dxa"/>
                  </w:tcMar>
                  <w:vAlign w:val="center"/>
                </w:tcPr>
                <w:p>
                  <w:pPr>
                    <w:spacing w:line="240" w:lineRule="auto"/>
                    <w:ind w:firstLine="0" w:firstLineChars="0"/>
                    <w:jc w:val="center"/>
                    <w:rPr>
                      <w:rFonts w:cs="Times New Roman"/>
                      <w:bCs/>
                      <w:color w:val="auto"/>
                      <w:sz w:val="21"/>
                      <w:szCs w:val="21"/>
                      <w:lang w:val="zh-CN"/>
                    </w:rPr>
                  </w:pPr>
                  <w:r>
                    <w:rPr>
                      <w:rFonts w:cs="Times New Roman"/>
                      <w:bCs/>
                      <w:color w:val="auto"/>
                      <w:sz w:val="21"/>
                      <w:szCs w:val="21"/>
                      <w:lang w:val="zh-CN"/>
                    </w:rPr>
                    <w:t>汽运</w:t>
                  </w:r>
                </w:p>
              </w:tc>
              <w:tc>
                <w:tcPr>
                  <w:tcW w:w="1163" w:type="dxa"/>
                  <w:shd w:val="clear" w:color="auto" w:fill="auto"/>
                  <w:tcMar>
                    <w:left w:w="108" w:type="dxa"/>
                    <w:right w:w="108" w:type="dxa"/>
                  </w:tcMar>
                  <w:vAlign w:val="center"/>
                </w:tcPr>
                <w:p>
                  <w:pPr>
                    <w:spacing w:line="240" w:lineRule="auto"/>
                    <w:ind w:firstLine="0" w:firstLineChars="0"/>
                    <w:jc w:val="center"/>
                    <w:rPr>
                      <w:rFonts w:cs="Times New Roman"/>
                      <w:bCs/>
                      <w:color w:val="auto"/>
                      <w:sz w:val="21"/>
                      <w:szCs w:val="21"/>
                      <w:lang w:val="zh-CN"/>
                    </w:rPr>
                  </w:pPr>
                  <w:r>
                    <w:rPr>
                      <w:rFonts w:cs="Times New Roman"/>
                      <w:bCs/>
                      <w:color w:val="auto"/>
                      <w:sz w:val="21"/>
                      <w:szCs w:val="21"/>
                      <w:lang w:val="zh-CN"/>
                    </w:rPr>
                    <w:t>外购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 w:type="dxa"/>
                  <w:bottom w:w="0" w:type="dxa"/>
                  <w:right w:w="10" w:type="dxa"/>
                </w:tblCellMar>
              </w:tblPrEx>
              <w:trPr>
                <w:trHeight w:val="340" w:hRule="atLeast"/>
                <w:jc w:val="center"/>
              </w:trPr>
              <w:tc>
                <w:tcPr>
                  <w:tcW w:w="659" w:type="dxa"/>
                  <w:shd w:val="clear" w:color="auto" w:fill="auto"/>
                  <w:tcMar>
                    <w:left w:w="108" w:type="dxa"/>
                    <w:right w:w="108" w:type="dxa"/>
                  </w:tcMar>
                  <w:vAlign w:val="center"/>
                </w:tcPr>
                <w:p>
                  <w:pPr>
                    <w:spacing w:line="240" w:lineRule="auto"/>
                    <w:ind w:firstLine="0" w:firstLineChars="0"/>
                    <w:jc w:val="center"/>
                    <w:rPr>
                      <w:rFonts w:cs="Times New Roman"/>
                      <w:bCs/>
                      <w:color w:val="auto"/>
                      <w:sz w:val="21"/>
                      <w:szCs w:val="21"/>
                      <w:lang w:val="zh-CN"/>
                    </w:rPr>
                  </w:pPr>
                  <w:r>
                    <w:rPr>
                      <w:rFonts w:cs="Times New Roman"/>
                      <w:bCs/>
                      <w:color w:val="auto"/>
                      <w:sz w:val="21"/>
                      <w:szCs w:val="21"/>
                    </w:rPr>
                    <w:t>2</w:t>
                  </w:r>
                </w:p>
              </w:tc>
              <w:tc>
                <w:tcPr>
                  <w:tcW w:w="1370" w:type="dxa"/>
                  <w:shd w:val="clear" w:color="auto" w:fill="auto"/>
                  <w:tcMar>
                    <w:left w:w="108" w:type="dxa"/>
                    <w:right w:w="108" w:type="dxa"/>
                  </w:tcMar>
                  <w:vAlign w:val="center"/>
                </w:tcPr>
                <w:p>
                  <w:pPr>
                    <w:spacing w:line="240" w:lineRule="auto"/>
                    <w:ind w:firstLine="0" w:firstLineChars="0"/>
                    <w:jc w:val="center"/>
                    <w:rPr>
                      <w:rFonts w:cs="Times New Roman"/>
                      <w:bCs/>
                      <w:color w:val="auto"/>
                      <w:sz w:val="21"/>
                      <w:szCs w:val="21"/>
                    </w:rPr>
                  </w:pPr>
                  <w:r>
                    <w:rPr>
                      <w:rFonts w:cs="Times New Roman"/>
                      <w:bCs/>
                      <w:color w:val="auto"/>
                      <w:sz w:val="21"/>
                      <w:szCs w:val="21"/>
                    </w:rPr>
                    <w:t>40%氢氟酸</w:t>
                  </w:r>
                </w:p>
              </w:tc>
              <w:tc>
                <w:tcPr>
                  <w:tcW w:w="676" w:type="dxa"/>
                  <w:shd w:val="clear" w:color="auto" w:fill="auto"/>
                  <w:tcMar>
                    <w:left w:w="108" w:type="dxa"/>
                    <w:right w:w="108" w:type="dxa"/>
                  </w:tcMar>
                  <w:vAlign w:val="center"/>
                </w:tcPr>
                <w:p>
                  <w:pPr>
                    <w:spacing w:line="240" w:lineRule="auto"/>
                    <w:ind w:firstLine="0" w:firstLineChars="0"/>
                    <w:jc w:val="center"/>
                    <w:rPr>
                      <w:rFonts w:cs="Times New Roman"/>
                      <w:bCs/>
                      <w:color w:val="auto"/>
                      <w:sz w:val="21"/>
                      <w:szCs w:val="21"/>
                      <w:lang w:val="zh-CN"/>
                    </w:rPr>
                  </w:pPr>
                  <w:r>
                    <w:rPr>
                      <w:rFonts w:cs="Times New Roman"/>
                      <w:bCs/>
                      <w:color w:val="auto"/>
                      <w:sz w:val="21"/>
                      <w:szCs w:val="21"/>
                    </w:rPr>
                    <w:t>t/a</w:t>
                  </w:r>
                </w:p>
              </w:tc>
              <w:tc>
                <w:tcPr>
                  <w:tcW w:w="1077" w:type="dxa"/>
                  <w:shd w:val="clear" w:color="auto" w:fill="auto"/>
                  <w:tcMar>
                    <w:left w:w="108" w:type="dxa"/>
                    <w:right w:w="108" w:type="dxa"/>
                  </w:tcMar>
                  <w:vAlign w:val="center"/>
                </w:tcPr>
                <w:p>
                  <w:pPr>
                    <w:spacing w:line="240" w:lineRule="auto"/>
                    <w:ind w:firstLine="0" w:firstLineChars="0"/>
                    <w:jc w:val="center"/>
                    <w:rPr>
                      <w:rFonts w:cs="Times New Roman"/>
                      <w:bCs/>
                      <w:color w:val="auto"/>
                      <w:sz w:val="21"/>
                      <w:szCs w:val="21"/>
                    </w:rPr>
                  </w:pPr>
                  <w:r>
                    <w:rPr>
                      <w:rFonts w:cs="Times New Roman"/>
                      <w:bCs/>
                      <w:color w:val="auto"/>
                      <w:sz w:val="21"/>
                      <w:szCs w:val="21"/>
                    </w:rPr>
                    <w:t>356.77</w:t>
                  </w:r>
                </w:p>
              </w:tc>
              <w:tc>
                <w:tcPr>
                  <w:tcW w:w="1006" w:type="dxa"/>
                  <w:shd w:val="clear" w:color="auto" w:fill="auto"/>
                  <w:tcMar>
                    <w:left w:w="108" w:type="dxa"/>
                    <w:right w:w="108" w:type="dxa"/>
                  </w:tcMar>
                  <w:vAlign w:val="center"/>
                </w:tcPr>
                <w:p>
                  <w:pPr>
                    <w:spacing w:line="240" w:lineRule="auto"/>
                    <w:ind w:firstLine="0" w:firstLineChars="0"/>
                    <w:jc w:val="center"/>
                    <w:rPr>
                      <w:rFonts w:cs="Times New Roman"/>
                      <w:bCs/>
                      <w:color w:val="auto"/>
                      <w:sz w:val="21"/>
                      <w:szCs w:val="21"/>
                    </w:rPr>
                  </w:pPr>
                  <w:r>
                    <w:rPr>
                      <w:rFonts w:cs="Times New Roman"/>
                      <w:bCs/>
                      <w:color w:val="auto"/>
                      <w:sz w:val="21"/>
                      <w:szCs w:val="21"/>
                    </w:rPr>
                    <w:t>桶装</w:t>
                  </w:r>
                </w:p>
              </w:tc>
              <w:tc>
                <w:tcPr>
                  <w:tcW w:w="1163" w:type="dxa"/>
                  <w:shd w:val="clear" w:color="auto" w:fill="auto"/>
                  <w:tcMar>
                    <w:left w:w="108" w:type="dxa"/>
                    <w:right w:w="108" w:type="dxa"/>
                  </w:tcMar>
                  <w:vAlign w:val="center"/>
                </w:tcPr>
                <w:p>
                  <w:pPr>
                    <w:spacing w:line="240" w:lineRule="auto"/>
                    <w:ind w:firstLine="0" w:firstLineChars="0"/>
                    <w:jc w:val="center"/>
                    <w:rPr>
                      <w:rFonts w:cs="Times New Roman"/>
                      <w:bCs/>
                      <w:color w:val="auto"/>
                      <w:sz w:val="21"/>
                      <w:szCs w:val="21"/>
                    </w:rPr>
                  </w:pPr>
                  <w:r>
                    <w:rPr>
                      <w:rFonts w:cs="Times New Roman"/>
                      <w:bCs/>
                      <w:color w:val="auto"/>
                      <w:sz w:val="21"/>
                      <w:szCs w:val="21"/>
                    </w:rPr>
                    <w:t>原料库</w:t>
                  </w:r>
                </w:p>
              </w:tc>
              <w:tc>
                <w:tcPr>
                  <w:tcW w:w="1163" w:type="dxa"/>
                  <w:shd w:val="clear" w:color="auto" w:fill="auto"/>
                  <w:tcMar>
                    <w:left w:w="108" w:type="dxa"/>
                    <w:right w:w="108" w:type="dxa"/>
                  </w:tcMar>
                  <w:vAlign w:val="center"/>
                </w:tcPr>
                <w:p>
                  <w:pPr>
                    <w:spacing w:line="240" w:lineRule="auto"/>
                    <w:ind w:firstLine="0" w:firstLineChars="0"/>
                    <w:jc w:val="center"/>
                    <w:rPr>
                      <w:rFonts w:cs="Times New Roman"/>
                      <w:bCs/>
                      <w:color w:val="auto"/>
                      <w:sz w:val="21"/>
                      <w:szCs w:val="21"/>
                      <w:lang w:val="zh-CN"/>
                    </w:rPr>
                  </w:pPr>
                  <w:r>
                    <w:rPr>
                      <w:rFonts w:cs="Times New Roman"/>
                      <w:bCs/>
                      <w:color w:val="auto"/>
                      <w:sz w:val="21"/>
                      <w:szCs w:val="21"/>
                      <w:lang w:val="zh-CN"/>
                    </w:rPr>
                    <w:t>汽运</w:t>
                  </w:r>
                </w:p>
              </w:tc>
              <w:tc>
                <w:tcPr>
                  <w:tcW w:w="1163" w:type="dxa"/>
                  <w:shd w:val="clear" w:color="auto" w:fill="auto"/>
                  <w:tcMar>
                    <w:left w:w="108" w:type="dxa"/>
                    <w:right w:w="108" w:type="dxa"/>
                  </w:tcMar>
                  <w:vAlign w:val="center"/>
                </w:tcPr>
                <w:p>
                  <w:pPr>
                    <w:spacing w:line="240" w:lineRule="auto"/>
                    <w:ind w:firstLine="0" w:firstLineChars="0"/>
                    <w:jc w:val="center"/>
                    <w:rPr>
                      <w:rFonts w:cs="Times New Roman"/>
                      <w:bCs/>
                      <w:color w:val="auto"/>
                      <w:sz w:val="21"/>
                      <w:szCs w:val="21"/>
                      <w:lang w:val="zh-CN"/>
                    </w:rPr>
                  </w:pPr>
                  <w:r>
                    <w:rPr>
                      <w:rFonts w:cs="Times New Roman"/>
                      <w:bCs/>
                      <w:color w:val="auto"/>
                      <w:sz w:val="21"/>
                      <w:szCs w:val="21"/>
                      <w:lang w:val="zh-CN"/>
                    </w:rPr>
                    <w:t>外购</w:t>
                  </w:r>
                </w:p>
              </w:tc>
            </w:tr>
            <w:bookmarkEnd w:id="7"/>
          </w:tbl>
          <w:p>
            <w:pPr>
              <w:widowControl/>
              <w:ind w:firstLine="480"/>
              <w:jc w:val="left"/>
              <w:rPr>
                <w:rFonts w:cs="Times New Roman"/>
                <w:color w:val="auto"/>
                <w:kern w:val="0"/>
                <w:lang w:bidi="ar"/>
              </w:rPr>
            </w:pPr>
            <w:r>
              <w:rPr>
                <w:rFonts w:cs="Times New Roman"/>
                <w:color w:val="auto"/>
                <w:kern w:val="0"/>
                <w:lang w:bidi="ar"/>
              </w:rPr>
              <w:t>碳酸铈：分子式为</w:t>
            </w:r>
            <w:r>
              <w:rPr>
                <w:rFonts w:cs="Times New Roman"/>
                <w:color w:val="auto"/>
              </w:rPr>
              <w:t>CH</w:t>
            </w:r>
            <w:r>
              <w:rPr>
                <w:rFonts w:cs="Times New Roman"/>
                <w:color w:val="auto"/>
                <w:vertAlign w:val="subscript"/>
              </w:rPr>
              <w:t>2</w:t>
            </w:r>
            <w:r>
              <w:rPr>
                <w:rFonts w:cs="Times New Roman"/>
                <w:color w:val="auto"/>
              </w:rPr>
              <w:t>CeO</w:t>
            </w:r>
            <w:r>
              <w:rPr>
                <w:rFonts w:cs="Times New Roman"/>
                <w:color w:val="auto"/>
                <w:vertAlign w:val="subscript"/>
              </w:rPr>
              <w:t>4</w:t>
            </w:r>
            <w:r>
              <w:rPr>
                <w:rFonts w:cs="Times New Roman"/>
                <w:color w:val="auto"/>
                <w:kern w:val="0"/>
                <w:lang w:bidi="ar"/>
              </w:rPr>
              <w:t>，</w:t>
            </w:r>
            <w:r>
              <w:rPr>
                <w:rFonts w:cs="Times New Roman"/>
                <w:color w:val="auto"/>
              </w:rPr>
              <w:t>子量为218</w:t>
            </w:r>
            <w:r>
              <w:rPr>
                <w:rFonts w:cs="Times New Roman"/>
                <w:color w:val="auto"/>
                <w:kern w:val="0"/>
                <w:lang w:bidi="ar"/>
              </w:rPr>
              <w:t>。白色或略带淡黄色结晶粉末，颜色随纯度变化而略有变化。主要用于制备稀土发光材料、汽车尾气净化催化剂，抛光材料及彩色工程塑料用颜色。本项目碳酸铈稀土含量为80%，其余20%主要为水分，不含其他杂质。</w:t>
            </w:r>
          </w:p>
          <w:p>
            <w:pPr>
              <w:widowControl/>
              <w:ind w:firstLine="480"/>
              <w:jc w:val="left"/>
              <w:rPr>
                <w:rFonts w:cs="Times New Roman"/>
                <w:color w:val="auto"/>
                <w:kern w:val="0"/>
                <w:lang w:bidi="ar"/>
              </w:rPr>
            </w:pPr>
            <w:r>
              <w:rPr>
                <w:rFonts w:cs="Times New Roman"/>
                <w:color w:val="auto"/>
                <w:kern w:val="0"/>
                <w:lang w:bidi="ar"/>
              </w:rPr>
              <w:t>氢氟酸：氢氟酸是</w:t>
            </w:r>
            <w:r>
              <w:rPr>
                <w:rFonts w:cs="Times New Roman"/>
                <w:color w:val="auto"/>
              </w:rPr>
              <w:fldChar w:fldCharType="begin"/>
            </w:r>
            <w:r>
              <w:rPr>
                <w:rFonts w:cs="Times New Roman"/>
                <w:color w:val="auto"/>
              </w:rPr>
              <w:instrText xml:space="preserve"> HYPERLINK "https://baike.so.com/doc/716813-758850.html" \t "https://baike.so.com/doc/_blank" </w:instrText>
            </w:r>
            <w:r>
              <w:rPr>
                <w:rFonts w:cs="Times New Roman"/>
                <w:color w:val="auto"/>
              </w:rPr>
              <w:fldChar w:fldCharType="separate"/>
            </w:r>
            <w:r>
              <w:rPr>
                <w:rFonts w:cs="Times New Roman"/>
                <w:color w:val="auto"/>
                <w:kern w:val="0"/>
                <w:lang w:bidi="ar"/>
              </w:rPr>
              <w:t>氟化氢</w:t>
            </w:r>
            <w:r>
              <w:rPr>
                <w:rFonts w:cs="Times New Roman"/>
                <w:color w:val="auto"/>
                <w:kern w:val="0"/>
                <w:lang w:bidi="ar"/>
              </w:rPr>
              <w:fldChar w:fldCharType="end"/>
            </w:r>
            <w:r>
              <w:rPr>
                <w:rFonts w:cs="Times New Roman"/>
                <w:color w:val="auto"/>
                <w:kern w:val="0"/>
                <w:lang w:bidi="ar"/>
              </w:rPr>
              <w:t>气体的水溶液，清澈，无色、发烟的</w:t>
            </w:r>
            <w:r>
              <w:rPr>
                <w:color w:val="auto"/>
              </w:rPr>
              <w:fldChar w:fldCharType="begin"/>
            </w:r>
            <w:r>
              <w:rPr>
                <w:color w:val="auto"/>
              </w:rPr>
              <w:instrText xml:space="preserve"> HYPERLINK "https://baike.so.com/doc/6094923-6308031.html" \t "https://baike.so.com/doc/_blank" </w:instrText>
            </w:r>
            <w:r>
              <w:rPr>
                <w:color w:val="auto"/>
              </w:rPr>
              <w:fldChar w:fldCharType="separate"/>
            </w:r>
            <w:r>
              <w:rPr>
                <w:rFonts w:cs="Times New Roman"/>
                <w:color w:val="auto"/>
                <w:kern w:val="0"/>
                <w:lang w:bidi="ar"/>
              </w:rPr>
              <w:t>腐蚀性</w:t>
            </w:r>
            <w:r>
              <w:rPr>
                <w:rFonts w:cs="Times New Roman"/>
                <w:color w:val="auto"/>
                <w:kern w:val="0"/>
                <w:lang w:bidi="ar"/>
              </w:rPr>
              <w:fldChar w:fldCharType="end"/>
            </w:r>
            <w:r>
              <w:rPr>
                <w:rFonts w:cs="Times New Roman"/>
                <w:color w:val="auto"/>
                <w:kern w:val="0"/>
                <w:lang w:bidi="ar"/>
              </w:rPr>
              <w:t>液体，有剧烈刺激性气味。</w:t>
            </w:r>
            <w:r>
              <w:rPr>
                <w:color w:val="auto"/>
              </w:rPr>
              <w:fldChar w:fldCharType="begin"/>
            </w:r>
            <w:r>
              <w:rPr>
                <w:color w:val="auto"/>
              </w:rPr>
              <w:instrText xml:space="preserve"> HYPERLINK "https://baike.so.com/doc/367780-389604.html" \t "https://baike.so.com/doc/_blank" </w:instrText>
            </w:r>
            <w:r>
              <w:rPr>
                <w:color w:val="auto"/>
              </w:rPr>
              <w:fldChar w:fldCharType="separate"/>
            </w:r>
            <w:r>
              <w:rPr>
                <w:rFonts w:cs="Times New Roman"/>
                <w:color w:val="auto"/>
                <w:kern w:val="0"/>
                <w:lang w:bidi="ar"/>
              </w:rPr>
              <w:t>熔点</w:t>
            </w:r>
            <w:r>
              <w:rPr>
                <w:rFonts w:cs="Times New Roman"/>
                <w:color w:val="auto"/>
                <w:kern w:val="0"/>
                <w:lang w:bidi="ar"/>
              </w:rPr>
              <w:fldChar w:fldCharType="end"/>
            </w:r>
            <w:r>
              <w:rPr>
                <w:rFonts w:cs="Times New Roman"/>
                <w:color w:val="auto"/>
                <w:kern w:val="0"/>
                <w:lang w:bidi="ar"/>
              </w:rPr>
              <w:t>-83.3℃，沸点19.54，</w:t>
            </w:r>
            <w:r>
              <w:rPr>
                <w:rFonts w:cs="Times New Roman"/>
                <w:color w:val="auto"/>
              </w:rPr>
              <w:fldChar w:fldCharType="begin"/>
            </w:r>
            <w:r>
              <w:rPr>
                <w:rFonts w:cs="Times New Roman"/>
                <w:color w:val="auto"/>
              </w:rPr>
              <w:instrText xml:space="preserve">HYPERLINK "https://baike.so.com/doc/720555-762868.html" \t "https://baike.so.com/doc/_blank"</w:instrText>
            </w:r>
            <w:r>
              <w:rPr>
                <w:rFonts w:cs="Times New Roman"/>
                <w:color w:val="auto"/>
              </w:rPr>
              <w:fldChar w:fldCharType="separate"/>
            </w:r>
            <w:r>
              <w:rPr>
                <w:rFonts w:cs="Times New Roman"/>
                <w:color w:val="auto"/>
                <w:kern w:val="0"/>
                <w:lang w:bidi="ar"/>
              </w:rPr>
              <w:t>闪点</w:t>
            </w:r>
            <w:r>
              <w:rPr>
                <w:rFonts w:cs="Times New Roman"/>
                <w:color w:val="auto"/>
                <w:kern w:val="0"/>
                <w:lang w:bidi="ar"/>
              </w:rPr>
              <w:fldChar w:fldCharType="end"/>
            </w:r>
            <w:r>
              <w:rPr>
                <w:rFonts w:cs="Times New Roman"/>
                <w:color w:val="auto"/>
                <w:kern w:val="0"/>
                <w:lang w:bidi="ar"/>
              </w:rPr>
              <w:t>112.2℃，密度1.15g/cm³。易溶于水、乙醇，微溶于乙醚。因为氢原子和氟原子间结合的能力相对较强，使得氢氟酸在水中不能完全电离，所以理论上低浓度的氢氟酸是一种弱酸。</w:t>
            </w:r>
          </w:p>
          <w:p>
            <w:pPr>
              <w:widowControl/>
              <w:ind w:firstLine="480"/>
              <w:jc w:val="left"/>
              <w:rPr>
                <w:rFonts w:cs="Times New Roman"/>
                <w:color w:val="auto"/>
                <w:kern w:val="0"/>
                <w:lang w:bidi="ar"/>
              </w:rPr>
            </w:pPr>
            <w:r>
              <w:rPr>
                <w:rFonts w:cs="Times New Roman"/>
                <w:color w:val="auto"/>
                <w:kern w:val="0"/>
                <w:lang w:bidi="ar"/>
              </w:rPr>
              <w:t>具有极强的腐蚀性，能强烈地腐蚀金属、</w:t>
            </w:r>
            <w:r>
              <w:rPr>
                <w:rFonts w:cs="Times New Roman"/>
                <w:color w:val="auto"/>
              </w:rPr>
              <w:fldChar w:fldCharType="begin"/>
            </w:r>
            <w:r>
              <w:rPr>
                <w:rFonts w:cs="Times New Roman"/>
                <w:color w:val="auto"/>
              </w:rPr>
              <w:instrText xml:space="preserve">HYPERLINK "https://baike.so.com/doc/5329080-5564253.html" \t "https://baike.so.com/doc/_blank"</w:instrText>
            </w:r>
            <w:r>
              <w:rPr>
                <w:rFonts w:cs="Times New Roman"/>
                <w:color w:val="auto"/>
              </w:rPr>
              <w:fldChar w:fldCharType="separate"/>
            </w:r>
            <w:r>
              <w:rPr>
                <w:rFonts w:cs="Times New Roman"/>
                <w:color w:val="auto"/>
                <w:kern w:val="0"/>
                <w:lang w:bidi="ar"/>
              </w:rPr>
              <w:t>玻璃</w:t>
            </w:r>
            <w:r>
              <w:rPr>
                <w:rFonts w:cs="Times New Roman"/>
                <w:color w:val="auto"/>
                <w:kern w:val="0"/>
                <w:lang w:bidi="ar"/>
              </w:rPr>
              <w:fldChar w:fldCharType="end"/>
            </w:r>
            <w:r>
              <w:rPr>
                <w:rFonts w:cs="Times New Roman"/>
                <w:color w:val="auto"/>
                <w:kern w:val="0"/>
                <w:lang w:bidi="ar"/>
              </w:rPr>
              <w:t>和含硅的物体。如吸入蒸气或接触皮肤会造成难以治愈的灼伤。实验室一般用</w:t>
            </w:r>
            <w:r>
              <w:rPr>
                <w:color w:val="auto"/>
              </w:rPr>
              <w:fldChar w:fldCharType="begin"/>
            </w:r>
            <w:r>
              <w:rPr>
                <w:color w:val="auto"/>
              </w:rPr>
              <w:instrText xml:space="preserve"> HYPERLINK "https://baike.so.com/doc/71969-75945.html" \t "https://baike.so.com/doc/_blank" </w:instrText>
            </w:r>
            <w:r>
              <w:rPr>
                <w:color w:val="auto"/>
              </w:rPr>
              <w:fldChar w:fldCharType="separate"/>
            </w:r>
            <w:r>
              <w:rPr>
                <w:rFonts w:cs="Times New Roman"/>
                <w:color w:val="auto"/>
                <w:kern w:val="0"/>
                <w:lang w:bidi="ar"/>
              </w:rPr>
              <w:t>萤石</w:t>
            </w:r>
            <w:r>
              <w:rPr>
                <w:rFonts w:cs="Times New Roman"/>
                <w:color w:val="auto"/>
                <w:kern w:val="0"/>
                <w:lang w:bidi="ar"/>
              </w:rPr>
              <w:fldChar w:fldCharType="end"/>
            </w:r>
            <w:r>
              <w:rPr>
                <w:rFonts w:cs="Times New Roman"/>
                <w:color w:val="auto"/>
                <w:kern w:val="0"/>
                <w:lang w:bidi="ar"/>
              </w:rPr>
              <w:t>（主要成分为氟化钙）和</w:t>
            </w:r>
            <w:r>
              <w:rPr>
                <w:rFonts w:cs="Times New Roman"/>
                <w:color w:val="auto"/>
              </w:rPr>
              <w:fldChar w:fldCharType="begin"/>
            </w:r>
            <w:r>
              <w:rPr>
                <w:rFonts w:cs="Times New Roman"/>
                <w:color w:val="auto"/>
              </w:rPr>
              <w:instrText xml:space="preserve">HYPERLINK "https://baike.so.com/doc/1155604-1222428.html" \t "https://baike.so.com/doc/_blank"</w:instrText>
            </w:r>
            <w:r>
              <w:rPr>
                <w:rFonts w:cs="Times New Roman"/>
                <w:color w:val="auto"/>
              </w:rPr>
              <w:fldChar w:fldCharType="separate"/>
            </w:r>
            <w:r>
              <w:rPr>
                <w:rFonts w:cs="Times New Roman"/>
                <w:color w:val="auto"/>
                <w:kern w:val="0"/>
                <w:lang w:bidi="ar"/>
              </w:rPr>
              <w:t>浓硫酸</w:t>
            </w:r>
            <w:r>
              <w:rPr>
                <w:rFonts w:cs="Times New Roman"/>
                <w:color w:val="auto"/>
                <w:kern w:val="0"/>
                <w:lang w:bidi="ar"/>
              </w:rPr>
              <w:fldChar w:fldCharType="end"/>
            </w:r>
            <w:r>
              <w:rPr>
                <w:rFonts w:cs="Times New Roman"/>
                <w:color w:val="auto"/>
                <w:kern w:val="0"/>
                <w:lang w:bidi="ar"/>
              </w:rPr>
              <w:t>来制取，需要密封在塑料瓶中，并保存于阴凉处。</w:t>
            </w:r>
          </w:p>
          <w:p>
            <w:pPr>
              <w:keepLines/>
              <w:topLinePunct/>
              <w:autoSpaceDE w:val="0"/>
              <w:adjustRightInd w:val="0"/>
              <w:snapToGrid w:val="0"/>
              <w:ind w:firstLine="482"/>
              <w:rPr>
                <w:rFonts w:cs="Times New Roman"/>
                <w:b/>
                <w:color w:val="auto"/>
              </w:rPr>
            </w:pPr>
            <w:r>
              <w:rPr>
                <w:rFonts w:cs="Times New Roman"/>
                <w:b/>
                <w:bCs/>
                <w:color w:val="auto"/>
                <w:szCs w:val="32"/>
              </w:rPr>
              <w:t>2.5</w:t>
            </w:r>
            <w:r>
              <w:rPr>
                <w:rFonts w:cs="Times New Roman"/>
                <w:b/>
                <w:color w:val="auto"/>
              </w:rPr>
              <w:t>能源</w:t>
            </w:r>
          </w:p>
          <w:p>
            <w:pPr>
              <w:keepLines/>
              <w:topLinePunct/>
              <w:autoSpaceDE w:val="0"/>
              <w:adjustRightInd w:val="0"/>
              <w:snapToGrid w:val="0"/>
              <w:ind w:firstLine="480"/>
              <w:rPr>
                <w:rFonts w:cs="Times New Roman"/>
                <w:color w:val="auto"/>
              </w:rPr>
            </w:pPr>
            <w:r>
              <w:rPr>
                <w:rFonts w:cs="Times New Roman"/>
                <w:color w:val="auto"/>
              </w:rPr>
              <w:t>本项目的能源消耗见表2-8。</w:t>
            </w:r>
          </w:p>
          <w:p>
            <w:pPr>
              <w:ind w:firstLine="482"/>
              <w:jc w:val="center"/>
              <w:rPr>
                <w:rFonts w:cs="Times New Roman"/>
                <w:b/>
                <w:color w:val="auto"/>
              </w:rPr>
            </w:pPr>
            <w:r>
              <w:rPr>
                <w:rFonts w:cs="Times New Roman"/>
                <w:b/>
                <w:color w:val="auto"/>
              </w:rPr>
              <w:t>表2-8本项目能源消耗一览表</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07"/>
              <w:gridCol w:w="1642"/>
              <w:gridCol w:w="2039"/>
              <w:gridCol w:w="1195"/>
              <w:gridCol w:w="264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tcBorders>
                    <w:tl2br w:val="nil"/>
                    <w:tr2bl w:val="nil"/>
                  </w:tcBorders>
                  <w:tcMar>
                    <w:left w:w="28" w:type="dxa"/>
                    <w:right w:w="28" w:type="dxa"/>
                  </w:tcMar>
                  <w:vAlign w:val="center"/>
                </w:tcPr>
                <w:p>
                  <w:pPr>
                    <w:spacing w:line="240" w:lineRule="auto"/>
                    <w:ind w:firstLine="0" w:firstLineChars="0"/>
                    <w:jc w:val="center"/>
                    <w:rPr>
                      <w:rFonts w:cs="Times New Roman"/>
                      <w:b/>
                      <w:color w:val="auto"/>
                      <w:sz w:val="21"/>
                      <w:szCs w:val="21"/>
                    </w:rPr>
                  </w:pPr>
                  <w:r>
                    <w:rPr>
                      <w:rFonts w:cs="Times New Roman"/>
                      <w:b/>
                      <w:color w:val="auto"/>
                      <w:sz w:val="21"/>
                      <w:szCs w:val="21"/>
                    </w:rPr>
                    <w:t>序号</w:t>
                  </w:r>
                </w:p>
              </w:tc>
              <w:tc>
                <w:tcPr>
                  <w:tcW w:w="963" w:type="pct"/>
                  <w:tcBorders>
                    <w:tl2br w:val="nil"/>
                    <w:tr2bl w:val="nil"/>
                  </w:tcBorders>
                  <w:vAlign w:val="center"/>
                </w:tcPr>
                <w:p>
                  <w:pPr>
                    <w:spacing w:line="240" w:lineRule="auto"/>
                    <w:ind w:firstLine="0" w:firstLineChars="0"/>
                    <w:jc w:val="center"/>
                    <w:rPr>
                      <w:rFonts w:cs="Times New Roman"/>
                      <w:b/>
                      <w:color w:val="auto"/>
                      <w:sz w:val="21"/>
                      <w:szCs w:val="21"/>
                    </w:rPr>
                  </w:pPr>
                  <w:r>
                    <w:rPr>
                      <w:rFonts w:cs="Times New Roman"/>
                      <w:b/>
                      <w:color w:val="auto"/>
                      <w:sz w:val="21"/>
                      <w:szCs w:val="21"/>
                    </w:rPr>
                    <w:t>名称</w:t>
                  </w:r>
                </w:p>
              </w:tc>
              <w:tc>
                <w:tcPr>
                  <w:tcW w:w="1196" w:type="pct"/>
                  <w:tcBorders>
                    <w:tl2br w:val="nil"/>
                    <w:tr2bl w:val="nil"/>
                  </w:tcBorders>
                  <w:tcMar>
                    <w:left w:w="28" w:type="dxa"/>
                    <w:right w:w="28" w:type="dxa"/>
                  </w:tcMar>
                  <w:vAlign w:val="center"/>
                </w:tcPr>
                <w:p>
                  <w:pPr>
                    <w:spacing w:line="240" w:lineRule="auto"/>
                    <w:ind w:firstLine="0" w:firstLineChars="0"/>
                    <w:jc w:val="center"/>
                    <w:rPr>
                      <w:rFonts w:cs="Times New Roman"/>
                      <w:b/>
                      <w:color w:val="auto"/>
                      <w:sz w:val="21"/>
                      <w:szCs w:val="21"/>
                    </w:rPr>
                  </w:pPr>
                  <w:r>
                    <w:rPr>
                      <w:rFonts w:cs="Times New Roman"/>
                      <w:b/>
                      <w:color w:val="auto"/>
                      <w:sz w:val="21"/>
                      <w:szCs w:val="21"/>
                    </w:rPr>
                    <w:t>消耗量</w:t>
                  </w:r>
                </w:p>
              </w:tc>
              <w:tc>
                <w:tcPr>
                  <w:tcW w:w="701" w:type="pct"/>
                  <w:tcBorders>
                    <w:tl2br w:val="nil"/>
                    <w:tr2bl w:val="nil"/>
                  </w:tcBorders>
                  <w:tcMar>
                    <w:left w:w="28" w:type="dxa"/>
                    <w:right w:w="28" w:type="dxa"/>
                  </w:tcMar>
                  <w:vAlign w:val="center"/>
                </w:tcPr>
                <w:p>
                  <w:pPr>
                    <w:spacing w:line="240" w:lineRule="auto"/>
                    <w:ind w:firstLine="0" w:firstLineChars="0"/>
                    <w:jc w:val="center"/>
                    <w:rPr>
                      <w:rFonts w:cs="Times New Roman"/>
                      <w:b/>
                      <w:color w:val="auto"/>
                      <w:sz w:val="21"/>
                      <w:szCs w:val="21"/>
                    </w:rPr>
                  </w:pPr>
                  <w:r>
                    <w:rPr>
                      <w:rFonts w:cs="Times New Roman"/>
                      <w:b/>
                      <w:color w:val="auto"/>
                      <w:sz w:val="21"/>
                      <w:szCs w:val="21"/>
                    </w:rPr>
                    <w:t>单位</w:t>
                  </w:r>
                </w:p>
              </w:tc>
              <w:tc>
                <w:tcPr>
                  <w:tcW w:w="1549" w:type="pct"/>
                  <w:tcBorders>
                    <w:tl2br w:val="nil"/>
                    <w:tr2bl w:val="nil"/>
                  </w:tcBorders>
                  <w:tcMar>
                    <w:left w:w="28" w:type="dxa"/>
                    <w:right w:w="28" w:type="dxa"/>
                  </w:tcMar>
                  <w:vAlign w:val="center"/>
                </w:tcPr>
                <w:p>
                  <w:pPr>
                    <w:spacing w:line="240" w:lineRule="auto"/>
                    <w:ind w:firstLine="0" w:firstLineChars="0"/>
                    <w:jc w:val="center"/>
                    <w:rPr>
                      <w:rFonts w:cs="Times New Roman"/>
                      <w:b/>
                      <w:color w:val="auto"/>
                      <w:sz w:val="21"/>
                      <w:szCs w:val="21"/>
                    </w:rPr>
                  </w:pPr>
                  <w:r>
                    <w:rPr>
                      <w:rFonts w:cs="Times New Roman"/>
                      <w:b/>
                      <w:color w:val="auto"/>
                      <w:sz w:val="21"/>
                      <w:szCs w:val="21"/>
                    </w:rPr>
                    <w:t>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tcBorders>
                    <w:tl2br w:val="nil"/>
                    <w:tr2bl w:val="nil"/>
                  </w:tcBorders>
                  <w:tcMar>
                    <w:left w:w="28" w:type="dxa"/>
                    <w:right w:w="28" w:type="dxa"/>
                  </w:tcMar>
                  <w:vAlign w:val="center"/>
                </w:tcPr>
                <w:p>
                  <w:pPr>
                    <w:spacing w:line="240" w:lineRule="auto"/>
                    <w:ind w:firstLine="0" w:firstLineChars="0"/>
                    <w:jc w:val="center"/>
                    <w:rPr>
                      <w:rFonts w:cs="Times New Roman"/>
                      <w:bCs/>
                      <w:color w:val="auto"/>
                      <w:sz w:val="21"/>
                      <w:szCs w:val="21"/>
                    </w:rPr>
                  </w:pPr>
                  <w:r>
                    <w:rPr>
                      <w:rFonts w:cs="Times New Roman"/>
                      <w:bCs/>
                      <w:color w:val="auto"/>
                      <w:sz w:val="21"/>
                      <w:szCs w:val="21"/>
                    </w:rPr>
                    <w:t>1</w:t>
                  </w:r>
                </w:p>
              </w:tc>
              <w:tc>
                <w:tcPr>
                  <w:tcW w:w="963" w:type="pct"/>
                  <w:tcBorders>
                    <w:tl2br w:val="nil"/>
                    <w:tr2bl w:val="nil"/>
                  </w:tcBorders>
                  <w:tcMar>
                    <w:left w:w="28" w:type="dxa"/>
                    <w:right w:w="28" w:type="dxa"/>
                  </w:tcMar>
                  <w:vAlign w:val="center"/>
                </w:tcPr>
                <w:p>
                  <w:pPr>
                    <w:spacing w:line="240" w:lineRule="auto"/>
                    <w:ind w:firstLine="0" w:firstLineChars="0"/>
                    <w:jc w:val="center"/>
                    <w:rPr>
                      <w:rFonts w:cs="Times New Roman"/>
                      <w:bCs/>
                      <w:color w:val="auto"/>
                      <w:sz w:val="21"/>
                      <w:szCs w:val="21"/>
                    </w:rPr>
                  </w:pPr>
                  <w:r>
                    <w:rPr>
                      <w:rFonts w:cs="Times New Roman"/>
                      <w:bCs/>
                      <w:color w:val="auto"/>
                      <w:sz w:val="21"/>
                      <w:szCs w:val="21"/>
                    </w:rPr>
                    <w:t>电</w:t>
                  </w:r>
                </w:p>
              </w:tc>
              <w:tc>
                <w:tcPr>
                  <w:tcW w:w="1196" w:type="pct"/>
                  <w:tcBorders>
                    <w:tl2br w:val="nil"/>
                    <w:tr2bl w:val="nil"/>
                  </w:tcBorders>
                  <w:tcMar>
                    <w:left w:w="28" w:type="dxa"/>
                    <w:right w:w="28" w:type="dxa"/>
                  </w:tcMar>
                  <w:vAlign w:val="center"/>
                </w:tcPr>
                <w:p>
                  <w:pPr>
                    <w:spacing w:line="240" w:lineRule="auto"/>
                    <w:ind w:firstLine="0" w:firstLineChars="0"/>
                    <w:jc w:val="center"/>
                    <w:rPr>
                      <w:rFonts w:cs="Times New Roman"/>
                      <w:bCs/>
                      <w:color w:val="auto"/>
                      <w:sz w:val="21"/>
                      <w:szCs w:val="21"/>
                    </w:rPr>
                  </w:pPr>
                  <w:r>
                    <w:rPr>
                      <w:rFonts w:cs="Times New Roman"/>
                      <w:bCs/>
                      <w:color w:val="auto"/>
                      <w:sz w:val="21"/>
                      <w:szCs w:val="21"/>
                    </w:rPr>
                    <w:t>1151.69×10</w:t>
                  </w:r>
                  <w:r>
                    <w:rPr>
                      <w:rFonts w:cs="Times New Roman"/>
                      <w:bCs/>
                      <w:color w:val="auto"/>
                      <w:sz w:val="21"/>
                      <w:szCs w:val="21"/>
                      <w:vertAlign w:val="superscript"/>
                    </w:rPr>
                    <w:t>4</w:t>
                  </w:r>
                </w:p>
              </w:tc>
              <w:tc>
                <w:tcPr>
                  <w:tcW w:w="701" w:type="pct"/>
                  <w:tcBorders>
                    <w:tl2br w:val="nil"/>
                    <w:tr2bl w:val="nil"/>
                  </w:tcBorders>
                  <w:tcMar>
                    <w:left w:w="28" w:type="dxa"/>
                    <w:right w:w="28" w:type="dxa"/>
                  </w:tcMar>
                  <w:vAlign w:val="center"/>
                </w:tcPr>
                <w:p>
                  <w:pPr>
                    <w:spacing w:line="240" w:lineRule="auto"/>
                    <w:ind w:firstLine="0" w:firstLineChars="0"/>
                    <w:jc w:val="center"/>
                    <w:rPr>
                      <w:rFonts w:cs="Times New Roman"/>
                      <w:bCs/>
                      <w:color w:val="auto"/>
                      <w:sz w:val="21"/>
                      <w:szCs w:val="21"/>
                    </w:rPr>
                  </w:pPr>
                  <w:r>
                    <w:rPr>
                      <w:rFonts w:cs="Times New Roman"/>
                      <w:bCs/>
                      <w:color w:val="auto"/>
                      <w:sz w:val="21"/>
                      <w:szCs w:val="21"/>
                    </w:rPr>
                    <w:t>kWh/a</w:t>
                  </w:r>
                </w:p>
              </w:tc>
              <w:tc>
                <w:tcPr>
                  <w:tcW w:w="1549" w:type="pct"/>
                  <w:tcBorders>
                    <w:tl2br w:val="nil"/>
                    <w:tr2bl w:val="nil"/>
                  </w:tcBorders>
                  <w:tcMar>
                    <w:left w:w="28" w:type="dxa"/>
                    <w:right w:w="28" w:type="dxa"/>
                  </w:tcMar>
                  <w:vAlign w:val="center"/>
                </w:tcPr>
                <w:p>
                  <w:pPr>
                    <w:spacing w:line="240" w:lineRule="auto"/>
                    <w:ind w:firstLine="0" w:firstLineChars="0"/>
                    <w:jc w:val="center"/>
                    <w:rPr>
                      <w:rFonts w:cs="Times New Roman"/>
                      <w:bCs/>
                      <w:color w:val="auto"/>
                      <w:sz w:val="21"/>
                      <w:szCs w:val="21"/>
                    </w:rPr>
                  </w:pPr>
                  <w:r>
                    <w:rPr>
                      <w:rFonts w:cs="Times New Roman"/>
                      <w:bCs/>
                      <w:color w:val="auto"/>
                      <w:sz w:val="21"/>
                      <w:szCs w:val="21"/>
                    </w:rPr>
                    <w:t>工业园区供电管网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tcBorders>
                    <w:tl2br w:val="nil"/>
                    <w:tr2bl w:val="nil"/>
                  </w:tcBorders>
                  <w:tcMar>
                    <w:left w:w="28" w:type="dxa"/>
                    <w:right w:w="28" w:type="dxa"/>
                  </w:tcMar>
                  <w:vAlign w:val="center"/>
                </w:tcPr>
                <w:p>
                  <w:pPr>
                    <w:spacing w:line="240" w:lineRule="auto"/>
                    <w:ind w:firstLine="0" w:firstLineChars="0"/>
                    <w:jc w:val="center"/>
                    <w:rPr>
                      <w:rFonts w:cs="Times New Roman"/>
                      <w:bCs/>
                      <w:color w:val="auto"/>
                      <w:sz w:val="21"/>
                      <w:szCs w:val="21"/>
                    </w:rPr>
                  </w:pPr>
                  <w:r>
                    <w:rPr>
                      <w:rFonts w:cs="Times New Roman"/>
                      <w:bCs/>
                      <w:color w:val="auto"/>
                      <w:sz w:val="21"/>
                      <w:szCs w:val="21"/>
                    </w:rPr>
                    <w:t>2</w:t>
                  </w:r>
                </w:p>
              </w:tc>
              <w:tc>
                <w:tcPr>
                  <w:tcW w:w="963" w:type="pct"/>
                  <w:tcBorders>
                    <w:tl2br w:val="nil"/>
                    <w:tr2bl w:val="nil"/>
                  </w:tcBorders>
                  <w:tcMar>
                    <w:left w:w="28" w:type="dxa"/>
                    <w:right w:w="28" w:type="dxa"/>
                  </w:tcMar>
                  <w:vAlign w:val="center"/>
                </w:tcPr>
                <w:p>
                  <w:pPr>
                    <w:spacing w:line="240" w:lineRule="auto"/>
                    <w:ind w:firstLine="0" w:firstLineChars="0"/>
                    <w:jc w:val="center"/>
                    <w:rPr>
                      <w:rFonts w:cs="Times New Roman"/>
                      <w:bCs/>
                      <w:color w:val="auto"/>
                      <w:sz w:val="21"/>
                      <w:szCs w:val="21"/>
                    </w:rPr>
                  </w:pPr>
                  <w:r>
                    <w:rPr>
                      <w:rFonts w:cs="Times New Roman"/>
                      <w:bCs/>
                      <w:color w:val="auto"/>
                      <w:sz w:val="21"/>
                      <w:szCs w:val="21"/>
                    </w:rPr>
                    <w:t>水</w:t>
                  </w:r>
                </w:p>
              </w:tc>
              <w:tc>
                <w:tcPr>
                  <w:tcW w:w="1196" w:type="pct"/>
                  <w:tcBorders>
                    <w:tl2br w:val="nil"/>
                    <w:tr2bl w:val="nil"/>
                  </w:tcBorders>
                  <w:tcMar>
                    <w:left w:w="28" w:type="dxa"/>
                    <w:right w:w="28" w:type="dxa"/>
                  </w:tcMar>
                  <w:vAlign w:val="center"/>
                </w:tcPr>
                <w:p>
                  <w:pPr>
                    <w:spacing w:line="240" w:lineRule="auto"/>
                    <w:ind w:firstLine="0" w:firstLineChars="0"/>
                    <w:jc w:val="center"/>
                    <w:rPr>
                      <w:rFonts w:cs="Times New Roman"/>
                      <w:bCs/>
                      <w:color w:val="auto"/>
                      <w:sz w:val="21"/>
                      <w:szCs w:val="21"/>
                    </w:rPr>
                  </w:pPr>
                  <w:r>
                    <w:rPr>
                      <w:rFonts w:cs="Times New Roman"/>
                      <w:bCs/>
                      <w:color w:val="auto"/>
                      <w:sz w:val="21"/>
                      <w:szCs w:val="21"/>
                    </w:rPr>
                    <w:t>12170.2</w:t>
                  </w:r>
                </w:p>
              </w:tc>
              <w:tc>
                <w:tcPr>
                  <w:tcW w:w="701" w:type="pct"/>
                  <w:tcBorders>
                    <w:tl2br w:val="nil"/>
                    <w:tr2bl w:val="nil"/>
                  </w:tcBorders>
                  <w:tcMar>
                    <w:left w:w="28" w:type="dxa"/>
                    <w:right w:w="28" w:type="dxa"/>
                  </w:tcMar>
                  <w:vAlign w:val="center"/>
                </w:tcPr>
                <w:p>
                  <w:pPr>
                    <w:spacing w:line="240" w:lineRule="auto"/>
                    <w:ind w:firstLine="0" w:firstLineChars="0"/>
                    <w:jc w:val="center"/>
                    <w:rPr>
                      <w:rFonts w:cs="Times New Roman"/>
                      <w:bCs/>
                      <w:color w:val="auto"/>
                      <w:sz w:val="21"/>
                      <w:szCs w:val="21"/>
                    </w:rPr>
                  </w:pPr>
                  <w:r>
                    <w:rPr>
                      <w:rFonts w:cs="Times New Roman"/>
                      <w:bCs/>
                      <w:color w:val="auto"/>
                      <w:sz w:val="21"/>
                      <w:szCs w:val="21"/>
                    </w:rPr>
                    <w:t>m</w:t>
                  </w:r>
                  <w:r>
                    <w:rPr>
                      <w:rFonts w:cs="Times New Roman"/>
                      <w:bCs/>
                      <w:color w:val="auto"/>
                      <w:sz w:val="21"/>
                      <w:szCs w:val="21"/>
                      <w:vertAlign w:val="superscript"/>
                    </w:rPr>
                    <w:t>3</w:t>
                  </w:r>
                  <w:r>
                    <w:rPr>
                      <w:rFonts w:cs="Times New Roman"/>
                      <w:bCs/>
                      <w:color w:val="auto"/>
                      <w:sz w:val="21"/>
                      <w:szCs w:val="21"/>
                    </w:rPr>
                    <w:t>/a</w:t>
                  </w:r>
                </w:p>
              </w:tc>
              <w:tc>
                <w:tcPr>
                  <w:tcW w:w="1549" w:type="pct"/>
                  <w:tcBorders>
                    <w:tl2br w:val="nil"/>
                    <w:tr2bl w:val="nil"/>
                  </w:tcBorders>
                  <w:tcMar>
                    <w:left w:w="28" w:type="dxa"/>
                    <w:right w:w="28" w:type="dxa"/>
                  </w:tcMar>
                  <w:vAlign w:val="center"/>
                </w:tcPr>
                <w:p>
                  <w:pPr>
                    <w:spacing w:line="240" w:lineRule="auto"/>
                    <w:ind w:firstLine="0" w:firstLineChars="0"/>
                    <w:jc w:val="center"/>
                    <w:rPr>
                      <w:rFonts w:cs="Times New Roman"/>
                      <w:bCs/>
                      <w:color w:val="auto"/>
                      <w:sz w:val="21"/>
                      <w:szCs w:val="21"/>
                    </w:rPr>
                  </w:pPr>
                  <w:r>
                    <w:rPr>
                      <w:rFonts w:cs="Times New Roman"/>
                      <w:bCs/>
                      <w:color w:val="auto"/>
                      <w:sz w:val="21"/>
                      <w:szCs w:val="21"/>
                    </w:rPr>
                    <w:t>园区供水管网提供</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tcBorders>
                    <w:tl2br w:val="nil"/>
                    <w:tr2bl w:val="nil"/>
                  </w:tcBorders>
                  <w:tcMar>
                    <w:left w:w="28" w:type="dxa"/>
                    <w:right w:w="28" w:type="dxa"/>
                  </w:tcMar>
                  <w:vAlign w:val="center"/>
                </w:tcPr>
                <w:p>
                  <w:pPr>
                    <w:spacing w:line="240" w:lineRule="auto"/>
                    <w:ind w:firstLine="0" w:firstLineChars="0"/>
                    <w:jc w:val="center"/>
                    <w:rPr>
                      <w:rFonts w:cs="Times New Roman"/>
                      <w:bCs/>
                      <w:color w:val="auto"/>
                      <w:sz w:val="21"/>
                      <w:szCs w:val="21"/>
                    </w:rPr>
                  </w:pPr>
                  <w:r>
                    <w:rPr>
                      <w:rFonts w:cs="Times New Roman"/>
                      <w:bCs/>
                      <w:color w:val="auto"/>
                      <w:sz w:val="21"/>
                      <w:szCs w:val="21"/>
                    </w:rPr>
                    <w:t>3</w:t>
                  </w:r>
                </w:p>
              </w:tc>
              <w:tc>
                <w:tcPr>
                  <w:tcW w:w="963" w:type="pct"/>
                  <w:tcBorders>
                    <w:tl2br w:val="nil"/>
                    <w:tr2bl w:val="nil"/>
                  </w:tcBorders>
                  <w:tcMar>
                    <w:left w:w="28" w:type="dxa"/>
                    <w:right w:w="28" w:type="dxa"/>
                  </w:tcMar>
                  <w:vAlign w:val="center"/>
                </w:tcPr>
                <w:p>
                  <w:pPr>
                    <w:spacing w:line="240" w:lineRule="auto"/>
                    <w:ind w:firstLine="0" w:firstLineChars="0"/>
                    <w:jc w:val="center"/>
                    <w:rPr>
                      <w:rFonts w:cs="Times New Roman"/>
                      <w:bCs/>
                      <w:color w:val="auto"/>
                      <w:sz w:val="21"/>
                      <w:szCs w:val="21"/>
                    </w:rPr>
                  </w:pPr>
                  <w:r>
                    <w:rPr>
                      <w:rFonts w:cs="Times New Roman"/>
                      <w:bCs/>
                      <w:color w:val="auto"/>
                      <w:sz w:val="21"/>
                      <w:szCs w:val="21"/>
                    </w:rPr>
                    <w:t>天然气</w:t>
                  </w:r>
                </w:p>
              </w:tc>
              <w:tc>
                <w:tcPr>
                  <w:tcW w:w="1196" w:type="pct"/>
                  <w:tcBorders>
                    <w:tl2br w:val="nil"/>
                    <w:tr2bl w:val="nil"/>
                  </w:tcBorders>
                  <w:tcMar>
                    <w:left w:w="28" w:type="dxa"/>
                    <w:right w:w="28" w:type="dxa"/>
                  </w:tcMar>
                  <w:vAlign w:val="center"/>
                </w:tcPr>
                <w:p>
                  <w:pPr>
                    <w:spacing w:line="240" w:lineRule="auto"/>
                    <w:ind w:firstLine="0" w:firstLineChars="0"/>
                    <w:jc w:val="center"/>
                    <w:rPr>
                      <w:rFonts w:cs="Times New Roman"/>
                      <w:bCs/>
                      <w:color w:val="auto"/>
                      <w:sz w:val="21"/>
                      <w:szCs w:val="21"/>
                    </w:rPr>
                  </w:pPr>
                  <w:r>
                    <w:rPr>
                      <w:rFonts w:cs="Times New Roman"/>
                      <w:bCs/>
                      <w:color w:val="auto"/>
                      <w:sz w:val="21"/>
                      <w:szCs w:val="21"/>
                    </w:rPr>
                    <w:t>265.12×10</w:t>
                  </w:r>
                  <w:r>
                    <w:rPr>
                      <w:rFonts w:cs="Times New Roman"/>
                      <w:bCs/>
                      <w:color w:val="auto"/>
                      <w:sz w:val="21"/>
                      <w:szCs w:val="21"/>
                      <w:vertAlign w:val="superscript"/>
                    </w:rPr>
                    <w:t>4</w:t>
                  </w:r>
                </w:p>
              </w:tc>
              <w:tc>
                <w:tcPr>
                  <w:tcW w:w="701" w:type="pct"/>
                  <w:tcBorders>
                    <w:tl2br w:val="nil"/>
                    <w:tr2bl w:val="nil"/>
                  </w:tcBorders>
                  <w:tcMar>
                    <w:left w:w="28" w:type="dxa"/>
                    <w:right w:w="28" w:type="dxa"/>
                  </w:tcMar>
                  <w:vAlign w:val="center"/>
                </w:tcPr>
                <w:p>
                  <w:pPr>
                    <w:spacing w:line="240" w:lineRule="auto"/>
                    <w:ind w:firstLine="0" w:firstLineChars="0"/>
                    <w:jc w:val="center"/>
                    <w:rPr>
                      <w:rFonts w:cs="Times New Roman"/>
                      <w:bCs/>
                      <w:color w:val="auto"/>
                      <w:sz w:val="21"/>
                      <w:szCs w:val="21"/>
                    </w:rPr>
                  </w:pPr>
                  <w:r>
                    <w:rPr>
                      <w:rFonts w:cs="Times New Roman"/>
                      <w:bCs/>
                      <w:color w:val="auto"/>
                      <w:sz w:val="21"/>
                      <w:szCs w:val="21"/>
                    </w:rPr>
                    <w:t>Nm</w:t>
                  </w:r>
                  <w:r>
                    <w:rPr>
                      <w:rFonts w:cs="Times New Roman"/>
                      <w:bCs/>
                      <w:color w:val="auto"/>
                      <w:sz w:val="21"/>
                      <w:szCs w:val="21"/>
                      <w:vertAlign w:val="superscript"/>
                    </w:rPr>
                    <w:t>3</w:t>
                  </w:r>
                  <w:r>
                    <w:rPr>
                      <w:rFonts w:cs="Times New Roman"/>
                      <w:bCs/>
                      <w:color w:val="auto"/>
                      <w:sz w:val="21"/>
                      <w:szCs w:val="21"/>
                    </w:rPr>
                    <w:t>/a</w:t>
                  </w:r>
                </w:p>
              </w:tc>
              <w:tc>
                <w:tcPr>
                  <w:tcW w:w="1549" w:type="pct"/>
                  <w:tcBorders>
                    <w:tl2br w:val="nil"/>
                    <w:tr2bl w:val="nil"/>
                  </w:tcBorders>
                  <w:tcMar>
                    <w:left w:w="28" w:type="dxa"/>
                    <w:right w:w="28" w:type="dxa"/>
                  </w:tcMar>
                  <w:vAlign w:val="center"/>
                </w:tcPr>
                <w:p>
                  <w:pPr>
                    <w:spacing w:line="240" w:lineRule="auto"/>
                    <w:ind w:firstLine="0" w:firstLineChars="0"/>
                    <w:jc w:val="center"/>
                    <w:rPr>
                      <w:rFonts w:cs="Times New Roman"/>
                      <w:bCs/>
                      <w:color w:val="auto"/>
                      <w:sz w:val="21"/>
                      <w:szCs w:val="21"/>
                    </w:rPr>
                  </w:pPr>
                  <w:r>
                    <w:rPr>
                      <w:rFonts w:cs="Times New Roman"/>
                      <w:bCs/>
                      <w:color w:val="auto"/>
                      <w:sz w:val="21"/>
                      <w:szCs w:val="21"/>
                    </w:rPr>
                    <w:t>由天然气管网供给</w:t>
                  </w:r>
                </w:p>
              </w:tc>
            </w:tr>
          </w:tbl>
          <w:p>
            <w:pPr>
              <w:adjustRightInd w:val="0"/>
              <w:snapToGrid w:val="0"/>
              <w:ind w:firstLine="480"/>
              <w:rPr>
                <w:rFonts w:cs="Times New Roman"/>
                <w:color w:val="auto"/>
              </w:rPr>
            </w:pPr>
            <w:r>
              <w:rPr>
                <w:rFonts w:cs="Times New Roman"/>
                <w:color w:val="auto"/>
              </w:rPr>
              <w:t>本项目天然气组分表如下表所示：</w:t>
            </w:r>
          </w:p>
          <w:p>
            <w:pPr>
              <w:adjustRightInd w:val="0"/>
              <w:snapToGrid w:val="0"/>
              <w:ind w:firstLine="482"/>
              <w:jc w:val="center"/>
              <w:rPr>
                <w:rFonts w:cs="Times New Roman"/>
                <w:b/>
                <w:bCs/>
                <w:color w:val="auto"/>
              </w:rPr>
            </w:pPr>
            <w:r>
              <w:rPr>
                <w:rFonts w:cs="Times New Roman"/>
                <w:b/>
                <w:bCs/>
                <w:color w:val="auto"/>
              </w:rPr>
              <w:t>表2-9天然气组分表（管道）</w:t>
            </w:r>
          </w:p>
          <w:tbl>
            <w:tblPr>
              <w:tblStyle w:val="26"/>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2131"/>
              <w:gridCol w:w="2131"/>
              <w:gridCol w:w="213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序号</w:t>
                  </w:r>
                </w:p>
              </w:tc>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检验项目</w:t>
                  </w:r>
                </w:p>
              </w:tc>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单位</w:t>
                  </w:r>
                </w:p>
              </w:tc>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检测结果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1</w:t>
                  </w:r>
                </w:p>
              </w:tc>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组分</w:t>
                  </w:r>
                </w:p>
              </w:tc>
              <w:tc>
                <w:tcPr>
                  <w:tcW w:w="1250" w:type="pct"/>
                  <w:vAlign w:val="center"/>
                </w:tcPr>
                <w:p>
                  <w:pPr>
                    <w:adjustRightInd w:val="0"/>
                    <w:snapToGrid w:val="0"/>
                    <w:spacing w:line="240" w:lineRule="auto"/>
                    <w:ind w:firstLine="0" w:firstLineChars="0"/>
                    <w:jc w:val="center"/>
                    <w:rPr>
                      <w:rFonts w:cs="Times New Roman"/>
                      <w:color w:val="auto"/>
                      <w:sz w:val="21"/>
                      <w:szCs w:val="21"/>
                    </w:rPr>
                  </w:pPr>
                </w:p>
              </w:tc>
              <w:tc>
                <w:tcPr>
                  <w:tcW w:w="1250" w:type="pct"/>
                  <w:vAlign w:val="center"/>
                </w:tcPr>
                <w:p>
                  <w:pPr>
                    <w:adjustRightInd w:val="0"/>
                    <w:snapToGrid w:val="0"/>
                    <w:spacing w:line="240" w:lineRule="auto"/>
                    <w:ind w:firstLine="0" w:firstLineChars="0"/>
                    <w:jc w:val="center"/>
                    <w:rPr>
                      <w:rFonts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1.1</w:t>
                  </w:r>
                </w:p>
              </w:tc>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CH</w:t>
                  </w:r>
                  <w:r>
                    <w:rPr>
                      <w:rFonts w:cs="Times New Roman"/>
                      <w:color w:val="auto"/>
                      <w:sz w:val="21"/>
                      <w:szCs w:val="21"/>
                      <w:vertAlign w:val="subscript"/>
                    </w:rPr>
                    <w:t>4</w:t>
                  </w:r>
                </w:p>
              </w:tc>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w:t>
                  </w:r>
                </w:p>
              </w:tc>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92.2874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1.2</w:t>
                  </w:r>
                </w:p>
              </w:tc>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C</w:t>
                  </w:r>
                  <w:r>
                    <w:rPr>
                      <w:rFonts w:cs="Times New Roman"/>
                      <w:color w:val="auto"/>
                      <w:sz w:val="21"/>
                      <w:szCs w:val="21"/>
                      <w:vertAlign w:val="subscript"/>
                    </w:rPr>
                    <w:t>2</w:t>
                  </w:r>
                  <w:r>
                    <w:rPr>
                      <w:rFonts w:cs="Times New Roman"/>
                      <w:color w:val="auto"/>
                      <w:sz w:val="21"/>
                      <w:szCs w:val="21"/>
                    </w:rPr>
                    <w:t>H</w:t>
                  </w:r>
                  <w:r>
                    <w:rPr>
                      <w:rFonts w:cs="Times New Roman"/>
                      <w:color w:val="auto"/>
                      <w:sz w:val="21"/>
                      <w:szCs w:val="21"/>
                      <w:vertAlign w:val="subscript"/>
                    </w:rPr>
                    <w:t>6</w:t>
                  </w:r>
                </w:p>
              </w:tc>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w:t>
                  </w:r>
                </w:p>
              </w:tc>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4.5186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1.3</w:t>
                  </w:r>
                </w:p>
              </w:tc>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总烃</w:t>
                  </w:r>
                </w:p>
              </w:tc>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w:t>
                  </w:r>
                </w:p>
              </w:tc>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98.4179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1.4</w:t>
                  </w:r>
                </w:p>
              </w:tc>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氧气</w:t>
                  </w:r>
                </w:p>
              </w:tc>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w:t>
                  </w:r>
                </w:p>
              </w:tc>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2</w:t>
                  </w:r>
                </w:p>
              </w:tc>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相对密度</w:t>
                  </w:r>
                </w:p>
              </w:tc>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w:t>
                  </w:r>
                </w:p>
              </w:tc>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0.6092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3</w:t>
                  </w:r>
                </w:p>
              </w:tc>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高位发热量</w:t>
                  </w:r>
                </w:p>
              </w:tc>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MJ/m</w:t>
                  </w:r>
                  <w:r>
                    <w:rPr>
                      <w:rFonts w:cs="Times New Roman"/>
                      <w:color w:val="auto"/>
                      <w:sz w:val="21"/>
                      <w:szCs w:val="21"/>
                      <w:vertAlign w:val="superscript"/>
                    </w:rPr>
                    <w:t>3</w:t>
                  </w:r>
                </w:p>
              </w:tc>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38.72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4</w:t>
                  </w:r>
                </w:p>
              </w:tc>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低位发热量</w:t>
                  </w:r>
                </w:p>
              </w:tc>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MJ/m</w:t>
                  </w:r>
                  <w:r>
                    <w:rPr>
                      <w:rFonts w:cs="Times New Roman"/>
                      <w:color w:val="auto"/>
                      <w:sz w:val="21"/>
                      <w:szCs w:val="21"/>
                      <w:vertAlign w:val="superscript"/>
                    </w:rPr>
                    <w:t>3</w:t>
                  </w:r>
                </w:p>
              </w:tc>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34.95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5</w:t>
                  </w:r>
                </w:p>
              </w:tc>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总硫</w:t>
                  </w:r>
                </w:p>
              </w:tc>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mg/m</w:t>
                  </w:r>
                  <w:r>
                    <w:rPr>
                      <w:rFonts w:cs="Times New Roman"/>
                      <w:color w:val="auto"/>
                      <w:sz w:val="21"/>
                      <w:szCs w:val="21"/>
                      <w:vertAlign w:val="superscript"/>
                    </w:rPr>
                    <w:t>3</w:t>
                  </w:r>
                </w:p>
              </w:tc>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6</w:t>
                  </w:r>
                </w:p>
              </w:tc>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硫化氢</w:t>
                  </w:r>
                </w:p>
              </w:tc>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mg/m</w:t>
                  </w:r>
                  <w:r>
                    <w:rPr>
                      <w:rFonts w:cs="Times New Roman"/>
                      <w:color w:val="auto"/>
                      <w:sz w:val="21"/>
                      <w:szCs w:val="21"/>
                      <w:vertAlign w:val="superscript"/>
                    </w:rPr>
                    <w:t>3</w:t>
                  </w:r>
                </w:p>
              </w:tc>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7</w:t>
                  </w:r>
                </w:p>
              </w:tc>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总硫（以S计）</w:t>
                  </w:r>
                </w:p>
              </w:tc>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mg/m</w:t>
                  </w:r>
                  <w:r>
                    <w:rPr>
                      <w:rFonts w:cs="Times New Roman"/>
                      <w:color w:val="auto"/>
                      <w:sz w:val="21"/>
                      <w:szCs w:val="21"/>
                      <w:vertAlign w:val="superscript"/>
                    </w:rPr>
                    <w:t>3</w:t>
                  </w:r>
                </w:p>
              </w:tc>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8</w:t>
                  </w:r>
                </w:p>
              </w:tc>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密度</w:t>
                  </w:r>
                </w:p>
              </w:tc>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kg/m</w:t>
                  </w:r>
                  <w:r>
                    <w:rPr>
                      <w:rFonts w:cs="Times New Roman"/>
                      <w:color w:val="auto"/>
                      <w:sz w:val="21"/>
                      <w:szCs w:val="21"/>
                      <w:vertAlign w:val="superscript"/>
                    </w:rPr>
                    <w:t>3</w:t>
                  </w:r>
                </w:p>
              </w:tc>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0.7259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9</w:t>
                  </w:r>
                </w:p>
              </w:tc>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H</w:t>
                  </w:r>
                  <w:r>
                    <w:rPr>
                      <w:rFonts w:cs="Times New Roman"/>
                      <w:color w:val="auto"/>
                      <w:sz w:val="21"/>
                      <w:szCs w:val="21"/>
                      <w:vertAlign w:val="subscript"/>
                    </w:rPr>
                    <w:t>2</w:t>
                  </w:r>
                  <w:r>
                    <w:rPr>
                      <w:rFonts w:cs="Times New Roman"/>
                      <w:color w:val="auto"/>
                      <w:sz w:val="21"/>
                      <w:szCs w:val="21"/>
                    </w:rPr>
                    <w:t>O</w:t>
                  </w:r>
                </w:p>
              </w:tc>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w:t>
                  </w:r>
                </w:p>
              </w:tc>
              <w:tc>
                <w:tcPr>
                  <w:tcW w:w="1250"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-8</w:t>
                  </w:r>
                </w:p>
              </w:tc>
            </w:tr>
          </w:tbl>
          <w:p>
            <w:pPr>
              <w:ind w:firstLine="482"/>
              <w:rPr>
                <w:rFonts w:cs="Times New Roman"/>
                <w:b/>
                <w:bCs/>
                <w:color w:val="auto"/>
              </w:rPr>
            </w:pPr>
            <w:r>
              <w:rPr>
                <w:rFonts w:cs="Times New Roman"/>
                <w:b/>
                <w:bCs/>
                <w:color w:val="auto"/>
                <w:szCs w:val="32"/>
              </w:rPr>
              <w:t>2.6本项目</w:t>
            </w:r>
            <w:r>
              <w:rPr>
                <w:rFonts w:cs="Times New Roman"/>
                <w:b/>
                <w:bCs/>
                <w:color w:val="auto"/>
              </w:rPr>
              <w:t>劳动定员及工作制度</w:t>
            </w:r>
          </w:p>
          <w:p>
            <w:pPr>
              <w:ind w:firstLine="480"/>
              <w:jc w:val="left"/>
              <w:rPr>
                <w:rFonts w:cs="Times New Roman"/>
                <w:color w:val="auto"/>
              </w:rPr>
            </w:pPr>
            <w:r>
              <w:rPr>
                <w:rFonts w:cs="Times New Roman"/>
                <w:color w:val="auto"/>
              </w:rPr>
              <w:t>本项目</w:t>
            </w:r>
            <w:bookmarkStart w:id="8" w:name="_Hlk162003048"/>
            <w:r>
              <w:rPr>
                <w:rFonts w:cs="Times New Roman"/>
                <w:color w:val="auto"/>
              </w:rPr>
              <w:t>劳动定员合计80人。全年工作300天，分三班倒，每班工作时间为8小时，全年工作时间为7200h</w:t>
            </w:r>
            <w:bookmarkEnd w:id="8"/>
            <w:r>
              <w:rPr>
                <w:rFonts w:cs="Times New Roman"/>
                <w:color w:val="auto"/>
              </w:rPr>
              <w:t>。</w:t>
            </w:r>
          </w:p>
          <w:p>
            <w:pPr>
              <w:keepLines/>
              <w:topLinePunct/>
              <w:autoSpaceDE w:val="0"/>
              <w:adjustRightInd w:val="0"/>
              <w:snapToGrid w:val="0"/>
              <w:ind w:firstLine="482"/>
              <w:rPr>
                <w:rFonts w:cs="Times New Roman"/>
                <w:b/>
                <w:bCs/>
                <w:color w:val="auto"/>
                <w:szCs w:val="32"/>
              </w:rPr>
            </w:pPr>
            <w:r>
              <w:rPr>
                <w:rFonts w:cs="Times New Roman"/>
                <w:b/>
                <w:bCs/>
                <w:color w:val="auto"/>
                <w:szCs w:val="32"/>
              </w:rPr>
              <w:t>2.7公辅工程</w:t>
            </w:r>
          </w:p>
          <w:p>
            <w:pPr>
              <w:keepLines/>
              <w:topLinePunct/>
              <w:autoSpaceDE w:val="0"/>
              <w:adjustRightInd w:val="0"/>
              <w:snapToGrid w:val="0"/>
              <w:ind w:firstLine="482"/>
              <w:rPr>
                <w:rFonts w:cs="Times New Roman"/>
                <w:b/>
                <w:color w:val="auto"/>
              </w:rPr>
            </w:pPr>
            <w:r>
              <w:rPr>
                <w:rFonts w:cs="Times New Roman"/>
                <w:b/>
                <w:bCs/>
                <w:color w:val="auto"/>
                <w:szCs w:val="32"/>
              </w:rPr>
              <w:t>2.7.1给排水</w:t>
            </w:r>
          </w:p>
          <w:p>
            <w:pPr>
              <w:keepLines/>
              <w:topLinePunct/>
              <w:autoSpaceDE w:val="0"/>
              <w:adjustRightInd w:val="0"/>
              <w:snapToGrid w:val="0"/>
              <w:ind w:firstLine="482"/>
              <w:rPr>
                <w:rFonts w:cs="Times New Roman"/>
                <w:b/>
                <w:color w:val="auto"/>
              </w:rPr>
            </w:pPr>
            <w:r>
              <w:rPr>
                <w:rFonts w:cs="Times New Roman"/>
                <w:b/>
                <w:color w:val="auto"/>
              </w:rPr>
              <w:t>1、给水</w:t>
            </w:r>
          </w:p>
          <w:p>
            <w:pPr>
              <w:ind w:firstLine="480"/>
              <w:rPr>
                <w:rFonts w:cs="Times New Roman"/>
                <w:color w:val="auto"/>
              </w:rPr>
            </w:pPr>
            <w:r>
              <w:rPr>
                <w:rFonts w:cs="Times New Roman"/>
                <w:color w:val="auto"/>
              </w:rPr>
              <w:t>本项目供水由乌拉特前旗工业园区供水管网供给。项目分两期进行建设，一期工程运营期用水单元主要包括生活用水、纯水制备用水、酸镧铈调浆用水、湿法制抛光粉生产用水、锅炉用水和碱喷淋塔用水。二期工程运营期不新增劳动定员，用水单元包括纯水制备用水、酸镧铈调浆用水、湿法制抛光粉生产用水、锅炉用水和碱喷淋塔用水。</w:t>
            </w:r>
          </w:p>
          <w:p>
            <w:pPr>
              <w:ind w:firstLine="480"/>
              <w:rPr>
                <w:rFonts w:cs="Times New Roman"/>
                <w:color w:val="auto"/>
              </w:rPr>
            </w:pPr>
            <w:r>
              <w:rPr>
                <w:rFonts w:cs="Times New Roman"/>
                <w:color w:val="auto"/>
              </w:rPr>
              <w:t>（1）生活用水</w:t>
            </w:r>
          </w:p>
          <w:p>
            <w:pPr>
              <w:ind w:firstLine="480"/>
              <w:rPr>
                <w:rFonts w:cs="Times New Roman"/>
                <w:b/>
                <w:color w:val="auto"/>
              </w:rPr>
            </w:pPr>
            <w:bookmarkStart w:id="9" w:name="_Hlk162003154"/>
            <w:r>
              <w:rPr>
                <w:rFonts w:cs="Times New Roman"/>
                <w:color w:val="auto"/>
              </w:rPr>
              <w:t>本项目劳动定员为80人，人员用水标准按80L/人·d计，每天用水量为6.4t/d，全年总用水量为6.4m</w:t>
            </w:r>
            <w:r>
              <w:rPr>
                <w:rFonts w:cs="Times New Roman"/>
                <w:color w:val="auto"/>
                <w:vertAlign w:val="superscript"/>
              </w:rPr>
              <w:t>3</w:t>
            </w:r>
            <w:r>
              <w:rPr>
                <w:rFonts w:cs="Times New Roman"/>
                <w:color w:val="auto"/>
              </w:rPr>
              <w:t>/d（1920m</w:t>
            </w:r>
            <w:r>
              <w:rPr>
                <w:rFonts w:cs="Times New Roman"/>
                <w:color w:val="auto"/>
                <w:vertAlign w:val="superscript"/>
              </w:rPr>
              <w:t>3</w:t>
            </w:r>
            <w:r>
              <w:rPr>
                <w:rFonts w:cs="Times New Roman"/>
                <w:color w:val="auto"/>
              </w:rPr>
              <w:t>/a）。</w:t>
            </w:r>
          </w:p>
          <w:bookmarkEnd w:id="9"/>
          <w:p>
            <w:pPr>
              <w:ind w:firstLine="480"/>
              <w:rPr>
                <w:rFonts w:cs="Times New Roman"/>
                <w:color w:val="auto"/>
              </w:rPr>
            </w:pPr>
            <w:r>
              <w:rPr>
                <w:rFonts w:cs="Times New Roman"/>
                <w:color w:val="auto"/>
              </w:rPr>
              <w:t>（2）</w:t>
            </w:r>
            <w:bookmarkStart w:id="10" w:name="_Hlk162003161"/>
            <w:r>
              <w:rPr>
                <w:rFonts w:cs="Times New Roman"/>
                <w:color w:val="auto"/>
              </w:rPr>
              <w:t>碳酸镧铈调浆用水</w:t>
            </w:r>
            <w:bookmarkEnd w:id="10"/>
          </w:p>
          <w:p>
            <w:pPr>
              <w:ind w:firstLine="480"/>
              <w:rPr>
                <w:rFonts w:cs="Times New Roman"/>
                <w:color w:val="auto"/>
              </w:rPr>
            </w:pPr>
            <w:bookmarkStart w:id="11" w:name="_Hlk162003167"/>
            <w:r>
              <w:rPr>
                <w:rFonts w:cs="Times New Roman"/>
                <w:color w:val="auto"/>
              </w:rPr>
              <w:t>根据企业提供资料，碳酸镧铈和纯水的比例为50:50，一期和二期碳酸镧铈年使用总量为6337.64t/a，则碳酸镧铈调浆使用纯水量为6337.64</w:t>
            </w:r>
            <w:r>
              <w:rPr>
                <w:rFonts w:cs="Times New Roman"/>
                <w:bCs/>
                <w:color w:val="auto"/>
              </w:rPr>
              <w:t>m</w:t>
            </w:r>
            <w:r>
              <w:rPr>
                <w:rFonts w:cs="Times New Roman"/>
                <w:bCs/>
                <w:color w:val="auto"/>
                <w:vertAlign w:val="superscript"/>
              </w:rPr>
              <w:t>3</w:t>
            </w:r>
            <w:r>
              <w:rPr>
                <w:rFonts w:cs="Times New Roman"/>
                <w:color w:val="auto"/>
              </w:rPr>
              <w:t>/a（21.12m</w:t>
            </w:r>
            <w:r>
              <w:rPr>
                <w:rFonts w:cs="Times New Roman"/>
                <w:color w:val="auto"/>
                <w:vertAlign w:val="superscript"/>
              </w:rPr>
              <w:t>3</w:t>
            </w:r>
            <w:r>
              <w:rPr>
                <w:rFonts w:cs="Times New Roman"/>
                <w:color w:val="auto"/>
              </w:rPr>
              <w:t>/d，其中纯水4.23m</w:t>
            </w:r>
            <w:r>
              <w:rPr>
                <w:rFonts w:cs="Times New Roman"/>
                <w:color w:val="auto"/>
                <w:vertAlign w:val="superscript"/>
              </w:rPr>
              <w:t>3</w:t>
            </w:r>
            <w:r>
              <w:rPr>
                <w:rFonts w:cs="Times New Roman"/>
                <w:color w:val="auto"/>
              </w:rPr>
              <w:t>/d，回用水16.90m</w:t>
            </w:r>
            <w:r>
              <w:rPr>
                <w:rFonts w:cs="Times New Roman"/>
                <w:color w:val="auto"/>
                <w:vertAlign w:val="superscript"/>
              </w:rPr>
              <w:t>3</w:t>
            </w:r>
            <w:r>
              <w:rPr>
                <w:rFonts w:cs="Times New Roman"/>
                <w:color w:val="auto"/>
              </w:rPr>
              <w:t>/d）。</w:t>
            </w:r>
          </w:p>
          <w:bookmarkEnd w:id="11"/>
          <w:p>
            <w:pPr>
              <w:ind w:firstLine="480"/>
              <w:rPr>
                <w:rFonts w:cs="Times New Roman"/>
                <w:color w:val="auto"/>
              </w:rPr>
            </w:pPr>
            <w:r>
              <w:rPr>
                <w:rFonts w:cs="Times New Roman"/>
                <w:color w:val="auto"/>
              </w:rPr>
              <w:t>（3）</w:t>
            </w:r>
            <w:bookmarkStart w:id="12" w:name="_Hlk162003171"/>
            <w:r>
              <w:rPr>
                <w:rFonts w:cs="Times New Roman"/>
                <w:color w:val="auto"/>
              </w:rPr>
              <w:t>湿法制抛光粉生产用水</w:t>
            </w:r>
          </w:p>
          <w:bookmarkEnd w:id="12"/>
          <w:p>
            <w:pPr>
              <w:ind w:firstLine="480"/>
              <w:rPr>
                <w:rFonts w:cs="Times New Roman"/>
                <w:color w:val="auto"/>
              </w:rPr>
            </w:pPr>
            <w:bookmarkStart w:id="13" w:name="_Hlk162003175"/>
            <w:r>
              <w:rPr>
                <w:rFonts w:cs="Times New Roman"/>
                <w:color w:val="auto"/>
              </w:rPr>
              <w:t>本项目湿法制抛光粉生产过程中需要加入纯水，根据企业提供资料，稀土材料和纯水的比例为50:30，本项目一期和二期稀土材料用量为6337.64t/a，则湿法制抛光粉生产用纯水量为3802.58</w:t>
            </w:r>
            <w:r>
              <w:rPr>
                <w:rFonts w:cs="Times New Roman"/>
                <w:bCs/>
                <w:color w:val="auto"/>
              </w:rPr>
              <w:t>m</w:t>
            </w:r>
            <w:r>
              <w:rPr>
                <w:rFonts w:cs="Times New Roman"/>
                <w:bCs/>
                <w:color w:val="auto"/>
                <w:vertAlign w:val="superscript"/>
              </w:rPr>
              <w:t>3</w:t>
            </w:r>
            <w:r>
              <w:rPr>
                <w:rFonts w:cs="Times New Roman"/>
                <w:color w:val="auto"/>
              </w:rPr>
              <w:t>/a（12.68m</w:t>
            </w:r>
            <w:r>
              <w:rPr>
                <w:rFonts w:cs="Times New Roman"/>
                <w:color w:val="auto"/>
                <w:vertAlign w:val="superscript"/>
              </w:rPr>
              <w:t>3</w:t>
            </w:r>
            <w:r>
              <w:rPr>
                <w:rFonts w:cs="Times New Roman"/>
                <w:color w:val="auto"/>
              </w:rPr>
              <w:t>/d）。在喷雾干燥器中以水蒸气形式排放。</w:t>
            </w:r>
          </w:p>
          <w:bookmarkEnd w:id="13"/>
          <w:p>
            <w:pPr>
              <w:ind w:firstLine="480"/>
              <w:rPr>
                <w:rFonts w:cs="Times New Roman"/>
                <w:bCs/>
                <w:color w:val="auto"/>
              </w:rPr>
            </w:pPr>
            <w:r>
              <w:rPr>
                <w:rFonts w:cs="Times New Roman"/>
                <w:bCs/>
                <w:color w:val="auto"/>
              </w:rPr>
              <w:t>（4）</w:t>
            </w:r>
            <w:bookmarkStart w:id="14" w:name="_Hlk162003208"/>
            <w:r>
              <w:rPr>
                <w:rFonts w:cs="Times New Roman"/>
                <w:color w:val="auto"/>
              </w:rPr>
              <w:t>碱喷淋塔用水</w:t>
            </w:r>
            <w:bookmarkEnd w:id="14"/>
          </w:p>
          <w:p>
            <w:pPr>
              <w:ind w:firstLine="480"/>
              <w:rPr>
                <w:rFonts w:cs="Times New Roman"/>
                <w:color w:val="auto"/>
              </w:rPr>
            </w:pPr>
            <w:bookmarkStart w:id="15" w:name="_Hlk162003212"/>
            <w:r>
              <w:rPr>
                <w:rFonts w:cs="Times New Roman"/>
                <w:color w:val="auto"/>
              </w:rPr>
              <w:t>本项目一期和二期新增4套碱喷淋塔（1#碱喷淋塔-4#碱喷淋塔）。</w:t>
            </w:r>
          </w:p>
          <w:p>
            <w:pPr>
              <w:ind w:firstLine="480"/>
              <w:rPr>
                <w:rFonts w:cs="Times New Roman"/>
                <w:color w:val="auto"/>
              </w:rPr>
            </w:pPr>
            <w:r>
              <w:rPr>
                <w:rFonts w:cs="Times New Roman"/>
                <w:color w:val="auto"/>
              </w:rPr>
              <w:t>碱喷淋塔系统用水经2座沉淀池沉淀后回用，生产过程中需要补充蒸发损失的水，补充量120m</w:t>
            </w:r>
            <w:r>
              <w:rPr>
                <w:rFonts w:cs="Times New Roman"/>
                <w:color w:val="auto"/>
                <w:vertAlign w:val="superscript"/>
              </w:rPr>
              <w:t>3</w:t>
            </w:r>
            <w:r>
              <w:rPr>
                <w:rFonts w:cs="Times New Roman"/>
                <w:color w:val="auto"/>
              </w:rPr>
              <w:t>/a（0.4m</w:t>
            </w:r>
            <w:r>
              <w:rPr>
                <w:rFonts w:cs="Times New Roman"/>
                <w:color w:val="auto"/>
                <w:vertAlign w:val="superscript"/>
              </w:rPr>
              <w:t>3</w:t>
            </w:r>
            <w:r>
              <w:rPr>
                <w:rFonts w:cs="Times New Roman"/>
                <w:color w:val="auto"/>
              </w:rPr>
              <w:t>/d）。</w:t>
            </w:r>
          </w:p>
          <w:bookmarkEnd w:id="15"/>
          <w:p>
            <w:pPr>
              <w:ind w:firstLine="480"/>
              <w:rPr>
                <w:rFonts w:cs="Times New Roman"/>
                <w:bCs/>
                <w:color w:val="auto"/>
              </w:rPr>
            </w:pPr>
            <w:r>
              <w:rPr>
                <w:rFonts w:cs="Times New Roman"/>
                <w:bCs/>
                <w:color w:val="auto"/>
              </w:rPr>
              <w:t>（5）</w:t>
            </w:r>
            <w:bookmarkStart w:id="16" w:name="_Hlk162003219"/>
            <w:r>
              <w:rPr>
                <w:rFonts w:cs="Times New Roman"/>
                <w:color w:val="auto"/>
              </w:rPr>
              <w:t>锅炉用水</w:t>
            </w:r>
          </w:p>
          <w:bookmarkEnd w:id="16"/>
          <w:p>
            <w:pPr>
              <w:ind w:firstLine="480"/>
              <w:rPr>
                <w:rFonts w:cs="Times New Roman"/>
                <w:color w:val="auto"/>
              </w:rPr>
            </w:pPr>
            <w:bookmarkStart w:id="17" w:name="_Hlk162003226"/>
            <w:r>
              <w:rPr>
                <w:rFonts w:cs="Times New Roman"/>
                <w:color w:val="auto"/>
              </w:rPr>
              <w:t>本项目一期和二期新增3台锅炉（2用1备），根据企业提供，锅炉补充纯水量为3.36m</w:t>
            </w:r>
            <w:r>
              <w:rPr>
                <w:rFonts w:cs="Times New Roman"/>
                <w:color w:val="auto"/>
                <w:vertAlign w:val="superscript"/>
              </w:rPr>
              <w:t>3</w:t>
            </w:r>
            <w:r>
              <w:rPr>
                <w:rFonts w:cs="Times New Roman"/>
                <w:color w:val="auto"/>
              </w:rPr>
              <w:t>/d（1008m</w:t>
            </w:r>
            <w:r>
              <w:rPr>
                <w:rFonts w:cs="Times New Roman"/>
                <w:color w:val="auto"/>
                <w:vertAlign w:val="superscript"/>
              </w:rPr>
              <w:t>3</w:t>
            </w:r>
            <w:r>
              <w:rPr>
                <w:rFonts w:cs="Times New Roman"/>
                <w:color w:val="auto"/>
              </w:rPr>
              <w:t>/a）。</w:t>
            </w:r>
          </w:p>
          <w:bookmarkEnd w:id="17"/>
          <w:p>
            <w:pPr>
              <w:ind w:firstLine="480"/>
              <w:rPr>
                <w:rFonts w:cs="Times New Roman"/>
                <w:bCs/>
                <w:color w:val="auto"/>
              </w:rPr>
            </w:pPr>
            <w:r>
              <w:rPr>
                <w:rFonts w:cs="Times New Roman"/>
                <w:bCs/>
                <w:color w:val="auto"/>
              </w:rPr>
              <w:t>（6）</w:t>
            </w:r>
            <w:bookmarkStart w:id="18" w:name="_Hlk162003237"/>
            <w:r>
              <w:rPr>
                <w:rFonts w:cs="Times New Roman"/>
                <w:color w:val="auto"/>
              </w:rPr>
              <w:t>纯水设备用水</w:t>
            </w:r>
            <w:bookmarkEnd w:id="18"/>
          </w:p>
          <w:p>
            <w:pPr>
              <w:ind w:firstLine="480"/>
              <w:rPr>
                <w:rFonts w:cs="Times New Roman"/>
                <w:color w:val="auto"/>
              </w:rPr>
            </w:pPr>
            <w:bookmarkStart w:id="19" w:name="_Hlk162003230"/>
            <w:r>
              <w:rPr>
                <w:rFonts w:cs="Times New Roman"/>
                <w:color w:val="auto"/>
              </w:rPr>
              <w:t>纯水机制备纯水主要用于酸镧铈调浆用水、湿法制抛光粉调浆用水和锅炉用水，根据以上计算，共需要纯水20.26m</w:t>
            </w:r>
            <w:r>
              <w:rPr>
                <w:rFonts w:cs="Times New Roman"/>
                <w:color w:val="auto"/>
                <w:vertAlign w:val="superscript"/>
              </w:rPr>
              <w:t>3</w:t>
            </w:r>
            <w:r>
              <w:rPr>
                <w:rFonts w:cs="Times New Roman"/>
                <w:color w:val="auto"/>
              </w:rPr>
              <w:t>/d（6078.12m</w:t>
            </w:r>
            <w:r>
              <w:rPr>
                <w:rFonts w:cs="Times New Roman"/>
                <w:color w:val="auto"/>
                <w:vertAlign w:val="superscript"/>
              </w:rPr>
              <w:t>3</w:t>
            </w:r>
            <w:r>
              <w:rPr>
                <w:rFonts w:cs="Times New Roman"/>
                <w:color w:val="auto"/>
              </w:rPr>
              <w:t>/a）.制备率为60%，因此，需要新鲜水33.77m</w:t>
            </w:r>
            <w:r>
              <w:rPr>
                <w:rFonts w:cs="Times New Roman"/>
                <w:color w:val="auto"/>
                <w:vertAlign w:val="superscript"/>
              </w:rPr>
              <w:t>3</w:t>
            </w:r>
            <w:r>
              <w:rPr>
                <w:rFonts w:cs="Times New Roman"/>
                <w:color w:val="auto"/>
              </w:rPr>
              <w:t>/d（10130.19m</w:t>
            </w:r>
            <w:r>
              <w:rPr>
                <w:rFonts w:cs="Times New Roman"/>
                <w:color w:val="auto"/>
                <w:vertAlign w:val="superscript"/>
              </w:rPr>
              <w:t>3</w:t>
            </w:r>
            <w:r>
              <w:rPr>
                <w:rFonts w:cs="Times New Roman"/>
                <w:color w:val="auto"/>
              </w:rPr>
              <w:t>/a）。</w:t>
            </w:r>
          </w:p>
          <w:bookmarkEnd w:id="19"/>
          <w:p>
            <w:pPr>
              <w:keepLines/>
              <w:topLinePunct/>
              <w:autoSpaceDE w:val="0"/>
              <w:adjustRightInd w:val="0"/>
              <w:snapToGrid w:val="0"/>
              <w:ind w:firstLine="482"/>
              <w:rPr>
                <w:rFonts w:cs="Times New Roman"/>
                <w:b/>
                <w:color w:val="auto"/>
              </w:rPr>
            </w:pPr>
            <w:r>
              <w:rPr>
                <w:rFonts w:cs="Times New Roman"/>
                <w:b/>
                <w:color w:val="auto"/>
              </w:rPr>
              <w:t>2、排水</w:t>
            </w:r>
          </w:p>
          <w:p>
            <w:pPr>
              <w:ind w:firstLine="480"/>
              <w:rPr>
                <w:rFonts w:cs="Times New Roman"/>
                <w:color w:val="auto"/>
              </w:rPr>
            </w:pPr>
            <w:bookmarkStart w:id="20" w:name="_Hlk162003347"/>
            <w:r>
              <w:rPr>
                <w:rFonts w:cs="Times New Roman"/>
                <w:color w:val="auto"/>
              </w:rPr>
              <w:t>（1）生活污水</w:t>
            </w:r>
          </w:p>
          <w:p>
            <w:pPr>
              <w:ind w:firstLine="480"/>
              <w:rPr>
                <w:rFonts w:cs="Times New Roman"/>
                <w:color w:val="auto"/>
              </w:rPr>
            </w:pPr>
            <w:r>
              <w:rPr>
                <w:rFonts w:cs="Times New Roman"/>
                <w:color w:val="auto"/>
              </w:rPr>
              <w:t>生活污水的排放系数按生活用水的80%计，则本项目生活污水排放量为5.12m</w:t>
            </w:r>
            <w:r>
              <w:rPr>
                <w:rFonts w:cs="Times New Roman"/>
                <w:color w:val="auto"/>
                <w:vertAlign w:val="superscript"/>
              </w:rPr>
              <w:t>3</w:t>
            </w:r>
            <w:r>
              <w:rPr>
                <w:rFonts w:cs="Times New Roman"/>
                <w:color w:val="auto"/>
              </w:rPr>
              <w:t>/d（1536m</w:t>
            </w:r>
            <w:r>
              <w:rPr>
                <w:rFonts w:cs="Times New Roman"/>
                <w:color w:val="auto"/>
                <w:vertAlign w:val="superscript"/>
              </w:rPr>
              <w:t>3</w:t>
            </w:r>
            <w:r>
              <w:rPr>
                <w:rFonts w:cs="Times New Roman"/>
                <w:color w:val="auto"/>
              </w:rPr>
              <w:t>/a），生活污水排入厂区已建的一座处理能力为50t/d的地埋式一体化污水处理设备，处理达标后</w:t>
            </w:r>
            <w:r>
              <w:rPr>
                <w:rFonts w:hint="eastAsia" w:cs="Times New Roman"/>
                <w:color w:val="auto"/>
              </w:rPr>
              <w:t>拉运至</w:t>
            </w:r>
            <w:r>
              <w:rPr>
                <w:rFonts w:cs="Times New Roman"/>
                <w:color w:val="auto"/>
              </w:rPr>
              <w:t>乌拉特前旗工业园区污水处理厂内。</w:t>
            </w:r>
          </w:p>
          <w:p>
            <w:pPr>
              <w:ind w:firstLine="480"/>
              <w:rPr>
                <w:rFonts w:cs="Times New Roman"/>
                <w:color w:val="auto"/>
              </w:rPr>
            </w:pPr>
            <w:r>
              <w:rPr>
                <w:rFonts w:cs="Times New Roman"/>
                <w:color w:val="auto"/>
              </w:rPr>
              <w:t>（2）真空脱水机废水</w:t>
            </w:r>
          </w:p>
          <w:p>
            <w:pPr>
              <w:ind w:firstLine="480"/>
              <w:rPr>
                <w:rFonts w:cs="Times New Roman"/>
                <w:color w:val="auto"/>
              </w:rPr>
            </w:pPr>
            <w:r>
              <w:rPr>
                <w:rFonts w:cs="Times New Roman"/>
                <w:color w:val="auto"/>
              </w:rPr>
              <w:t>氟化后通过真空脱水，脱水率80%，脱去的水用泵打回调浆工序循环使用16.90m</w:t>
            </w:r>
            <w:r>
              <w:rPr>
                <w:rFonts w:cs="Times New Roman"/>
                <w:color w:val="auto"/>
                <w:vertAlign w:val="superscript"/>
              </w:rPr>
              <w:t>3</w:t>
            </w:r>
            <w:r>
              <w:rPr>
                <w:rFonts w:cs="Times New Roman"/>
                <w:color w:val="auto"/>
              </w:rPr>
              <w:t>/d（5070.11m</w:t>
            </w:r>
            <w:r>
              <w:rPr>
                <w:rFonts w:cs="Times New Roman"/>
                <w:color w:val="auto"/>
                <w:vertAlign w:val="superscript"/>
              </w:rPr>
              <w:t>3</w:t>
            </w:r>
            <w:r>
              <w:rPr>
                <w:rFonts w:cs="Times New Roman"/>
                <w:color w:val="auto"/>
              </w:rPr>
              <w:t>/a）；其余在烘干工序中以水蒸气形式排放。</w:t>
            </w:r>
          </w:p>
          <w:p>
            <w:pPr>
              <w:ind w:firstLine="480"/>
              <w:rPr>
                <w:rFonts w:cs="Times New Roman"/>
                <w:color w:val="auto"/>
              </w:rPr>
            </w:pPr>
            <w:r>
              <w:rPr>
                <w:rFonts w:cs="Times New Roman"/>
                <w:color w:val="auto"/>
              </w:rPr>
              <w:t>（3）锅炉排水</w:t>
            </w:r>
          </w:p>
          <w:p>
            <w:pPr>
              <w:ind w:firstLine="480"/>
              <w:rPr>
                <w:rFonts w:cs="Times New Roman"/>
                <w:color w:val="auto"/>
              </w:rPr>
            </w:pPr>
            <w:r>
              <w:rPr>
                <w:rFonts w:cs="Times New Roman"/>
                <w:color w:val="auto"/>
              </w:rPr>
              <w:t>天然气锅炉用水循环使用，循环水量为977.76m</w:t>
            </w:r>
            <w:r>
              <w:rPr>
                <w:rFonts w:cs="Times New Roman"/>
                <w:color w:val="auto"/>
                <w:vertAlign w:val="superscript"/>
              </w:rPr>
              <w:t>3</w:t>
            </w:r>
            <w:r>
              <w:rPr>
                <w:rFonts w:cs="Times New Roman"/>
                <w:color w:val="auto"/>
              </w:rPr>
              <w:t>/a，循环到一定程度时会产生定期排水，排水量为0.10m</w:t>
            </w:r>
            <w:r>
              <w:rPr>
                <w:rFonts w:cs="Times New Roman"/>
                <w:color w:val="auto"/>
                <w:vertAlign w:val="superscript"/>
              </w:rPr>
              <w:t>3</w:t>
            </w:r>
            <w:r>
              <w:rPr>
                <w:rFonts w:cs="Times New Roman"/>
                <w:color w:val="auto"/>
              </w:rPr>
              <w:t>/d（30.24m</w:t>
            </w:r>
            <w:r>
              <w:rPr>
                <w:rFonts w:cs="Times New Roman"/>
                <w:color w:val="auto"/>
                <w:vertAlign w:val="superscript"/>
              </w:rPr>
              <w:t>3</w:t>
            </w:r>
            <w:r>
              <w:rPr>
                <w:rFonts w:cs="Times New Roman"/>
                <w:color w:val="auto"/>
              </w:rPr>
              <w:t>/a），排入厂区已建的一座处理能力为50t/d的地埋式一体化污水处理设备，处理达标后</w:t>
            </w:r>
            <w:r>
              <w:rPr>
                <w:rFonts w:hint="eastAsia" w:cs="Times New Roman"/>
                <w:color w:val="auto"/>
              </w:rPr>
              <w:t>拉运至</w:t>
            </w:r>
            <w:r>
              <w:rPr>
                <w:rFonts w:cs="Times New Roman"/>
                <w:color w:val="auto"/>
              </w:rPr>
              <w:t>乌拉特前旗工业园区污水处理厂内。</w:t>
            </w:r>
          </w:p>
          <w:p>
            <w:pPr>
              <w:ind w:firstLine="480"/>
              <w:rPr>
                <w:rFonts w:cs="Times New Roman"/>
                <w:color w:val="auto"/>
              </w:rPr>
            </w:pPr>
            <w:r>
              <w:rPr>
                <w:rFonts w:cs="Times New Roman"/>
                <w:color w:val="auto"/>
              </w:rPr>
              <w:t>（4）纯水制备排水</w:t>
            </w:r>
          </w:p>
          <w:p>
            <w:pPr>
              <w:ind w:firstLine="480"/>
              <w:rPr>
                <w:rFonts w:hint="eastAsia" w:cs="Times New Roman"/>
                <w:color w:val="auto"/>
              </w:rPr>
            </w:pPr>
            <w:r>
              <w:rPr>
                <w:rFonts w:cs="Times New Roman"/>
                <w:color w:val="auto"/>
              </w:rPr>
              <w:t>纯水制备工段浓水产生量为13.51m</w:t>
            </w:r>
            <w:r>
              <w:rPr>
                <w:rFonts w:cs="Times New Roman"/>
                <w:color w:val="auto"/>
                <w:vertAlign w:val="superscript"/>
              </w:rPr>
              <w:t>3</w:t>
            </w:r>
            <w:r>
              <w:rPr>
                <w:rFonts w:cs="Times New Roman"/>
                <w:color w:val="auto"/>
              </w:rPr>
              <w:t>/d（4052.07m</w:t>
            </w:r>
            <w:r>
              <w:rPr>
                <w:rFonts w:cs="Times New Roman"/>
                <w:color w:val="auto"/>
                <w:vertAlign w:val="superscript"/>
              </w:rPr>
              <w:t>3</w:t>
            </w:r>
            <w:r>
              <w:rPr>
                <w:rFonts w:cs="Times New Roman"/>
                <w:color w:val="auto"/>
              </w:rPr>
              <w:t>/a），排入厂区已建的一座处理能力为50t/d的地埋式一体化污水处理设备，处理达标后</w:t>
            </w:r>
            <w:r>
              <w:rPr>
                <w:rFonts w:hint="eastAsia" w:cs="Times New Roman"/>
                <w:color w:val="auto"/>
              </w:rPr>
              <w:t>拉运至</w:t>
            </w:r>
            <w:r>
              <w:rPr>
                <w:rFonts w:cs="Times New Roman"/>
                <w:color w:val="auto"/>
              </w:rPr>
              <w:t>乌拉特前旗工业园区污水处理厂内。</w:t>
            </w:r>
          </w:p>
          <w:bookmarkEnd w:id="20"/>
          <w:p>
            <w:pPr>
              <w:ind w:firstLine="480"/>
              <w:rPr>
                <w:rFonts w:cs="Times New Roman"/>
                <w:color w:val="auto"/>
              </w:rPr>
            </w:pPr>
            <w:r>
              <w:rPr>
                <w:rFonts w:cs="Times New Roman"/>
                <w:color w:val="auto"/>
              </w:rPr>
              <w:t>本项目一期和二期水平衡内容见下表2-10，水平衡图见下图2-1。</w:t>
            </w:r>
          </w:p>
          <w:p>
            <w:pPr>
              <w:ind w:firstLine="482"/>
              <w:jc w:val="center"/>
              <w:rPr>
                <w:rFonts w:cs="Times New Roman"/>
                <w:b/>
                <w:bCs/>
                <w:color w:val="auto"/>
              </w:rPr>
            </w:pPr>
            <w:r>
              <w:rPr>
                <w:rFonts w:cs="Times New Roman"/>
                <w:b/>
                <w:bCs/>
                <w:color w:val="auto"/>
              </w:rPr>
              <w:t>表2-10一期和二期工程水平衡单位：m</w:t>
            </w:r>
            <w:r>
              <w:rPr>
                <w:rFonts w:cs="Times New Roman"/>
                <w:b/>
                <w:bCs/>
                <w:color w:val="auto"/>
                <w:vertAlign w:val="superscript"/>
              </w:rPr>
              <w:t>3</w:t>
            </w:r>
            <w:r>
              <w:rPr>
                <w:rFonts w:cs="Times New Roman"/>
                <w:b/>
                <w:bCs/>
                <w:color w:val="auto"/>
              </w:rPr>
              <w:t>/d</w:t>
            </w:r>
          </w:p>
          <w:tbl>
            <w:tblPr>
              <w:tblStyle w:val="26"/>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912"/>
              <w:gridCol w:w="1283"/>
              <w:gridCol w:w="1284"/>
              <w:gridCol w:w="1284"/>
              <w:gridCol w:w="1284"/>
              <w:gridCol w:w="1182"/>
              <w:gridCol w:w="12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36" w:type="pct"/>
                  <w:shd w:val="clear" w:color="auto" w:fill="auto"/>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用水单元</w:t>
                  </w:r>
                </w:p>
              </w:tc>
              <w:tc>
                <w:tcPr>
                  <w:tcW w:w="754" w:type="pct"/>
                  <w:shd w:val="clear" w:color="auto" w:fill="auto"/>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新水用量</w:t>
                  </w:r>
                </w:p>
              </w:tc>
              <w:tc>
                <w:tcPr>
                  <w:tcW w:w="754" w:type="pct"/>
                  <w:shd w:val="clear" w:color="auto" w:fill="auto"/>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纯水量</w:t>
                  </w:r>
                </w:p>
              </w:tc>
              <w:tc>
                <w:tcPr>
                  <w:tcW w:w="754" w:type="pct"/>
                  <w:shd w:val="clear" w:color="auto" w:fill="auto"/>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损耗量</w:t>
                  </w:r>
                </w:p>
              </w:tc>
              <w:tc>
                <w:tcPr>
                  <w:tcW w:w="754" w:type="pct"/>
                  <w:shd w:val="clear" w:color="auto" w:fill="auto"/>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循环水量</w:t>
                  </w:r>
                </w:p>
              </w:tc>
              <w:tc>
                <w:tcPr>
                  <w:tcW w:w="694" w:type="pct"/>
                  <w:shd w:val="clear" w:color="auto" w:fill="auto"/>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排水量</w:t>
                  </w:r>
                </w:p>
              </w:tc>
              <w:tc>
                <w:tcPr>
                  <w:tcW w:w="754" w:type="pct"/>
                  <w:shd w:val="clear" w:color="auto" w:fill="auto"/>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36" w:type="pct"/>
                  <w:shd w:val="clear" w:color="auto" w:fill="auto"/>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生活用水</w:t>
                  </w:r>
                </w:p>
              </w:tc>
              <w:tc>
                <w:tcPr>
                  <w:tcW w:w="754" w:type="pct"/>
                  <w:shd w:val="clear" w:color="auto" w:fill="auto"/>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6.4</w:t>
                  </w:r>
                </w:p>
              </w:tc>
              <w:tc>
                <w:tcPr>
                  <w:tcW w:w="754" w:type="pct"/>
                  <w:shd w:val="clear" w:color="auto" w:fill="auto"/>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0</w:t>
                  </w:r>
                </w:p>
              </w:tc>
              <w:tc>
                <w:tcPr>
                  <w:tcW w:w="754" w:type="pct"/>
                  <w:shd w:val="clear" w:color="auto" w:fill="auto"/>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1.28</w:t>
                  </w:r>
                </w:p>
              </w:tc>
              <w:tc>
                <w:tcPr>
                  <w:tcW w:w="754" w:type="pct"/>
                  <w:shd w:val="clear" w:color="auto" w:fill="auto"/>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0</w:t>
                  </w:r>
                </w:p>
              </w:tc>
              <w:tc>
                <w:tcPr>
                  <w:tcW w:w="694" w:type="pct"/>
                  <w:shd w:val="clear" w:color="auto" w:fill="auto"/>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5.12</w:t>
                  </w:r>
                </w:p>
              </w:tc>
              <w:tc>
                <w:tcPr>
                  <w:tcW w:w="754" w:type="pct"/>
                  <w:vMerge w:val="restart"/>
                  <w:shd w:val="clear" w:color="auto" w:fill="auto"/>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排入厂区已建的一座处理能力为50t/d的地埋式一体化污水处理设备，处理达标后</w:t>
                  </w:r>
                  <w:r>
                    <w:rPr>
                      <w:rFonts w:hint="eastAsia" w:cs="Times New Roman"/>
                      <w:color w:val="auto"/>
                      <w:sz w:val="21"/>
                      <w:szCs w:val="21"/>
                    </w:rPr>
                    <w:t>拉运至乌拉特前旗工业园区污水处理厂。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36" w:type="pct"/>
                  <w:shd w:val="clear" w:color="auto" w:fill="auto"/>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纯水制备用水</w:t>
                  </w:r>
                </w:p>
              </w:tc>
              <w:tc>
                <w:tcPr>
                  <w:tcW w:w="754" w:type="pct"/>
                  <w:shd w:val="clear" w:color="auto" w:fill="auto"/>
                  <w:noWrap/>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33.77</w:t>
                  </w:r>
                </w:p>
              </w:tc>
              <w:tc>
                <w:tcPr>
                  <w:tcW w:w="754" w:type="pct"/>
                  <w:shd w:val="clear" w:color="auto" w:fill="auto"/>
                  <w:noWrap/>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20.26</w:t>
                  </w:r>
                </w:p>
              </w:tc>
              <w:tc>
                <w:tcPr>
                  <w:tcW w:w="754" w:type="pct"/>
                  <w:shd w:val="clear" w:color="auto" w:fill="auto"/>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0</w:t>
                  </w:r>
                </w:p>
              </w:tc>
              <w:tc>
                <w:tcPr>
                  <w:tcW w:w="754" w:type="pct"/>
                  <w:shd w:val="clear" w:color="auto" w:fill="auto"/>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0</w:t>
                  </w:r>
                </w:p>
              </w:tc>
              <w:tc>
                <w:tcPr>
                  <w:tcW w:w="694" w:type="pct"/>
                  <w:shd w:val="clear" w:color="auto" w:fill="auto"/>
                  <w:noWrap/>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13.51</w:t>
                  </w:r>
                </w:p>
              </w:tc>
              <w:tc>
                <w:tcPr>
                  <w:tcW w:w="754" w:type="pct"/>
                  <w:vMerge w:val="continue"/>
                  <w:vAlign w:val="center"/>
                </w:tcPr>
                <w:p>
                  <w:pPr>
                    <w:snapToGrid w:val="0"/>
                    <w:spacing w:line="240" w:lineRule="auto"/>
                    <w:ind w:firstLine="0" w:firstLineChars="0"/>
                    <w:jc w:val="center"/>
                    <w:rPr>
                      <w:rFonts w:cs="Times New Roman"/>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36" w:type="pct"/>
                  <w:shd w:val="clear" w:color="auto" w:fill="auto"/>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锅炉用水</w:t>
                  </w:r>
                </w:p>
              </w:tc>
              <w:tc>
                <w:tcPr>
                  <w:tcW w:w="754" w:type="pct"/>
                  <w:shd w:val="clear" w:color="auto" w:fill="auto"/>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0</w:t>
                  </w:r>
                </w:p>
              </w:tc>
              <w:tc>
                <w:tcPr>
                  <w:tcW w:w="754" w:type="pct"/>
                  <w:shd w:val="clear" w:color="auto" w:fill="auto"/>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3.36</w:t>
                  </w:r>
                </w:p>
              </w:tc>
              <w:tc>
                <w:tcPr>
                  <w:tcW w:w="754" w:type="pct"/>
                  <w:shd w:val="clear" w:color="auto" w:fill="auto"/>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0</w:t>
                  </w:r>
                </w:p>
              </w:tc>
              <w:tc>
                <w:tcPr>
                  <w:tcW w:w="754" w:type="pct"/>
                  <w:shd w:val="clear" w:color="auto" w:fill="auto"/>
                  <w:noWrap/>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3.26</w:t>
                  </w:r>
                </w:p>
              </w:tc>
              <w:tc>
                <w:tcPr>
                  <w:tcW w:w="694" w:type="pct"/>
                  <w:shd w:val="clear" w:color="auto" w:fill="auto"/>
                  <w:noWrap/>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0.10</w:t>
                  </w:r>
                </w:p>
              </w:tc>
              <w:tc>
                <w:tcPr>
                  <w:tcW w:w="754" w:type="pct"/>
                  <w:vMerge w:val="continue"/>
                  <w:vAlign w:val="center"/>
                </w:tcPr>
                <w:p>
                  <w:pPr>
                    <w:snapToGrid w:val="0"/>
                    <w:spacing w:line="240" w:lineRule="auto"/>
                    <w:ind w:firstLine="0" w:firstLineChars="0"/>
                    <w:jc w:val="center"/>
                    <w:rPr>
                      <w:rFonts w:cs="Times New Roman"/>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36" w:type="pct"/>
                  <w:shd w:val="clear" w:color="auto" w:fill="auto"/>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碳酸镧铈调浆用水</w:t>
                  </w:r>
                </w:p>
              </w:tc>
              <w:tc>
                <w:tcPr>
                  <w:tcW w:w="754" w:type="pct"/>
                  <w:shd w:val="clear" w:color="auto" w:fill="auto"/>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0</w:t>
                  </w:r>
                </w:p>
              </w:tc>
              <w:tc>
                <w:tcPr>
                  <w:tcW w:w="754" w:type="pct"/>
                  <w:shd w:val="clear" w:color="auto" w:fill="auto"/>
                  <w:noWrap/>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4.23</w:t>
                  </w:r>
                </w:p>
              </w:tc>
              <w:tc>
                <w:tcPr>
                  <w:tcW w:w="754" w:type="pct"/>
                  <w:shd w:val="clear" w:color="auto" w:fill="auto"/>
                  <w:noWrap/>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4.23</w:t>
                  </w:r>
                </w:p>
              </w:tc>
              <w:tc>
                <w:tcPr>
                  <w:tcW w:w="754" w:type="pct"/>
                  <w:shd w:val="clear" w:color="auto" w:fill="auto"/>
                  <w:noWrap/>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16.90</w:t>
                  </w:r>
                </w:p>
              </w:tc>
              <w:tc>
                <w:tcPr>
                  <w:tcW w:w="694" w:type="pct"/>
                  <w:shd w:val="clear" w:color="auto" w:fill="auto"/>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0</w:t>
                  </w:r>
                </w:p>
              </w:tc>
              <w:tc>
                <w:tcPr>
                  <w:tcW w:w="754" w:type="pct"/>
                  <w:shd w:val="clear" w:color="auto" w:fill="auto"/>
                  <w:noWrap/>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36" w:type="pct"/>
                  <w:shd w:val="clear" w:color="auto" w:fill="auto"/>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湿法制抛光粉生产用水</w:t>
                  </w:r>
                </w:p>
              </w:tc>
              <w:tc>
                <w:tcPr>
                  <w:tcW w:w="754" w:type="pct"/>
                  <w:shd w:val="clear" w:color="auto" w:fill="auto"/>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0</w:t>
                  </w:r>
                </w:p>
              </w:tc>
              <w:tc>
                <w:tcPr>
                  <w:tcW w:w="754" w:type="pct"/>
                  <w:shd w:val="clear" w:color="auto" w:fill="auto"/>
                  <w:noWrap/>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12.68</w:t>
                  </w:r>
                </w:p>
              </w:tc>
              <w:tc>
                <w:tcPr>
                  <w:tcW w:w="754" w:type="pct"/>
                  <w:shd w:val="clear" w:color="auto" w:fill="auto"/>
                  <w:noWrap/>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12.68</w:t>
                  </w:r>
                </w:p>
              </w:tc>
              <w:tc>
                <w:tcPr>
                  <w:tcW w:w="754" w:type="pct"/>
                  <w:shd w:val="clear" w:color="auto" w:fill="auto"/>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0</w:t>
                  </w:r>
                </w:p>
              </w:tc>
              <w:tc>
                <w:tcPr>
                  <w:tcW w:w="694" w:type="pct"/>
                  <w:shd w:val="clear" w:color="auto" w:fill="auto"/>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0</w:t>
                  </w:r>
                </w:p>
              </w:tc>
              <w:tc>
                <w:tcPr>
                  <w:tcW w:w="754" w:type="pct"/>
                  <w:shd w:val="clear" w:color="auto" w:fill="auto"/>
                  <w:noWrap/>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36" w:type="pct"/>
                  <w:shd w:val="clear" w:color="auto" w:fill="auto"/>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碱喷淋塔</w:t>
                  </w:r>
                </w:p>
              </w:tc>
              <w:tc>
                <w:tcPr>
                  <w:tcW w:w="754" w:type="pct"/>
                  <w:shd w:val="clear" w:color="auto" w:fill="auto"/>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0.4</w:t>
                  </w:r>
                </w:p>
              </w:tc>
              <w:tc>
                <w:tcPr>
                  <w:tcW w:w="754" w:type="pct"/>
                  <w:shd w:val="clear" w:color="auto" w:fill="auto"/>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0</w:t>
                  </w:r>
                </w:p>
              </w:tc>
              <w:tc>
                <w:tcPr>
                  <w:tcW w:w="754" w:type="pct"/>
                  <w:shd w:val="clear" w:color="auto" w:fill="auto"/>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0.4</w:t>
                  </w:r>
                </w:p>
              </w:tc>
              <w:tc>
                <w:tcPr>
                  <w:tcW w:w="754" w:type="pct"/>
                  <w:shd w:val="clear" w:color="auto" w:fill="auto"/>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75</w:t>
                  </w:r>
                </w:p>
              </w:tc>
              <w:tc>
                <w:tcPr>
                  <w:tcW w:w="694" w:type="pct"/>
                  <w:shd w:val="clear" w:color="auto" w:fill="auto"/>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0</w:t>
                  </w:r>
                </w:p>
              </w:tc>
              <w:tc>
                <w:tcPr>
                  <w:tcW w:w="754" w:type="pct"/>
                  <w:shd w:val="clear" w:color="auto" w:fill="auto"/>
                  <w:noWrap/>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36" w:type="pct"/>
                  <w:shd w:val="clear" w:color="auto" w:fill="auto"/>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合计</w:t>
                  </w:r>
                </w:p>
              </w:tc>
              <w:tc>
                <w:tcPr>
                  <w:tcW w:w="754" w:type="pct"/>
                  <w:shd w:val="clear" w:color="auto" w:fill="auto"/>
                  <w:noWrap/>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40.57</w:t>
                  </w:r>
                </w:p>
              </w:tc>
              <w:tc>
                <w:tcPr>
                  <w:tcW w:w="754" w:type="pct"/>
                  <w:shd w:val="clear" w:color="auto" w:fill="auto"/>
                  <w:noWrap/>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40.52</w:t>
                  </w:r>
                </w:p>
              </w:tc>
              <w:tc>
                <w:tcPr>
                  <w:tcW w:w="754" w:type="pct"/>
                  <w:shd w:val="clear" w:color="auto" w:fill="auto"/>
                  <w:noWrap/>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18.58</w:t>
                  </w:r>
                </w:p>
              </w:tc>
              <w:tc>
                <w:tcPr>
                  <w:tcW w:w="754" w:type="pct"/>
                  <w:shd w:val="clear" w:color="auto" w:fill="auto"/>
                  <w:noWrap/>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95.16</w:t>
                  </w:r>
                </w:p>
              </w:tc>
              <w:tc>
                <w:tcPr>
                  <w:tcW w:w="694" w:type="pct"/>
                  <w:shd w:val="clear" w:color="auto" w:fill="auto"/>
                  <w:noWrap/>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18.73</w:t>
                  </w:r>
                </w:p>
              </w:tc>
              <w:tc>
                <w:tcPr>
                  <w:tcW w:w="754" w:type="pct"/>
                  <w:shd w:val="clear" w:color="auto" w:fill="auto"/>
                  <w:noWrap/>
                  <w:tcMar>
                    <w:top w:w="15" w:type="dxa"/>
                    <w:left w:w="15" w:type="dxa"/>
                    <w:bottom w:w="0" w:type="dxa"/>
                    <w:right w:w="15"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w:t>
                  </w:r>
                </w:p>
              </w:tc>
            </w:tr>
          </w:tbl>
          <w:p>
            <w:pPr>
              <w:ind w:firstLine="0" w:firstLineChars="0"/>
              <w:jc w:val="center"/>
              <w:rPr>
                <w:rFonts w:cs="Times New Roman"/>
                <w:color w:val="auto"/>
              </w:rPr>
            </w:pPr>
            <w:r>
              <w:rPr>
                <w:color w:val="auto"/>
              </w:rPr>
              <w:object>
                <v:shape id="_x0000_i1025" o:spt="75" type="#_x0000_t75" style="height:197.25pt;width:415.5pt;" o:ole="t" filled="f" o:preferrelative="t" stroked="f" coordsize="21600,21600">
                  <v:path/>
                  <v:fill on="f" focussize="0,0"/>
                  <v:stroke on="f" joinstyle="miter"/>
                  <v:imagedata r:id="rId30" o:title=""/>
                  <o:lock v:ext="edit" aspectratio="t"/>
                  <w10:wrap type="none"/>
                  <w10:anchorlock/>
                </v:shape>
                <o:OLEObject Type="Embed" ProgID="Visio.Drawing.15" ShapeID="_x0000_i1025" DrawAspect="Content" ObjectID="_1468075725" r:id="rId29">
                  <o:LockedField>false</o:LockedField>
                </o:OLEObject>
              </w:object>
            </w:r>
          </w:p>
          <w:p>
            <w:pPr>
              <w:ind w:firstLine="0" w:firstLineChars="0"/>
              <w:jc w:val="center"/>
              <w:rPr>
                <w:rFonts w:cs="Times New Roman"/>
                <w:color w:val="auto"/>
              </w:rPr>
            </w:pPr>
            <w:r>
              <w:rPr>
                <w:rFonts w:cs="Times New Roman"/>
                <w:b/>
                <w:bCs/>
                <w:color w:val="auto"/>
              </w:rPr>
              <w:t>图2-1一期和二期工程项目水平衡图单位：m</w:t>
            </w:r>
            <w:r>
              <w:rPr>
                <w:rFonts w:cs="Times New Roman"/>
                <w:b/>
                <w:bCs/>
                <w:color w:val="auto"/>
                <w:vertAlign w:val="superscript"/>
              </w:rPr>
              <w:t>3</w:t>
            </w:r>
            <w:r>
              <w:rPr>
                <w:rFonts w:cs="Times New Roman"/>
                <w:b/>
                <w:bCs/>
                <w:color w:val="auto"/>
              </w:rPr>
              <w:t>/d</w:t>
            </w:r>
          </w:p>
          <w:p>
            <w:pPr>
              <w:ind w:firstLine="482"/>
              <w:rPr>
                <w:rFonts w:cs="Times New Roman"/>
                <w:b/>
                <w:bCs/>
                <w:color w:val="auto"/>
              </w:rPr>
            </w:pPr>
            <w:r>
              <w:rPr>
                <w:rFonts w:cs="Times New Roman"/>
                <w:b/>
                <w:bCs/>
                <w:color w:val="auto"/>
              </w:rPr>
              <w:t>2.7.2供电</w:t>
            </w:r>
          </w:p>
          <w:p>
            <w:pPr>
              <w:ind w:firstLine="480"/>
              <w:rPr>
                <w:rFonts w:cs="Times New Roman"/>
                <w:b/>
                <w:bCs/>
                <w:color w:val="auto"/>
              </w:rPr>
            </w:pPr>
            <w:bookmarkStart w:id="21" w:name="_Hlk162003401"/>
            <w:r>
              <w:rPr>
                <w:rFonts w:cs="Times New Roman"/>
                <w:color w:val="auto"/>
              </w:rPr>
              <w:t>本项目供电由乌拉特前旗工业园区供电管网供给，用电量为1151.69×10</w:t>
            </w:r>
            <w:r>
              <w:rPr>
                <w:rFonts w:cs="Times New Roman"/>
                <w:color w:val="auto"/>
                <w:vertAlign w:val="superscript"/>
              </w:rPr>
              <w:t>4</w:t>
            </w:r>
            <w:r>
              <w:rPr>
                <w:rFonts w:cs="Times New Roman"/>
                <w:color w:val="auto"/>
              </w:rPr>
              <w:t>kw·h/a。</w:t>
            </w:r>
          </w:p>
          <w:bookmarkEnd w:id="21"/>
          <w:p>
            <w:pPr>
              <w:ind w:firstLine="482"/>
              <w:rPr>
                <w:rFonts w:cs="Times New Roman"/>
                <w:b/>
                <w:bCs/>
                <w:color w:val="auto"/>
              </w:rPr>
            </w:pPr>
            <w:r>
              <w:rPr>
                <w:rFonts w:cs="Times New Roman"/>
                <w:b/>
                <w:bCs/>
                <w:color w:val="auto"/>
              </w:rPr>
              <w:t>2.7.3供暖</w:t>
            </w:r>
          </w:p>
          <w:p>
            <w:pPr>
              <w:ind w:firstLine="480"/>
              <w:rPr>
                <w:rFonts w:cs="Times New Roman"/>
                <w:color w:val="auto"/>
              </w:rPr>
            </w:pPr>
            <w:bookmarkStart w:id="22" w:name="_Hlk162003409"/>
            <w:r>
              <w:rPr>
                <w:rFonts w:cs="Times New Roman"/>
                <w:color w:val="auto"/>
              </w:rPr>
              <w:t>冬季生产车间内不需要供暖。</w:t>
            </w:r>
          </w:p>
          <w:bookmarkEnd w:id="22"/>
          <w:p>
            <w:pPr>
              <w:ind w:firstLine="482"/>
              <w:rPr>
                <w:rFonts w:cs="Times New Roman"/>
                <w:b/>
                <w:bCs/>
                <w:color w:val="auto"/>
              </w:rPr>
            </w:pPr>
            <w:r>
              <w:rPr>
                <w:rFonts w:cs="Times New Roman"/>
                <w:b/>
                <w:bCs/>
                <w:color w:val="auto"/>
              </w:rPr>
              <w:t>2.7.4</w:t>
            </w:r>
            <w:bookmarkStart w:id="23" w:name="_Hlk162003417"/>
            <w:r>
              <w:rPr>
                <w:rFonts w:cs="Times New Roman"/>
                <w:b/>
                <w:bCs/>
                <w:color w:val="auto"/>
              </w:rPr>
              <w:t>供气</w:t>
            </w:r>
            <w:bookmarkEnd w:id="23"/>
          </w:p>
          <w:p>
            <w:pPr>
              <w:ind w:firstLine="480"/>
              <w:rPr>
                <w:rFonts w:cs="Times New Roman"/>
                <w:color w:val="auto"/>
              </w:rPr>
            </w:pPr>
            <w:bookmarkStart w:id="24" w:name="_Hlk162003421"/>
            <w:r>
              <w:rPr>
                <w:rFonts w:cs="Times New Roman"/>
                <w:color w:val="auto"/>
              </w:rPr>
              <w:t>一期设置2台燃气锅炉（1用1备），二期设置1台燃气锅炉，产生蒸汽供给氟化工序加温。</w:t>
            </w:r>
          </w:p>
          <w:bookmarkEnd w:id="24"/>
          <w:p>
            <w:pPr>
              <w:ind w:firstLine="482"/>
              <w:rPr>
                <w:rFonts w:cs="Times New Roman"/>
                <w:b/>
                <w:bCs/>
                <w:color w:val="auto"/>
              </w:rPr>
            </w:pPr>
            <w:r>
              <w:rPr>
                <w:rFonts w:cs="Times New Roman"/>
                <w:b/>
                <w:bCs/>
                <w:color w:val="auto"/>
              </w:rPr>
              <w:t>2.10厂区平面布置</w:t>
            </w:r>
          </w:p>
          <w:p>
            <w:pPr>
              <w:ind w:firstLine="480"/>
              <w:rPr>
                <w:rFonts w:cs="Times New Roman"/>
                <w:color w:val="auto"/>
              </w:rPr>
            </w:pPr>
            <w:r>
              <w:rPr>
                <w:rFonts w:cs="Times New Roman"/>
                <w:color w:val="auto"/>
              </w:rPr>
              <w:t>本项目生产车间位于厂区北侧、西北侧两个备用车间，原料库位于1#生产车间东面。办公区位于厂区南侧。平面布置图见附图5。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57" w:type="dxa"/>
            <w:vAlign w:val="center"/>
          </w:tcPr>
          <w:p>
            <w:pPr>
              <w:ind w:firstLine="0" w:firstLineChars="0"/>
              <w:jc w:val="center"/>
              <w:rPr>
                <w:rFonts w:cs="Times New Roman"/>
                <w:b/>
                <w:bCs/>
                <w:color w:val="auto"/>
              </w:rPr>
            </w:pPr>
            <w:r>
              <w:rPr>
                <w:rFonts w:cs="Times New Roman"/>
                <w:b/>
                <w:bCs/>
                <w:color w:val="auto"/>
              </w:rPr>
              <w:t>工艺流程和产排污环节</w:t>
            </w:r>
          </w:p>
        </w:tc>
        <w:tc>
          <w:tcPr>
            <w:tcW w:w="8739" w:type="dxa"/>
            <w:vAlign w:val="center"/>
          </w:tcPr>
          <w:p>
            <w:pPr>
              <w:ind w:firstLine="482"/>
              <w:jc w:val="left"/>
              <w:rPr>
                <w:rFonts w:cs="Times New Roman"/>
                <w:b/>
                <w:bCs/>
                <w:color w:val="auto"/>
              </w:rPr>
            </w:pPr>
            <w:r>
              <w:rPr>
                <w:rFonts w:cs="Times New Roman"/>
                <w:b/>
                <w:bCs/>
                <w:color w:val="auto"/>
              </w:rPr>
              <w:t>1、运营期生产工艺流程</w:t>
            </w:r>
          </w:p>
          <w:p>
            <w:pPr>
              <w:ind w:firstLine="480"/>
              <w:rPr>
                <w:color w:val="auto"/>
              </w:rPr>
            </w:pPr>
            <w:bookmarkStart w:id="25" w:name="_Hlk162003704"/>
            <w:r>
              <w:rPr>
                <w:color w:val="auto"/>
              </w:rPr>
              <w:t>本项目直接采用高纯碳酸稀土生产抛光粉，生产工艺主要包括调浆、氟化合成、离心脱水、煅烧、混料过筛、气流粉碎、分级、湿法研磨、喷雾干燥等工序。</w:t>
            </w:r>
          </w:p>
          <w:p>
            <w:pPr>
              <w:ind w:firstLine="480"/>
              <w:rPr>
                <w:color w:val="auto"/>
              </w:rPr>
            </w:pPr>
            <w:r>
              <w:rPr>
                <w:color w:val="auto"/>
              </w:rPr>
              <w:t>本项目分两期进行建设，两期生产工艺简述如下：</w:t>
            </w:r>
          </w:p>
          <w:bookmarkEnd w:id="25"/>
          <w:p>
            <w:pPr>
              <w:ind w:firstLine="480"/>
              <w:rPr>
                <w:color w:val="auto"/>
              </w:rPr>
            </w:pPr>
            <w:bookmarkStart w:id="26" w:name="_Hlk162003714"/>
            <w:r>
              <w:rPr>
                <w:color w:val="auto"/>
              </w:rPr>
              <w:t>1.1一期工程辊道窑抛光粉生产工艺简述（电辊道窑、天然气辊道窑）</w:t>
            </w:r>
          </w:p>
          <w:p>
            <w:pPr>
              <w:ind w:firstLine="480"/>
              <w:rPr>
                <w:rFonts w:cs="Times New Roman"/>
                <w:color w:val="auto"/>
                <w:szCs w:val="32"/>
              </w:rPr>
            </w:pPr>
            <w:r>
              <w:rPr>
                <w:rFonts w:cs="Times New Roman"/>
                <w:color w:val="auto"/>
                <w:szCs w:val="32"/>
              </w:rPr>
              <w:t>（1）调浆和氟化合成反应工序</w:t>
            </w:r>
          </w:p>
          <w:p>
            <w:pPr>
              <w:ind w:firstLine="480"/>
              <w:rPr>
                <w:rFonts w:cs="Times New Roman"/>
                <w:color w:val="auto"/>
                <w:szCs w:val="32"/>
              </w:rPr>
            </w:pPr>
            <w:r>
              <w:rPr>
                <w:rFonts w:cs="Times New Roman"/>
                <w:color w:val="auto"/>
                <w:szCs w:val="32"/>
              </w:rPr>
              <w:t>湿法合成：碳酸镧铈加水搅拌调浆，向反应罐中按比例定量加入40%的氢氟酸（用氢氟酸泵定量逐渐加入），通过酸度控制合成反应，合成处理后的浆液再经板框压滤机脱去大部分水后，送压滤机进行压滤，压滤后的物料进行闪蒸烘干，烘干热源为天然气，经烘干后的物料送煅烧工段。在此合成过程中碳酸镧铈转化为氟碳酸镧铈。</w:t>
            </w:r>
          </w:p>
          <w:p>
            <w:pPr>
              <w:ind w:firstLine="480"/>
              <w:rPr>
                <w:rFonts w:cs="Times New Roman"/>
                <w:color w:val="auto"/>
                <w:szCs w:val="32"/>
              </w:rPr>
            </w:pPr>
            <w:r>
              <w:rPr>
                <w:rFonts w:cs="Times New Roman"/>
                <w:color w:val="auto"/>
              </w:rPr>
              <w:drawing>
                <wp:inline distT="0" distB="0" distL="0" distR="0">
                  <wp:extent cx="4598670" cy="429260"/>
                  <wp:effectExtent l="0" t="0" r="0" b="8890"/>
                  <wp:docPr id="18768811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881147" name="图片 1"/>
                          <pic:cNvPicPr>
                            <a:picLocks noChangeAspect="1"/>
                          </pic:cNvPicPr>
                        </pic:nvPicPr>
                        <pic:blipFill>
                          <a:blip r:embed="rId31"/>
                          <a:stretch>
                            <a:fillRect/>
                          </a:stretch>
                        </pic:blipFill>
                        <pic:spPr>
                          <a:xfrm>
                            <a:off x="0" y="0"/>
                            <a:ext cx="4622228" cy="431648"/>
                          </a:xfrm>
                          <a:prstGeom prst="rect">
                            <a:avLst/>
                          </a:prstGeom>
                        </pic:spPr>
                      </pic:pic>
                    </a:graphicData>
                  </a:graphic>
                </wp:inline>
              </w:drawing>
            </w:r>
          </w:p>
          <w:p>
            <w:pPr>
              <w:ind w:firstLine="480"/>
              <w:rPr>
                <w:rFonts w:cs="Times New Roman"/>
                <w:color w:val="auto"/>
                <w:szCs w:val="32"/>
              </w:rPr>
            </w:pPr>
            <w:r>
              <w:rPr>
                <w:rFonts w:cs="Times New Roman"/>
                <w:color w:val="auto"/>
                <w:szCs w:val="32"/>
              </w:rPr>
              <w:t>氟化合成反应时伴有二氧化碳气体产生，会形成气泡，随着二氧化碳气泡的扩散，会带有一些氟化氢气体，天然气燃烧以及物料煅烧产生一定量的废气，废气中污染物有：烟尘、二氧化硫、氮氧化物和少量的氟化物气体等。</w:t>
            </w:r>
          </w:p>
          <w:p>
            <w:pPr>
              <w:ind w:firstLine="480"/>
              <w:rPr>
                <w:rFonts w:cs="Times New Roman"/>
                <w:color w:val="auto"/>
                <w:szCs w:val="32"/>
              </w:rPr>
            </w:pPr>
            <w:r>
              <w:rPr>
                <w:rFonts w:cs="Times New Roman"/>
                <w:color w:val="auto"/>
                <w:szCs w:val="32"/>
              </w:rPr>
              <w:t>氟化合成反应工序G1-1、闪蒸干燥工序G1-2产生的废气排入碱喷淋塔，经碱喷淋塔净化处理后，经1根高15m排气筒（1#）排放；</w:t>
            </w:r>
          </w:p>
          <w:p>
            <w:pPr>
              <w:ind w:firstLine="480"/>
              <w:rPr>
                <w:rFonts w:cs="Times New Roman"/>
                <w:color w:val="auto"/>
                <w:szCs w:val="32"/>
              </w:rPr>
            </w:pPr>
            <w:r>
              <w:rPr>
                <w:rFonts w:cs="Times New Roman"/>
                <w:color w:val="auto"/>
                <w:szCs w:val="32"/>
              </w:rPr>
              <w:t>（2）煅烧工序</w:t>
            </w:r>
          </w:p>
          <w:p>
            <w:pPr>
              <w:ind w:firstLine="480"/>
              <w:rPr>
                <w:rFonts w:cs="Times New Roman"/>
                <w:color w:val="auto"/>
                <w:szCs w:val="32"/>
              </w:rPr>
            </w:pPr>
            <w:r>
              <w:rPr>
                <w:rFonts w:cs="Times New Roman"/>
                <w:color w:val="auto"/>
              </w:rPr>
              <w:t>煅烧工序是对经过压滤后的物料在全封闭装料室内装入匣钵，后送入950-1000℃天然气辊道窑和电辊道窑进行煅烧，</w:t>
            </w:r>
            <w:r>
              <w:rPr>
                <w:rFonts w:cs="Times New Roman"/>
                <w:color w:val="auto"/>
                <w:szCs w:val="32"/>
              </w:rPr>
              <w:t>煅烧过程中会产生一定量的废气，废气中污染物有少量氟化物和粉尘。</w:t>
            </w:r>
          </w:p>
          <w:p>
            <w:pPr>
              <w:ind w:firstLine="480"/>
              <w:rPr>
                <w:rFonts w:cs="Times New Roman"/>
                <w:color w:val="auto"/>
                <w:szCs w:val="32"/>
              </w:rPr>
            </w:pPr>
            <w:r>
              <w:rPr>
                <w:rFonts w:cs="Times New Roman"/>
                <w:color w:val="auto"/>
              </w:rPr>
              <w:drawing>
                <wp:inline distT="0" distB="0" distL="0" distR="0">
                  <wp:extent cx="4295775" cy="485775"/>
                  <wp:effectExtent l="0" t="0" r="9525" b="9525"/>
                  <wp:docPr id="19941660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166094" name="图片 1"/>
                          <pic:cNvPicPr>
                            <a:picLocks noChangeAspect="1"/>
                          </pic:cNvPicPr>
                        </pic:nvPicPr>
                        <pic:blipFill>
                          <a:blip r:embed="rId32"/>
                          <a:stretch>
                            <a:fillRect/>
                          </a:stretch>
                        </pic:blipFill>
                        <pic:spPr>
                          <a:xfrm>
                            <a:off x="0" y="0"/>
                            <a:ext cx="4295775" cy="485775"/>
                          </a:xfrm>
                          <a:prstGeom prst="rect">
                            <a:avLst/>
                          </a:prstGeom>
                        </pic:spPr>
                      </pic:pic>
                    </a:graphicData>
                  </a:graphic>
                </wp:inline>
              </w:drawing>
            </w:r>
          </w:p>
          <w:p>
            <w:pPr>
              <w:ind w:firstLine="480"/>
              <w:rPr>
                <w:rFonts w:cs="Times New Roman"/>
                <w:color w:val="auto"/>
                <w:szCs w:val="32"/>
              </w:rPr>
            </w:pPr>
            <w:r>
              <w:rPr>
                <w:rFonts w:cs="Times New Roman"/>
                <w:color w:val="auto"/>
                <w:szCs w:val="32"/>
              </w:rPr>
              <w:t>电辊道窑煅烧工序产生废气G1-3和天然气辊道窑中燃烧废气、煅烧工序产生废气G1-4经碱喷淋塔净化处理后，经1根高15m排气筒（2#）排放；</w:t>
            </w:r>
          </w:p>
          <w:p>
            <w:pPr>
              <w:ind w:firstLine="480"/>
              <w:rPr>
                <w:rFonts w:cs="Times New Roman"/>
                <w:color w:val="auto"/>
                <w:szCs w:val="32"/>
              </w:rPr>
            </w:pPr>
            <w:r>
              <w:rPr>
                <w:rFonts w:cs="Times New Roman"/>
                <w:color w:val="auto"/>
                <w:szCs w:val="32"/>
              </w:rPr>
              <w:t>（3）干法处理：</w:t>
            </w:r>
            <w:r>
              <w:rPr>
                <w:rFonts w:cs="Times New Roman"/>
                <w:color w:val="auto"/>
              </w:rPr>
              <w:t>混料过筛、气流粉碎、分级</w:t>
            </w:r>
          </w:p>
          <w:p>
            <w:pPr>
              <w:ind w:firstLine="480"/>
              <w:rPr>
                <w:rFonts w:cs="Times New Roman"/>
                <w:color w:val="auto"/>
              </w:rPr>
            </w:pPr>
            <w:r>
              <w:rPr>
                <w:rFonts w:cs="Times New Roman"/>
                <w:color w:val="auto"/>
              </w:rPr>
              <w:t>煅烧后的物料经进入到混料机进行筛分，筛分后的物料进入到气流磨粉碎分级和射流机分级后，达到干法工艺要求粒度等级的产品送入混料包装机，进行混料包装。达到湿法工艺要求粒度等级的产品送入下一步湿法生产工艺。不合格产品回收后经加水研磨，板框过滤、干燥及破碎后重新进入辊道窑进行煅烧回用。</w:t>
            </w:r>
          </w:p>
          <w:p>
            <w:pPr>
              <w:ind w:firstLine="480"/>
              <w:rPr>
                <w:rFonts w:cs="Times New Roman"/>
                <w:color w:val="auto"/>
              </w:rPr>
            </w:pPr>
            <w:r>
              <w:rPr>
                <w:rFonts w:cs="Times New Roman"/>
                <w:color w:val="auto"/>
              </w:rPr>
              <w:t>气流磨与旋风分离器、除尘器、引风机组成一整套粉碎系统。压缩空气经过滤干燥后，通过拉瓦尔喷嘴高速喷射入粉碎腔，在多股高压气流的交汇点处物料被反复碰撞、摩擦、剪切而粉碎，粉碎后的物料在风机抽力作用下随上升气流运动至分级区，在高速旋转的分级涡轮产生的强大离心力作用下，使粗细物料分离，符合粒度要求的细颗粒通过分级轮进入旋风分离器和除尘器收集，粗颗粒下降至粉碎区继续粉碎。</w:t>
            </w:r>
          </w:p>
          <w:p>
            <w:pPr>
              <w:ind w:firstLine="480"/>
              <w:rPr>
                <w:rFonts w:cs="Times New Roman"/>
                <w:color w:val="auto"/>
              </w:rPr>
            </w:pPr>
            <w:r>
              <w:rPr>
                <w:rFonts w:cs="Times New Roman"/>
                <w:color w:val="auto"/>
              </w:rPr>
              <w:t>射流分级机，是干式空气分级机的一种，又称静态分级或惯性分级机：它区别于一般带有转动部件（如涡轮）的气流分级机，其本体内没有任何可动部件，其原理源自广为所知的柯安达效应。所以又称科安达射流分级机。分级机本体一般与旋风分离器和/或过滤收料器、引风机等组成一套分级系统。微粉物料在高压气体的作用下被打散后进入射流分级机本体，在柯安达效应的作用下，细颗粒紧贴柯安达块，中颗粒在中间部位，大颗粒远离柯安达块。这样微粉颗粒被瞬间分成细、中、粗三级。然后在下游的收料器中被分别回收。</w:t>
            </w:r>
          </w:p>
          <w:p>
            <w:pPr>
              <w:ind w:firstLine="480"/>
              <w:rPr>
                <w:rFonts w:cs="Times New Roman"/>
                <w:color w:val="auto"/>
                <w:szCs w:val="32"/>
              </w:rPr>
            </w:pPr>
            <w:r>
              <w:rPr>
                <w:rFonts w:cs="Times New Roman"/>
                <w:color w:val="auto"/>
              </w:rPr>
              <w:t>混料过筛G</w:t>
            </w:r>
            <w:r>
              <w:rPr>
                <w:rFonts w:cs="Times New Roman"/>
                <w:color w:val="auto"/>
                <w:szCs w:val="32"/>
              </w:rPr>
              <w:t>1-</w:t>
            </w:r>
            <w:r>
              <w:rPr>
                <w:rFonts w:cs="Times New Roman"/>
                <w:color w:val="auto"/>
              </w:rPr>
              <w:t>5、气流粉碎G</w:t>
            </w:r>
            <w:r>
              <w:rPr>
                <w:rFonts w:cs="Times New Roman"/>
                <w:color w:val="auto"/>
                <w:szCs w:val="32"/>
              </w:rPr>
              <w:t>1-</w:t>
            </w:r>
            <w:r>
              <w:rPr>
                <w:rFonts w:cs="Times New Roman"/>
                <w:color w:val="auto"/>
              </w:rPr>
              <w:t>6、分级G</w:t>
            </w:r>
            <w:r>
              <w:rPr>
                <w:rFonts w:cs="Times New Roman"/>
                <w:color w:val="auto"/>
                <w:szCs w:val="32"/>
              </w:rPr>
              <w:t>1-</w:t>
            </w:r>
            <w:r>
              <w:rPr>
                <w:rFonts w:cs="Times New Roman"/>
                <w:color w:val="auto"/>
              </w:rPr>
              <w:t>7</w:t>
            </w:r>
            <w:r>
              <w:rPr>
                <w:rFonts w:cs="Times New Roman"/>
                <w:color w:val="auto"/>
                <w:szCs w:val="32"/>
              </w:rPr>
              <w:t>工序产生的粉尘经1套布袋除尘器净化处理后，经1根高15m排气筒（3#）排放；</w:t>
            </w:r>
          </w:p>
          <w:p>
            <w:pPr>
              <w:ind w:firstLine="480"/>
              <w:rPr>
                <w:color w:val="auto"/>
              </w:rPr>
            </w:pPr>
            <w:r>
              <w:rPr>
                <w:color w:val="auto"/>
              </w:rPr>
              <w:t>（4）湿法处理：湿法研磨、喷雾干燥</w:t>
            </w:r>
          </w:p>
          <w:p>
            <w:pPr>
              <w:ind w:firstLine="480"/>
              <w:rPr>
                <w:rFonts w:cs="Times New Roman"/>
                <w:color w:val="auto"/>
              </w:rPr>
            </w:pPr>
            <w:r>
              <w:rPr>
                <w:rFonts w:cs="Times New Roman"/>
                <w:color w:val="auto"/>
                <w:szCs w:val="32"/>
              </w:rPr>
              <w:t>将分级后的物料与纯水配比调浆，再将调好的浆液加入球磨机，</w:t>
            </w:r>
            <w:r>
              <w:rPr>
                <w:rFonts w:cs="Times New Roman"/>
                <w:color w:val="auto"/>
              </w:rPr>
              <w:t>进行湿法研磨，研磨到一定粒度后将料浆送入喷雾干燥器进行喷雾干燥。</w:t>
            </w:r>
          </w:p>
          <w:p>
            <w:pPr>
              <w:ind w:firstLine="480"/>
              <w:rPr>
                <w:rFonts w:cs="Times New Roman"/>
                <w:color w:val="auto"/>
              </w:rPr>
            </w:pPr>
            <w:r>
              <w:rPr>
                <w:rFonts w:cs="Times New Roman"/>
                <w:color w:val="auto"/>
              </w:rPr>
              <w:t>喷雾干燥原理：空气通过过滤器进入加热器，交换成热空气，进入干燥室顶部的空气分配器，使空气均匀地呈旋转状进入干燥室。料液需经过筛选后，细颗粒进行干燥作为成品产出：由高压泵送至在干燥室中部的喷嘴，将料液雾化，使液滴表面积大大增大，与热空气相互接触，使水分迅速蒸发，在极短的时间内干燥，物料由塔底排料口收集。</w:t>
            </w:r>
          </w:p>
          <w:p>
            <w:pPr>
              <w:ind w:firstLine="480"/>
              <w:rPr>
                <w:rFonts w:cs="Times New Roman"/>
                <w:color w:val="auto"/>
              </w:rPr>
            </w:pPr>
            <w:r>
              <w:rPr>
                <w:rFonts w:cs="Times New Roman"/>
                <w:color w:val="auto"/>
              </w:rPr>
              <w:t>喷雾干燥加热器采用天然气为燃料，天然气燃烧加热空气由热空气对物料进行干燥。干燥完后的抛光粉直接混料包装成成品。</w:t>
            </w:r>
          </w:p>
          <w:p>
            <w:pPr>
              <w:ind w:firstLine="480"/>
              <w:rPr>
                <w:rFonts w:cs="Times New Roman"/>
                <w:color w:val="auto"/>
                <w:szCs w:val="32"/>
              </w:rPr>
            </w:pPr>
            <w:r>
              <w:rPr>
                <w:rFonts w:cs="Times New Roman"/>
                <w:color w:val="auto"/>
                <w:szCs w:val="32"/>
              </w:rPr>
              <w:t>喷雾干燥天然气燃烧废气G1-8（烟尘、二氧化硫、氮氧化物）并入到干法处理工序布袋除尘器化处理后，经1根高15m排气筒（3#）排放；</w:t>
            </w:r>
          </w:p>
          <w:p>
            <w:pPr>
              <w:ind w:firstLine="480"/>
              <w:rPr>
                <w:rFonts w:cs="Times New Roman"/>
                <w:color w:val="auto"/>
              </w:rPr>
            </w:pPr>
            <w:r>
              <w:rPr>
                <w:rFonts w:cs="Times New Roman"/>
                <w:color w:val="auto"/>
              </w:rPr>
              <w:t>（5）混料包装及质检工序</w:t>
            </w:r>
          </w:p>
          <w:p>
            <w:pPr>
              <w:ind w:firstLine="480"/>
              <w:rPr>
                <w:color w:val="auto"/>
              </w:rPr>
            </w:pPr>
            <w:r>
              <w:rPr>
                <w:color w:val="auto"/>
              </w:rPr>
              <w:t>湿法研磨工序干燥后的物料送入混料包装机进行混料包装，后进行质检，不合格产品回用。符合规定要求的产品经过混合、定量，最后包装成成品。</w:t>
            </w:r>
          </w:p>
          <w:p>
            <w:pPr>
              <w:ind w:firstLine="480"/>
              <w:rPr>
                <w:color w:val="auto"/>
              </w:rPr>
            </w:pPr>
            <w:r>
              <w:rPr>
                <w:color w:val="auto"/>
              </w:rPr>
              <w:t>真空上料机又称真空输送机，是一种借助于真空吸力来传送颗粒和粉末状物料的无尘密闭管道输送设备，利用真空与环境空间的气压差，形成管道内气体流动，带动粉状物料运动，从而完成粉体的输送。真空上料机有以下几个特点：</w:t>
            </w:r>
          </w:p>
          <w:p>
            <w:pPr>
              <w:ind w:firstLine="480"/>
              <w:rPr>
                <w:color w:val="auto"/>
              </w:rPr>
            </w:pPr>
            <w:r>
              <w:rPr>
                <w:color w:val="auto"/>
              </w:rPr>
              <w:t>1）采用漩涡气泵做动力，该泵无油、无水，免维护。</w:t>
            </w:r>
          </w:p>
          <w:p>
            <w:pPr>
              <w:ind w:firstLine="480"/>
              <w:rPr>
                <w:color w:val="auto"/>
              </w:rPr>
            </w:pPr>
            <w:r>
              <w:rPr>
                <w:color w:val="auto"/>
              </w:rPr>
              <w:t>2）整个输送过程是在完全密闭的状态下完成的，杜绝了粉尘的污染。</w:t>
            </w:r>
          </w:p>
          <w:p>
            <w:pPr>
              <w:ind w:firstLine="480"/>
              <w:rPr>
                <w:color w:val="auto"/>
              </w:rPr>
            </w:pPr>
            <w:r>
              <w:rPr>
                <w:color w:val="auto"/>
              </w:rPr>
              <w:t>3）为积木式机构，桶体采用快开卡箍连接，拆卸清洗方便快捷。</w:t>
            </w:r>
          </w:p>
          <w:p>
            <w:pPr>
              <w:ind w:firstLine="480"/>
              <w:rPr>
                <w:color w:val="auto"/>
              </w:rPr>
            </w:pPr>
            <w:r>
              <w:rPr>
                <w:color w:val="auto"/>
              </w:rPr>
              <w:t>4）能耗少，噪音低，控制方便。</w:t>
            </w:r>
          </w:p>
          <w:p>
            <w:pPr>
              <w:ind w:firstLine="480"/>
              <w:rPr>
                <w:color w:val="auto"/>
              </w:rPr>
            </w:pPr>
            <w:r>
              <w:rPr>
                <w:color w:val="auto"/>
              </w:rPr>
              <w:t>5）桶与桶之间使用特有S型翻边，更加有效防止粉尘外溢。</w:t>
            </w:r>
          </w:p>
          <w:bookmarkEnd w:id="26"/>
          <w:p>
            <w:pPr>
              <w:ind w:firstLine="480"/>
              <w:jc w:val="left"/>
              <w:rPr>
                <w:rFonts w:cs="Times New Roman"/>
                <w:color w:val="auto"/>
              </w:rPr>
            </w:pPr>
            <w:r>
              <w:rPr>
                <w:rFonts w:cs="Times New Roman"/>
                <w:color w:val="auto"/>
              </w:rPr>
              <w:t>工艺流程及产排污节点图见下图2-2。</w:t>
            </w:r>
          </w:p>
          <w:p>
            <w:pPr>
              <w:ind w:firstLine="0" w:firstLineChars="0"/>
              <w:jc w:val="center"/>
              <w:rPr>
                <w:rFonts w:cs="Times New Roman"/>
                <w:color w:val="auto"/>
              </w:rPr>
            </w:pPr>
            <w:bookmarkStart w:id="27" w:name="_Hlk162003776"/>
            <w:r>
              <w:rPr>
                <w:rFonts w:cs="Times New Roman"/>
                <w:color w:val="auto"/>
              </w:rPr>
              <w:object>
                <v:shape id="_x0000_i1026" o:spt="75" type="#_x0000_t75" style="height:487.5pt;width:402pt;" o:ole="t" filled="f" o:preferrelative="t" stroked="f" coordsize="21600,21600">
                  <v:path/>
                  <v:fill on="f" focussize="0,0"/>
                  <v:stroke on="f" joinstyle="miter"/>
                  <v:imagedata r:id="rId34" o:title=""/>
                  <o:lock v:ext="edit" aspectratio="t"/>
                  <w10:wrap type="none"/>
                  <w10:anchorlock/>
                </v:shape>
                <o:OLEObject Type="Embed" ProgID="Visio.Drawing.15" ShapeID="_x0000_i1026" DrawAspect="Content" ObjectID="_1468075726" r:id="rId33">
                  <o:LockedField>false</o:LockedField>
                </o:OLEObject>
              </w:object>
            </w:r>
            <w:bookmarkEnd w:id="27"/>
          </w:p>
          <w:p>
            <w:pPr>
              <w:ind w:firstLine="482"/>
              <w:jc w:val="center"/>
              <w:rPr>
                <w:rFonts w:cs="Times New Roman"/>
                <w:color w:val="auto"/>
              </w:rPr>
            </w:pPr>
            <w:r>
              <w:rPr>
                <w:rFonts w:cs="Times New Roman"/>
                <w:b/>
                <w:bCs/>
                <w:color w:val="auto"/>
              </w:rPr>
              <w:t>图2-2</w:t>
            </w:r>
            <w:bookmarkStart w:id="28" w:name="_Hlk162003799"/>
            <w:r>
              <w:rPr>
                <w:rFonts w:cs="Times New Roman"/>
                <w:b/>
                <w:bCs/>
                <w:color w:val="auto"/>
              </w:rPr>
              <w:t>一期工程生产工艺流程及产排污图</w:t>
            </w:r>
            <w:bookmarkEnd w:id="28"/>
          </w:p>
          <w:p>
            <w:pPr>
              <w:ind w:firstLine="480"/>
              <w:rPr>
                <w:color w:val="auto"/>
              </w:rPr>
            </w:pPr>
            <w:bookmarkStart w:id="29" w:name="_Hlk162003745"/>
            <w:r>
              <w:rPr>
                <w:color w:val="auto"/>
              </w:rPr>
              <w:t>1.2二期工程电回转窑抛光粉生产工艺简述</w:t>
            </w:r>
          </w:p>
          <w:p>
            <w:pPr>
              <w:ind w:firstLine="480"/>
              <w:rPr>
                <w:color w:val="auto"/>
              </w:rPr>
            </w:pPr>
            <w:r>
              <w:rPr>
                <w:color w:val="auto"/>
              </w:rPr>
              <w:t>二期前端调浆、氟化合成、离心脱水均与一期一致，煅烧采用回转窑煅烧，后续混料过筛、气流粉碎、分级、湿法研磨、喷雾干燥等工序均依托一期。</w:t>
            </w:r>
          </w:p>
          <w:p>
            <w:pPr>
              <w:ind w:firstLine="480"/>
              <w:rPr>
                <w:rFonts w:cs="Times New Roman"/>
                <w:color w:val="auto"/>
                <w:szCs w:val="32"/>
              </w:rPr>
            </w:pPr>
            <w:r>
              <w:rPr>
                <w:rFonts w:cs="Times New Roman"/>
                <w:color w:val="auto"/>
                <w:szCs w:val="32"/>
              </w:rPr>
              <w:t>（1）调浆和氟化合成反应工序</w:t>
            </w:r>
          </w:p>
          <w:p>
            <w:pPr>
              <w:ind w:firstLine="480"/>
              <w:rPr>
                <w:rFonts w:cs="Times New Roman"/>
                <w:color w:val="auto"/>
                <w:szCs w:val="32"/>
              </w:rPr>
            </w:pPr>
            <w:r>
              <w:rPr>
                <w:rFonts w:cs="Times New Roman"/>
                <w:color w:val="auto"/>
                <w:szCs w:val="32"/>
              </w:rPr>
              <w:t>湿法合成：碳酸镧铈加水搅拌调浆，向反应罐中按比例定量加入40%的氢氟酸（用氢氟酸泵定量逐渐加入），通过酸度控制合成反应，合成处理后的浆液再经板框压滤机脱去大部分水后，送压滤机进行压滤，压滤后的物料进行闪蒸烘干，烘干热源为天然气，经烘干后的物料送煅烧工段。在此合成过程中碳酸镧铈转化为氟碳酸镧铈。</w:t>
            </w:r>
          </w:p>
          <w:p>
            <w:pPr>
              <w:ind w:firstLine="480"/>
              <w:rPr>
                <w:rFonts w:cs="Times New Roman"/>
                <w:color w:val="auto"/>
                <w:szCs w:val="32"/>
              </w:rPr>
            </w:pPr>
            <w:r>
              <w:rPr>
                <w:rFonts w:cs="Times New Roman"/>
                <w:color w:val="auto"/>
              </w:rPr>
              <w:drawing>
                <wp:inline distT="0" distB="0" distL="0" distR="0">
                  <wp:extent cx="4598670" cy="429260"/>
                  <wp:effectExtent l="0" t="0" r="0" b="8890"/>
                  <wp:docPr id="4129750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975091" name="图片 1"/>
                          <pic:cNvPicPr>
                            <a:picLocks noChangeAspect="1"/>
                          </pic:cNvPicPr>
                        </pic:nvPicPr>
                        <pic:blipFill>
                          <a:blip r:embed="rId31"/>
                          <a:stretch>
                            <a:fillRect/>
                          </a:stretch>
                        </pic:blipFill>
                        <pic:spPr>
                          <a:xfrm>
                            <a:off x="0" y="0"/>
                            <a:ext cx="4622228" cy="431648"/>
                          </a:xfrm>
                          <a:prstGeom prst="rect">
                            <a:avLst/>
                          </a:prstGeom>
                        </pic:spPr>
                      </pic:pic>
                    </a:graphicData>
                  </a:graphic>
                </wp:inline>
              </w:drawing>
            </w:r>
          </w:p>
          <w:p>
            <w:pPr>
              <w:ind w:firstLine="480"/>
              <w:rPr>
                <w:rFonts w:cs="Times New Roman"/>
                <w:color w:val="auto"/>
                <w:szCs w:val="32"/>
              </w:rPr>
            </w:pPr>
            <w:r>
              <w:rPr>
                <w:rFonts w:cs="Times New Roman"/>
                <w:color w:val="auto"/>
                <w:szCs w:val="32"/>
              </w:rPr>
              <w:t>氟化合成反应时伴有二氧化碳气体产生，会形成气泡，随着二氧化碳气泡的扩散，会带有一些氟化氢气体，天然气燃烧以及物料煅烧产生一定量的废气，废气中污染物有：烟尘、二氧化硫、氮氧化物和少量的氟化物气体等。</w:t>
            </w:r>
          </w:p>
          <w:p>
            <w:pPr>
              <w:ind w:firstLine="480"/>
              <w:rPr>
                <w:rFonts w:cs="Times New Roman"/>
                <w:color w:val="auto"/>
                <w:szCs w:val="32"/>
              </w:rPr>
            </w:pPr>
            <w:r>
              <w:rPr>
                <w:rFonts w:cs="Times New Roman"/>
                <w:color w:val="auto"/>
                <w:szCs w:val="32"/>
              </w:rPr>
              <w:t>氟化合成反应工序G2-1、闪蒸干燥工序G2-2产生的废气排入碱喷淋塔，经碱喷淋塔净化处理后，经1根高15m排气筒（4#）排放；</w:t>
            </w:r>
          </w:p>
          <w:p>
            <w:pPr>
              <w:ind w:firstLine="480"/>
              <w:rPr>
                <w:color w:val="auto"/>
              </w:rPr>
            </w:pPr>
            <w:r>
              <w:rPr>
                <w:color w:val="auto"/>
              </w:rPr>
              <w:t>（2）回转窑煅烧</w:t>
            </w:r>
          </w:p>
          <w:p>
            <w:pPr>
              <w:ind w:firstLine="480"/>
              <w:rPr>
                <w:color w:val="auto"/>
              </w:rPr>
            </w:pPr>
            <w:r>
              <w:rPr>
                <w:color w:val="auto"/>
              </w:rPr>
              <w:t>回转窑煅烧是将离心脱水后的氟碳酸稀土先送入天然气回转窑进行煅烧，煅烧温度在900至1100度。高温使氟碳酸稀土转化为氟氧化稀土。煅烧过程中，氟碳酸稀土受热分解，产生二氧化碳气体，伴随少量氟化物粉尘排出。</w:t>
            </w:r>
          </w:p>
          <w:p>
            <w:pPr>
              <w:ind w:firstLine="480"/>
              <w:rPr>
                <w:color w:val="auto"/>
              </w:rPr>
            </w:pPr>
            <w:r>
              <w:rPr>
                <w:color w:val="auto"/>
              </w:rPr>
              <w:t>煅烧反应化学方程式是：REFCO</w:t>
            </w:r>
            <w:r>
              <w:rPr>
                <w:color w:val="auto"/>
                <w:vertAlign w:val="subscript"/>
              </w:rPr>
              <w:t>3</w:t>
            </w:r>
            <w:r>
              <w:rPr>
                <w:color w:val="auto"/>
              </w:rPr>
              <w:t>→REOF+CO</w:t>
            </w:r>
            <w:r>
              <w:rPr>
                <w:color w:val="auto"/>
                <w:vertAlign w:val="subscript"/>
              </w:rPr>
              <w:t>2</w:t>
            </w:r>
            <w:r>
              <w:rPr>
                <w:color w:val="auto"/>
              </w:rPr>
              <w:t>↑</w:t>
            </w:r>
          </w:p>
          <w:p>
            <w:pPr>
              <w:ind w:firstLine="480"/>
              <w:rPr>
                <w:color w:val="auto"/>
              </w:rPr>
            </w:pPr>
            <w:r>
              <w:rPr>
                <w:color w:val="auto"/>
              </w:rPr>
              <w:t>回转窑煅烧主要生产LCD用稀土抛光。</w:t>
            </w:r>
          </w:p>
          <w:p>
            <w:pPr>
              <w:ind w:firstLine="480"/>
              <w:rPr>
                <w:rFonts w:cs="Times New Roman"/>
                <w:color w:val="auto"/>
                <w:szCs w:val="32"/>
              </w:rPr>
            </w:pPr>
            <w:r>
              <w:rPr>
                <w:rFonts w:cs="Times New Roman"/>
                <w:color w:val="auto"/>
                <w:szCs w:val="32"/>
              </w:rPr>
              <w:t>天然气回转窑中燃烧废气、煅烧工序产生废气G2-4经碱喷淋塔净化处理后，经1根高15m排气筒（5#）排放；</w:t>
            </w:r>
          </w:p>
          <w:bookmarkEnd w:id="29"/>
          <w:p>
            <w:pPr>
              <w:ind w:firstLine="480"/>
              <w:rPr>
                <w:color w:val="auto"/>
              </w:rPr>
            </w:pPr>
            <w:r>
              <w:rPr>
                <w:color w:val="auto"/>
              </w:rPr>
              <w:t>回转窑生产工艺流程及产排污节点图见下图2-3。</w:t>
            </w:r>
          </w:p>
          <w:p>
            <w:pPr>
              <w:ind w:firstLine="0" w:firstLineChars="0"/>
              <w:jc w:val="center"/>
              <w:rPr>
                <w:rFonts w:cs="Times New Roman"/>
                <w:color w:val="auto"/>
              </w:rPr>
            </w:pPr>
            <w:bookmarkStart w:id="30" w:name="_Hlk162003814"/>
            <w:r>
              <w:rPr>
                <w:rFonts w:cs="Times New Roman"/>
                <w:color w:val="auto"/>
              </w:rPr>
              <w:object>
                <v:shape id="_x0000_i1027" o:spt="75" type="#_x0000_t75" style="height:442.5pt;width:414pt;" o:ole="t" filled="f" o:preferrelative="t" stroked="f" coordsize="21600,21600">
                  <v:path/>
                  <v:fill on="f" focussize="0,0"/>
                  <v:stroke on="f" joinstyle="miter"/>
                  <v:imagedata r:id="rId36" o:title=""/>
                  <o:lock v:ext="edit" aspectratio="t"/>
                  <w10:wrap type="none"/>
                  <w10:anchorlock/>
                </v:shape>
                <o:OLEObject Type="Embed" ProgID="Visio.Drawing.15" ShapeID="_x0000_i1027" DrawAspect="Content" ObjectID="_1468075727" r:id="rId35">
                  <o:LockedField>false</o:LockedField>
                </o:OLEObject>
              </w:object>
            </w:r>
            <w:bookmarkEnd w:id="30"/>
          </w:p>
          <w:p>
            <w:pPr>
              <w:ind w:firstLine="0" w:firstLineChars="0"/>
              <w:jc w:val="center"/>
              <w:rPr>
                <w:rFonts w:cs="Times New Roman"/>
                <w:color w:val="auto"/>
              </w:rPr>
            </w:pPr>
            <w:r>
              <w:rPr>
                <w:rFonts w:cs="Times New Roman"/>
                <w:b/>
                <w:bCs/>
                <w:color w:val="auto"/>
              </w:rPr>
              <w:t>图2-3回转窑生产工艺及产排污节点图</w:t>
            </w:r>
          </w:p>
          <w:p>
            <w:pPr>
              <w:ind w:firstLine="480"/>
              <w:rPr>
                <w:color w:val="auto"/>
              </w:rPr>
            </w:pPr>
            <w:bookmarkStart w:id="31" w:name="_Hlk162003894"/>
            <w:r>
              <w:rPr>
                <w:color w:val="auto"/>
              </w:rPr>
              <w:t>1.3天然气锅炉生产工艺简述</w:t>
            </w:r>
          </w:p>
          <w:p>
            <w:pPr>
              <w:ind w:firstLine="480"/>
              <w:rPr>
                <w:color w:val="auto"/>
              </w:rPr>
            </w:pPr>
            <w:r>
              <w:rPr>
                <w:color w:val="auto"/>
              </w:rPr>
              <w:t>项目设置3台锅炉（2用1备），其中一期2台锅炉（1用1备），二期1台锅炉，单台锅炉吨位为2t/h，采用天然气为燃料，天然气由园区管道供给。</w:t>
            </w:r>
          </w:p>
          <w:p>
            <w:pPr>
              <w:ind w:firstLine="480"/>
              <w:rPr>
                <w:color w:val="auto"/>
              </w:rPr>
            </w:pPr>
            <w:r>
              <w:rPr>
                <w:color w:val="auto"/>
              </w:rPr>
              <w:t>天然气燃烧过程会产生燃烧废气，主要为烟尘、二氧化硫、氮氧化物，经1根高14m排气筒（6#）排放。</w:t>
            </w:r>
          </w:p>
          <w:bookmarkEnd w:id="31"/>
          <w:p>
            <w:pPr>
              <w:ind w:firstLine="482"/>
              <w:jc w:val="left"/>
              <w:rPr>
                <w:rFonts w:cs="Times New Roman"/>
                <w:b/>
                <w:bCs/>
                <w:color w:val="auto"/>
              </w:rPr>
            </w:pPr>
            <w:r>
              <w:rPr>
                <w:rFonts w:cs="Times New Roman"/>
                <w:b/>
                <w:bCs/>
                <w:color w:val="auto"/>
              </w:rPr>
              <w:t>2、物料平衡</w:t>
            </w:r>
          </w:p>
          <w:p>
            <w:pPr>
              <w:spacing w:line="240" w:lineRule="auto"/>
              <w:ind w:firstLine="0" w:firstLineChars="0"/>
              <w:jc w:val="center"/>
              <w:rPr>
                <w:color w:val="auto"/>
                <w:sz w:val="21"/>
                <w:szCs w:val="21"/>
              </w:rPr>
            </w:pPr>
            <w:r>
              <w:rPr>
                <w:rFonts w:cs="Times New Roman"/>
                <w:color w:val="auto"/>
                <w:sz w:val="21"/>
                <w:szCs w:val="21"/>
              </w:rPr>
              <w:object>
                <v:shape id="_x0000_i1028" o:spt="75" type="#_x0000_t75" style="height:512.25pt;width:414pt;" o:ole="t" filled="f" o:preferrelative="t" stroked="f" coordsize="21600,21600">
                  <v:path/>
                  <v:fill on="f" focussize="0,0"/>
                  <v:stroke on="f" joinstyle="miter"/>
                  <v:imagedata r:id="rId38" o:title=""/>
                  <o:lock v:ext="edit" aspectratio="t"/>
                  <w10:wrap type="none"/>
                  <w10:anchorlock/>
                </v:shape>
                <o:OLEObject Type="Embed" ProgID="Visio.Drawing.15" ShapeID="_x0000_i1028" DrawAspect="Content" ObjectID="_1468075728" r:id="rId37">
                  <o:LockedField>false</o:LockedField>
                </o:OLEObject>
              </w:object>
            </w:r>
          </w:p>
          <w:p>
            <w:pPr>
              <w:ind w:firstLine="482"/>
              <w:jc w:val="center"/>
              <w:rPr>
                <w:color w:val="auto"/>
              </w:rPr>
            </w:pPr>
            <w:r>
              <w:rPr>
                <w:b/>
                <w:bCs/>
                <w:color w:val="auto"/>
              </w:rPr>
              <w:t>图2-4一期物料平衡（t/a）</w:t>
            </w:r>
          </w:p>
          <w:p>
            <w:pPr>
              <w:ind w:firstLine="0" w:firstLineChars="0"/>
              <w:rPr>
                <w:rFonts w:cs="Times New Roman"/>
                <w:color w:val="auto"/>
                <w:lang w:bidi="en-US"/>
              </w:rPr>
            </w:pPr>
            <w:r>
              <w:rPr>
                <w:rFonts w:cs="Times New Roman"/>
                <w:color w:val="auto"/>
              </w:rPr>
              <w:object>
                <v:shape id="_x0000_i1029" o:spt="75" type="#_x0000_t75" style="height:644.25pt;width:396.75pt;" o:ole="t" filled="f" o:preferrelative="t" stroked="f" coordsize="21600,21600">
                  <v:path/>
                  <v:fill on="f" focussize="0,0"/>
                  <v:stroke on="f" joinstyle="miter"/>
                  <v:imagedata r:id="rId40" o:title=""/>
                  <o:lock v:ext="edit" aspectratio="t"/>
                  <w10:wrap type="none"/>
                  <w10:anchorlock/>
                </v:shape>
                <o:OLEObject Type="Embed" ProgID="Visio.Drawing.15" ShapeID="_x0000_i1029" DrawAspect="Content" ObjectID="_1468075729" r:id="rId39">
                  <o:LockedField>false</o:LockedField>
                </o:OLEObject>
              </w:object>
            </w:r>
          </w:p>
          <w:p>
            <w:pPr>
              <w:ind w:firstLine="482"/>
              <w:jc w:val="center"/>
              <w:rPr>
                <w:rFonts w:cs="Times New Roman"/>
                <w:color w:val="auto"/>
              </w:rPr>
            </w:pPr>
            <w:r>
              <w:rPr>
                <w:b/>
                <w:bCs/>
                <w:color w:val="auto"/>
              </w:rPr>
              <w:t>图2-4二期物料平衡（t/a）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57" w:type="dxa"/>
            <w:vAlign w:val="center"/>
          </w:tcPr>
          <w:p>
            <w:pPr>
              <w:ind w:firstLine="0" w:firstLineChars="0"/>
              <w:jc w:val="center"/>
              <w:rPr>
                <w:rFonts w:cs="Times New Roman"/>
                <w:b/>
                <w:bCs/>
                <w:color w:val="auto"/>
              </w:rPr>
            </w:pPr>
            <w:r>
              <w:rPr>
                <w:rFonts w:cs="Times New Roman"/>
                <w:b/>
                <w:bCs/>
                <w:color w:val="auto"/>
              </w:rPr>
              <w:t>与项目有关的原有环境污染问题</w:t>
            </w:r>
          </w:p>
        </w:tc>
        <w:tc>
          <w:tcPr>
            <w:tcW w:w="8739" w:type="dxa"/>
            <w:vAlign w:val="center"/>
          </w:tcPr>
          <w:p>
            <w:pPr>
              <w:ind w:firstLine="480"/>
              <w:rPr>
                <w:color w:val="auto"/>
              </w:rPr>
            </w:pPr>
            <w:r>
              <w:rPr>
                <w:color w:val="auto"/>
              </w:rPr>
              <w:t>同晨公司现有工程包括1500t/a单一稀土金属建设项目（含钕铁硼废边角料焙烧窑生产线、稀土氧化物电解生产线）和600吨/年磁性材料机加工项目。其中，1500t/a单一稀土金属建设项目于2006年2月通过巴彦淖尔市环境保护局审批（巴环审表[2006]51号），该项目于2009年3月开工建设，钕铁硼废边角料焙烧窑生产线于2011年12月通过巴彦淖尔市环境保护局验收（巴环验[2011]57号），稀土氧化物电解生产线于2016年10月通过巴彦淖尔市环境保护局验收（巴环验[2016]58号），600吨/年磁性材料机加工项目于2013年11月通过巴彦淖尔市环境保护局审批（巴环审发〔2013〕56号），该项目于2013年11月开工建设，2015年2月通过巴彦淖尔市环境保护局验收（巴环验[2015]12号）。</w:t>
            </w:r>
          </w:p>
          <w:p>
            <w:pPr>
              <w:adjustRightInd w:val="0"/>
              <w:snapToGrid w:val="0"/>
              <w:ind w:firstLine="480"/>
              <w:rPr>
                <w:rFonts w:cs="Times New Roman"/>
                <w:bCs/>
                <w:color w:val="auto"/>
              </w:rPr>
            </w:pPr>
            <w:r>
              <w:rPr>
                <w:rFonts w:cs="Times New Roman"/>
                <w:bCs/>
                <w:color w:val="auto"/>
              </w:rPr>
              <w:t>2019年7月，中冶东方控股有限公司编制完成《巴彦淖尔市同晨新材料有限责任公司年产3000吨稀土金属和稀土合金项目环境影响报告书》。2019年9月12日巴彦淖尔市生态环境局以巴环审发〔2019〕30号文对该项目环境影响报告书予以批复。同年完成验收工作</w:t>
            </w:r>
            <w:r>
              <w:rPr>
                <w:rFonts w:hint="eastAsia"/>
                <w:color w:val="auto"/>
              </w:rPr>
              <w:t>；并于2022年12月16日取得巴彦淖尔市生态环境局颁发的排污许可证，证书编号：91150823660979453N001V。</w:t>
            </w:r>
          </w:p>
          <w:p>
            <w:pPr>
              <w:adjustRightInd w:val="0"/>
              <w:snapToGrid w:val="0"/>
              <w:ind w:firstLine="480"/>
              <w:rPr>
                <w:rFonts w:cs="Times New Roman"/>
                <w:color w:val="auto"/>
                <w:szCs w:val="32"/>
              </w:rPr>
            </w:pPr>
            <w:r>
              <w:rPr>
                <w:rFonts w:cs="Times New Roman"/>
                <w:color w:val="auto"/>
                <w:szCs w:val="32"/>
              </w:rPr>
              <w:t>根据现场踏勘，该厂区现有项目无主要环境问题。</w:t>
            </w:r>
          </w:p>
          <w:p>
            <w:pPr>
              <w:spacing w:line="240" w:lineRule="auto"/>
              <w:ind w:firstLine="0" w:firstLineChars="0"/>
              <w:jc w:val="center"/>
              <w:rPr>
                <w:color w:val="auto"/>
                <w:sz w:val="21"/>
                <w:szCs w:val="21"/>
              </w:rPr>
            </w:pPr>
          </w:p>
          <w:p>
            <w:pPr>
              <w:ind w:firstLine="480"/>
              <w:rPr>
                <w:rFonts w:cs="Times New Roman"/>
                <w:color w:val="auto"/>
              </w:rPr>
            </w:pPr>
          </w:p>
          <w:p>
            <w:pPr>
              <w:spacing w:line="240" w:lineRule="auto"/>
              <w:ind w:firstLine="0" w:firstLineChars="0"/>
              <w:jc w:val="center"/>
              <w:rPr>
                <w:color w:val="auto"/>
                <w:sz w:val="21"/>
                <w:szCs w:val="21"/>
              </w:rPr>
            </w:pPr>
          </w:p>
          <w:p>
            <w:pPr>
              <w:ind w:firstLine="480"/>
              <w:rPr>
                <w:rFonts w:cs="Times New Roman"/>
                <w:color w:val="auto"/>
              </w:rPr>
            </w:pPr>
          </w:p>
          <w:p>
            <w:pPr>
              <w:spacing w:line="240" w:lineRule="auto"/>
              <w:ind w:firstLine="0" w:firstLineChars="0"/>
              <w:jc w:val="center"/>
              <w:rPr>
                <w:color w:val="auto"/>
                <w:sz w:val="21"/>
                <w:szCs w:val="21"/>
              </w:rPr>
            </w:pPr>
          </w:p>
          <w:p>
            <w:pPr>
              <w:ind w:firstLine="480"/>
              <w:rPr>
                <w:rFonts w:cs="Times New Roman"/>
                <w:color w:val="auto"/>
              </w:rPr>
            </w:pPr>
          </w:p>
          <w:p>
            <w:pPr>
              <w:spacing w:line="240" w:lineRule="auto"/>
              <w:ind w:firstLine="0" w:firstLineChars="0"/>
              <w:jc w:val="center"/>
              <w:rPr>
                <w:color w:val="auto"/>
                <w:sz w:val="21"/>
                <w:szCs w:val="21"/>
              </w:rPr>
            </w:pPr>
          </w:p>
          <w:p>
            <w:pPr>
              <w:ind w:firstLine="480"/>
              <w:rPr>
                <w:rFonts w:cs="Times New Roman"/>
                <w:color w:val="auto"/>
              </w:rPr>
            </w:pPr>
          </w:p>
          <w:p>
            <w:pPr>
              <w:spacing w:line="240" w:lineRule="auto"/>
              <w:ind w:firstLine="0" w:firstLineChars="0"/>
              <w:jc w:val="center"/>
              <w:rPr>
                <w:color w:val="auto"/>
                <w:sz w:val="21"/>
                <w:szCs w:val="21"/>
              </w:rPr>
            </w:pPr>
          </w:p>
          <w:p>
            <w:pPr>
              <w:ind w:firstLine="480"/>
              <w:rPr>
                <w:rFonts w:cs="Times New Roman"/>
                <w:color w:val="auto"/>
              </w:rPr>
            </w:pPr>
          </w:p>
          <w:p>
            <w:pPr>
              <w:spacing w:line="240" w:lineRule="auto"/>
              <w:ind w:firstLine="0" w:firstLineChars="0"/>
              <w:jc w:val="center"/>
              <w:rPr>
                <w:color w:val="auto"/>
                <w:sz w:val="21"/>
                <w:szCs w:val="21"/>
              </w:rPr>
            </w:pPr>
          </w:p>
          <w:p>
            <w:pPr>
              <w:spacing w:line="240" w:lineRule="auto"/>
              <w:ind w:firstLine="0" w:firstLineChars="0"/>
              <w:jc w:val="center"/>
              <w:rPr>
                <w:color w:val="auto"/>
                <w:sz w:val="21"/>
                <w:szCs w:val="21"/>
              </w:rPr>
            </w:pPr>
          </w:p>
          <w:p>
            <w:pPr>
              <w:ind w:firstLine="480"/>
              <w:rPr>
                <w:rFonts w:cs="Times New Roman"/>
                <w:color w:val="auto"/>
                <w:lang w:bidi="en-US"/>
              </w:rPr>
            </w:pPr>
          </w:p>
          <w:p>
            <w:pPr>
              <w:spacing w:line="240" w:lineRule="auto"/>
              <w:ind w:firstLine="0" w:firstLineChars="0"/>
              <w:jc w:val="center"/>
              <w:rPr>
                <w:color w:val="auto"/>
                <w:sz w:val="21"/>
                <w:szCs w:val="21"/>
              </w:rPr>
            </w:pPr>
          </w:p>
          <w:p>
            <w:pPr>
              <w:ind w:firstLine="480"/>
              <w:rPr>
                <w:rFonts w:cs="Times New Roman"/>
                <w:color w:val="auto"/>
                <w:lang w:bidi="en-US"/>
              </w:rPr>
            </w:pPr>
          </w:p>
          <w:p>
            <w:pPr>
              <w:spacing w:line="240" w:lineRule="auto"/>
              <w:ind w:firstLine="0" w:firstLineChars="0"/>
              <w:jc w:val="center"/>
              <w:rPr>
                <w:color w:val="auto"/>
                <w:sz w:val="21"/>
                <w:szCs w:val="21"/>
              </w:rPr>
            </w:pPr>
          </w:p>
          <w:p>
            <w:pPr>
              <w:ind w:firstLine="0" w:firstLineChars="0"/>
              <w:rPr>
                <w:rFonts w:cs="Times New Roman"/>
                <w:color w:val="auto"/>
                <w:lang w:bidi="en-US"/>
              </w:rPr>
            </w:pPr>
          </w:p>
        </w:tc>
      </w:tr>
    </w:tbl>
    <w:p>
      <w:pPr>
        <w:pStyle w:val="3"/>
        <w:ind w:firstLine="562"/>
        <w:rPr>
          <w:rFonts w:eastAsia="宋体" w:cs="Times New Roman"/>
          <w:color w:val="auto"/>
        </w:rPr>
      </w:pPr>
      <w:r>
        <w:rPr>
          <w:rFonts w:eastAsia="宋体" w:cs="Times New Roman"/>
          <w:color w:val="auto"/>
        </w:rPr>
        <w:t>三、区域环境质量现状、环境保护目标及评价标准</w:t>
      </w:r>
    </w:p>
    <w:tbl>
      <w:tblPr>
        <w:tblStyle w:val="27"/>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8"/>
        <w:gridCol w:w="84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4" w:type="dxa"/>
            <w:vAlign w:val="center"/>
          </w:tcPr>
          <w:p>
            <w:pPr>
              <w:ind w:firstLine="0" w:firstLineChars="0"/>
              <w:jc w:val="center"/>
              <w:rPr>
                <w:rFonts w:cs="Times New Roman"/>
                <w:b/>
                <w:bCs/>
                <w:color w:val="auto"/>
              </w:rPr>
            </w:pPr>
            <w:r>
              <w:rPr>
                <w:rFonts w:cs="Times New Roman"/>
                <w:b/>
                <w:bCs/>
                <w:color w:val="auto"/>
              </w:rPr>
              <w:t>区域环境质量现状</w:t>
            </w:r>
          </w:p>
        </w:tc>
        <w:tc>
          <w:tcPr>
            <w:tcW w:w="8492" w:type="dxa"/>
            <w:vAlign w:val="center"/>
          </w:tcPr>
          <w:p>
            <w:pPr>
              <w:widowControl/>
              <w:autoSpaceDE w:val="0"/>
              <w:autoSpaceDN w:val="0"/>
              <w:adjustRightInd w:val="0"/>
              <w:ind w:firstLine="482"/>
              <w:rPr>
                <w:rFonts w:cs="Times New Roman"/>
                <w:b/>
                <w:color w:val="auto"/>
                <w:kern w:val="0"/>
              </w:rPr>
            </w:pPr>
            <w:r>
              <w:rPr>
                <w:rFonts w:cs="Times New Roman"/>
                <w:b/>
                <w:color w:val="auto"/>
                <w:kern w:val="0"/>
              </w:rPr>
              <w:t>1、空气环境质量</w:t>
            </w:r>
          </w:p>
          <w:p>
            <w:pPr>
              <w:ind w:firstLine="482"/>
              <w:jc w:val="left"/>
              <w:rPr>
                <w:rFonts w:cs="Times New Roman"/>
                <w:b/>
                <w:bCs/>
                <w:color w:val="auto"/>
              </w:rPr>
            </w:pPr>
            <w:r>
              <w:rPr>
                <w:rFonts w:cs="Times New Roman"/>
                <w:b/>
                <w:bCs/>
                <w:color w:val="auto"/>
              </w:rPr>
              <w:t>（1）项目所在区域达标判断</w:t>
            </w:r>
          </w:p>
          <w:p>
            <w:pPr>
              <w:ind w:firstLine="480"/>
              <w:rPr>
                <w:rFonts w:cs="Times New Roman"/>
                <w:color w:val="auto"/>
                <w:kern w:val="0"/>
              </w:rPr>
            </w:pPr>
            <w:r>
              <w:rPr>
                <w:rFonts w:cs="Times New Roman"/>
                <w:color w:val="auto"/>
                <w:kern w:val="0"/>
              </w:rPr>
              <w:t>根据《环境影响评价技术导则大气环境》（HJ2.2-2018）中6.4.1.1中的内容“城市环境空气质量达标评价指标为SO</w:t>
            </w:r>
            <w:r>
              <w:rPr>
                <w:rFonts w:cs="Times New Roman"/>
                <w:color w:val="auto"/>
                <w:kern w:val="0"/>
                <w:vertAlign w:val="subscript"/>
              </w:rPr>
              <w:t>2</w:t>
            </w:r>
            <w:r>
              <w:rPr>
                <w:rFonts w:cs="Times New Roman"/>
                <w:color w:val="auto"/>
                <w:kern w:val="0"/>
              </w:rPr>
              <w:t>、NO</w:t>
            </w:r>
            <w:r>
              <w:rPr>
                <w:rFonts w:cs="Times New Roman"/>
                <w:color w:val="auto"/>
                <w:kern w:val="0"/>
                <w:vertAlign w:val="subscript"/>
              </w:rPr>
              <w:t>2</w:t>
            </w:r>
            <w:r>
              <w:rPr>
                <w:rFonts w:cs="Times New Roman"/>
                <w:color w:val="auto"/>
                <w:kern w:val="0"/>
              </w:rPr>
              <w:t>、PM</w:t>
            </w:r>
            <w:r>
              <w:rPr>
                <w:rFonts w:cs="Times New Roman"/>
                <w:color w:val="auto"/>
                <w:kern w:val="0"/>
                <w:vertAlign w:val="subscript"/>
              </w:rPr>
              <w:t>10</w:t>
            </w:r>
            <w:r>
              <w:rPr>
                <w:rFonts w:cs="Times New Roman"/>
                <w:color w:val="auto"/>
                <w:kern w:val="0"/>
              </w:rPr>
              <w:t>、PM</w:t>
            </w:r>
            <w:r>
              <w:rPr>
                <w:rFonts w:cs="Times New Roman"/>
                <w:color w:val="auto"/>
                <w:kern w:val="0"/>
                <w:vertAlign w:val="subscript"/>
              </w:rPr>
              <w:t>2.5</w:t>
            </w:r>
            <w:r>
              <w:rPr>
                <w:rFonts w:cs="Times New Roman"/>
                <w:color w:val="auto"/>
                <w:kern w:val="0"/>
              </w:rPr>
              <w:t>、CO和O</w:t>
            </w:r>
            <w:r>
              <w:rPr>
                <w:rFonts w:cs="Times New Roman"/>
                <w:color w:val="auto"/>
                <w:kern w:val="0"/>
                <w:vertAlign w:val="subscript"/>
              </w:rPr>
              <w:t>3</w:t>
            </w:r>
            <w:r>
              <w:rPr>
                <w:rFonts w:cs="Times New Roman"/>
                <w:color w:val="auto"/>
                <w:kern w:val="0"/>
              </w:rPr>
              <w:t>，六项污染物全部达标即为城市环境空气质量达标”。</w:t>
            </w:r>
          </w:p>
          <w:p>
            <w:pPr>
              <w:ind w:firstLine="480"/>
              <w:rPr>
                <w:color w:val="auto"/>
              </w:rPr>
            </w:pPr>
            <w:r>
              <w:rPr>
                <w:color w:val="auto"/>
              </w:rPr>
              <w:t>本项目环境质量现状数据来源于《巴彦淖尔市环境质量状况公报（2022年）》中的内容，内蒙古巴彦淖尔市乌拉特前旗2022年六项污染物环境质量数据见下表。</w:t>
            </w:r>
          </w:p>
          <w:p>
            <w:pPr>
              <w:adjustRightInd w:val="0"/>
              <w:ind w:firstLine="482"/>
              <w:jc w:val="center"/>
              <w:textAlignment w:val="bottom"/>
              <w:outlineLvl w:val="1"/>
              <w:rPr>
                <w:rFonts w:cs="Times New Roman"/>
                <w:b/>
                <w:bCs/>
                <w:color w:val="auto"/>
              </w:rPr>
            </w:pPr>
            <w:r>
              <w:rPr>
                <w:rFonts w:cs="Times New Roman"/>
                <w:b/>
                <w:bCs/>
                <w:color w:val="auto"/>
              </w:rPr>
              <w:t>表3-1大气环境质量现状与评价结果一览表</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06"/>
              <w:gridCol w:w="1644"/>
              <w:gridCol w:w="1079"/>
              <w:gridCol w:w="1237"/>
              <w:gridCol w:w="1098"/>
              <w:gridCol w:w="131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19" w:type="dxa"/>
                  <w:tcBorders>
                    <w:tl2br w:val="nil"/>
                    <w:tr2bl w:val="nil"/>
                  </w:tcBorders>
                  <w:shd w:val="clear" w:color="auto" w:fill="auto"/>
                  <w:vAlign w:val="center"/>
                </w:tcPr>
                <w:p>
                  <w:pPr>
                    <w:spacing w:line="240" w:lineRule="auto"/>
                    <w:ind w:firstLine="0" w:firstLineChars="0"/>
                    <w:jc w:val="center"/>
                    <w:rPr>
                      <w:rFonts w:cs="Times New Roman"/>
                      <w:b/>
                      <w:bCs/>
                      <w:color w:val="auto"/>
                      <w:spacing w:val="-16"/>
                      <w:sz w:val="21"/>
                      <w:szCs w:val="21"/>
                    </w:rPr>
                  </w:pPr>
                  <w:r>
                    <w:rPr>
                      <w:rFonts w:cs="Times New Roman"/>
                      <w:b/>
                      <w:bCs/>
                      <w:color w:val="auto"/>
                      <w:spacing w:val="-16"/>
                      <w:sz w:val="21"/>
                      <w:szCs w:val="21"/>
                    </w:rPr>
                    <w:t>污染物</w:t>
                  </w:r>
                </w:p>
              </w:tc>
              <w:tc>
                <w:tcPr>
                  <w:tcW w:w="1568" w:type="dxa"/>
                  <w:tcBorders>
                    <w:tl2br w:val="nil"/>
                    <w:tr2bl w:val="nil"/>
                  </w:tcBorders>
                  <w:shd w:val="clear" w:color="auto" w:fill="auto"/>
                  <w:vAlign w:val="center"/>
                </w:tcPr>
                <w:p>
                  <w:pPr>
                    <w:spacing w:line="240" w:lineRule="auto"/>
                    <w:ind w:firstLine="0" w:firstLineChars="0"/>
                    <w:jc w:val="center"/>
                    <w:rPr>
                      <w:rFonts w:cs="Times New Roman"/>
                      <w:b/>
                      <w:bCs/>
                      <w:color w:val="auto"/>
                      <w:spacing w:val="-16"/>
                      <w:sz w:val="21"/>
                      <w:szCs w:val="21"/>
                    </w:rPr>
                  </w:pPr>
                  <w:r>
                    <w:rPr>
                      <w:rFonts w:cs="Times New Roman"/>
                      <w:b/>
                      <w:bCs/>
                      <w:color w:val="auto"/>
                      <w:spacing w:val="-16"/>
                      <w:sz w:val="21"/>
                      <w:szCs w:val="21"/>
                    </w:rPr>
                    <w:t>年评价指标</w:t>
                  </w:r>
                </w:p>
              </w:tc>
              <w:tc>
                <w:tcPr>
                  <w:tcW w:w="1029" w:type="dxa"/>
                  <w:tcBorders>
                    <w:tl2br w:val="nil"/>
                    <w:tr2bl w:val="nil"/>
                  </w:tcBorders>
                  <w:shd w:val="clear" w:color="auto" w:fill="auto"/>
                  <w:vAlign w:val="center"/>
                </w:tcPr>
                <w:p>
                  <w:pPr>
                    <w:spacing w:line="240" w:lineRule="auto"/>
                    <w:ind w:firstLine="0" w:firstLineChars="0"/>
                    <w:jc w:val="center"/>
                    <w:rPr>
                      <w:rFonts w:cs="Times New Roman"/>
                      <w:b/>
                      <w:bCs/>
                      <w:color w:val="auto"/>
                      <w:spacing w:val="-16"/>
                      <w:sz w:val="21"/>
                      <w:szCs w:val="21"/>
                    </w:rPr>
                  </w:pPr>
                  <w:r>
                    <w:rPr>
                      <w:rFonts w:cs="Times New Roman"/>
                      <w:b/>
                      <w:bCs/>
                      <w:color w:val="auto"/>
                      <w:spacing w:val="-16"/>
                      <w:sz w:val="21"/>
                      <w:szCs w:val="21"/>
                    </w:rPr>
                    <w:t>现状浓度（μg/m</w:t>
                  </w:r>
                  <w:r>
                    <w:rPr>
                      <w:rFonts w:cs="Times New Roman"/>
                      <w:b/>
                      <w:bCs/>
                      <w:color w:val="auto"/>
                      <w:spacing w:val="-16"/>
                      <w:sz w:val="21"/>
                      <w:szCs w:val="21"/>
                      <w:vertAlign w:val="superscript"/>
                    </w:rPr>
                    <w:t>3</w:t>
                  </w:r>
                  <w:r>
                    <w:rPr>
                      <w:rFonts w:cs="Times New Roman"/>
                      <w:b/>
                      <w:bCs/>
                      <w:color w:val="auto"/>
                      <w:spacing w:val="-16"/>
                      <w:sz w:val="21"/>
                      <w:szCs w:val="21"/>
                    </w:rPr>
                    <w:t>）</w:t>
                  </w:r>
                </w:p>
              </w:tc>
              <w:tc>
                <w:tcPr>
                  <w:tcW w:w="1180" w:type="dxa"/>
                  <w:tcBorders>
                    <w:tl2br w:val="nil"/>
                    <w:tr2bl w:val="nil"/>
                  </w:tcBorders>
                  <w:shd w:val="clear" w:color="auto" w:fill="auto"/>
                  <w:vAlign w:val="center"/>
                </w:tcPr>
                <w:p>
                  <w:pPr>
                    <w:spacing w:line="240" w:lineRule="auto"/>
                    <w:ind w:firstLine="0" w:firstLineChars="0"/>
                    <w:jc w:val="center"/>
                    <w:rPr>
                      <w:rFonts w:cs="Times New Roman"/>
                      <w:b/>
                      <w:bCs/>
                      <w:color w:val="auto"/>
                      <w:spacing w:val="-16"/>
                      <w:sz w:val="21"/>
                      <w:szCs w:val="21"/>
                    </w:rPr>
                  </w:pPr>
                  <w:r>
                    <w:rPr>
                      <w:rFonts w:cs="Times New Roman"/>
                      <w:b/>
                      <w:bCs/>
                      <w:color w:val="auto"/>
                      <w:spacing w:val="-16"/>
                      <w:sz w:val="21"/>
                      <w:szCs w:val="21"/>
                    </w:rPr>
                    <w:t>标准值（μg/m</w:t>
                  </w:r>
                  <w:r>
                    <w:rPr>
                      <w:rFonts w:cs="Times New Roman"/>
                      <w:b/>
                      <w:bCs/>
                      <w:color w:val="auto"/>
                      <w:spacing w:val="-16"/>
                      <w:sz w:val="21"/>
                      <w:szCs w:val="21"/>
                      <w:vertAlign w:val="superscript"/>
                    </w:rPr>
                    <w:t>3</w:t>
                  </w:r>
                  <w:r>
                    <w:rPr>
                      <w:rFonts w:cs="Times New Roman"/>
                      <w:b/>
                      <w:bCs/>
                      <w:color w:val="auto"/>
                      <w:spacing w:val="-16"/>
                      <w:sz w:val="21"/>
                      <w:szCs w:val="21"/>
                    </w:rPr>
                    <w:t>）</w:t>
                  </w:r>
                </w:p>
              </w:tc>
              <w:tc>
                <w:tcPr>
                  <w:tcW w:w="1047" w:type="dxa"/>
                  <w:tcBorders>
                    <w:tl2br w:val="nil"/>
                    <w:tr2bl w:val="nil"/>
                  </w:tcBorders>
                  <w:shd w:val="clear" w:color="auto" w:fill="auto"/>
                  <w:vAlign w:val="center"/>
                </w:tcPr>
                <w:p>
                  <w:pPr>
                    <w:spacing w:line="240" w:lineRule="auto"/>
                    <w:ind w:firstLine="0" w:firstLineChars="0"/>
                    <w:jc w:val="center"/>
                    <w:rPr>
                      <w:rFonts w:cs="Times New Roman"/>
                      <w:b/>
                      <w:bCs/>
                      <w:color w:val="auto"/>
                      <w:spacing w:val="-16"/>
                      <w:sz w:val="21"/>
                      <w:szCs w:val="21"/>
                    </w:rPr>
                  </w:pPr>
                  <w:r>
                    <w:rPr>
                      <w:rFonts w:cs="Times New Roman"/>
                      <w:b/>
                      <w:bCs/>
                      <w:color w:val="auto"/>
                      <w:spacing w:val="-16"/>
                      <w:sz w:val="21"/>
                      <w:szCs w:val="21"/>
                    </w:rPr>
                    <w:t>占标率%</w:t>
                  </w:r>
                </w:p>
              </w:tc>
              <w:tc>
                <w:tcPr>
                  <w:tcW w:w="1252" w:type="dxa"/>
                  <w:tcBorders>
                    <w:tl2br w:val="nil"/>
                    <w:tr2bl w:val="nil"/>
                  </w:tcBorders>
                  <w:shd w:val="clear" w:color="auto" w:fill="auto"/>
                  <w:vAlign w:val="center"/>
                </w:tcPr>
                <w:p>
                  <w:pPr>
                    <w:spacing w:line="240" w:lineRule="auto"/>
                    <w:ind w:firstLine="0" w:firstLineChars="0"/>
                    <w:jc w:val="center"/>
                    <w:rPr>
                      <w:rFonts w:cs="Times New Roman"/>
                      <w:b/>
                      <w:bCs/>
                      <w:color w:val="auto"/>
                      <w:spacing w:val="-16"/>
                      <w:sz w:val="21"/>
                      <w:szCs w:val="21"/>
                    </w:rPr>
                  </w:pPr>
                  <w:r>
                    <w:rPr>
                      <w:rFonts w:cs="Times New Roman"/>
                      <w:b/>
                      <w:bCs/>
                      <w:color w:val="auto"/>
                      <w:spacing w:val="-16"/>
                      <w:sz w:val="21"/>
                      <w:szCs w:val="21"/>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19" w:type="dxa"/>
                  <w:tcBorders>
                    <w:tl2br w:val="nil"/>
                    <w:tr2bl w:val="nil"/>
                  </w:tcBorders>
                  <w:shd w:val="clear" w:color="auto" w:fill="auto"/>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细颗粒物（PM</w:t>
                  </w:r>
                  <w:r>
                    <w:rPr>
                      <w:rFonts w:cs="Times New Roman"/>
                      <w:color w:val="auto"/>
                      <w:spacing w:val="-16"/>
                      <w:sz w:val="21"/>
                      <w:szCs w:val="21"/>
                      <w:vertAlign w:val="subscript"/>
                    </w:rPr>
                    <w:t>2.5</w:t>
                  </w:r>
                  <w:r>
                    <w:rPr>
                      <w:rFonts w:cs="Times New Roman"/>
                      <w:color w:val="auto"/>
                      <w:spacing w:val="-16"/>
                      <w:sz w:val="21"/>
                      <w:szCs w:val="21"/>
                    </w:rPr>
                    <w:t>）</w:t>
                  </w:r>
                </w:p>
              </w:tc>
              <w:tc>
                <w:tcPr>
                  <w:tcW w:w="1568" w:type="dxa"/>
                  <w:tcBorders>
                    <w:tl2br w:val="nil"/>
                    <w:tr2bl w:val="nil"/>
                  </w:tcBorders>
                  <w:shd w:val="clear" w:color="auto" w:fill="auto"/>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年平均质量</w:t>
                  </w:r>
                </w:p>
              </w:tc>
              <w:tc>
                <w:tcPr>
                  <w:tcW w:w="1029" w:type="dxa"/>
                  <w:tcBorders>
                    <w:tl2br w:val="nil"/>
                    <w:tr2bl w:val="nil"/>
                  </w:tcBorders>
                  <w:shd w:val="clear" w:color="auto" w:fill="auto"/>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22</w:t>
                  </w:r>
                </w:p>
              </w:tc>
              <w:tc>
                <w:tcPr>
                  <w:tcW w:w="1180" w:type="dxa"/>
                  <w:tcBorders>
                    <w:tl2br w:val="nil"/>
                    <w:tr2bl w:val="nil"/>
                  </w:tcBorders>
                  <w:shd w:val="clear" w:color="auto" w:fill="auto"/>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35</w:t>
                  </w:r>
                </w:p>
              </w:tc>
              <w:tc>
                <w:tcPr>
                  <w:tcW w:w="1047" w:type="dxa"/>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63%</w:t>
                  </w:r>
                </w:p>
              </w:tc>
              <w:tc>
                <w:tcPr>
                  <w:tcW w:w="1252" w:type="dxa"/>
                  <w:tcBorders>
                    <w:tl2br w:val="nil"/>
                    <w:tr2bl w:val="nil"/>
                  </w:tcBorders>
                  <w:shd w:val="clear" w:color="auto" w:fill="auto"/>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19" w:type="dxa"/>
                  <w:tcBorders>
                    <w:tl2br w:val="nil"/>
                    <w:tr2bl w:val="nil"/>
                  </w:tcBorders>
                  <w:shd w:val="clear" w:color="auto" w:fill="auto"/>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可吸入颗粒物（PM</w:t>
                  </w:r>
                  <w:r>
                    <w:rPr>
                      <w:rFonts w:cs="Times New Roman"/>
                      <w:color w:val="auto"/>
                      <w:spacing w:val="-16"/>
                      <w:sz w:val="21"/>
                      <w:szCs w:val="21"/>
                      <w:vertAlign w:val="subscript"/>
                    </w:rPr>
                    <w:t>10</w:t>
                  </w:r>
                  <w:r>
                    <w:rPr>
                      <w:rFonts w:cs="Times New Roman"/>
                      <w:color w:val="auto"/>
                      <w:spacing w:val="-16"/>
                      <w:sz w:val="21"/>
                      <w:szCs w:val="21"/>
                    </w:rPr>
                    <w:t>）</w:t>
                  </w:r>
                </w:p>
              </w:tc>
              <w:tc>
                <w:tcPr>
                  <w:tcW w:w="1568" w:type="dxa"/>
                  <w:tcBorders>
                    <w:tl2br w:val="nil"/>
                    <w:tr2bl w:val="nil"/>
                  </w:tcBorders>
                  <w:shd w:val="clear" w:color="auto" w:fill="auto"/>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年平均质量</w:t>
                  </w:r>
                </w:p>
              </w:tc>
              <w:tc>
                <w:tcPr>
                  <w:tcW w:w="1029" w:type="dxa"/>
                  <w:tcBorders>
                    <w:tl2br w:val="nil"/>
                    <w:tr2bl w:val="nil"/>
                  </w:tcBorders>
                  <w:shd w:val="clear" w:color="auto" w:fill="auto"/>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63</w:t>
                  </w:r>
                </w:p>
              </w:tc>
              <w:tc>
                <w:tcPr>
                  <w:tcW w:w="1180" w:type="dxa"/>
                  <w:tcBorders>
                    <w:tl2br w:val="nil"/>
                    <w:tr2bl w:val="nil"/>
                  </w:tcBorders>
                  <w:shd w:val="clear" w:color="auto" w:fill="auto"/>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70</w:t>
                  </w:r>
                </w:p>
              </w:tc>
              <w:tc>
                <w:tcPr>
                  <w:tcW w:w="1047" w:type="dxa"/>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90%</w:t>
                  </w:r>
                </w:p>
              </w:tc>
              <w:tc>
                <w:tcPr>
                  <w:tcW w:w="1252" w:type="dxa"/>
                  <w:tcBorders>
                    <w:tl2br w:val="nil"/>
                    <w:tr2bl w:val="nil"/>
                  </w:tcBorders>
                  <w:shd w:val="clear" w:color="auto" w:fill="auto"/>
                  <w:vAlign w:val="center"/>
                </w:tcPr>
                <w:p>
                  <w:pPr>
                    <w:spacing w:line="240" w:lineRule="auto"/>
                    <w:ind w:firstLine="0" w:firstLineChars="0"/>
                    <w:jc w:val="center"/>
                    <w:rPr>
                      <w:rFonts w:cs="Times New Roman"/>
                      <w:b/>
                      <w:color w:val="auto"/>
                      <w:spacing w:val="-16"/>
                      <w:sz w:val="21"/>
                      <w:szCs w:val="21"/>
                    </w:rPr>
                  </w:pPr>
                  <w:r>
                    <w:rPr>
                      <w:rFonts w:cs="Times New Roman"/>
                      <w:color w:val="auto"/>
                      <w:spacing w:val="-16"/>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19" w:type="dxa"/>
                  <w:tcBorders>
                    <w:tl2br w:val="nil"/>
                    <w:tr2bl w:val="nil"/>
                  </w:tcBorders>
                  <w:shd w:val="clear" w:color="auto" w:fill="auto"/>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二氧化硫</w:t>
                  </w:r>
                </w:p>
              </w:tc>
              <w:tc>
                <w:tcPr>
                  <w:tcW w:w="1568" w:type="dxa"/>
                  <w:tcBorders>
                    <w:tl2br w:val="nil"/>
                    <w:tr2bl w:val="nil"/>
                  </w:tcBorders>
                  <w:shd w:val="clear" w:color="auto" w:fill="auto"/>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年平均质量</w:t>
                  </w:r>
                </w:p>
              </w:tc>
              <w:tc>
                <w:tcPr>
                  <w:tcW w:w="1029" w:type="dxa"/>
                  <w:tcBorders>
                    <w:tl2br w:val="nil"/>
                    <w:tr2bl w:val="nil"/>
                  </w:tcBorders>
                  <w:shd w:val="clear" w:color="auto" w:fill="auto"/>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17</w:t>
                  </w:r>
                </w:p>
              </w:tc>
              <w:tc>
                <w:tcPr>
                  <w:tcW w:w="1180" w:type="dxa"/>
                  <w:tcBorders>
                    <w:tl2br w:val="nil"/>
                    <w:tr2bl w:val="nil"/>
                  </w:tcBorders>
                  <w:shd w:val="clear" w:color="auto" w:fill="auto"/>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60</w:t>
                  </w:r>
                </w:p>
              </w:tc>
              <w:tc>
                <w:tcPr>
                  <w:tcW w:w="1047" w:type="dxa"/>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28%</w:t>
                  </w:r>
                </w:p>
              </w:tc>
              <w:tc>
                <w:tcPr>
                  <w:tcW w:w="1252" w:type="dxa"/>
                  <w:tcBorders>
                    <w:tl2br w:val="nil"/>
                    <w:tr2bl w:val="nil"/>
                  </w:tcBorders>
                  <w:shd w:val="clear" w:color="auto" w:fill="auto"/>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19" w:type="dxa"/>
                  <w:tcBorders>
                    <w:tl2br w:val="nil"/>
                    <w:tr2bl w:val="nil"/>
                  </w:tcBorders>
                  <w:shd w:val="clear" w:color="auto" w:fill="auto"/>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二氧化氮</w:t>
                  </w:r>
                </w:p>
              </w:tc>
              <w:tc>
                <w:tcPr>
                  <w:tcW w:w="1568" w:type="dxa"/>
                  <w:tcBorders>
                    <w:tl2br w:val="nil"/>
                    <w:tr2bl w:val="nil"/>
                  </w:tcBorders>
                  <w:shd w:val="clear" w:color="auto" w:fill="auto"/>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年平均质量</w:t>
                  </w:r>
                </w:p>
              </w:tc>
              <w:tc>
                <w:tcPr>
                  <w:tcW w:w="1029" w:type="dxa"/>
                  <w:tcBorders>
                    <w:tl2br w:val="nil"/>
                    <w:tr2bl w:val="nil"/>
                  </w:tcBorders>
                  <w:shd w:val="clear" w:color="auto" w:fill="auto"/>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28</w:t>
                  </w:r>
                </w:p>
              </w:tc>
              <w:tc>
                <w:tcPr>
                  <w:tcW w:w="1180" w:type="dxa"/>
                  <w:tcBorders>
                    <w:tl2br w:val="nil"/>
                    <w:tr2bl w:val="nil"/>
                  </w:tcBorders>
                  <w:shd w:val="clear" w:color="auto" w:fill="auto"/>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40</w:t>
                  </w:r>
                </w:p>
              </w:tc>
              <w:tc>
                <w:tcPr>
                  <w:tcW w:w="1047" w:type="dxa"/>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70%</w:t>
                  </w:r>
                </w:p>
              </w:tc>
              <w:tc>
                <w:tcPr>
                  <w:tcW w:w="1252" w:type="dxa"/>
                  <w:tcBorders>
                    <w:tl2br w:val="nil"/>
                    <w:tr2bl w:val="nil"/>
                  </w:tcBorders>
                  <w:shd w:val="clear" w:color="auto" w:fill="auto"/>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19" w:type="dxa"/>
                  <w:tcBorders>
                    <w:tl2br w:val="nil"/>
                    <w:tr2bl w:val="nil"/>
                  </w:tcBorders>
                  <w:shd w:val="clear" w:color="auto" w:fill="auto"/>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一氧化碳</w:t>
                  </w:r>
                </w:p>
              </w:tc>
              <w:tc>
                <w:tcPr>
                  <w:tcW w:w="1568" w:type="dxa"/>
                  <w:tcBorders>
                    <w:tl2br w:val="nil"/>
                    <w:tr2bl w:val="nil"/>
                  </w:tcBorders>
                  <w:shd w:val="clear" w:color="auto" w:fill="auto"/>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日平均浓度</w:t>
                  </w:r>
                </w:p>
              </w:tc>
              <w:tc>
                <w:tcPr>
                  <w:tcW w:w="1029" w:type="dxa"/>
                  <w:tcBorders>
                    <w:tl2br w:val="nil"/>
                    <w:tr2bl w:val="nil"/>
                  </w:tcBorders>
                  <w:shd w:val="clear" w:color="auto" w:fill="auto"/>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1400</w:t>
                  </w:r>
                </w:p>
              </w:tc>
              <w:tc>
                <w:tcPr>
                  <w:tcW w:w="1180" w:type="dxa"/>
                  <w:tcBorders>
                    <w:tl2br w:val="nil"/>
                    <w:tr2bl w:val="nil"/>
                  </w:tcBorders>
                  <w:shd w:val="clear" w:color="auto" w:fill="auto"/>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4000</w:t>
                  </w:r>
                </w:p>
              </w:tc>
              <w:tc>
                <w:tcPr>
                  <w:tcW w:w="1047" w:type="dxa"/>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35%</w:t>
                  </w:r>
                </w:p>
              </w:tc>
              <w:tc>
                <w:tcPr>
                  <w:tcW w:w="1252" w:type="dxa"/>
                  <w:tcBorders>
                    <w:tl2br w:val="nil"/>
                    <w:tr2bl w:val="nil"/>
                  </w:tcBorders>
                  <w:shd w:val="clear" w:color="auto" w:fill="auto"/>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19" w:type="dxa"/>
                  <w:tcBorders>
                    <w:tl2br w:val="nil"/>
                    <w:tr2bl w:val="nil"/>
                  </w:tcBorders>
                  <w:shd w:val="clear" w:color="auto" w:fill="auto"/>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臭氧</w:t>
                  </w:r>
                </w:p>
              </w:tc>
              <w:tc>
                <w:tcPr>
                  <w:tcW w:w="1568" w:type="dxa"/>
                  <w:tcBorders>
                    <w:tl2br w:val="nil"/>
                    <w:tr2bl w:val="nil"/>
                  </w:tcBorders>
                  <w:shd w:val="clear" w:color="auto" w:fill="auto"/>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8小时平均浓度</w:t>
                  </w:r>
                </w:p>
              </w:tc>
              <w:tc>
                <w:tcPr>
                  <w:tcW w:w="1029" w:type="dxa"/>
                  <w:tcBorders>
                    <w:tl2br w:val="nil"/>
                    <w:tr2bl w:val="nil"/>
                  </w:tcBorders>
                  <w:shd w:val="clear" w:color="auto" w:fill="auto"/>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135</w:t>
                  </w:r>
                </w:p>
              </w:tc>
              <w:tc>
                <w:tcPr>
                  <w:tcW w:w="1180" w:type="dxa"/>
                  <w:tcBorders>
                    <w:tl2br w:val="nil"/>
                    <w:tr2bl w:val="nil"/>
                  </w:tcBorders>
                  <w:shd w:val="clear" w:color="auto" w:fill="auto"/>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160</w:t>
                  </w:r>
                </w:p>
              </w:tc>
              <w:tc>
                <w:tcPr>
                  <w:tcW w:w="1047" w:type="dxa"/>
                  <w:tcBorders>
                    <w:tl2br w:val="nil"/>
                    <w:tr2bl w:val="nil"/>
                  </w:tcBorders>
                  <w:shd w:val="clear" w:color="auto" w:fill="auto"/>
                  <w:vAlign w:val="center"/>
                </w:tcPr>
                <w:p>
                  <w:pPr>
                    <w:spacing w:line="240" w:lineRule="auto"/>
                    <w:ind w:firstLine="0" w:firstLineChars="0"/>
                    <w:jc w:val="center"/>
                    <w:rPr>
                      <w:rFonts w:cs="Times New Roman"/>
                      <w:color w:val="auto"/>
                      <w:sz w:val="21"/>
                      <w:szCs w:val="21"/>
                    </w:rPr>
                  </w:pPr>
                  <w:r>
                    <w:rPr>
                      <w:rFonts w:cs="Times New Roman"/>
                      <w:color w:val="auto"/>
                      <w:sz w:val="21"/>
                      <w:szCs w:val="21"/>
                    </w:rPr>
                    <w:t>84%</w:t>
                  </w:r>
                </w:p>
              </w:tc>
              <w:tc>
                <w:tcPr>
                  <w:tcW w:w="1252" w:type="dxa"/>
                  <w:tcBorders>
                    <w:tl2br w:val="nil"/>
                    <w:tr2bl w:val="nil"/>
                  </w:tcBorders>
                  <w:shd w:val="clear" w:color="auto" w:fill="auto"/>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达标</w:t>
                  </w:r>
                </w:p>
              </w:tc>
            </w:tr>
          </w:tbl>
          <w:p>
            <w:pPr>
              <w:ind w:firstLine="480"/>
              <w:rPr>
                <w:rFonts w:cs="Times New Roman"/>
                <w:color w:val="auto"/>
              </w:rPr>
            </w:pPr>
            <w:r>
              <w:rPr>
                <w:rFonts w:cs="Times New Roman"/>
                <w:color w:val="auto"/>
              </w:rPr>
              <w:t>从上表可以看出，</w:t>
            </w:r>
            <w:r>
              <w:rPr>
                <w:rFonts w:cs="Times New Roman"/>
                <w:color w:val="auto"/>
                <w:kern w:val="0"/>
              </w:rPr>
              <w:t>巴彦淖尔市乌拉特前旗2022年大气环境中6项污染物中SO</w:t>
            </w:r>
            <w:r>
              <w:rPr>
                <w:rFonts w:cs="Times New Roman"/>
                <w:color w:val="auto"/>
                <w:kern w:val="0"/>
                <w:vertAlign w:val="subscript"/>
              </w:rPr>
              <w:t>2</w:t>
            </w:r>
            <w:r>
              <w:rPr>
                <w:rFonts w:cs="Times New Roman"/>
                <w:color w:val="auto"/>
                <w:kern w:val="0"/>
              </w:rPr>
              <w:t>、NO</w:t>
            </w:r>
            <w:r>
              <w:rPr>
                <w:rFonts w:cs="Times New Roman"/>
                <w:color w:val="auto"/>
                <w:kern w:val="0"/>
                <w:vertAlign w:val="subscript"/>
              </w:rPr>
              <w:t>2</w:t>
            </w:r>
            <w:r>
              <w:rPr>
                <w:rFonts w:cs="Times New Roman"/>
                <w:color w:val="auto"/>
                <w:kern w:val="0"/>
              </w:rPr>
              <w:t>、PM</w:t>
            </w:r>
            <w:r>
              <w:rPr>
                <w:rFonts w:cs="Times New Roman"/>
                <w:color w:val="auto"/>
                <w:kern w:val="0"/>
                <w:vertAlign w:val="subscript"/>
              </w:rPr>
              <w:t>10</w:t>
            </w:r>
            <w:r>
              <w:rPr>
                <w:rFonts w:cs="Times New Roman"/>
                <w:color w:val="auto"/>
                <w:kern w:val="0"/>
              </w:rPr>
              <w:t>、PM</w:t>
            </w:r>
            <w:r>
              <w:rPr>
                <w:rFonts w:cs="Times New Roman"/>
                <w:color w:val="auto"/>
                <w:kern w:val="0"/>
                <w:vertAlign w:val="subscript"/>
              </w:rPr>
              <w:t>2.5</w:t>
            </w:r>
            <w:r>
              <w:rPr>
                <w:rFonts w:cs="Times New Roman"/>
                <w:color w:val="auto"/>
                <w:kern w:val="0"/>
              </w:rPr>
              <w:t>、CO和O</w:t>
            </w:r>
            <w:r>
              <w:rPr>
                <w:rFonts w:cs="Times New Roman"/>
                <w:color w:val="auto"/>
                <w:kern w:val="0"/>
                <w:vertAlign w:val="subscript"/>
              </w:rPr>
              <w:t>3</w:t>
            </w:r>
            <w:r>
              <w:rPr>
                <w:rFonts w:cs="Times New Roman"/>
                <w:color w:val="auto"/>
                <w:kern w:val="0"/>
              </w:rPr>
              <w:t>质量浓度均满足《环境空气质量标准》（GB3095-2012）二级标准限值，由此可判断乌拉特前旗为达标区</w:t>
            </w:r>
            <w:r>
              <w:rPr>
                <w:rFonts w:cs="Times New Roman"/>
                <w:color w:val="auto"/>
              </w:rPr>
              <w:t>。</w:t>
            </w:r>
          </w:p>
          <w:p>
            <w:pPr>
              <w:ind w:firstLine="482"/>
              <w:jc w:val="left"/>
              <w:rPr>
                <w:rFonts w:cs="Times New Roman"/>
                <w:b/>
                <w:bCs/>
                <w:color w:val="auto"/>
                <w:szCs w:val="22"/>
              </w:rPr>
            </w:pPr>
            <w:r>
              <w:rPr>
                <w:rFonts w:cs="Times New Roman"/>
                <w:b/>
                <w:bCs/>
                <w:color w:val="auto"/>
                <w:szCs w:val="22"/>
              </w:rPr>
              <w:t>（2）特征污染物环境质量现状评价</w:t>
            </w:r>
          </w:p>
          <w:p>
            <w:pPr>
              <w:ind w:firstLine="480"/>
              <w:jc w:val="left"/>
              <w:rPr>
                <w:rFonts w:cs="Times New Roman"/>
                <w:color w:val="auto"/>
              </w:rPr>
            </w:pPr>
            <w:r>
              <w:rPr>
                <w:rFonts w:cs="Times New Roman"/>
                <w:color w:val="auto"/>
              </w:rPr>
              <w:t>本项目评价的特征污染物为氟化物，为掌握评价区环境空气质量现状，并为影响评价提供基础资料和数据，</w:t>
            </w:r>
            <w:bookmarkStart w:id="32" w:name="_Hlk162003602"/>
            <w:r>
              <w:rPr>
                <w:rFonts w:cs="Times New Roman"/>
                <w:color w:val="auto"/>
              </w:rPr>
              <w:t>本次评价氟化物引用《</w:t>
            </w:r>
            <w:bookmarkStart w:id="33" w:name="_Hlk114217719"/>
            <w:r>
              <w:rPr>
                <w:rFonts w:cs="Times New Roman"/>
                <w:color w:val="auto"/>
              </w:rPr>
              <w:t>内蒙古东立光伏电子有限公司多晶硅生产系统提质增效节能技改项目环境影响报告书</w:t>
            </w:r>
            <w:bookmarkEnd w:id="33"/>
            <w:r>
              <w:rPr>
                <w:rFonts w:cs="Times New Roman"/>
                <w:color w:val="auto"/>
              </w:rPr>
              <w:t>》中氟化物的监测数据。</w:t>
            </w:r>
          </w:p>
          <w:bookmarkEnd w:id="32"/>
          <w:p>
            <w:pPr>
              <w:ind w:firstLine="480"/>
              <w:jc w:val="left"/>
              <w:rPr>
                <w:rFonts w:cs="Times New Roman"/>
                <w:color w:val="auto"/>
              </w:rPr>
            </w:pPr>
            <w:bookmarkStart w:id="34" w:name="_Hlk162003619"/>
            <w:r>
              <w:rPr>
                <w:rFonts w:cs="Times New Roman"/>
                <w:color w:val="auto"/>
              </w:rPr>
              <w:t>氟化物监测单位：内蒙古神瑞科技检测有限公司；监测时间：2022年3月26日-4月1日（共连续监测7天有效数据）；监测点位：内蒙古东立光伏电子有限公司下风向，</w:t>
            </w:r>
            <w:bookmarkEnd w:id="34"/>
            <w:r>
              <w:rPr>
                <w:rFonts w:cs="Times New Roman"/>
                <w:color w:val="auto"/>
              </w:rPr>
              <w:t>监测点位与本项目的位置关系见表3-2；监测因子：氟化物。监测结果统计见表3-3。</w:t>
            </w:r>
          </w:p>
          <w:p>
            <w:pPr>
              <w:ind w:firstLine="482"/>
              <w:jc w:val="center"/>
              <w:rPr>
                <w:rFonts w:cs="Times New Roman"/>
                <w:b/>
                <w:bCs/>
                <w:color w:val="auto"/>
                <w:szCs w:val="22"/>
              </w:rPr>
            </w:pPr>
          </w:p>
          <w:p>
            <w:pPr>
              <w:ind w:firstLine="482"/>
              <w:jc w:val="center"/>
              <w:rPr>
                <w:rFonts w:cs="Times New Roman"/>
                <w:b/>
                <w:bCs/>
                <w:color w:val="auto"/>
                <w:szCs w:val="22"/>
              </w:rPr>
            </w:pPr>
            <w:r>
              <w:rPr>
                <w:rFonts w:cs="Times New Roman"/>
                <w:b/>
                <w:bCs/>
                <w:color w:val="auto"/>
                <w:szCs w:val="22"/>
              </w:rPr>
              <w:t>表3-2特征污染物监测点位基本信息</w:t>
            </w:r>
          </w:p>
          <w:tbl>
            <w:tblPr>
              <w:tblStyle w:val="26"/>
              <w:tblW w:w="82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20"/>
              <w:gridCol w:w="1441"/>
              <w:gridCol w:w="1594"/>
              <w:gridCol w:w="932"/>
              <w:gridCol w:w="1325"/>
              <w:gridCol w:w="1194"/>
              <w:gridCol w:w="10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dxa"/>
                  <w:vMerge w:val="restart"/>
                  <w:tcBorders>
                    <w:tl2br w:val="nil"/>
                    <w:tr2bl w:val="nil"/>
                  </w:tcBorders>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序号</w:t>
                  </w:r>
                </w:p>
              </w:tc>
              <w:tc>
                <w:tcPr>
                  <w:tcW w:w="3035" w:type="dxa"/>
                  <w:gridSpan w:val="2"/>
                  <w:tcBorders>
                    <w:tl2br w:val="nil"/>
                    <w:tr2bl w:val="nil"/>
                  </w:tcBorders>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坐标</w:t>
                  </w:r>
                </w:p>
              </w:tc>
              <w:tc>
                <w:tcPr>
                  <w:tcW w:w="932" w:type="dxa"/>
                  <w:vMerge w:val="restart"/>
                  <w:tcBorders>
                    <w:tl2br w:val="nil"/>
                    <w:tr2bl w:val="nil"/>
                  </w:tcBorders>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监测</w:t>
                  </w:r>
                </w:p>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因子</w:t>
                  </w:r>
                </w:p>
              </w:tc>
              <w:tc>
                <w:tcPr>
                  <w:tcW w:w="1325" w:type="dxa"/>
                  <w:vMerge w:val="restart"/>
                  <w:tcBorders>
                    <w:tl2br w:val="nil"/>
                    <w:tr2bl w:val="nil"/>
                  </w:tcBorders>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监测时段</w:t>
                  </w:r>
                </w:p>
              </w:tc>
              <w:tc>
                <w:tcPr>
                  <w:tcW w:w="1194" w:type="dxa"/>
                  <w:vMerge w:val="restart"/>
                  <w:tcBorders>
                    <w:tl2br w:val="nil"/>
                    <w:tr2bl w:val="nil"/>
                  </w:tcBorders>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相对本项目厂址方位</w:t>
                  </w:r>
                </w:p>
              </w:tc>
              <w:tc>
                <w:tcPr>
                  <w:tcW w:w="1071" w:type="dxa"/>
                  <w:vMerge w:val="restart"/>
                  <w:tcBorders>
                    <w:tl2br w:val="nil"/>
                    <w:tr2bl w:val="nil"/>
                  </w:tcBorders>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相对本项目厂界距离/m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dxa"/>
                  <w:vMerge w:val="continue"/>
                  <w:tcBorders>
                    <w:tl2br w:val="nil"/>
                    <w:tr2bl w:val="nil"/>
                  </w:tcBorders>
                  <w:vAlign w:val="center"/>
                </w:tcPr>
                <w:p>
                  <w:pPr>
                    <w:spacing w:line="240" w:lineRule="auto"/>
                    <w:ind w:firstLine="0" w:firstLineChars="0"/>
                    <w:jc w:val="center"/>
                    <w:rPr>
                      <w:rFonts w:cs="Times New Roman"/>
                      <w:color w:val="auto"/>
                      <w:spacing w:val="-16"/>
                      <w:sz w:val="21"/>
                      <w:szCs w:val="21"/>
                    </w:rPr>
                  </w:pPr>
                </w:p>
              </w:tc>
              <w:tc>
                <w:tcPr>
                  <w:tcW w:w="1441" w:type="dxa"/>
                  <w:tcBorders>
                    <w:tl2br w:val="nil"/>
                    <w:tr2bl w:val="nil"/>
                  </w:tcBorders>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北纬</w:t>
                  </w:r>
                </w:p>
              </w:tc>
              <w:tc>
                <w:tcPr>
                  <w:tcW w:w="1594" w:type="dxa"/>
                  <w:tcBorders>
                    <w:tl2br w:val="nil"/>
                    <w:tr2bl w:val="nil"/>
                  </w:tcBorders>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东经</w:t>
                  </w:r>
                </w:p>
              </w:tc>
              <w:tc>
                <w:tcPr>
                  <w:tcW w:w="932" w:type="dxa"/>
                  <w:vMerge w:val="continue"/>
                  <w:tcBorders>
                    <w:tl2br w:val="nil"/>
                    <w:tr2bl w:val="nil"/>
                  </w:tcBorders>
                  <w:vAlign w:val="center"/>
                </w:tcPr>
                <w:p>
                  <w:pPr>
                    <w:spacing w:line="240" w:lineRule="auto"/>
                    <w:ind w:firstLine="0" w:firstLineChars="0"/>
                    <w:jc w:val="center"/>
                    <w:rPr>
                      <w:rFonts w:cs="Times New Roman"/>
                      <w:color w:val="auto"/>
                      <w:spacing w:val="-16"/>
                      <w:sz w:val="21"/>
                      <w:szCs w:val="21"/>
                    </w:rPr>
                  </w:pPr>
                </w:p>
              </w:tc>
              <w:tc>
                <w:tcPr>
                  <w:tcW w:w="1325" w:type="dxa"/>
                  <w:vMerge w:val="continue"/>
                  <w:tcBorders>
                    <w:tl2br w:val="nil"/>
                    <w:tr2bl w:val="nil"/>
                  </w:tcBorders>
                  <w:vAlign w:val="center"/>
                </w:tcPr>
                <w:p>
                  <w:pPr>
                    <w:spacing w:line="240" w:lineRule="auto"/>
                    <w:ind w:firstLine="0" w:firstLineChars="0"/>
                    <w:jc w:val="center"/>
                    <w:rPr>
                      <w:rFonts w:cs="Times New Roman"/>
                      <w:color w:val="auto"/>
                      <w:spacing w:val="-16"/>
                      <w:sz w:val="21"/>
                      <w:szCs w:val="21"/>
                    </w:rPr>
                  </w:pPr>
                </w:p>
              </w:tc>
              <w:tc>
                <w:tcPr>
                  <w:tcW w:w="1194" w:type="dxa"/>
                  <w:vMerge w:val="continue"/>
                  <w:tcBorders>
                    <w:tl2br w:val="nil"/>
                    <w:tr2bl w:val="nil"/>
                  </w:tcBorders>
                  <w:vAlign w:val="center"/>
                </w:tcPr>
                <w:p>
                  <w:pPr>
                    <w:spacing w:line="240" w:lineRule="auto"/>
                    <w:ind w:firstLine="0" w:firstLineChars="0"/>
                    <w:jc w:val="center"/>
                    <w:rPr>
                      <w:rFonts w:cs="Times New Roman"/>
                      <w:color w:val="auto"/>
                      <w:spacing w:val="-16"/>
                      <w:sz w:val="21"/>
                      <w:szCs w:val="21"/>
                    </w:rPr>
                  </w:pPr>
                </w:p>
              </w:tc>
              <w:tc>
                <w:tcPr>
                  <w:tcW w:w="1071" w:type="dxa"/>
                  <w:vMerge w:val="continue"/>
                  <w:tcBorders>
                    <w:tl2br w:val="nil"/>
                    <w:tr2bl w:val="nil"/>
                  </w:tcBorders>
                  <w:vAlign w:val="center"/>
                </w:tcPr>
                <w:p>
                  <w:pPr>
                    <w:spacing w:line="240" w:lineRule="auto"/>
                    <w:ind w:firstLine="0" w:firstLineChars="0"/>
                    <w:jc w:val="center"/>
                    <w:rPr>
                      <w:rFonts w:cs="Times New Roman"/>
                      <w:color w:val="auto"/>
                      <w:spacing w:val="-16"/>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dxa"/>
                  <w:tcBorders>
                    <w:tl2br w:val="nil"/>
                    <w:tr2bl w:val="nil"/>
                  </w:tcBorders>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1#</w:t>
                  </w:r>
                </w:p>
              </w:tc>
              <w:tc>
                <w:tcPr>
                  <w:tcW w:w="1441" w:type="dxa"/>
                  <w:tcBorders>
                    <w:tl2br w:val="nil"/>
                    <w:tr2bl w:val="nil"/>
                  </w:tcBorders>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40°35′46.760″</w:t>
                  </w:r>
                </w:p>
              </w:tc>
              <w:tc>
                <w:tcPr>
                  <w:tcW w:w="1594" w:type="dxa"/>
                  <w:tcBorders>
                    <w:tl2br w:val="nil"/>
                    <w:tr2bl w:val="nil"/>
                  </w:tcBorders>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109°21′35.025″</w:t>
                  </w:r>
                </w:p>
              </w:tc>
              <w:tc>
                <w:tcPr>
                  <w:tcW w:w="932" w:type="dxa"/>
                  <w:tcBorders>
                    <w:tl2br w:val="nil"/>
                    <w:tr2bl w:val="nil"/>
                  </w:tcBorders>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氟化物</w:t>
                  </w:r>
                </w:p>
              </w:tc>
              <w:tc>
                <w:tcPr>
                  <w:tcW w:w="1325" w:type="dxa"/>
                  <w:tcBorders>
                    <w:tl2br w:val="nil"/>
                    <w:tr2bl w:val="nil"/>
                  </w:tcBorders>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1小时平均浓度</w:t>
                  </w:r>
                </w:p>
              </w:tc>
              <w:tc>
                <w:tcPr>
                  <w:tcW w:w="1194" w:type="dxa"/>
                  <w:tcBorders>
                    <w:tl2br w:val="nil"/>
                    <w:tr2bl w:val="nil"/>
                  </w:tcBorders>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项目东南侧</w:t>
                  </w:r>
                </w:p>
              </w:tc>
              <w:tc>
                <w:tcPr>
                  <w:tcW w:w="1071" w:type="dxa"/>
                  <w:tcBorders>
                    <w:tl2br w:val="nil"/>
                    <w:tr2bl w:val="nil"/>
                  </w:tcBorders>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4410</w:t>
                  </w:r>
                </w:p>
              </w:tc>
            </w:tr>
          </w:tbl>
          <w:p>
            <w:pPr>
              <w:spacing w:line="240" w:lineRule="auto"/>
              <w:ind w:firstLine="0" w:firstLineChars="0"/>
              <w:jc w:val="center"/>
              <w:rPr>
                <w:color w:val="auto"/>
                <w:sz w:val="21"/>
                <w:szCs w:val="21"/>
              </w:rPr>
            </w:pPr>
            <w:r>
              <w:rPr>
                <w:color w:val="auto"/>
                <w:sz w:val="21"/>
                <w:szCs w:val="21"/>
              </w:rPr>
              <w:t>表3-3特征污染物环境质量现状（监测结果）表</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55"/>
              <w:gridCol w:w="911"/>
              <w:gridCol w:w="1037"/>
              <w:gridCol w:w="1498"/>
              <w:gridCol w:w="1046"/>
              <w:gridCol w:w="2045"/>
              <w:gridCol w:w="118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35" w:type="pct"/>
                  <w:tcBorders>
                    <w:tl2br w:val="nil"/>
                    <w:tr2bl w:val="nil"/>
                  </w:tcBorders>
                  <w:tcMar>
                    <w:left w:w="28" w:type="dxa"/>
                    <w:right w:w="28" w:type="dxa"/>
                  </w:tcMar>
                  <w:vAlign w:val="center"/>
                </w:tcPr>
                <w:p>
                  <w:pPr>
                    <w:spacing w:line="240" w:lineRule="auto"/>
                    <w:ind w:firstLine="0" w:firstLineChars="0"/>
                    <w:jc w:val="center"/>
                    <w:rPr>
                      <w:rFonts w:cs="Times New Roman"/>
                      <w:color w:val="auto"/>
                      <w:spacing w:val="-16"/>
                      <w:sz w:val="21"/>
                      <w:szCs w:val="21"/>
                    </w:rPr>
                  </w:pPr>
                  <w:bookmarkStart w:id="35" w:name="_Hlk86313060"/>
                  <w:r>
                    <w:rPr>
                      <w:rFonts w:cs="Times New Roman"/>
                      <w:color w:val="auto"/>
                      <w:spacing w:val="-16"/>
                      <w:sz w:val="21"/>
                      <w:szCs w:val="21"/>
                    </w:rPr>
                    <w:t>采样编号</w:t>
                  </w:r>
                </w:p>
              </w:tc>
              <w:tc>
                <w:tcPr>
                  <w:tcW w:w="550" w:type="pct"/>
                  <w:tcBorders>
                    <w:tl2br w:val="nil"/>
                    <w:tr2bl w:val="nil"/>
                  </w:tcBorders>
                  <w:tcMar>
                    <w:left w:w="28" w:type="dxa"/>
                    <w:right w:w="28" w:type="dxa"/>
                  </w:tcMar>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采样地点</w:t>
                  </w:r>
                </w:p>
              </w:tc>
              <w:tc>
                <w:tcPr>
                  <w:tcW w:w="626" w:type="pct"/>
                  <w:tcBorders>
                    <w:tl2br w:val="nil"/>
                    <w:tr2bl w:val="nil"/>
                  </w:tcBorders>
                  <w:tcMar>
                    <w:left w:w="28" w:type="dxa"/>
                    <w:right w:w="28" w:type="dxa"/>
                  </w:tcMar>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取值时间</w:t>
                  </w:r>
                </w:p>
              </w:tc>
              <w:tc>
                <w:tcPr>
                  <w:tcW w:w="904" w:type="pct"/>
                  <w:tcBorders>
                    <w:tl2br w:val="nil"/>
                    <w:tr2bl w:val="nil"/>
                  </w:tcBorders>
                  <w:tcMar>
                    <w:left w:w="28" w:type="dxa"/>
                    <w:right w:w="28" w:type="dxa"/>
                  </w:tcMar>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污染物</w:t>
                  </w:r>
                </w:p>
              </w:tc>
              <w:tc>
                <w:tcPr>
                  <w:tcW w:w="631" w:type="pct"/>
                  <w:tcBorders>
                    <w:tl2br w:val="nil"/>
                    <w:tr2bl w:val="nil"/>
                  </w:tcBorders>
                  <w:tcMar>
                    <w:left w:w="28" w:type="dxa"/>
                    <w:right w:w="28" w:type="dxa"/>
                  </w:tcMar>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标准值（μg/m</w:t>
                  </w:r>
                  <w:r>
                    <w:rPr>
                      <w:rFonts w:cs="Times New Roman"/>
                      <w:color w:val="auto"/>
                      <w:spacing w:val="-16"/>
                      <w:sz w:val="21"/>
                      <w:szCs w:val="21"/>
                      <w:vertAlign w:val="superscript"/>
                    </w:rPr>
                    <w:t>3</w:t>
                  </w:r>
                  <w:r>
                    <w:rPr>
                      <w:rFonts w:cs="Times New Roman"/>
                      <w:color w:val="auto"/>
                      <w:spacing w:val="-16"/>
                      <w:sz w:val="21"/>
                      <w:szCs w:val="21"/>
                    </w:rPr>
                    <w:t>）</w:t>
                  </w:r>
                </w:p>
              </w:tc>
              <w:tc>
                <w:tcPr>
                  <w:tcW w:w="1234" w:type="pct"/>
                  <w:tcBorders>
                    <w:tl2br w:val="nil"/>
                    <w:tr2bl w:val="nil"/>
                  </w:tcBorders>
                  <w:tcMar>
                    <w:left w:w="28" w:type="dxa"/>
                    <w:right w:w="28" w:type="dxa"/>
                  </w:tcMar>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浓度范围（μg/m</w:t>
                  </w:r>
                  <w:r>
                    <w:rPr>
                      <w:rFonts w:cs="Times New Roman"/>
                      <w:color w:val="auto"/>
                      <w:spacing w:val="-16"/>
                      <w:sz w:val="21"/>
                      <w:szCs w:val="21"/>
                      <w:vertAlign w:val="superscript"/>
                    </w:rPr>
                    <w:t>3</w:t>
                  </w:r>
                  <w:r>
                    <w:rPr>
                      <w:rFonts w:cs="Times New Roman"/>
                      <w:color w:val="auto"/>
                      <w:spacing w:val="-16"/>
                      <w:sz w:val="21"/>
                      <w:szCs w:val="21"/>
                    </w:rPr>
                    <w:t>）</w:t>
                  </w:r>
                </w:p>
              </w:tc>
              <w:tc>
                <w:tcPr>
                  <w:tcW w:w="715" w:type="pct"/>
                  <w:tcBorders>
                    <w:tl2br w:val="nil"/>
                    <w:tr2bl w:val="nil"/>
                  </w:tcBorders>
                  <w:tcMar>
                    <w:left w:w="28" w:type="dxa"/>
                    <w:right w:w="28" w:type="dxa"/>
                  </w:tcMar>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超标率（%）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35" w:type="pct"/>
                  <w:tcBorders>
                    <w:tl2br w:val="nil"/>
                    <w:tr2bl w:val="nil"/>
                  </w:tcBorders>
                  <w:tcMar>
                    <w:left w:w="28" w:type="dxa"/>
                    <w:right w:w="28" w:type="dxa"/>
                  </w:tcMar>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1</w:t>
                  </w:r>
                </w:p>
              </w:tc>
              <w:tc>
                <w:tcPr>
                  <w:tcW w:w="550" w:type="pct"/>
                  <w:tcBorders>
                    <w:tl2br w:val="nil"/>
                    <w:tr2bl w:val="nil"/>
                  </w:tcBorders>
                  <w:tcMar>
                    <w:left w:w="28" w:type="dxa"/>
                    <w:right w:w="28" w:type="dxa"/>
                  </w:tcMar>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项目东南侧（引用点位）</w:t>
                  </w:r>
                </w:p>
              </w:tc>
              <w:tc>
                <w:tcPr>
                  <w:tcW w:w="626" w:type="pct"/>
                  <w:tcBorders>
                    <w:tl2br w:val="nil"/>
                    <w:tr2bl w:val="nil"/>
                  </w:tcBorders>
                  <w:tcMar>
                    <w:left w:w="28" w:type="dxa"/>
                    <w:right w:w="28" w:type="dxa"/>
                  </w:tcMar>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1小时平均</w:t>
                  </w:r>
                </w:p>
              </w:tc>
              <w:tc>
                <w:tcPr>
                  <w:tcW w:w="904" w:type="pct"/>
                  <w:tcBorders>
                    <w:tl2br w:val="nil"/>
                    <w:tr2bl w:val="nil"/>
                  </w:tcBorders>
                  <w:tcMar>
                    <w:left w:w="28" w:type="dxa"/>
                    <w:right w:w="28" w:type="dxa"/>
                  </w:tcMar>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氟化物</w:t>
                  </w:r>
                </w:p>
              </w:tc>
              <w:tc>
                <w:tcPr>
                  <w:tcW w:w="631" w:type="pct"/>
                  <w:tcBorders>
                    <w:tl2br w:val="nil"/>
                    <w:tr2bl w:val="nil"/>
                  </w:tcBorders>
                  <w:tcMar>
                    <w:left w:w="28" w:type="dxa"/>
                    <w:right w:w="28" w:type="dxa"/>
                  </w:tcMar>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20</w:t>
                  </w:r>
                </w:p>
              </w:tc>
              <w:tc>
                <w:tcPr>
                  <w:tcW w:w="1234" w:type="pct"/>
                  <w:tcBorders>
                    <w:tl2br w:val="nil"/>
                    <w:tr2bl w:val="nil"/>
                  </w:tcBorders>
                  <w:tcMar>
                    <w:left w:w="28" w:type="dxa"/>
                    <w:right w:w="28" w:type="dxa"/>
                  </w:tcMar>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6.0-8.4</w:t>
                  </w:r>
                </w:p>
              </w:tc>
              <w:tc>
                <w:tcPr>
                  <w:tcW w:w="715" w:type="pct"/>
                  <w:tcBorders>
                    <w:tl2br w:val="nil"/>
                    <w:tr2bl w:val="nil"/>
                  </w:tcBorders>
                  <w:tcMar>
                    <w:left w:w="28" w:type="dxa"/>
                    <w:right w:w="28" w:type="dxa"/>
                  </w:tcMar>
                  <w:vAlign w:val="center"/>
                </w:tcPr>
                <w:p>
                  <w:pPr>
                    <w:spacing w:line="240" w:lineRule="auto"/>
                    <w:ind w:firstLine="0" w:firstLineChars="0"/>
                    <w:jc w:val="center"/>
                    <w:rPr>
                      <w:rFonts w:cs="Times New Roman"/>
                      <w:color w:val="auto"/>
                      <w:spacing w:val="-16"/>
                      <w:sz w:val="21"/>
                      <w:szCs w:val="21"/>
                    </w:rPr>
                  </w:pPr>
                  <w:r>
                    <w:rPr>
                      <w:rFonts w:cs="Times New Roman"/>
                      <w:color w:val="auto"/>
                      <w:spacing w:val="-16"/>
                      <w:sz w:val="21"/>
                      <w:szCs w:val="21"/>
                    </w:rPr>
                    <w:t>0</w:t>
                  </w:r>
                </w:p>
              </w:tc>
            </w:tr>
            <w:bookmarkEnd w:id="35"/>
          </w:tbl>
          <w:p>
            <w:pPr>
              <w:ind w:firstLine="480"/>
              <w:rPr>
                <w:color w:val="auto"/>
              </w:rPr>
            </w:pPr>
            <w:r>
              <w:rPr>
                <w:color w:val="auto"/>
              </w:rPr>
              <w:t>从上表特征污染物现状监测数据统计结果可知，</w:t>
            </w:r>
            <w:bookmarkStart w:id="36" w:name="_Hlk162003639"/>
            <w:r>
              <w:rPr>
                <w:color w:val="auto"/>
              </w:rPr>
              <w:t>特征污染物（氟化物）质量浓度满足《环境空气质量标准》</w:t>
            </w:r>
            <w:r>
              <w:rPr>
                <w:rFonts w:hint="eastAsia"/>
                <w:color w:val="auto"/>
                <w:lang w:eastAsia="zh-CN"/>
              </w:rPr>
              <w:t>（</w:t>
            </w:r>
            <w:r>
              <w:rPr>
                <w:color w:val="auto"/>
              </w:rPr>
              <w:t>GB3095－2012）二级标准。</w:t>
            </w:r>
            <w:bookmarkEnd w:id="36"/>
          </w:p>
          <w:p>
            <w:pPr>
              <w:ind w:firstLine="480"/>
              <w:rPr>
                <w:color w:val="auto"/>
              </w:rPr>
            </w:pPr>
            <w:r>
              <w:rPr>
                <w:color w:val="auto"/>
              </w:rPr>
              <w:t>引用可行性分析：根据《建设项目环境影响报告表编制技术指南》（污染影响类）（试行）“排放国家、地方环境空气质量标准中有标准限值要求的特征污染物时，引用建设项目周边5千米范围内近3年的现有监测数据”，本项目引用数据的监测时间为2022年3月，在有效期3年之内；并且距离本项目4410m，在5km范围之内；因此，该环境空气监测点位可引用。</w:t>
            </w:r>
          </w:p>
          <w:p>
            <w:pPr>
              <w:ind w:firstLine="482"/>
              <w:rPr>
                <w:b/>
                <w:bCs/>
                <w:color w:val="auto"/>
              </w:rPr>
            </w:pPr>
            <w:r>
              <w:rPr>
                <w:b/>
                <w:bCs/>
                <w:color w:val="auto"/>
              </w:rPr>
              <w:t>2、声环境质量现状</w:t>
            </w:r>
          </w:p>
          <w:p>
            <w:pPr>
              <w:ind w:firstLine="480"/>
              <w:rPr>
                <w:color w:val="auto"/>
              </w:rPr>
            </w:pPr>
            <w:r>
              <w:rPr>
                <w:color w:val="auto"/>
              </w:rPr>
              <w:t>根据《建设项目环境影响报告表编制技术指南（污染影响类）》（试行），本项目厂界外50米范围内不存在声环境保护目标，可不开展声环境质量现状调查。</w:t>
            </w:r>
          </w:p>
          <w:p>
            <w:pPr>
              <w:ind w:firstLine="482"/>
              <w:rPr>
                <w:b/>
                <w:bCs/>
                <w:color w:val="auto"/>
              </w:rPr>
            </w:pPr>
            <w:r>
              <w:rPr>
                <w:b/>
                <w:bCs/>
                <w:color w:val="auto"/>
              </w:rPr>
              <w:t>3、地下水和土壤的区域环境质量现状</w:t>
            </w:r>
          </w:p>
          <w:p>
            <w:pPr>
              <w:ind w:firstLine="480"/>
              <w:rPr>
                <w:color w:val="auto"/>
              </w:rPr>
            </w:pPr>
            <w:r>
              <w:rPr>
                <w:color w:val="auto"/>
              </w:rPr>
              <w:t>按照《建设项目环境影响报告表编制技术指南（污染影响类）（试行）》，原则上不开展地下水、土壤环境质量现状调查。</w:t>
            </w:r>
          </w:p>
          <w:p>
            <w:pPr>
              <w:ind w:firstLine="480"/>
              <w:rPr>
                <w:color w:val="auto"/>
              </w:rPr>
            </w:pPr>
            <w:r>
              <w:rPr>
                <w:color w:val="auto"/>
              </w:rPr>
              <w:t>依据《环境影响评价技术导则地下水环境》（HJ610-2016）附录A-地下水环境影响评价行业分类表之划分，建设项目地下水环境影响评价项目类别属</w:t>
            </w:r>
            <w:r>
              <w:rPr>
                <w:color w:val="auto"/>
              </w:rPr>
              <w:fldChar w:fldCharType="begin"/>
            </w:r>
            <w:r>
              <w:rPr>
                <w:color w:val="auto"/>
              </w:rPr>
              <w:instrText xml:space="preserve"> = 4 \* ROMAN </w:instrText>
            </w:r>
            <w:r>
              <w:rPr>
                <w:color w:val="auto"/>
              </w:rPr>
              <w:fldChar w:fldCharType="separate"/>
            </w:r>
            <w:r>
              <w:rPr>
                <w:color w:val="auto"/>
              </w:rPr>
              <w:t>Ⅳ</w:t>
            </w:r>
            <w:r>
              <w:rPr>
                <w:color w:val="auto"/>
              </w:rPr>
              <w:fldChar w:fldCharType="end"/>
            </w:r>
            <w:r>
              <w:rPr>
                <w:color w:val="auto"/>
              </w:rPr>
              <w:t>类（参见附录A-地下水环境影响评价行业分类表-82、半导体材料、电子陶瓷、有机薄膜、荧光粉、贵金属粉等电子专用材料）。因此无需进行地下水监测及评价。</w:t>
            </w:r>
          </w:p>
          <w:p>
            <w:pPr>
              <w:ind w:firstLine="480"/>
              <w:rPr>
                <w:rFonts w:cs="Times New Roman"/>
                <w:color w:val="auto"/>
              </w:rPr>
            </w:pPr>
            <w:r>
              <w:rPr>
                <w:color w:val="auto"/>
              </w:rPr>
              <w:t>对照《环境影响评价技术导则土壤环境（试行）》（HJ964-2018），判定本项目土壤类别为“其他”，为Ⅳ类建设项目，根据《环境影响评价技术导则土壤环境（试行）》（HJ964-2018）4.2.2“Ⅳ类项目可不开展土壤环境影响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4" w:type="dxa"/>
            <w:vAlign w:val="center"/>
          </w:tcPr>
          <w:p>
            <w:pPr>
              <w:ind w:firstLine="0" w:firstLineChars="0"/>
              <w:jc w:val="center"/>
              <w:rPr>
                <w:rFonts w:cs="Times New Roman"/>
                <w:b/>
                <w:bCs/>
                <w:color w:val="auto"/>
              </w:rPr>
            </w:pPr>
            <w:r>
              <w:rPr>
                <w:rFonts w:cs="Times New Roman"/>
                <w:b/>
                <w:bCs/>
                <w:color w:val="auto"/>
              </w:rPr>
              <w:t>环境保护目标</w:t>
            </w:r>
          </w:p>
        </w:tc>
        <w:tc>
          <w:tcPr>
            <w:tcW w:w="8492" w:type="dxa"/>
            <w:vAlign w:val="center"/>
          </w:tcPr>
          <w:p>
            <w:pPr>
              <w:ind w:firstLine="480"/>
              <w:jc w:val="left"/>
              <w:rPr>
                <w:rFonts w:cs="Times New Roman"/>
                <w:color w:val="auto"/>
              </w:rPr>
            </w:pPr>
            <w:r>
              <w:rPr>
                <w:rFonts w:cs="Times New Roman"/>
                <w:color w:val="auto"/>
              </w:rPr>
              <w:t>评价范围内无文物古迹、自然保护区等敏感目标，详见表3-4所示。</w:t>
            </w:r>
          </w:p>
          <w:p>
            <w:pPr>
              <w:tabs>
                <w:tab w:val="left" w:pos="1992"/>
              </w:tabs>
              <w:ind w:firstLine="482"/>
              <w:jc w:val="center"/>
              <w:rPr>
                <w:rFonts w:cs="Times New Roman"/>
                <w:b/>
                <w:bCs/>
                <w:color w:val="auto"/>
              </w:rPr>
            </w:pPr>
            <w:r>
              <w:rPr>
                <w:rFonts w:cs="Times New Roman"/>
                <w:b/>
                <w:bCs/>
                <w:color w:val="auto"/>
              </w:rPr>
              <w:t>表3-4具体保护目标</w:t>
            </w:r>
          </w:p>
          <w:tbl>
            <w:tblPr>
              <w:tblStyle w:val="26"/>
              <w:tblW w:w="82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4"/>
              <w:gridCol w:w="915"/>
              <w:gridCol w:w="862"/>
              <w:gridCol w:w="1420"/>
              <w:gridCol w:w="676"/>
              <w:gridCol w:w="813"/>
              <w:gridCol w:w="787"/>
              <w:gridCol w:w="21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7" w:type="dxa"/>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环境要素</w:t>
                  </w:r>
                </w:p>
              </w:tc>
              <w:tc>
                <w:tcPr>
                  <w:tcW w:w="971" w:type="dxa"/>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保护范围</w:t>
                  </w:r>
                </w:p>
              </w:tc>
              <w:tc>
                <w:tcPr>
                  <w:tcW w:w="971" w:type="dxa"/>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保护目标名称</w:t>
                  </w:r>
                </w:p>
              </w:tc>
              <w:tc>
                <w:tcPr>
                  <w:tcW w:w="1669" w:type="dxa"/>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坐标</w:t>
                  </w:r>
                </w:p>
              </w:tc>
              <w:tc>
                <w:tcPr>
                  <w:tcW w:w="738" w:type="dxa"/>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相对位置</w:t>
                  </w:r>
                </w:p>
              </w:tc>
              <w:tc>
                <w:tcPr>
                  <w:tcW w:w="738" w:type="dxa"/>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距离（m）</w:t>
                  </w:r>
                </w:p>
              </w:tc>
              <w:tc>
                <w:tcPr>
                  <w:tcW w:w="877" w:type="dxa"/>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人数</w:t>
                  </w:r>
                </w:p>
              </w:tc>
              <w:tc>
                <w:tcPr>
                  <w:tcW w:w="1576" w:type="dxa"/>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保护级别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7"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环境空气</w:t>
                  </w:r>
                </w:p>
              </w:tc>
              <w:tc>
                <w:tcPr>
                  <w:tcW w:w="971"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厂界外扩500m范围</w:t>
                  </w:r>
                </w:p>
              </w:tc>
              <w:tc>
                <w:tcPr>
                  <w:tcW w:w="4993" w:type="dxa"/>
                  <w:gridSpan w:val="5"/>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厂区位于园区，厂界外500m范围内没有自然保护区、风景名胜区、居住区、文化区和农村地区中人群较集中的区域等保护目标</w:t>
                  </w:r>
                </w:p>
              </w:tc>
              <w:tc>
                <w:tcPr>
                  <w:tcW w:w="1576"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《环境空气质量标准》（GB3095-2012）二级标准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7"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声环境</w:t>
                  </w:r>
                </w:p>
              </w:tc>
              <w:tc>
                <w:tcPr>
                  <w:tcW w:w="971"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厂界外扩50m范围</w:t>
                  </w:r>
                </w:p>
              </w:tc>
              <w:tc>
                <w:tcPr>
                  <w:tcW w:w="4993" w:type="dxa"/>
                  <w:gridSpan w:val="5"/>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厂界外50m范围内没有声环境保护目标</w:t>
                  </w:r>
                </w:p>
              </w:tc>
              <w:tc>
                <w:tcPr>
                  <w:tcW w:w="1576"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《声环境质量标准》（GB3096-2008）3类标准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7"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地下水环境</w:t>
                  </w:r>
                </w:p>
              </w:tc>
              <w:tc>
                <w:tcPr>
                  <w:tcW w:w="971"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厂界外扩500m范围</w:t>
                  </w:r>
                </w:p>
              </w:tc>
              <w:tc>
                <w:tcPr>
                  <w:tcW w:w="4993" w:type="dxa"/>
                  <w:gridSpan w:val="5"/>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厂界外500m范围内没有地下水集中式饮用水水源和热水、矿泉水、温泉等特殊地下水资源</w:t>
                  </w:r>
                </w:p>
              </w:tc>
              <w:tc>
                <w:tcPr>
                  <w:tcW w:w="1576"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《地下水质量标准》</w:t>
                  </w:r>
                </w:p>
                <w:p>
                  <w:pPr>
                    <w:spacing w:line="240" w:lineRule="auto"/>
                    <w:ind w:firstLine="0" w:firstLineChars="0"/>
                    <w:jc w:val="center"/>
                    <w:rPr>
                      <w:rFonts w:cs="Times New Roman"/>
                      <w:color w:val="auto"/>
                      <w:sz w:val="21"/>
                      <w:szCs w:val="21"/>
                    </w:rPr>
                  </w:pPr>
                  <w:r>
                    <w:rPr>
                      <w:rFonts w:hint="eastAsia" w:cs="Times New Roman"/>
                      <w:color w:val="auto"/>
                      <w:sz w:val="21"/>
                      <w:szCs w:val="21"/>
                      <w:lang w:eastAsia="zh-CN"/>
                    </w:rPr>
                    <w:t>（</w:t>
                  </w:r>
                  <w:r>
                    <w:rPr>
                      <w:rFonts w:cs="Times New Roman"/>
                      <w:color w:val="auto"/>
                      <w:sz w:val="21"/>
                      <w:szCs w:val="21"/>
                    </w:rPr>
                    <w:t>GB/T14848-2017）中</w:t>
                  </w:r>
                  <w:r>
                    <w:rPr>
                      <w:rFonts w:cs="Times New Roman"/>
                      <w:color w:val="auto"/>
                      <w:sz w:val="21"/>
                      <w:szCs w:val="21"/>
                    </w:rPr>
                    <w:fldChar w:fldCharType="begin"/>
                  </w:r>
                  <w:r>
                    <w:rPr>
                      <w:rFonts w:cs="Times New Roman"/>
                      <w:color w:val="auto"/>
                      <w:sz w:val="21"/>
                      <w:szCs w:val="21"/>
                    </w:rPr>
                    <w:instrText xml:space="preserve"> = 3 \* ROMAN \* MERGEFORMAT </w:instrText>
                  </w:r>
                  <w:r>
                    <w:rPr>
                      <w:rFonts w:cs="Times New Roman"/>
                      <w:color w:val="auto"/>
                      <w:sz w:val="21"/>
                      <w:szCs w:val="21"/>
                    </w:rPr>
                    <w:fldChar w:fldCharType="separate"/>
                  </w:r>
                  <w:r>
                    <w:rPr>
                      <w:rFonts w:cs="Times New Roman"/>
                      <w:color w:val="auto"/>
                      <w:sz w:val="21"/>
                      <w:szCs w:val="21"/>
                    </w:rPr>
                    <w:t>III</w:t>
                  </w:r>
                  <w:r>
                    <w:rPr>
                      <w:rFonts w:cs="Times New Roman"/>
                      <w:color w:val="auto"/>
                      <w:sz w:val="21"/>
                      <w:szCs w:val="21"/>
                    </w:rPr>
                    <w:fldChar w:fldCharType="end"/>
                  </w:r>
                  <w:r>
                    <w:rPr>
                      <w:rFonts w:cs="Times New Roman"/>
                      <w:color w:val="auto"/>
                      <w:sz w:val="21"/>
                      <w:szCs w:val="21"/>
                    </w:rPr>
                    <w:t>类标准</w:t>
                  </w:r>
                </w:p>
              </w:tc>
            </w:tr>
          </w:tbl>
          <w:p>
            <w:pPr>
              <w:ind w:firstLine="480"/>
              <w:jc w:val="center"/>
              <w:rPr>
                <w:rFonts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4" w:type="dxa"/>
            <w:vAlign w:val="center"/>
          </w:tcPr>
          <w:p>
            <w:pPr>
              <w:ind w:firstLine="0" w:firstLineChars="0"/>
              <w:jc w:val="center"/>
              <w:rPr>
                <w:rFonts w:cs="Times New Roman"/>
                <w:b/>
                <w:bCs/>
                <w:color w:val="auto"/>
              </w:rPr>
            </w:pPr>
            <w:r>
              <w:rPr>
                <w:rFonts w:cs="Times New Roman"/>
                <w:b/>
                <w:bCs/>
                <w:color w:val="auto"/>
              </w:rPr>
              <w:t>污染物排放控制标准</w:t>
            </w:r>
          </w:p>
        </w:tc>
        <w:tc>
          <w:tcPr>
            <w:tcW w:w="8492" w:type="dxa"/>
            <w:vAlign w:val="center"/>
          </w:tcPr>
          <w:p>
            <w:pPr>
              <w:ind w:firstLine="482"/>
              <w:rPr>
                <w:rFonts w:cs="Times New Roman"/>
                <w:b/>
                <w:bCs/>
                <w:color w:val="auto"/>
                <w:szCs w:val="22"/>
              </w:rPr>
            </w:pPr>
            <w:r>
              <w:rPr>
                <w:rFonts w:cs="Times New Roman"/>
                <w:b/>
                <w:bCs/>
                <w:color w:val="auto"/>
                <w:szCs w:val="22"/>
              </w:rPr>
              <w:t>1、大气污染物排放标准</w:t>
            </w:r>
          </w:p>
          <w:p>
            <w:pPr>
              <w:ind w:firstLine="480"/>
              <w:rPr>
                <w:rFonts w:cs="Times New Roman"/>
                <w:color w:val="auto"/>
              </w:rPr>
            </w:pPr>
            <w:r>
              <w:rPr>
                <w:rFonts w:cs="Times New Roman"/>
                <w:color w:val="auto"/>
              </w:rPr>
              <w:t>本项目施工期产生的废气污染物主要是颗粒物，排放执行《大气污染物综合排放标准》（GB16297-1996）表2新污染源大气污染物排放限值中“无组织排放监控浓度限值”；</w:t>
            </w:r>
          </w:p>
          <w:p>
            <w:pPr>
              <w:ind w:firstLine="480"/>
              <w:jc w:val="left"/>
              <w:rPr>
                <w:rFonts w:cs="Times New Roman"/>
                <w:b/>
                <w:color w:val="auto"/>
              </w:rPr>
            </w:pPr>
            <w:bookmarkStart w:id="37" w:name="_Hlk163637568"/>
            <w:r>
              <w:rPr>
                <w:rFonts w:cs="Times New Roman"/>
                <w:color w:val="auto"/>
              </w:rPr>
              <w:t>本项目工艺废气参考执行《稀土工业污染物排放标准》（GB26451-2011）表5大气污染物排放限值、表6企业边界大气污染物浓度限值。</w:t>
            </w:r>
          </w:p>
          <w:bookmarkEnd w:id="37"/>
          <w:p>
            <w:pPr>
              <w:ind w:firstLine="0" w:firstLineChars="0"/>
              <w:jc w:val="center"/>
              <w:rPr>
                <w:rFonts w:cs="Times New Roman"/>
                <w:b/>
                <w:color w:val="auto"/>
              </w:rPr>
            </w:pPr>
            <w:bookmarkStart w:id="38" w:name="_Hlk163637590"/>
            <w:r>
              <w:rPr>
                <w:rFonts w:cs="Times New Roman"/>
                <w:b/>
                <w:color w:val="auto"/>
              </w:rPr>
              <w:t>表3-5稀土工业污染物排放标准（GB26451-2011）表5大气污染物排放限值</w:t>
            </w:r>
            <w:r>
              <w:rPr>
                <w:rFonts w:cs="Times New Roman"/>
                <w:b/>
                <w:bCs/>
                <w:color w:val="auto"/>
              </w:rPr>
              <w:t>单位：mg/m</w:t>
            </w:r>
            <w:r>
              <w:rPr>
                <w:rFonts w:cs="Times New Roman"/>
                <w:b/>
                <w:bCs/>
                <w:color w:val="auto"/>
                <w:vertAlign w:val="superscript"/>
              </w:rPr>
              <w:t>3</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53"/>
              <w:gridCol w:w="2048"/>
              <w:gridCol w:w="2309"/>
              <w:gridCol w:w="1237"/>
              <w:gridCol w:w="19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455" w:type="pct"/>
                  <w:vMerge w:val="restart"/>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序号</w:t>
                  </w:r>
                </w:p>
              </w:tc>
              <w:tc>
                <w:tcPr>
                  <w:tcW w:w="1237" w:type="pct"/>
                  <w:vMerge w:val="restart"/>
                  <w:vAlign w:val="center"/>
                </w:tcPr>
                <w:p>
                  <w:pPr>
                    <w:spacing w:line="240" w:lineRule="auto"/>
                    <w:ind w:firstLine="0" w:firstLineChars="0"/>
                    <w:jc w:val="center"/>
                    <w:rPr>
                      <w:rFonts w:cs="Times New Roman"/>
                      <w:color w:val="auto"/>
                      <w:sz w:val="21"/>
                      <w:szCs w:val="21"/>
                    </w:rPr>
                  </w:pPr>
                  <w:r>
                    <w:rPr>
                      <w:rFonts w:cs="Times New Roman"/>
                      <w:color w:val="auto"/>
                      <w:sz w:val="21"/>
                      <w:szCs w:val="21"/>
                    </w:rPr>
                    <w:t>污染物项目</w:t>
                  </w:r>
                </w:p>
              </w:tc>
              <w:tc>
                <w:tcPr>
                  <w:tcW w:w="1395" w:type="pct"/>
                  <w:vMerge w:val="restart"/>
                  <w:vAlign w:val="center"/>
                </w:tcPr>
                <w:p>
                  <w:pPr>
                    <w:spacing w:line="240" w:lineRule="auto"/>
                    <w:ind w:firstLine="0" w:firstLineChars="0"/>
                    <w:jc w:val="center"/>
                    <w:rPr>
                      <w:rFonts w:cs="Times New Roman"/>
                      <w:color w:val="auto"/>
                      <w:sz w:val="21"/>
                      <w:szCs w:val="21"/>
                    </w:rPr>
                  </w:pPr>
                  <w:r>
                    <w:rPr>
                      <w:rFonts w:cs="Times New Roman"/>
                      <w:color w:val="auto"/>
                      <w:sz w:val="21"/>
                      <w:szCs w:val="21"/>
                    </w:rPr>
                    <w:t>生产工艺及设备</w:t>
                  </w:r>
                </w:p>
              </w:tc>
              <w:tc>
                <w:tcPr>
                  <w:tcW w:w="747" w:type="pct"/>
                  <w:vMerge w:val="restart"/>
                  <w:vAlign w:val="center"/>
                </w:tcPr>
                <w:p>
                  <w:pPr>
                    <w:spacing w:line="240" w:lineRule="auto"/>
                    <w:ind w:firstLine="0" w:firstLineChars="0"/>
                    <w:jc w:val="center"/>
                    <w:rPr>
                      <w:rFonts w:cs="Times New Roman"/>
                      <w:color w:val="auto"/>
                      <w:sz w:val="21"/>
                      <w:szCs w:val="21"/>
                    </w:rPr>
                  </w:pPr>
                  <w:r>
                    <w:rPr>
                      <w:rFonts w:cs="Times New Roman"/>
                      <w:color w:val="auto"/>
                      <w:sz w:val="21"/>
                      <w:szCs w:val="21"/>
                    </w:rPr>
                    <w:t>限值</w:t>
                  </w:r>
                </w:p>
              </w:tc>
              <w:tc>
                <w:tcPr>
                  <w:tcW w:w="1167" w:type="pct"/>
                  <w:vMerge w:val="restart"/>
                  <w:vAlign w:val="center"/>
                </w:tcPr>
                <w:p>
                  <w:pPr>
                    <w:spacing w:line="240" w:lineRule="auto"/>
                    <w:ind w:firstLine="0" w:firstLineChars="0"/>
                    <w:jc w:val="center"/>
                    <w:rPr>
                      <w:rFonts w:cs="Times New Roman"/>
                      <w:color w:val="auto"/>
                      <w:sz w:val="21"/>
                      <w:szCs w:val="21"/>
                    </w:rPr>
                  </w:pPr>
                  <w:r>
                    <w:rPr>
                      <w:rFonts w:cs="Times New Roman"/>
                      <w:color w:val="auto"/>
                      <w:sz w:val="21"/>
                      <w:szCs w:val="21"/>
                    </w:rPr>
                    <w:t>污染物排放监控位置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5" w:type="pct"/>
                  <w:vMerge w:val="continue"/>
                  <w:vAlign w:val="center"/>
                </w:tcPr>
                <w:p>
                  <w:pPr>
                    <w:spacing w:line="240" w:lineRule="auto"/>
                    <w:ind w:firstLine="0" w:firstLineChars="0"/>
                    <w:jc w:val="center"/>
                    <w:rPr>
                      <w:rFonts w:cs="Times New Roman"/>
                      <w:color w:val="auto"/>
                      <w:sz w:val="21"/>
                      <w:szCs w:val="21"/>
                    </w:rPr>
                  </w:pPr>
                </w:p>
              </w:tc>
              <w:tc>
                <w:tcPr>
                  <w:tcW w:w="1237" w:type="pct"/>
                  <w:vMerge w:val="continue"/>
                  <w:vAlign w:val="center"/>
                </w:tcPr>
                <w:p>
                  <w:pPr>
                    <w:spacing w:line="240" w:lineRule="auto"/>
                    <w:ind w:firstLine="0" w:firstLineChars="0"/>
                    <w:jc w:val="center"/>
                    <w:rPr>
                      <w:rFonts w:cs="Times New Roman"/>
                      <w:color w:val="auto"/>
                      <w:sz w:val="21"/>
                      <w:szCs w:val="21"/>
                    </w:rPr>
                  </w:pPr>
                </w:p>
              </w:tc>
              <w:tc>
                <w:tcPr>
                  <w:tcW w:w="1395" w:type="pct"/>
                  <w:vMerge w:val="continue"/>
                  <w:vAlign w:val="center"/>
                </w:tcPr>
                <w:p>
                  <w:pPr>
                    <w:spacing w:line="240" w:lineRule="auto"/>
                    <w:ind w:firstLine="0" w:firstLineChars="0"/>
                    <w:jc w:val="center"/>
                    <w:rPr>
                      <w:rFonts w:cs="Times New Roman"/>
                      <w:color w:val="auto"/>
                      <w:sz w:val="21"/>
                      <w:szCs w:val="21"/>
                    </w:rPr>
                  </w:pPr>
                </w:p>
              </w:tc>
              <w:tc>
                <w:tcPr>
                  <w:tcW w:w="747" w:type="pct"/>
                  <w:vMerge w:val="continue"/>
                  <w:vAlign w:val="center"/>
                </w:tcPr>
                <w:p>
                  <w:pPr>
                    <w:spacing w:line="240" w:lineRule="auto"/>
                    <w:ind w:firstLine="0" w:firstLineChars="0"/>
                    <w:jc w:val="center"/>
                    <w:rPr>
                      <w:rFonts w:cs="Times New Roman"/>
                      <w:color w:val="auto"/>
                      <w:sz w:val="21"/>
                      <w:szCs w:val="21"/>
                    </w:rPr>
                  </w:pPr>
                </w:p>
              </w:tc>
              <w:tc>
                <w:tcPr>
                  <w:tcW w:w="1167" w:type="pct"/>
                  <w:vMerge w:val="continue"/>
                  <w:vAlign w:val="center"/>
                </w:tcPr>
                <w:p>
                  <w:pPr>
                    <w:spacing w:line="240" w:lineRule="auto"/>
                    <w:ind w:firstLine="0" w:firstLineChars="0"/>
                    <w:jc w:val="center"/>
                    <w:rPr>
                      <w:rFonts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5" w:type="pct"/>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w:t>
                  </w:r>
                </w:p>
              </w:tc>
              <w:tc>
                <w:tcPr>
                  <w:tcW w:w="1237"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颗粒物</w:t>
                  </w:r>
                </w:p>
              </w:tc>
              <w:tc>
                <w:tcPr>
                  <w:tcW w:w="1395" w:type="pct"/>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分解提取</w:t>
                  </w:r>
                </w:p>
              </w:tc>
              <w:tc>
                <w:tcPr>
                  <w:tcW w:w="747" w:type="pct"/>
                  <w:vAlign w:val="center"/>
                </w:tcPr>
                <w:p>
                  <w:pPr>
                    <w:spacing w:line="240" w:lineRule="auto"/>
                    <w:ind w:firstLine="0" w:firstLineChars="0"/>
                    <w:jc w:val="center"/>
                    <w:rPr>
                      <w:rFonts w:cs="Times New Roman"/>
                      <w:color w:val="auto"/>
                      <w:sz w:val="21"/>
                      <w:szCs w:val="21"/>
                    </w:rPr>
                  </w:pPr>
                  <w:r>
                    <w:rPr>
                      <w:rFonts w:cs="Times New Roman"/>
                      <w:color w:val="auto"/>
                      <w:sz w:val="21"/>
                      <w:szCs w:val="21"/>
                    </w:rPr>
                    <w:t>40</w:t>
                  </w:r>
                </w:p>
              </w:tc>
              <w:tc>
                <w:tcPr>
                  <w:tcW w:w="1167" w:type="pct"/>
                  <w:vMerge w:val="restart"/>
                  <w:vAlign w:val="center"/>
                </w:tcPr>
                <w:p>
                  <w:pPr>
                    <w:spacing w:line="240" w:lineRule="auto"/>
                    <w:ind w:firstLine="0" w:firstLineChars="0"/>
                    <w:jc w:val="center"/>
                    <w:rPr>
                      <w:rFonts w:cs="Times New Roman"/>
                      <w:color w:val="auto"/>
                      <w:sz w:val="21"/>
                      <w:szCs w:val="21"/>
                    </w:rPr>
                  </w:pPr>
                  <w:r>
                    <w:rPr>
                      <w:rFonts w:cs="Times New Roman"/>
                      <w:color w:val="auto"/>
                      <w:sz w:val="21"/>
                      <w:szCs w:val="21"/>
                    </w:rPr>
                    <w:t>车间或生产设施排气筒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5" w:type="pct"/>
                  <w:vAlign w:val="center"/>
                </w:tcPr>
                <w:p>
                  <w:pPr>
                    <w:spacing w:line="240" w:lineRule="auto"/>
                    <w:ind w:firstLine="0" w:firstLineChars="0"/>
                    <w:jc w:val="center"/>
                    <w:rPr>
                      <w:rFonts w:cs="Times New Roman"/>
                      <w:color w:val="auto"/>
                      <w:sz w:val="21"/>
                      <w:szCs w:val="21"/>
                    </w:rPr>
                  </w:pPr>
                  <w:r>
                    <w:rPr>
                      <w:rFonts w:cs="Times New Roman"/>
                      <w:color w:val="auto"/>
                      <w:sz w:val="21"/>
                      <w:szCs w:val="21"/>
                    </w:rPr>
                    <w:t>2</w:t>
                  </w:r>
                </w:p>
              </w:tc>
              <w:tc>
                <w:tcPr>
                  <w:tcW w:w="1237"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氟化物</w:t>
                  </w:r>
                </w:p>
              </w:tc>
              <w:tc>
                <w:tcPr>
                  <w:tcW w:w="1395" w:type="pct"/>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分解提取</w:t>
                  </w:r>
                </w:p>
              </w:tc>
              <w:tc>
                <w:tcPr>
                  <w:tcW w:w="747" w:type="pct"/>
                  <w:vAlign w:val="center"/>
                </w:tcPr>
                <w:p>
                  <w:pPr>
                    <w:spacing w:line="240" w:lineRule="auto"/>
                    <w:ind w:firstLine="0" w:firstLineChars="0"/>
                    <w:jc w:val="center"/>
                    <w:rPr>
                      <w:rFonts w:cs="Times New Roman"/>
                      <w:color w:val="auto"/>
                      <w:sz w:val="21"/>
                      <w:szCs w:val="21"/>
                    </w:rPr>
                  </w:pPr>
                  <w:r>
                    <w:rPr>
                      <w:rFonts w:cs="Times New Roman"/>
                      <w:color w:val="auto"/>
                      <w:sz w:val="21"/>
                      <w:szCs w:val="21"/>
                    </w:rPr>
                    <w:t>7</w:t>
                  </w:r>
                </w:p>
              </w:tc>
              <w:tc>
                <w:tcPr>
                  <w:tcW w:w="1167" w:type="pct"/>
                  <w:vMerge w:val="continue"/>
                  <w:vAlign w:val="center"/>
                </w:tcPr>
                <w:p>
                  <w:pPr>
                    <w:spacing w:line="240" w:lineRule="auto"/>
                    <w:ind w:firstLine="420"/>
                    <w:jc w:val="center"/>
                    <w:rPr>
                      <w:rFonts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5" w:type="pct"/>
                  <w:vAlign w:val="center"/>
                </w:tcPr>
                <w:p>
                  <w:pPr>
                    <w:spacing w:line="240" w:lineRule="auto"/>
                    <w:ind w:firstLine="0" w:firstLineChars="0"/>
                    <w:jc w:val="center"/>
                    <w:rPr>
                      <w:rFonts w:cs="Times New Roman"/>
                      <w:color w:val="auto"/>
                      <w:sz w:val="21"/>
                      <w:szCs w:val="21"/>
                    </w:rPr>
                  </w:pPr>
                  <w:r>
                    <w:rPr>
                      <w:rFonts w:cs="Times New Roman"/>
                      <w:color w:val="auto"/>
                      <w:sz w:val="21"/>
                      <w:szCs w:val="21"/>
                    </w:rPr>
                    <w:t>3</w:t>
                  </w:r>
                </w:p>
              </w:tc>
              <w:tc>
                <w:tcPr>
                  <w:tcW w:w="1237"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二氧化硫</w:t>
                  </w:r>
                </w:p>
              </w:tc>
              <w:tc>
                <w:tcPr>
                  <w:tcW w:w="1395" w:type="pct"/>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分解提取</w:t>
                  </w:r>
                </w:p>
              </w:tc>
              <w:tc>
                <w:tcPr>
                  <w:tcW w:w="747" w:type="pct"/>
                  <w:vAlign w:val="center"/>
                </w:tcPr>
                <w:p>
                  <w:pPr>
                    <w:spacing w:line="240" w:lineRule="auto"/>
                    <w:ind w:firstLine="0" w:firstLineChars="0"/>
                    <w:jc w:val="center"/>
                    <w:rPr>
                      <w:rFonts w:cs="Times New Roman"/>
                      <w:color w:val="auto"/>
                      <w:sz w:val="21"/>
                      <w:szCs w:val="21"/>
                    </w:rPr>
                  </w:pPr>
                  <w:r>
                    <w:rPr>
                      <w:rFonts w:cs="Times New Roman"/>
                      <w:color w:val="auto"/>
                      <w:sz w:val="21"/>
                      <w:szCs w:val="21"/>
                    </w:rPr>
                    <w:t>300</w:t>
                  </w:r>
                </w:p>
              </w:tc>
              <w:tc>
                <w:tcPr>
                  <w:tcW w:w="1167" w:type="pct"/>
                  <w:vMerge w:val="continue"/>
                  <w:vAlign w:val="center"/>
                </w:tcPr>
                <w:p>
                  <w:pPr>
                    <w:spacing w:line="240" w:lineRule="auto"/>
                    <w:ind w:firstLine="420"/>
                    <w:jc w:val="center"/>
                    <w:rPr>
                      <w:rFonts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5" w:type="pct"/>
                  <w:vAlign w:val="center"/>
                </w:tcPr>
                <w:p>
                  <w:pPr>
                    <w:spacing w:line="240" w:lineRule="auto"/>
                    <w:ind w:firstLine="0" w:firstLineChars="0"/>
                    <w:jc w:val="center"/>
                    <w:rPr>
                      <w:rFonts w:cs="Times New Roman"/>
                      <w:color w:val="auto"/>
                      <w:sz w:val="21"/>
                      <w:szCs w:val="21"/>
                    </w:rPr>
                  </w:pPr>
                  <w:r>
                    <w:rPr>
                      <w:rFonts w:cs="Times New Roman"/>
                      <w:color w:val="auto"/>
                      <w:sz w:val="21"/>
                      <w:szCs w:val="21"/>
                    </w:rPr>
                    <w:t>4</w:t>
                  </w:r>
                </w:p>
              </w:tc>
              <w:tc>
                <w:tcPr>
                  <w:tcW w:w="1237" w:type="pct"/>
                  <w:vAlign w:val="center"/>
                </w:tcPr>
                <w:p>
                  <w:pPr>
                    <w:adjustRightInd w:val="0"/>
                    <w:snapToGrid w:val="0"/>
                    <w:spacing w:line="240" w:lineRule="auto"/>
                    <w:ind w:firstLine="0" w:firstLineChars="0"/>
                    <w:jc w:val="center"/>
                    <w:rPr>
                      <w:rFonts w:cs="Times New Roman"/>
                      <w:color w:val="auto"/>
                      <w:sz w:val="21"/>
                      <w:szCs w:val="21"/>
                    </w:rPr>
                  </w:pPr>
                  <w:r>
                    <w:rPr>
                      <w:rFonts w:cs="Times New Roman"/>
                      <w:color w:val="auto"/>
                      <w:sz w:val="21"/>
                      <w:szCs w:val="21"/>
                    </w:rPr>
                    <w:t>氮氧化物</w:t>
                  </w:r>
                </w:p>
              </w:tc>
              <w:tc>
                <w:tcPr>
                  <w:tcW w:w="1395" w:type="pct"/>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分解提取</w:t>
                  </w:r>
                </w:p>
              </w:tc>
              <w:tc>
                <w:tcPr>
                  <w:tcW w:w="747" w:type="pct"/>
                  <w:vAlign w:val="center"/>
                </w:tcPr>
                <w:p>
                  <w:pPr>
                    <w:spacing w:line="240" w:lineRule="auto"/>
                    <w:ind w:firstLine="0" w:firstLineChars="0"/>
                    <w:jc w:val="center"/>
                    <w:rPr>
                      <w:rFonts w:cs="Times New Roman"/>
                      <w:color w:val="auto"/>
                      <w:sz w:val="21"/>
                      <w:szCs w:val="21"/>
                    </w:rPr>
                  </w:pPr>
                  <w:r>
                    <w:rPr>
                      <w:rFonts w:cs="Times New Roman"/>
                      <w:color w:val="auto"/>
                      <w:sz w:val="21"/>
                      <w:szCs w:val="21"/>
                    </w:rPr>
                    <w:t>200</w:t>
                  </w:r>
                </w:p>
              </w:tc>
              <w:tc>
                <w:tcPr>
                  <w:tcW w:w="1167" w:type="pct"/>
                  <w:vMerge w:val="continue"/>
                  <w:vAlign w:val="center"/>
                </w:tcPr>
                <w:p>
                  <w:pPr>
                    <w:spacing w:line="240" w:lineRule="auto"/>
                    <w:ind w:firstLine="420"/>
                    <w:jc w:val="center"/>
                    <w:rPr>
                      <w:rFonts w:cs="Times New Roman"/>
                      <w:color w:val="auto"/>
                      <w:sz w:val="21"/>
                      <w:szCs w:val="21"/>
                    </w:rPr>
                  </w:pPr>
                </w:p>
              </w:tc>
            </w:tr>
            <w:bookmarkEnd w:id="38"/>
          </w:tbl>
          <w:p>
            <w:pPr>
              <w:ind w:firstLine="482"/>
              <w:jc w:val="center"/>
              <w:rPr>
                <w:rFonts w:cs="Times New Roman"/>
                <w:b/>
                <w:bCs/>
                <w:color w:val="auto"/>
              </w:rPr>
            </w:pPr>
            <w:r>
              <w:rPr>
                <w:rFonts w:cs="Times New Roman"/>
                <w:b/>
                <w:bCs/>
                <w:color w:val="auto"/>
              </w:rPr>
              <w:t>表3-6稀土工业污染物排放标准（GB26451-2011）企业边界大气污染物浓度限值单位：mg/m</w:t>
            </w:r>
            <w:r>
              <w:rPr>
                <w:rFonts w:cs="Times New Roman"/>
                <w:b/>
                <w:bCs/>
                <w:color w:val="auto"/>
                <w:vertAlign w:val="superscript"/>
              </w:rPr>
              <w:t>3</w:t>
            </w:r>
          </w:p>
          <w:tbl>
            <w:tblPr>
              <w:tblStyle w:val="26"/>
              <w:tblW w:w="82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58"/>
              <w:gridCol w:w="2759"/>
              <w:gridCol w:w="27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45" w:type="dxa"/>
                </w:tcPr>
                <w:p>
                  <w:pPr>
                    <w:spacing w:line="240" w:lineRule="auto"/>
                    <w:ind w:firstLine="0" w:firstLineChars="0"/>
                    <w:jc w:val="center"/>
                    <w:rPr>
                      <w:rFonts w:cs="Times New Roman"/>
                      <w:b/>
                      <w:bCs/>
                      <w:color w:val="auto"/>
                      <w:sz w:val="21"/>
                      <w:szCs w:val="21"/>
                    </w:rPr>
                  </w:pPr>
                  <w:r>
                    <w:rPr>
                      <w:rFonts w:cs="Times New Roman"/>
                      <w:b/>
                      <w:bCs/>
                      <w:color w:val="auto"/>
                      <w:sz w:val="21"/>
                      <w:szCs w:val="21"/>
                    </w:rPr>
                    <w:t>序号</w:t>
                  </w:r>
                </w:p>
              </w:tc>
              <w:tc>
                <w:tcPr>
                  <w:tcW w:w="2646" w:type="dxa"/>
                </w:tcPr>
                <w:p>
                  <w:pPr>
                    <w:spacing w:line="240" w:lineRule="auto"/>
                    <w:ind w:firstLine="0" w:firstLineChars="0"/>
                    <w:jc w:val="center"/>
                    <w:rPr>
                      <w:rFonts w:cs="Times New Roman"/>
                      <w:b/>
                      <w:bCs/>
                      <w:color w:val="auto"/>
                      <w:sz w:val="21"/>
                      <w:szCs w:val="21"/>
                    </w:rPr>
                  </w:pPr>
                  <w:r>
                    <w:rPr>
                      <w:rFonts w:cs="Times New Roman"/>
                      <w:b/>
                      <w:bCs/>
                      <w:color w:val="auto"/>
                      <w:sz w:val="21"/>
                      <w:szCs w:val="21"/>
                    </w:rPr>
                    <w:t>污染物项目</w:t>
                  </w:r>
                </w:p>
              </w:tc>
              <w:tc>
                <w:tcPr>
                  <w:tcW w:w="2646" w:type="dxa"/>
                </w:tcPr>
                <w:p>
                  <w:pPr>
                    <w:spacing w:line="240" w:lineRule="auto"/>
                    <w:ind w:firstLine="0" w:firstLineChars="0"/>
                    <w:jc w:val="center"/>
                    <w:rPr>
                      <w:rFonts w:cs="Times New Roman"/>
                      <w:b/>
                      <w:bCs/>
                      <w:color w:val="auto"/>
                      <w:sz w:val="21"/>
                      <w:szCs w:val="21"/>
                    </w:rPr>
                  </w:pPr>
                  <w:r>
                    <w:rPr>
                      <w:rFonts w:cs="Times New Roman"/>
                      <w:b/>
                      <w:bCs/>
                      <w:color w:val="auto"/>
                      <w:sz w:val="21"/>
                      <w:szCs w:val="21"/>
                    </w:rPr>
                    <w:t>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45" w:type="dxa"/>
                </w:tcPr>
                <w:p>
                  <w:pPr>
                    <w:spacing w:line="240" w:lineRule="auto"/>
                    <w:ind w:firstLine="0" w:firstLineChars="0"/>
                    <w:jc w:val="center"/>
                    <w:rPr>
                      <w:rFonts w:cs="Times New Roman"/>
                      <w:color w:val="auto"/>
                      <w:sz w:val="21"/>
                      <w:szCs w:val="21"/>
                    </w:rPr>
                  </w:pPr>
                  <w:r>
                    <w:rPr>
                      <w:rFonts w:cs="Times New Roman"/>
                      <w:color w:val="auto"/>
                      <w:sz w:val="21"/>
                      <w:szCs w:val="21"/>
                    </w:rPr>
                    <w:t>1</w:t>
                  </w:r>
                </w:p>
              </w:tc>
              <w:tc>
                <w:tcPr>
                  <w:tcW w:w="2646" w:type="dxa"/>
                </w:tcPr>
                <w:p>
                  <w:pPr>
                    <w:spacing w:line="240" w:lineRule="auto"/>
                    <w:ind w:firstLine="0" w:firstLineChars="0"/>
                    <w:jc w:val="center"/>
                    <w:rPr>
                      <w:rFonts w:cs="Times New Roman"/>
                      <w:color w:val="auto"/>
                      <w:sz w:val="21"/>
                      <w:szCs w:val="21"/>
                    </w:rPr>
                  </w:pPr>
                  <w:r>
                    <w:rPr>
                      <w:rFonts w:cs="Times New Roman"/>
                      <w:color w:val="auto"/>
                      <w:sz w:val="21"/>
                      <w:szCs w:val="21"/>
                    </w:rPr>
                    <w:t>颗粒物</w:t>
                  </w:r>
                </w:p>
              </w:tc>
              <w:tc>
                <w:tcPr>
                  <w:tcW w:w="2646" w:type="dxa"/>
                </w:tcPr>
                <w:p>
                  <w:pPr>
                    <w:spacing w:line="240" w:lineRule="auto"/>
                    <w:ind w:firstLine="0" w:firstLineChars="0"/>
                    <w:jc w:val="center"/>
                    <w:rPr>
                      <w:rFonts w:cs="Times New Roman"/>
                      <w:color w:val="auto"/>
                      <w:sz w:val="21"/>
                      <w:szCs w:val="21"/>
                    </w:rPr>
                  </w:pPr>
                  <w:r>
                    <w:rPr>
                      <w:rFonts w:cs="Times New Roman"/>
                      <w:color w:val="auto"/>
                      <w:sz w:val="21"/>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45" w:type="dxa"/>
                </w:tcPr>
                <w:p>
                  <w:pPr>
                    <w:spacing w:line="240" w:lineRule="auto"/>
                    <w:ind w:firstLine="0" w:firstLineChars="0"/>
                    <w:jc w:val="center"/>
                    <w:rPr>
                      <w:rFonts w:cs="Times New Roman"/>
                      <w:color w:val="auto"/>
                      <w:sz w:val="21"/>
                      <w:szCs w:val="21"/>
                    </w:rPr>
                  </w:pPr>
                  <w:r>
                    <w:rPr>
                      <w:rFonts w:cs="Times New Roman"/>
                      <w:color w:val="auto"/>
                      <w:sz w:val="21"/>
                      <w:szCs w:val="21"/>
                    </w:rPr>
                    <w:t>2</w:t>
                  </w:r>
                </w:p>
              </w:tc>
              <w:tc>
                <w:tcPr>
                  <w:tcW w:w="2646" w:type="dxa"/>
                </w:tcPr>
                <w:p>
                  <w:pPr>
                    <w:spacing w:line="240" w:lineRule="auto"/>
                    <w:ind w:firstLine="0" w:firstLineChars="0"/>
                    <w:jc w:val="center"/>
                    <w:rPr>
                      <w:rFonts w:cs="Times New Roman"/>
                      <w:color w:val="auto"/>
                      <w:sz w:val="21"/>
                      <w:szCs w:val="21"/>
                    </w:rPr>
                  </w:pPr>
                  <w:r>
                    <w:rPr>
                      <w:rFonts w:cs="Times New Roman"/>
                      <w:color w:val="auto"/>
                      <w:sz w:val="21"/>
                      <w:szCs w:val="21"/>
                    </w:rPr>
                    <w:t>氟化物</w:t>
                  </w:r>
                </w:p>
              </w:tc>
              <w:tc>
                <w:tcPr>
                  <w:tcW w:w="2646" w:type="dxa"/>
                </w:tcPr>
                <w:p>
                  <w:pPr>
                    <w:spacing w:line="240" w:lineRule="auto"/>
                    <w:ind w:firstLine="0" w:firstLineChars="0"/>
                    <w:jc w:val="center"/>
                    <w:rPr>
                      <w:rFonts w:cs="Times New Roman"/>
                      <w:color w:val="auto"/>
                      <w:sz w:val="21"/>
                      <w:szCs w:val="21"/>
                    </w:rPr>
                  </w:pPr>
                  <w:r>
                    <w:rPr>
                      <w:rFonts w:cs="Times New Roman"/>
                      <w:color w:val="auto"/>
                      <w:sz w:val="21"/>
                      <w:szCs w:val="21"/>
                    </w:rPr>
                    <w:t>0.02</w:t>
                  </w:r>
                </w:p>
              </w:tc>
            </w:tr>
          </w:tbl>
          <w:p>
            <w:pPr>
              <w:ind w:firstLine="480"/>
              <w:rPr>
                <w:rFonts w:cs="Times New Roman"/>
                <w:color w:val="auto"/>
              </w:rPr>
            </w:pPr>
            <w:r>
              <w:rPr>
                <w:rFonts w:cs="Times New Roman"/>
                <w:color w:val="auto"/>
              </w:rPr>
              <w:t>本项目运营期燃气锅炉废气执行《锅炉大气污染物排放标准》（GB13271-2014）表2中大气污染物排放限值，新建锅炉房的烟囱周围半径200m距离内有建筑物时，其烟囱应高出最高建筑物3m以上，经核实，锅炉房的烟囱周围半径200m最高建筑物为生产车间，其高度为11m，因此本项目排气筒高度设置14m。具体标准见下表。</w:t>
            </w:r>
          </w:p>
          <w:p>
            <w:pPr>
              <w:widowControl/>
              <w:ind w:firstLine="482"/>
              <w:jc w:val="center"/>
              <w:rPr>
                <w:rFonts w:cs="Times New Roman"/>
                <w:color w:val="auto"/>
              </w:rPr>
            </w:pPr>
            <w:r>
              <w:rPr>
                <w:rFonts w:cs="Times New Roman"/>
                <w:b/>
                <w:bCs/>
                <w:color w:val="auto"/>
                <w:kern w:val="0"/>
                <w:lang w:bidi="ar"/>
              </w:rPr>
              <w:t>表3-7《锅炉大气污染物排放标准》（GB13271-2014）</w:t>
            </w:r>
          </w:p>
          <w:tbl>
            <w:tblPr>
              <w:tblStyle w:val="26"/>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89"/>
              <w:gridCol w:w="4317"/>
              <w:gridCol w:w="286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8" w:type="pct"/>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序号</w:t>
                  </w:r>
                </w:p>
              </w:tc>
              <w:tc>
                <w:tcPr>
                  <w:tcW w:w="2608" w:type="pct"/>
                  <w:vAlign w:val="center"/>
                </w:tcPr>
                <w:p>
                  <w:pPr>
                    <w:spacing w:line="240" w:lineRule="auto"/>
                    <w:ind w:firstLine="0" w:firstLineChars="0"/>
                    <w:jc w:val="center"/>
                    <w:rPr>
                      <w:rFonts w:cs="Times New Roman"/>
                      <w:color w:val="auto"/>
                      <w:sz w:val="21"/>
                      <w:szCs w:val="21"/>
                    </w:rPr>
                  </w:pPr>
                  <w:r>
                    <w:rPr>
                      <w:rFonts w:cs="Times New Roman"/>
                      <w:color w:val="auto"/>
                      <w:sz w:val="21"/>
                      <w:szCs w:val="21"/>
                    </w:rPr>
                    <w:t>污染物</w:t>
                  </w:r>
                </w:p>
              </w:tc>
              <w:tc>
                <w:tcPr>
                  <w:tcW w:w="1732" w:type="pct"/>
                  <w:vAlign w:val="center"/>
                </w:tcPr>
                <w:p>
                  <w:pPr>
                    <w:spacing w:line="240" w:lineRule="auto"/>
                    <w:ind w:firstLine="0" w:firstLineChars="0"/>
                    <w:jc w:val="center"/>
                    <w:rPr>
                      <w:rFonts w:cs="Times New Roman"/>
                      <w:color w:val="auto"/>
                      <w:sz w:val="21"/>
                      <w:szCs w:val="21"/>
                    </w:rPr>
                  </w:pPr>
                  <w:r>
                    <w:rPr>
                      <w:rFonts w:cs="Times New Roman"/>
                      <w:color w:val="auto"/>
                      <w:sz w:val="21"/>
                      <w:szCs w:val="21"/>
                    </w:rPr>
                    <w:t>标准（mg/m</w:t>
                  </w:r>
                  <w:r>
                    <w:rPr>
                      <w:rFonts w:cs="Times New Roman"/>
                      <w:color w:val="auto"/>
                      <w:sz w:val="21"/>
                      <w:szCs w:val="21"/>
                      <w:vertAlign w:val="superscript"/>
                    </w:rPr>
                    <w:t>3</w:t>
                  </w:r>
                  <w:r>
                    <w:rPr>
                      <w:rFonts w:cs="Times New Roman"/>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8" w:type="pct"/>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w:t>
                  </w:r>
                </w:p>
              </w:tc>
              <w:tc>
                <w:tcPr>
                  <w:tcW w:w="2608" w:type="pct"/>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颗粒物</w:t>
                  </w:r>
                </w:p>
              </w:tc>
              <w:tc>
                <w:tcPr>
                  <w:tcW w:w="1732" w:type="pct"/>
                  <w:vAlign w:val="center"/>
                </w:tcPr>
                <w:p>
                  <w:pPr>
                    <w:spacing w:line="240" w:lineRule="auto"/>
                    <w:ind w:firstLine="0" w:firstLineChars="0"/>
                    <w:jc w:val="center"/>
                    <w:rPr>
                      <w:rFonts w:cs="Times New Roman"/>
                      <w:color w:val="auto"/>
                      <w:sz w:val="21"/>
                      <w:szCs w:val="21"/>
                    </w:rPr>
                  </w:pPr>
                  <w:r>
                    <w:rPr>
                      <w:rFonts w:cs="Times New Roman"/>
                      <w:color w:val="auto"/>
                      <w:sz w:val="21"/>
                      <w:szCs w:val="21"/>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8" w:type="pct"/>
                  <w:vAlign w:val="center"/>
                </w:tcPr>
                <w:p>
                  <w:pPr>
                    <w:spacing w:line="240" w:lineRule="auto"/>
                    <w:ind w:firstLine="0" w:firstLineChars="0"/>
                    <w:jc w:val="center"/>
                    <w:rPr>
                      <w:rFonts w:cs="Times New Roman"/>
                      <w:color w:val="auto"/>
                      <w:sz w:val="21"/>
                      <w:szCs w:val="21"/>
                    </w:rPr>
                  </w:pPr>
                  <w:r>
                    <w:rPr>
                      <w:rFonts w:cs="Times New Roman"/>
                      <w:color w:val="auto"/>
                      <w:sz w:val="21"/>
                      <w:szCs w:val="21"/>
                    </w:rPr>
                    <w:t>2</w:t>
                  </w:r>
                </w:p>
              </w:tc>
              <w:tc>
                <w:tcPr>
                  <w:tcW w:w="2608" w:type="pct"/>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SO</w:t>
                  </w:r>
                  <w:r>
                    <w:rPr>
                      <w:rFonts w:cs="Times New Roman"/>
                      <w:color w:val="auto"/>
                      <w:sz w:val="21"/>
                      <w:szCs w:val="21"/>
                      <w:vertAlign w:val="subscript"/>
                    </w:rPr>
                    <w:t>2</w:t>
                  </w:r>
                </w:p>
              </w:tc>
              <w:tc>
                <w:tcPr>
                  <w:tcW w:w="1732" w:type="pct"/>
                  <w:vAlign w:val="center"/>
                </w:tcPr>
                <w:p>
                  <w:pPr>
                    <w:spacing w:line="240" w:lineRule="auto"/>
                    <w:ind w:firstLine="0" w:firstLineChars="0"/>
                    <w:jc w:val="center"/>
                    <w:rPr>
                      <w:rFonts w:cs="Times New Roman"/>
                      <w:color w:val="auto"/>
                      <w:sz w:val="21"/>
                      <w:szCs w:val="21"/>
                    </w:rPr>
                  </w:pPr>
                  <w:r>
                    <w:rPr>
                      <w:rFonts w:cs="Times New Roman"/>
                      <w:color w:val="auto"/>
                      <w:sz w:val="21"/>
                      <w:szCs w:val="21"/>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8" w:type="pct"/>
                  <w:vAlign w:val="center"/>
                </w:tcPr>
                <w:p>
                  <w:pPr>
                    <w:spacing w:line="240" w:lineRule="auto"/>
                    <w:ind w:firstLine="0" w:firstLineChars="0"/>
                    <w:jc w:val="center"/>
                    <w:rPr>
                      <w:rFonts w:cs="Times New Roman"/>
                      <w:color w:val="auto"/>
                      <w:sz w:val="21"/>
                      <w:szCs w:val="21"/>
                    </w:rPr>
                  </w:pPr>
                  <w:r>
                    <w:rPr>
                      <w:rFonts w:cs="Times New Roman"/>
                      <w:color w:val="auto"/>
                      <w:sz w:val="21"/>
                      <w:szCs w:val="21"/>
                    </w:rPr>
                    <w:t>3</w:t>
                  </w:r>
                </w:p>
              </w:tc>
              <w:tc>
                <w:tcPr>
                  <w:tcW w:w="2608" w:type="pct"/>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NOx</w:t>
                  </w:r>
                </w:p>
              </w:tc>
              <w:tc>
                <w:tcPr>
                  <w:tcW w:w="1732" w:type="pct"/>
                  <w:vAlign w:val="center"/>
                </w:tcPr>
                <w:p>
                  <w:pPr>
                    <w:spacing w:line="240" w:lineRule="auto"/>
                    <w:ind w:firstLine="0" w:firstLineChars="0"/>
                    <w:jc w:val="center"/>
                    <w:rPr>
                      <w:rFonts w:cs="Times New Roman"/>
                      <w:color w:val="auto"/>
                      <w:sz w:val="21"/>
                      <w:szCs w:val="21"/>
                    </w:rPr>
                  </w:pPr>
                  <w:r>
                    <w:rPr>
                      <w:rFonts w:cs="Times New Roman"/>
                      <w:color w:val="auto"/>
                      <w:sz w:val="21"/>
                      <w:szCs w:val="21"/>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8" w:type="pct"/>
                  <w:vAlign w:val="center"/>
                </w:tcPr>
                <w:p>
                  <w:pPr>
                    <w:spacing w:line="240" w:lineRule="auto"/>
                    <w:ind w:firstLine="0" w:firstLineChars="0"/>
                    <w:jc w:val="center"/>
                    <w:rPr>
                      <w:rFonts w:cs="Times New Roman"/>
                      <w:color w:val="auto"/>
                      <w:sz w:val="21"/>
                      <w:szCs w:val="21"/>
                    </w:rPr>
                  </w:pPr>
                  <w:r>
                    <w:rPr>
                      <w:rFonts w:cs="Times New Roman"/>
                      <w:color w:val="auto"/>
                      <w:sz w:val="21"/>
                      <w:szCs w:val="21"/>
                    </w:rPr>
                    <w:t>4</w:t>
                  </w:r>
                </w:p>
              </w:tc>
              <w:tc>
                <w:tcPr>
                  <w:tcW w:w="2608" w:type="pct"/>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烟气黑度（林格曼，级）</w:t>
                  </w:r>
                </w:p>
              </w:tc>
              <w:tc>
                <w:tcPr>
                  <w:tcW w:w="1732" w:type="pct"/>
                  <w:vAlign w:val="center"/>
                </w:tcPr>
                <w:p>
                  <w:pPr>
                    <w:widowControl/>
                    <w:spacing w:line="240" w:lineRule="auto"/>
                    <w:ind w:firstLine="0" w:firstLineChars="0"/>
                    <w:jc w:val="center"/>
                    <w:rPr>
                      <w:rFonts w:cs="Times New Roman"/>
                      <w:color w:val="auto"/>
                      <w:sz w:val="21"/>
                      <w:szCs w:val="21"/>
                    </w:rPr>
                  </w:pPr>
                  <w:r>
                    <w:rPr>
                      <w:rFonts w:cs="Times New Roman"/>
                      <w:color w:val="auto"/>
                      <w:sz w:val="21"/>
                      <w:szCs w:val="21"/>
                    </w:rPr>
                    <w:t>1级</w:t>
                  </w:r>
                </w:p>
              </w:tc>
            </w:tr>
          </w:tbl>
          <w:p>
            <w:pPr>
              <w:ind w:firstLine="482"/>
              <w:rPr>
                <w:rFonts w:cs="Times New Roman"/>
                <w:b/>
                <w:bCs/>
                <w:color w:val="auto"/>
              </w:rPr>
            </w:pPr>
            <w:r>
              <w:rPr>
                <w:rFonts w:cs="Times New Roman"/>
                <w:b/>
                <w:bCs/>
                <w:color w:val="auto"/>
              </w:rPr>
              <w:t>2、噪声排放标准</w:t>
            </w:r>
          </w:p>
          <w:p>
            <w:pPr>
              <w:ind w:firstLine="480"/>
              <w:rPr>
                <w:rFonts w:cs="Times New Roman"/>
                <w:color w:val="auto"/>
              </w:rPr>
            </w:pPr>
            <w:r>
              <w:rPr>
                <w:rFonts w:cs="Times New Roman"/>
                <w:color w:val="auto"/>
              </w:rPr>
              <w:t>本项目施工期噪声排放执行《建筑施工场界环境噪声排放标准》（GB12523-2011）。</w:t>
            </w:r>
          </w:p>
          <w:p>
            <w:pPr>
              <w:adjustRightInd w:val="0"/>
              <w:snapToGrid w:val="0"/>
              <w:ind w:firstLine="482"/>
              <w:jc w:val="center"/>
              <w:rPr>
                <w:rFonts w:cs="Times New Roman"/>
                <w:color w:val="auto"/>
              </w:rPr>
            </w:pPr>
            <w:r>
              <w:rPr>
                <w:rFonts w:cs="Times New Roman"/>
                <w:b/>
                <w:bCs/>
                <w:color w:val="auto"/>
              </w:rPr>
              <w:t>表3-8建筑施工场界环境噪声排放标准（GB12523-2011）标准限值</w:t>
            </w:r>
          </w:p>
          <w:tbl>
            <w:tblPr>
              <w:tblStyle w:val="26"/>
              <w:tblW w:w="82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138"/>
              <w:gridCol w:w="41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968"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昼间dB(A)</w:t>
                  </w:r>
                </w:p>
              </w:tc>
              <w:tc>
                <w:tcPr>
                  <w:tcW w:w="3969"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夜间dB(A)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968"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70</w:t>
                  </w:r>
                </w:p>
              </w:tc>
              <w:tc>
                <w:tcPr>
                  <w:tcW w:w="3969"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55</w:t>
                  </w:r>
                </w:p>
              </w:tc>
            </w:tr>
          </w:tbl>
          <w:p>
            <w:pPr>
              <w:ind w:firstLine="480"/>
              <w:rPr>
                <w:rFonts w:cs="Times New Roman"/>
                <w:color w:val="auto"/>
              </w:rPr>
            </w:pPr>
            <w:r>
              <w:rPr>
                <w:rFonts w:cs="Times New Roman"/>
                <w:color w:val="auto"/>
              </w:rPr>
              <w:t>本项目营运期噪声排放执行《工业企业厂界环境噪声排放标准》（</w:t>
            </w:r>
            <w:r>
              <w:rPr>
                <w:rFonts w:hint="eastAsia" w:cs="Times New Roman"/>
                <w:color w:val="auto"/>
              </w:rPr>
              <w:t>GB12348-2008</w:t>
            </w:r>
            <w:r>
              <w:rPr>
                <w:rFonts w:cs="Times New Roman"/>
                <w:color w:val="auto"/>
              </w:rPr>
              <w:t>）3类标准。</w:t>
            </w:r>
          </w:p>
          <w:p>
            <w:pPr>
              <w:pStyle w:val="47"/>
              <w:rPr>
                <w:rFonts w:hAnsi="Times New Roman" w:cs="Times New Roman"/>
                <w:color w:val="auto"/>
              </w:rPr>
            </w:pPr>
            <w:r>
              <w:rPr>
                <w:rFonts w:hAnsi="Times New Roman" w:cs="Times New Roman"/>
                <w:color w:val="auto"/>
              </w:rPr>
              <w:t>表3-9工业企业厂界环境噪声排放标准</w:t>
            </w:r>
          </w:p>
          <w:tbl>
            <w:tblPr>
              <w:tblStyle w:val="26"/>
              <w:tblW w:w="82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60"/>
              <w:gridCol w:w="2759"/>
              <w:gridCol w:w="27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47" w:type="dxa"/>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类别</w:t>
                  </w:r>
                </w:p>
              </w:tc>
              <w:tc>
                <w:tcPr>
                  <w:tcW w:w="2646" w:type="dxa"/>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昼间dB(A)</w:t>
                  </w:r>
                </w:p>
              </w:tc>
              <w:tc>
                <w:tcPr>
                  <w:tcW w:w="2644" w:type="dxa"/>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夜间dB(A)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47"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3类</w:t>
                  </w:r>
                </w:p>
              </w:tc>
              <w:tc>
                <w:tcPr>
                  <w:tcW w:w="2646"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65</w:t>
                  </w:r>
                </w:p>
              </w:tc>
              <w:tc>
                <w:tcPr>
                  <w:tcW w:w="2644"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55</w:t>
                  </w:r>
                </w:p>
              </w:tc>
            </w:tr>
          </w:tbl>
          <w:p>
            <w:pPr>
              <w:ind w:firstLine="482"/>
              <w:rPr>
                <w:rFonts w:cs="Times New Roman"/>
                <w:b/>
                <w:bCs/>
                <w:color w:val="auto"/>
              </w:rPr>
            </w:pPr>
            <w:r>
              <w:rPr>
                <w:rFonts w:cs="Times New Roman"/>
                <w:b/>
                <w:bCs/>
                <w:color w:val="auto"/>
              </w:rPr>
              <w:t>3、废水排放标准</w:t>
            </w:r>
          </w:p>
          <w:p>
            <w:pPr>
              <w:ind w:firstLine="480"/>
              <w:rPr>
                <w:rFonts w:cs="Times New Roman"/>
                <w:color w:val="auto"/>
              </w:rPr>
            </w:pPr>
            <w:r>
              <w:rPr>
                <w:rFonts w:cs="Times New Roman"/>
                <w:color w:val="auto"/>
              </w:rPr>
              <w:t>项目运营期生活污水</w:t>
            </w:r>
            <w:r>
              <w:rPr>
                <w:rFonts w:hint="eastAsia" w:cs="Times New Roman"/>
                <w:color w:val="auto"/>
              </w:rPr>
              <w:t>、纯水制备浓水及锅炉排水</w:t>
            </w:r>
            <w:r>
              <w:rPr>
                <w:rFonts w:cs="Times New Roman"/>
                <w:color w:val="auto"/>
              </w:rPr>
              <w:t>排入厂区已建的一座处理能力为50t/d的地埋式一体化污水处理设备，</w:t>
            </w:r>
            <w:r>
              <w:rPr>
                <w:rFonts w:hint="eastAsia" w:cs="Times New Roman"/>
                <w:color w:val="auto"/>
              </w:rPr>
              <w:t>处理达标后拉运至乌拉特前旗工业园区污水处理厂</w:t>
            </w:r>
            <w:r>
              <w:rPr>
                <w:rFonts w:cs="Times New Roman"/>
                <w:color w:val="auto"/>
              </w:rPr>
              <w:t>，属于间接排放，污水排放口水质执行《稀土工业污染物排放标准》（GB26451-2011）表2新建企业水污染物排放浓度限值及单位产品基准排水量中“间接排放限值”。</w:t>
            </w:r>
          </w:p>
          <w:p>
            <w:pPr>
              <w:ind w:firstLine="482"/>
              <w:jc w:val="center"/>
              <w:rPr>
                <w:rFonts w:cs="Times New Roman"/>
                <w:b/>
                <w:bCs/>
                <w:color w:val="auto"/>
              </w:rPr>
            </w:pPr>
            <w:r>
              <w:rPr>
                <w:rFonts w:cs="Times New Roman"/>
                <w:b/>
                <w:bCs/>
                <w:color w:val="auto"/>
              </w:rPr>
              <w:t>表3-10《稀土工业污染物排放》（GB26451-2011）</w:t>
            </w:r>
          </w:p>
          <w:tbl>
            <w:tblPr>
              <w:tblStyle w:val="27"/>
              <w:tblW w:w="82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83"/>
              <w:gridCol w:w="2364"/>
              <w:gridCol w:w="2365"/>
              <w:gridCol w:w="23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183" w:type="dxa"/>
                  <w:vMerge w:val="restart"/>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序号</w:t>
                  </w:r>
                </w:p>
              </w:tc>
              <w:tc>
                <w:tcPr>
                  <w:tcW w:w="2364" w:type="dxa"/>
                  <w:vMerge w:val="restart"/>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污染物项目</w:t>
                  </w:r>
                </w:p>
              </w:tc>
              <w:tc>
                <w:tcPr>
                  <w:tcW w:w="2365" w:type="dxa"/>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排放限值</w:t>
                  </w:r>
                </w:p>
              </w:tc>
              <w:tc>
                <w:tcPr>
                  <w:tcW w:w="2365" w:type="dxa"/>
                  <w:vMerge w:val="restart"/>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污染物排放监控位置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3" w:type="dxa"/>
                  <w:vMerge w:val="continue"/>
                  <w:vAlign w:val="center"/>
                </w:tcPr>
                <w:p>
                  <w:pPr>
                    <w:spacing w:line="240" w:lineRule="auto"/>
                    <w:ind w:firstLine="0" w:firstLineChars="0"/>
                    <w:jc w:val="center"/>
                    <w:rPr>
                      <w:rFonts w:cs="Times New Roman"/>
                      <w:b/>
                      <w:bCs/>
                      <w:color w:val="auto"/>
                      <w:sz w:val="21"/>
                      <w:szCs w:val="21"/>
                    </w:rPr>
                  </w:pPr>
                </w:p>
              </w:tc>
              <w:tc>
                <w:tcPr>
                  <w:tcW w:w="2364" w:type="dxa"/>
                  <w:vMerge w:val="continue"/>
                  <w:vAlign w:val="center"/>
                </w:tcPr>
                <w:p>
                  <w:pPr>
                    <w:spacing w:line="240" w:lineRule="auto"/>
                    <w:ind w:firstLine="0" w:firstLineChars="0"/>
                    <w:jc w:val="center"/>
                    <w:rPr>
                      <w:rFonts w:cs="Times New Roman"/>
                      <w:b/>
                      <w:bCs/>
                      <w:color w:val="auto"/>
                      <w:sz w:val="21"/>
                      <w:szCs w:val="21"/>
                    </w:rPr>
                  </w:pPr>
                </w:p>
              </w:tc>
              <w:tc>
                <w:tcPr>
                  <w:tcW w:w="2365" w:type="dxa"/>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间接排放</w:t>
                  </w:r>
                </w:p>
              </w:tc>
              <w:tc>
                <w:tcPr>
                  <w:tcW w:w="2365" w:type="dxa"/>
                  <w:vMerge w:val="continue"/>
                  <w:vAlign w:val="center"/>
                </w:tcPr>
                <w:p>
                  <w:pPr>
                    <w:spacing w:line="240" w:lineRule="auto"/>
                    <w:ind w:firstLine="0" w:firstLineChars="0"/>
                    <w:jc w:val="center"/>
                    <w:rPr>
                      <w:rFonts w:cs="Times New Roman"/>
                      <w:b/>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3"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w:t>
                  </w:r>
                </w:p>
              </w:tc>
              <w:tc>
                <w:tcPr>
                  <w:tcW w:w="2364"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pH</w:t>
                  </w:r>
                </w:p>
              </w:tc>
              <w:tc>
                <w:tcPr>
                  <w:tcW w:w="2365"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6~9</w:t>
                  </w:r>
                </w:p>
              </w:tc>
              <w:tc>
                <w:tcPr>
                  <w:tcW w:w="2365" w:type="dxa"/>
                  <w:vMerge w:val="restart"/>
                  <w:vAlign w:val="center"/>
                </w:tcPr>
                <w:p>
                  <w:pPr>
                    <w:spacing w:line="240" w:lineRule="auto"/>
                    <w:ind w:firstLine="0" w:firstLineChars="0"/>
                    <w:jc w:val="center"/>
                    <w:rPr>
                      <w:rFonts w:cs="Times New Roman"/>
                      <w:color w:val="auto"/>
                      <w:sz w:val="21"/>
                      <w:szCs w:val="21"/>
                    </w:rPr>
                  </w:pPr>
                  <w:r>
                    <w:rPr>
                      <w:rFonts w:cs="Times New Roman"/>
                      <w:color w:val="auto"/>
                      <w:sz w:val="21"/>
                      <w:szCs w:val="21"/>
                    </w:rPr>
                    <w:t>企业废水总排放口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3"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2</w:t>
                  </w:r>
                </w:p>
              </w:tc>
              <w:tc>
                <w:tcPr>
                  <w:tcW w:w="2364"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悬浮物</w:t>
                  </w:r>
                </w:p>
              </w:tc>
              <w:tc>
                <w:tcPr>
                  <w:tcW w:w="2365"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100</w:t>
                  </w:r>
                </w:p>
              </w:tc>
              <w:tc>
                <w:tcPr>
                  <w:tcW w:w="2365" w:type="dxa"/>
                  <w:vMerge w:val="continue"/>
                  <w:vAlign w:val="center"/>
                </w:tcPr>
                <w:p>
                  <w:pPr>
                    <w:spacing w:line="240" w:lineRule="auto"/>
                    <w:ind w:firstLine="0" w:firstLineChars="0"/>
                    <w:jc w:val="center"/>
                    <w:rPr>
                      <w:rFonts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3"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3</w:t>
                  </w:r>
                </w:p>
              </w:tc>
              <w:tc>
                <w:tcPr>
                  <w:tcW w:w="2364"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氟化物（以F计）</w:t>
                  </w:r>
                </w:p>
              </w:tc>
              <w:tc>
                <w:tcPr>
                  <w:tcW w:w="2365"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10</w:t>
                  </w:r>
                </w:p>
              </w:tc>
              <w:tc>
                <w:tcPr>
                  <w:tcW w:w="2365" w:type="dxa"/>
                  <w:vMerge w:val="continue"/>
                  <w:vAlign w:val="center"/>
                </w:tcPr>
                <w:p>
                  <w:pPr>
                    <w:spacing w:line="240" w:lineRule="auto"/>
                    <w:ind w:firstLine="0" w:firstLineChars="0"/>
                    <w:jc w:val="center"/>
                    <w:rPr>
                      <w:rFonts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3"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4</w:t>
                  </w:r>
                </w:p>
              </w:tc>
              <w:tc>
                <w:tcPr>
                  <w:tcW w:w="2364"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石油类</w:t>
                  </w:r>
                </w:p>
              </w:tc>
              <w:tc>
                <w:tcPr>
                  <w:tcW w:w="2365"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5</w:t>
                  </w:r>
                </w:p>
              </w:tc>
              <w:tc>
                <w:tcPr>
                  <w:tcW w:w="2365" w:type="dxa"/>
                  <w:vMerge w:val="continue"/>
                  <w:vAlign w:val="center"/>
                </w:tcPr>
                <w:p>
                  <w:pPr>
                    <w:spacing w:line="240" w:lineRule="auto"/>
                    <w:ind w:firstLine="0" w:firstLineChars="0"/>
                    <w:jc w:val="center"/>
                    <w:rPr>
                      <w:rFonts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3"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5</w:t>
                  </w:r>
                </w:p>
              </w:tc>
              <w:tc>
                <w:tcPr>
                  <w:tcW w:w="2364"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化学需氧量（COD）</w:t>
                  </w:r>
                </w:p>
              </w:tc>
              <w:tc>
                <w:tcPr>
                  <w:tcW w:w="2365"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100</w:t>
                  </w:r>
                </w:p>
              </w:tc>
              <w:tc>
                <w:tcPr>
                  <w:tcW w:w="2365" w:type="dxa"/>
                  <w:vMerge w:val="continue"/>
                  <w:vAlign w:val="center"/>
                </w:tcPr>
                <w:p>
                  <w:pPr>
                    <w:spacing w:line="240" w:lineRule="auto"/>
                    <w:ind w:firstLine="0" w:firstLineChars="0"/>
                    <w:jc w:val="center"/>
                    <w:rPr>
                      <w:rFonts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3"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6</w:t>
                  </w:r>
                </w:p>
              </w:tc>
              <w:tc>
                <w:tcPr>
                  <w:tcW w:w="2364"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总磷</w:t>
                  </w:r>
                </w:p>
              </w:tc>
              <w:tc>
                <w:tcPr>
                  <w:tcW w:w="2365"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5</w:t>
                  </w:r>
                </w:p>
              </w:tc>
              <w:tc>
                <w:tcPr>
                  <w:tcW w:w="2365" w:type="dxa"/>
                  <w:vMerge w:val="continue"/>
                  <w:vAlign w:val="center"/>
                </w:tcPr>
                <w:p>
                  <w:pPr>
                    <w:spacing w:line="240" w:lineRule="auto"/>
                    <w:ind w:firstLine="0" w:firstLineChars="0"/>
                    <w:jc w:val="center"/>
                    <w:rPr>
                      <w:rFonts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3"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7</w:t>
                  </w:r>
                </w:p>
              </w:tc>
              <w:tc>
                <w:tcPr>
                  <w:tcW w:w="2364"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总氮</w:t>
                  </w:r>
                </w:p>
              </w:tc>
              <w:tc>
                <w:tcPr>
                  <w:tcW w:w="2365"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70</w:t>
                  </w:r>
                </w:p>
              </w:tc>
              <w:tc>
                <w:tcPr>
                  <w:tcW w:w="2365" w:type="dxa"/>
                  <w:vMerge w:val="continue"/>
                  <w:vAlign w:val="center"/>
                </w:tcPr>
                <w:p>
                  <w:pPr>
                    <w:spacing w:line="240" w:lineRule="auto"/>
                    <w:ind w:firstLine="0" w:firstLineChars="0"/>
                    <w:jc w:val="center"/>
                    <w:rPr>
                      <w:rFonts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3"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8</w:t>
                  </w:r>
                </w:p>
              </w:tc>
              <w:tc>
                <w:tcPr>
                  <w:tcW w:w="2364"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氨氮</w:t>
                  </w:r>
                </w:p>
              </w:tc>
              <w:tc>
                <w:tcPr>
                  <w:tcW w:w="2365"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50</w:t>
                  </w:r>
                </w:p>
              </w:tc>
              <w:tc>
                <w:tcPr>
                  <w:tcW w:w="2365" w:type="dxa"/>
                  <w:vMerge w:val="continue"/>
                  <w:vAlign w:val="center"/>
                </w:tcPr>
                <w:p>
                  <w:pPr>
                    <w:spacing w:line="240" w:lineRule="auto"/>
                    <w:ind w:firstLine="0" w:firstLineChars="0"/>
                    <w:jc w:val="center"/>
                    <w:rPr>
                      <w:rFonts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3"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9</w:t>
                  </w:r>
                </w:p>
              </w:tc>
              <w:tc>
                <w:tcPr>
                  <w:tcW w:w="2364"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总锌</w:t>
                  </w:r>
                </w:p>
              </w:tc>
              <w:tc>
                <w:tcPr>
                  <w:tcW w:w="2365"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1.5</w:t>
                  </w:r>
                </w:p>
              </w:tc>
              <w:tc>
                <w:tcPr>
                  <w:tcW w:w="2365" w:type="dxa"/>
                  <w:vMerge w:val="continue"/>
                  <w:vAlign w:val="center"/>
                </w:tcPr>
                <w:p>
                  <w:pPr>
                    <w:spacing w:line="240" w:lineRule="auto"/>
                    <w:ind w:firstLine="0" w:firstLineChars="0"/>
                    <w:jc w:val="center"/>
                    <w:rPr>
                      <w:rFonts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3"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10</w:t>
                  </w:r>
                </w:p>
              </w:tc>
              <w:tc>
                <w:tcPr>
                  <w:tcW w:w="2364"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钍、铀总量</w:t>
                  </w:r>
                </w:p>
              </w:tc>
              <w:tc>
                <w:tcPr>
                  <w:tcW w:w="2365"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0.1</w:t>
                  </w:r>
                </w:p>
              </w:tc>
              <w:tc>
                <w:tcPr>
                  <w:tcW w:w="2365" w:type="dxa"/>
                  <w:vMerge w:val="restart"/>
                  <w:vAlign w:val="center"/>
                </w:tcPr>
                <w:p>
                  <w:pPr>
                    <w:spacing w:line="240" w:lineRule="auto"/>
                    <w:ind w:firstLine="0" w:firstLineChars="0"/>
                    <w:jc w:val="center"/>
                    <w:rPr>
                      <w:rFonts w:cs="Times New Roman"/>
                      <w:color w:val="auto"/>
                      <w:sz w:val="21"/>
                      <w:szCs w:val="21"/>
                    </w:rPr>
                  </w:pPr>
                  <w:r>
                    <w:rPr>
                      <w:rFonts w:cs="Times New Roman"/>
                      <w:color w:val="auto"/>
                      <w:sz w:val="21"/>
                      <w:szCs w:val="21"/>
                    </w:rPr>
                    <w:t>车间或生产设施废水排放口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3"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11</w:t>
                  </w:r>
                </w:p>
              </w:tc>
              <w:tc>
                <w:tcPr>
                  <w:tcW w:w="2364"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总镉</w:t>
                  </w:r>
                </w:p>
              </w:tc>
              <w:tc>
                <w:tcPr>
                  <w:tcW w:w="2365"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0.05</w:t>
                  </w:r>
                </w:p>
              </w:tc>
              <w:tc>
                <w:tcPr>
                  <w:tcW w:w="2365" w:type="dxa"/>
                  <w:vMerge w:val="continue"/>
                  <w:vAlign w:val="center"/>
                </w:tcPr>
                <w:p>
                  <w:pPr>
                    <w:spacing w:line="240" w:lineRule="auto"/>
                    <w:ind w:firstLine="0" w:firstLineChars="0"/>
                    <w:jc w:val="center"/>
                    <w:rPr>
                      <w:rFonts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3"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12</w:t>
                  </w:r>
                </w:p>
              </w:tc>
              <w:tc>
                <w:tcPr>
                  <w:tcW w:w="2364"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总铅</w:t>
                  </w:r>
                </w:p>
              </w:tc>
              <w:tc>
                <w:tcPr>
                  <w:tcW w:w="2365"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0.2</w:t>
                  </w:r>
                </w:p>
              </w:tc>
              <w:tc>
                <w:tcPr>
                  <w:tcW w:w="2365" w:type="dxa"/>
                  <w:vMerge w:val="continue"/>
                  <w:vAlign w:val="center"/>
                </w:tcPr>
                <w:p>
                  <w:pPr>
                    <w:spacing w:line="240" w:lineRule="auto"/>
                    <w:ind w:firstLine="0" w:firstLineChars="0"/>
                    <w:jc w:val="center"/>
                    <w:rPr>
                      <w:rFonts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3"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13</w:t>
                  </w:r>
                </w:p>
              </w:tc>
              <w:tc>
                <w:tcPr>
                  <w:tcW w:w="2364"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总砷</w:t>
                  </w:r>
                </w:p>
              </w:tc>
              <w:tc>
                <w:tcPr>
                  <w:tcW w:w="2365"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0.1</w:t>
                  </w:r>
                </w:p>
              </w:tc>
              <w:tc>
                <w:tcPr>
                  <w:tcW w:w="2365" w:type="dxa"/>
                  <w:vMerge w:val="continue"/>
                  <w:vAlign w:val="center"/>
                </w:tcPr>
                <w:p>
                  <w:pPr>
                    <w:spacing w:line="240" w:lineRule="auto"/>
                    <w:ind w:firstLine="0" w:firstLineChars="0"/>
                    <w:jc w:val="center"/>
                    <w:rPr>
                      <w:rFonts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3"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14</w:t>
                  </w:r>
                </w:p>
              </w:tc>
              <w:tc>
                <w:tcPr>
                  <w:tcW w:w="2364"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总铬</w:t>
                  </w:r>
                </w:p>
              </w:tc>
              <w:tc>
                <w:tcPr>
                  <w:tcW w:w="2365"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0.8</w:t>
                  </w:r>
                </w:p>
              </w:tc>
              <w:tc>
                <w:tcPr>
                  <w:tcW w:w="2365" w:type="dxa"/>
                  <w:vMerge w:val="continue"/>
                  <w:vAlign w:val="center"/>
                </w:tcPr>
                <w:p>
                  <w:pPr>
                    <w:spacing w:line="240" w:lineRule="auto"/>
                    <w:ind w:firstLine="0" w:firstLineChars="0"/>
                    <w:jc w:val="center"/>
                    <w:rPr>
                      <w:rFonts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3"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15</w:t>
                  </w:r>
                </w:p>
              </w:tc>
              <w:tc>
                <w:tcPr>
                  <w:tcW w:w="2364"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六价铬</w:t>
                  </w:r>
                </w:p>
              </w:tc>
              <w:tc>
                <w:tcPr>
                  <w:tcW w:w="2365"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0.1</w:t>
                  </w:r>
                </w:p>
              </w:tc>
              <w:tc>
                <w:tcPr>
                  <w:tcW w:w="2365" w:type="dxa"/>
                  <w:vMerge w:val="continue"/>
                  <w:vAlign w:val="center"/>
                </w:tcPr>
                <w:p>
                  <w:pPr>
                    <w:spacing w:line="240" w:lineRule="auto"/>
                    <w:ind w:firstLine="0" w:firstLineChars="0"/>
                    <w:jc w:val="center"/>
                    <w:rPr>
                      <w:rFonts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3"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单位产品基准排水量</w:t>
                  </w:r>
                </w:p>
              </w:tc>
              <w:tc>
                <w:tcPr>
                  <w:tcW w:w="2364"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分解提取（以REO计）</w:t>
                  </w:r>
                </w:p>
              </w:tc>
              <w:tc>
                <w:tcPr>
                  <w:tcW w:w="2365"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25m3/t</w:t>
                  </w:r>
                </w:p>
              </w:tc>
              <w:tc>
                <w:tcPr>
                  <w:tcW w:w="2365"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排水量计量位置与污染物排放监控位置相同</w:t>
                  </w:r>
                </w:p>
              </w:tc>
            </w:tr>
          </w:tbl>
          <w:p>
            <w:pPr>
              <w:ind w:firstLine="482"/>
              <w:rPr>
                <w:rFonts w:cs="Times New Roman"/>
                <w:b/>
                <w:bCs/>
                <w:color w:val="auto"/>
              </w:rPr>
            </w:pPr>
            <w:r>
              <w:rPr>
                <w:rFonts w:cs="Times New Roman"/>
                <w:b/>
                <w:bCs/>
                <w:color w:val="auto"/>
              </w:rPr>
              <w:t>4、固体废物排放标准</w:t>
            </w:r>
          </w:p>
          <w:p>
            <w:pPr>
              <w:ind w:firstLine="480"/>
              <w:rPr>
                <w:rFonts w:cs="Times New Roman"/>
                <w:color w:val="auto"/>
              </w:rPr>
            </w:pPr>
            <w:r>
              <w:rPr>
                <w:rFonts w:cs="Times New Roman"/>
                <w:color w:val="auto"/>
              </w:rPr>
              <w:t>一般工业固体废物执行《一般工业固体废物贮存和填埋污染控制标准》（GB18599-2020）的相关要求。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4" w:type="dxa"/>
            <w:vAlign w:val="center"/>
          </w:tcPr>
          <w:p>
            <w:pPr>
              <w:ind w:firstLine="0" w:firstLineChars="0"/>
              <w:jc w:val="center"/>
              <w:rPr>
                <w:rFonts w:cs="Times New Roman"/>
                <w:b/>
                <w:bCs/>
                <w:color w:val="auto"/>
              </w:rPr>
            </w:pPr>
            <w:r>
              <w:rPr>
                <w:rFonts w:cs="Times New Roman"/>
                <w:b/>
                <w:bCs/>
                <w:color w:val="auto"/>
              </w:rPr>
              <w:t>总量控制指标</w:t>
            </w:r>
          </w:p>
        </w:tc>
        <w:tc>
          <w:tcPr>
            <w:tcW w:w="8492" w:type="dxa"/>
            <w:vAlign w:val="center"/>
          </w:tcPr>
          <w:p>
            <w:pPr>
              <w:ind w:firstLine="480"/>
              <w:rPr>
                <w:rFonts w:cs="Times New Roman"/>
                <w:color w:val="auto"/>
                <w:szCs w:val="22"/>
              </w:rPr>
            </w:pPr>
            <w:r>
              <w:rPr>
                <w:rFonts w:cs="Times New Roman"/>
                <w:color w:val="auto"/>
                <w:szCs w:val="22"/>
              </w:rPr>
              <w:t>现阶段实施污染物总量控制的指标为挥发性有机物、SO</w:t>
            </w:r>
            <w:r>
              <w:rPr>
                <w:rFonts w:cs="Times New Roman"/>
                <w:color w:val="auto"/>
                <w:szCs w:val="22"/>
                <w:vertAlign w:val="subscript"/>
              </w:rPr>
              <w:t>2</w:t>
            </w:r>
            <w:r>
              <w:rPr>
                <w:rFonts w:cs="Times New Roman"/>
                <w:color w:val="auto"/>
                <w:szCs w:val="22"/>
              </w:rPr>
              <w:t>、NOx、COD和NH</w:t>
            </w:r>
            <w:r>
              <w:rPr>
                <w:rFonts w:cs="Times New Roman"/>
                <w:color w:val="auto"/>
                <w:szCs w:val="22"/>
                <w:vertAlign w:val="subscript"/>
              </w:rPr>
              <w:t>3</w:t>
            </w:r>
            <w:r>
              <w:rPr>
                <w:rFonts w:cs="Times New Roman"/>
                <w:color w:val="auto"/>
                <w:szCs w:val="22"/>
              </w:rPr>
              <w:t>-N。本项目生活污水、纯水制备含盐废水和锅炉排水依托厂区已建的一座处理能力为50t/d的地埋式一体化污水处理设备，</w:t>
            </w:r>
            <w:r>
              <w:rPr>
                <w:rFonts w:hint="eastAsia" w:cs="Times New Roman"/>
                <w:color w:val="auto"/>
                <w:szCs w:val="22"/>
                <w:lang w:eastAsia="zh-CN"/>
              </w:rPr>
              <w:t>处理达标后拉运至</w:t>
            </w:r>
            <w:r>
              <w:rPr>
                <w:rFonts w:hint="eastAsia" w:cs="Times New Roman"/>
                <w:color w:val="auto"/>
                <w:szCs w:val="22"/>
              </w:rPr>
              <w:t>乌拉特前旗工业园区污水处理厂</w:t>
            </w:r>
            <w:r>
              <w:rPr>
                <w:rFonts w:cs="Times New Roman"/>
                <w:color w:val="auto"/>
                <w:szCs w:val="22"/>
              </w:rPr>
              <w:t>，因此不申请总量，本项目总量控制指标为SO</w:t>
            </w:r>
            <w:r>
              <w:rPr>
                <w:rFonts w:cs="Times New Roman"/>
                <w:color w:val="auto"/>
                <w:szCs w:val="22"/>
                <w:vertAlign w:val="subscript"/>
              </w:rPr>
              <w:t>2</w:t>
            </w:r>
            <w:r>
              <w:rPr>
                <w:rFonts w:cs="Times New Roman"/>
                <w:color w:val="auto"/>
                <w:szCs w:val="22"/>
              </w:rPr>
              <w:t>、NOx。</w:t>
            </w:r>
          </w:p>
          <w:p>
            <w:pPr>
              <w:ind w:firstLine="480"/>
              <w:rPr>
                <w:rFonts w:cs="Times New Roman"/>
                <w:color w:val="auto"/>
              </w:rPr>
            </w:pPr>
            <w:r>
              <w:rPr>
                <w:rFonts w:cs="Times New Roman"/>
                <w:color w:val="auto"/>
              </w:rPr>
              <w:t>本项目总量控制指标见表3-11。</w:t>
            </w:r>
          </w:p>
          <w:p>
            <w:pPr>
              <w:ind w:firstLine="0" w:firstLineChars="0"/>
              <w:jc w:val="center"/>
              <w:rPr>
                <w:rFonts w:cs="Times New Roman"/>
                <w:b/>
                <w:bCs/>
                <w:color w:val="auto"/>
              </w:rPr>
            </w:pPr>
            <w:r>
              <w:rPr>
                <w:rFonts w:cs="Times New Roman"/>
                <w:b/>
                <w:bCs/>
                <w:color w:val="auto"/>
              </w:rPr>
              <w:t>表3-11项目总量控制指标一览表</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18"/>
              <w:gridCol w:w="1752"/>
              <w:gridCol w:w="2188"/>
              <w:gridCol w:w="271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75" w:type="dxa"/>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类别</w:t>
                  </w:r>
                </w:p>
              </w:tc>
              <w:tc>
                <w:tcPr>
                  <w:tcW w:w="1706" w:type="dxa"/>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污染物名称</w:t>
                  </w:r>
                </w:p>
              </w:tc>
              <w:tc>
                <w:tcPr>
                  <w:tcW w:w="2130" w:type="dxa"/>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排放量</w:t>
                  </w:r>
                </w:p>
              </w:tc>
              <w:tc>
                <w:tcPr>
                  <w:tcW w:w="2647" w:type="dxa"/>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总量控制指标建议值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75" w:type="dxa"/>
                  <w:vMerge w:val="restart"/>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废气</w:t>
                  </w:r>
                </w:p>
              </w:tc>
              <w:tc>
                <w:tcPr>
                  <w:tcW w:w="1706"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SO</w:t>
                  </w:r>
                  <w:r>
                    <w:rPr>
                      <w:rFonts w:cs="Times New Roman"/>
                      <w:color w:val="auto"/>
                      <w:sz w:val="21"/>
                      <w:szCs w:val="21"/>
                      <w:vertAlign w:val="subscript"/>
                    </w:rPr>
                    <w:t>2</w:t>
                  </w:r>
                </w:p>
              </w:tc>
              <w:tc>
                <w:tcPr>
                  <w:tcW w:w="2130"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0.35t/a</w:t>
                  </w:r>
                </w:p>
              </w:tc>
              <w:tc>
                <w:tcPr>
                  <w:tcW w:w="2647"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0.35t/a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75" w:type="dxa"/>
                  <w:vMerge w:val="continue"/>
                  <w:vAlign w:val="center"/>
                </w:tcPr>
                <w:p>
                  <w:pPr>
                    <w:spacing w:line="240" w:lineRule="auto"/>
                    <w:ind w:firstLine="0" w:firstLineChars="0"/>
                    <w:jc w:val="center"/>
                    <w:rPr>
                      <w:rFonts w:cs="Times New Roman"/>
                      <w:color w:val="auto"/>
                      <w:sz w:val="21"/>
                      <w:szCs w:val="21"/>
                    </w:rPr>
                  </w:pPr>
                </w:p>
              </w:tc>
              <w:tc>
                <w:tcPr>
                  <w:tcW w:w="1706"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NOx</w:t>
                  </w:r>
                </w:p>
              </w:tc>
              <w:tc>
                <w:tcPr>
                  <w:tcW w:w="2130"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4.21t/a</w:t>
                  </w:r>
                </w:p>
              </w:tc>
              <w:tc>
                <w:tcPr>
                  <w:tcW w:w="2647" w:type="dxa"/>
                  <w:vAlign w:val="center"/>
                </w:tcPr>
                <w:p>
                  <w:pPr>
                    <w:spacing w:line="240" w:lineRule="auto"/>
                    <w:ind w:firstLine="0" w:firstLineChars="0"/>
                    <w:jc w:val="center"/>
                    <w:rPr>
                      <w:rFonts w:cs="Times New Roman"/>
                      <w:color w:val="auto"/>
                      <w:sz w:val="21"/>
                      <w:szCs w:val="21"/>
                    </w:rPr>
                  </w:pPr>
                  <w:r>
                    <w:rPr>
                      <w:rFonts w:cs="Times New Roman"/>
                      <w:color w:val="auto"/>
                      <w:sz w:val="21"/>
                      <w:szCs w:val="21"/>
                    </w:rPr>
                    <w:t>4.21t/a</w:t>
                  </w:r>
                </w:p>
              </w:tc>
            </w:tr>
          </w:tbl>
          <w:p>
            <w:pPr>
              <w:ind w:firstLine="480"/>
              <w:rPr>
                <w:rFonts w:cs="Times New Roman"/>
                <w:color w:val="auto"/>
              </w:rPr>
            </w:pPr>
            <w:r>
              <w:rPr>
                <w:rFonts w:cs="Times New Roman"/>
                <w:color w:val="auto"/>
              </w:rPr>
              <w:t>本项目总量控制指标为：</w:t>
            </w:r>
            <w:r>
              <w:rPr>
                <w:rFonts w:cs="Times New Roman"/>
                <w:color w:val="auto"/>
                <w:szCs w:val="22"/>
              </w:rPr>
              <w:t>SO</w:t>
            </w:r>
            <w:r>
              <w:rPr>
                <w:rFonts w:cs="Times New Roman"/>
                <w:color w:val="auto"/>
                <w:szCs w:val="22"/>
                <w:vertAlign w:val="subscript"/>
              </w:rPr>
              <w:t>2</w:t>
            </w:r>
            <w:r>
              <w:rPr>
                <w:rFonts w:cs="Times New Roman"/>
                <w:color w:val="auto"/>
              </w:rPr>
              <w:t>：0.35t/a、</w:t>
            </w:r>
            <w:r>
              <w:rPr>
                <w:rFonts w:cs="Times New Roman"/>
                <w:color w:val="auto"/>
                <w:szCs w:val="22"/>
              </w:rPr>
              <w:t>NOx</w:t>
            </w:r>
            <w:r>
              <w:rPr>
                <w:rFonts w:cs="Times New Roman"/>
                <w:color w:val="auto"/>
              </w:rPr>
              <w:t>：4.21t/a。</w:t>
            </w:r>
          </w:p>
          <w:p>
            <w:pPr>
              <w:ind w:firstLine="480"/>
              <w:jc w:val="center"/>
              <w:rPr>
                <w:rFonts w:cs="Times New Roman"/>
                <w:color w:val="auto"/>
              </w:rPr>
            </w:pPr>
          </w:p>
        </w:tc>
      </w:tr>
    </w:tbl>
    <w:p>
      <w:pPr>
        <w:pStyle w:val="3"/>
        <w:ind w:firstLine="0" w:firstLineChars="0"/>
        <w:rPr>
          <w:rFonts w:eastAsia="宋体" w:cs="Times New Roman"/>
          <w:color w:val="auto"/>
        </w:rPr>
        <w:sectPr>
          <w:pgSz w:w="11906" w:h="16838"/>
          <w:pgMar w:top="1440" w:right="1800" w:bottom="1440" w:left="1800" w:header="851" w:footer="992" w:gutter="0"/>
          <w:cols w:space="425" w:num="1"/>
          <w:docGrid w:type="lines" w:linePitch="312" w:charSpace="0"/>
        </w:sectPr>
      </w:pPr>
    </w:p>
    <w:p>
      <w:pPr>
        <w:pStyle w:val="3"/>
        <w:ind w:firstLine="0" w:firstLineChars="0"/>
        <w:rPr>
          <w:rFonts w:eastAsia="宋体" w:cs="Times New Roman"/>
          <w:color w:val="auto"/>
        </w:rPr>
      </w:pPr>
      <w:r>
        <w:rPr>
          <w:rFonts w:eastAsia="宋体" w:cs="Times New Roman"/>
          <w:color w:val="auto"/>
        </w:rPr>
        <w:t>四、主要环境影响和保护措施</w:t>
      </w:r>
    </w:p>
    <w:tbl>
      <w:tblPr>
        <w:tblStyle w:val="27"/>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7"/>
        <w:gridCol w:w="95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65" w:type="dxa"/>
            <w:vAlign w:val="center"/>
          </w:tcPr>
          <w:p>
            <w:pPr>
              <w:spacing w:line="240" w:lineRule="auto"/>
              <w:ind w:firstLine="0" w:firstLineChars="0"/>
              <w:jc w:val="center"/>
              <w:rPr>
                <w:rFonts w:cs="Times New Roman"/>
                <w:b/>
                <w:bCs/>
                <w:color w:val="auto"/>
              </w:rPr>
            </w:pPr>
            <w:r>
              <w:rPr>
                <w:rFonts w:cs="Times New Roman"/>
                <w:b/>
                <w:bCs/>
                <w:color w:val="auto"/>
              </w:rPr>
              <w:t>施工期环境保护措施</w:t>
            </w:r>
          </w:p>
        </w:tc>
        <w:tc>
          <w:tcPr>
            <w:tcW w:w="8406" w:type="dxa"/>
            <w:vAlign w:val="center"/>
          </w:tcPr>
          <w:p>
            <w:pPr>
              <w:ind w:firstLine="480"/>
              <w:rPr>
                <w:rFonts w:cs="Times New Roman"/>
                <w:color w:val="auto"/>
              </w:rPr>
            </w:pPr>
            <w:r>
              <w:rPr>
                <w:rFonts w:cs="Times New Roman"/>
                <w:color w:val="auto"/>
              </w:rPr>
              <w:t>本项目利用现有厂房进行建设，厂房主体工程及地面防渗均已完成；本次施工主要内容为设备安装。</w:t>
            </w:r>
          </w:p>
          <w:p>
            <w:pPr>
              <w:ind w:firstLine="480"/>
              <w:rPr>
                <w:rFonts w:cs="Times New Roman"/>
                <w:color w:val="auto"/>
              </w:rPr>
            </w:pPr>
            <w:r>
              <w:rPr>
                <w:rFonts w:cs="Times New Roman"/>
                <w:color w:val="auto"/>
              </w:rPr>
              <w:t>1、废气环保措施</w:t>
            </w:r>
          </w:p>
          <w:p>
            <w:pPr>
              <w:ind w:firstLine="480"/>
              <w:rPr>
                <w:rFonts w:cs="Times New Roman"/>
                <w:color w:val="auto"/>
              </w:rPr>
            </w:pPr>
            <w:r>
              <w:rPr>
                <w:rFonts w:cs="Times New Roman"/>
                <w:color w:val="auto"/>
              </w:rPr>
              <w:t>（1）生产设备基础所需的建筑材料堆放过程进行覆盖苫布，并通过对堆场进行洒水；</w:t>
            </w:r>
          </w:p>
          <w:p>
            <w:pPr>
              <w:ind w:firstLine="480"/>
              <w:rPr>
                <w:rFonts w:cs="Times New Roman"/>
                <w:color w:val="auto"/>
              </w:rPr>
            </w:pPr>
            <w:r>
              <w:rPr>
                <w:rFonts w:cs="Times New Roman"/>
                <w:color w:val="auto"/>
              </w:rPr>
              <w:t>（2）运输道路进行洒水抑尘。</w:t>
            </w:r>
          </w:p>
          <w:p>
            <w:pPr>
              <w:ind w:firstLine="480"/>
              <w:rPr>
                <w:rFonts w:cs="Times New Roman"/>
                <w:color w:val="auto"/>
              </w:rPr>
            </w:pPr>
            <w:r>
              <w:rPr>
                <w:rFonts w:cs="Times New Roman"/>
                <w:color w:val="auto"/>
              </w:rPr>
              <w:t>2、废水环保措施</w:t>
            </w:r>
          </w:p>
          <w:p>
            <w:pPr>
              <w:ind w:firstLine="480"/>
              <w:rPr>
                <w:rFonts w:cs="Times New Roman"/>
                <w:color w:val="auto"/>
              </w:rPr>
            </w:pPr>
            <w:r>
              <w:rPr>
                <w:rFonts w:cs="Times New Roman"/>
                <w:color w:val="auto"/>
              </w:rPr>
              <w:t>（1）施工人员的</w:t>
            </w:r>
            <w:r>
              <w:rPr>
                <w:rFonts w:cs="Times New Roman"/>
                <w:color w:val="auto"/>
                <w:szCs w:val="21"/>
              </w:rPr>
              <w:t>生活污水通过厂区已建的一座处理能力为50t/d的地埋式一体化污水处理设备</w:t>
            </w:r>
            <w:r>
              <w:rPr>
                <w:rFonts w:hint="eastAsia" w:cs="Times New Roman"/>
                <w:color w:val="auto"/>
              </w:rPr>
              <w:t>处理达标后拉运至乌拉特前旗工业园区污水处理厂</w:t>
            </w:r>
            <w:r>
              <w:rPr>
                <w:rFonts w:cs="Times New Roman"/>
                <w:color w:val="auto"/>
              </w:rPr>
              <w:t>。</w:t>
            </w:r>
          </w:p>
          <w:p>
            <w:pPr>
              <w:tabs>
                <w:tab w:val="left" w:pos="2880"/>
              </w:tabs>
              <w:ind w:firstLine="480"/>
              <w:rPr>
                <w:rFonts w:cs="Times New Roman"/>
                <w:color w:val="auto"/>
              </w:rPr>
            </w:pPr>
            <w:r>
              <w:rPr>
                <w:rFonts w:cs="Times New Roman"/>
                <w:color w:val="auto"/>
              </w:rPr>
              <w:t>3、噪声环保措施</w:t>
            </w:r>
          </w:p>
          <w:p>
            <w:pPr>
              <w:ind w:firstLine="480"/>
              <w:rPr>
                <w:rFonts w:cs="Times New Roman"/>
                <w:color w:val="auto"/>
              </w:rPr>
            </w:pPr>
            <w:r>
              <w:rPr>
                <w:rFonts w:cs="Times New Roman"/>
                <w:color w:val="auto"/>
              </w:rPr>
              <w:t>（1）施工现场合理布局，以避免局部声级过高，尽可能将施工阶段的噪声减至最低。</w:t>
            </w:r>
          </w:p>
          <w:p>
            <w:pPr>
              <w:ind w:firstLine="480"/>
              <w:rPr>
                <w:rFonts w:cs="Times New Roman"/>
                <w:color w:val="auto"/>
              </w:rPr>
            </w:pPr>
            <w:r>
              <w:rPr>
                <w:rFonts w:cs="Times New Roman"/>
                <w:color w:val="auto"/>
              </w:rPr>
              <w:t>（2）现场施工人员要严加管理，在施工建设时要防止互相撞击噪声，要文明施工。</w:t>
            </w:r>
          </w:p>
          <w:p>
            <w:pPr>
              <w:ind w:firstLine="480"/>
              <w:rPr>
                <w:rFonts w:cs="Times New Roman"/>
                <w:color w:val="auto"/>
              </w:rPr>
            </w:pPr>
            <w:r>
              <w:rPr>
                <w:rFonts w:cs="Times New Roman"/>
                <w:color w:val="auto"/>
              </w:rPr>
              <w:t>（3）合理安排作业时间，严禁中午和晚上施工。</w:t>
            </w:r>
          </w:p>
          <w:p>
            <w:pPr>
              <w:ind w:firstLine="480"/>
              <w:rPr>
                <w:rFonts w:cs="Times New Roman"/>
                <w:color w:val="auto"/>
              </w:rPr>
            </w:pPr>
            <w:r>
              <w:rPr>
                <w:rFonts w:cs="Times New Roman"/>
                <w:color w:val="auto"/>
              </w:rPr>
              <w:t>（4）及时保养维修施工机械，严格按照操作规程使用各类机械。</w:t>
            </w:r>
          </w:p>
          <w:p>
            <w:pPr>
              <w:ind w:firstLine="480"/>
              <w:rPr>
                <w:rFonts w:cs="Times New Roman"/>
                <w:color w:val="auto"/>
              </w:rPr>
            </w:pPr>
            <w:r>
              <w:rPr>
                <w:rFonts w:cs="Times New Roman"/>
                <w:color w:val="auto"/>
              </w:rPr>
              <w:t>4、固体废物环保措施</w:t>
            </w:r>
          </w:p>
          <w:p>
            <w:pPr>
              <w:ind w:firstLine="480"/>
              <w:rPr>
                <w:rFonts w:cs="Times New Roman"/>
                <w:color w:val="auto"/>
                <w:kern w:val="0"/>
              </w:rPr>
            </w:pPr>
            <w:r>
              <w:rPr>
                <w:rFonts w:cs="Times New Roman"/>
                <w:color w:val="auto"/>
                <w:kern w:val="0"/>
              </w:rPr>
              <w:t>（1）建筑垃圾按照当地执法部门要求进行处置。</w:t>
            </w:r>
          </w:p>
          <w:p>
            <w:pPr>
              <w:ind w:firstLine="480"/>
              <w:rPr>
                <w:rFonts w:cs="Times New Roman"/>
                <w:color w:val="auto"/>
                <w:kern w:val="0"/>
              </w:rPr>
            </w:pPr>
            <w:r>
              <w:rPr>
                <w:rFonts w:cs="Times New Roman"/>
                <w:color w:val="auto"/>
                <w:kern w:val="0"/>
              </w:rPr>
              <w:t>（2）设备包装物收集后外售废品收购站。</w:t>
            </w:r>
          </w:p>
          <w:p>
            <w:pPr>
              <w:ind w:firstLine="480"/>
              <w:rPr>
                <w:rFonts w:cs="Times New Roman"/>
                <w:color w:val="auto"/>
              </w:rPr>
            </w:pPr>
            <w:r>
              <w:rPr>
                <w:rFonts w:cs="Times New Roman"/>
                <w:color w:val="auto"/>
                <w:kern w:val="0"/>
              </w:rPr>
              <w:t>（3）施工人员的生活垃圾经垃圾桶收集后，送当地环卫部门处理</w:t>
            </w:r>
            <w:r>
              <w:rPr>
                <w:rFonts w:cs="Times New Roman"/>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65" w:type="dxa"/>
            <w:vAlign w:val="center"/>
          </w:tcPr>
          <w:p>
            <w:pPr>
              <w:spacing w:line="240" w:lineRule="auto"/>
              <w:ind w:firstLine="0" w:firstLineChars="0"/>
              <w:jc w:val="center"/>
              <w:rPr>
                <w:rFonts w:cs="Times New Roman"/>
                <w:b/>
                <w:bCs/>
                <w:color w:val="auto"/>
              </w:rPr>
            </w:pPr>
            <w:r>
              <w:rPr>
                <w:rFonts w:cs="Times New Roman"/>
                <w:b/>
                <w:bCs/>
                <w:color w:val="auto"/>
              </w:rPr>
              <w:t>运营期环境影响和保护措施</w:t>
            </w:r>
          </w:p>
        </w:tc>
        <w:tc>
          <w:tcPr>
            <w:tcW w:w="8406" w:type="dxa"/>
            <w:vAlign w:val="center"/>
          </w:tcPr>
          <w:p>
            <w:pPr>
              <w:ind w:firstLine="482"/>
              <w:rPr>
                <w:rFonts w:cs="Times New Roman"/>
                <w:b/>
                <w:bCs/>
                <w:color w:val="auto"/>
                <w:szCs w:val="22"/>
              </w:rPr>
            </w:pPr>
            <w:r>
              <w:rPr>
                <w:rFonts w:cs="Times New Roman"/>
                <w:b/>
                <w:bCs/>
                <w:color w:val="auto"/>
                <w:szCs w:val="22"/>
              </w:rPr>
              <w:t>1、废气产排情况及治理措施可行性分析</w:t>
            </w:r>
          </w:p>
          <w:p>
            <w:pPr>
              <w:ind w:firstLine="482"/>
              <w:rPr>
                <w:rFonts w:cs="Times New Roman"/>
                <w:b/>
                <w:bCs/>
                <w:color w:val="auto"/>
              </w:rPr>
            </w:pPr>
            <w:r>
              <w:rPr>
                <w:rFonts w:cs="Times New Roman"/>
                <w:b/>
                <w:bCs/>
                <w:color w:val="auto"/>
              </w:rPr>
              <w:t>1.1废气产排情况</w:t>
            </w:r>
          </w:p>
          <w:p>
            <w:pPr>
              <w:ind w:firstLine="480"/>
              <w:rPr>
                <w:rFonts w:cs="Times New Roman"/>
                <w:color w:val="auto"/>
              </w:rPr>
            </w:pPr>
            <w:bookmarkStart w:id="39" w:name="_Hlk162003925"/>
            <w:r>
              <w:rPr>
                <w:rFonts w:cs="Times New Roman"/>
                <w:color w:val="auto"/>
              </w:rPr>
              <w:t>本项目分两期进行建设，一期工程运营期产生的废气主要包括氟化、闪蒸干燥工段废气、电辊道窑废气和天然气辊道窑废气、混料过筛、气流粉碎、射流分级废气、喷雾干燥燃气废气和天然气锅炉废气。二期工程运营期产生的废气主要包括氟化、闪蒸干燥工段废气、天然气回转窑废气、混料过筛、气流粉碎、射流分级废气、喷雾干燥燃气废气和天然气锅炉废气。</w:t>
            </w:r>
          </w:p>
          <w:bookmarkEnd w:id="39"/>
          <w:p>
            <w:pPr>
              <w:ind w:firstLine="482"/>
              <w:rPr>
                <w:rFonts w:cs="Times New Roman"/>
                <w:b/>
                <w:color w:val="auto"/>
              </w:rPr>
            </w:pPr>
            <w:r>
              <w:rPr>
                <w:rFonts w:cs="Times New Roman"/>
                <w:b/>
                <w:color w:val="auto"/>
              </w:rPr>
              <w:t>1.1.1</w:t>
            </w:r>
            <w:bookmarkStart w:id="40" w:name="_Hlk162004110"/>
            <w:r>
              <w:rPr>
                <w:rFonts w:cs="Times New Roman"/>
                <w:b/>
                <w:color w:val="auto"/>
              </w:rPr>
              <w:t>一期工程</w:t>
            </w:r>
            <w:bookmarkEnd w:id="40"/>
          </w:p>
          <w:p>
            <w:pPr>
              <w:ind w:firstLine="480"/>
              <w:rPr>
                <w:rFonts w:cs="Times New Roman"/>
                <w:bCs/>
                <w:color w:val="auto"/>
              </w:rPr>
            </w:pPr>
            <w:r>
              <w:rPr>
                <w:rFonts w:cs="Times New Roman"/>
                <w:bCs/>
                <w:color w:val="auto"/>
              </w:rPr>
              <w:t>（1）</w:t>
            </w:r>
            <w:bookmarkStart w:id="41" w:name="_Hlk162004118"/>
            <w:r>
              <w:rPr>
                <w:rFonts w:cs="Times New Roman"/>
                <w:bCs/>
                <w:color w:val="auto"/>
              </w:rPr>
              <w:t>氟化废气G1-1</w:t>
            </w:r>
          </w:p>
          <w:bookmarkEnd w:id="41"/>
          <w:p>
            <w:pPr>
              <w:ind w:firstLine="480"/>
              <w:contextualSpacing/>
              <w:rPr>
                <w:rFonts w:cs="Times New Roman"/>
                <w:bCs/>
                <w:color w:val="auto"/>
              </w:rPr>
            </w:pPr>
            <w:bookmarkStart w:id="42" w:name="_Hlk162004126"/>
            <w:r>
              <w:rPr>
                <w:rFonts w:cs="Times New Roman"/>
                <w:bCs/>
                <w:color w:val="auto"/>
              </w:rPr>
              <w:t>本项目抛光粉生产工艺氟化反应使用氢氟酸喷洒，反应过程会有氟化物产生，一期</w:t>
            </w:r>
            <w:r>
              <w:rPr>
                <w:rFonts w:cs="Times New Roman"/>
                <w:color w:val="auto"/>
              </w:rPr>
              <w:t>项目共用氢氟酸178.38t/a（其中HF含量40%，71.35t），根据设计资料，氟化物利用率为99.5%，产生的氟化物为0.36t/a，</w:t>
            </w:r>
            <w:r>
              <w:rPr>
                <w:rFonts w:cs="Times New Roman"/>
                <w:bCs/>
                <w:color w:val="auto"/>
              </w:rPr>
              <w:t>氟化工序产生的氟化物（气氟）经风机全部抽送至碱喷淋塔内进行处置，处理效率可达到85%，</w:t>
            </w:r>
            <w:r>
              <w:rPr>
                <w:rFonts w:cs="Times New Roman"/>
                <w:color w:val="auto"/>
              </w:rPr>
              <w:t>处理后的废气与闪蒸干燥工段废气合并后通过1根</w:t>
            </w:r>
            <w:r>
              <w:rPr>
                <w:rFonts w:cs="Times New Roman"/>
                <w:bCs/>
                <w:color w:val="auto"/>
              </w:rPr>
              <w:t>15m排气筒（P1）排放。</w:t>
            </w:r>
          </w:p>
          <w:bookmarkEnd w:id="42"/>
          <w:p>
            <w:pPr>
              <w:ind w:firstLine="480"/>
              <w:rPr>
                <w:rFonts w:cs="Times New Roman"/>
                <w:bCs/>
                <w:color w:val="auto"/>
              </w:rPr>
            </w:pPr>
            <w:r>
              <w:rPr>
                <w:rFonts w:cs="Times New Roman"/>
                <w:bCs/>
                <w:color w:val="auto"/>
              </w:rPr>
              <w:t>（2）</w:t>
            </w:r>
            <w:bookmarkStart w:id="43" w:name="_Hlk162004135"/>
            <w:r>
              <w:rPr>
                <w:rFonts w:cs="Times New Roman"/>
                <w:color w:val="auto"/>
              </w:rPr>
              <w:t>闪蒸干燥工段废气G1-2</w:t>
            </w:r>
          </w:p>
          <w:bookmarkEnd w:id="43"/>
          <w:p>
            <w:pPr>
              <w:ind w:firstLine="480"/>
              <w:rPr>
                <w:rFonts w:cs="Times New Roman"/>
                <w:bCs/>
                <w:color w:val="auto"/>
              </w:rPr>
            </w:pPr>
            <w:bookmarkStart w:id="44" w:name="_Hlk162004139"/>
            <w:r>
              <w:rPr>
                <w:rFonts w:cs="Times New Roman"/>
                <w:color w:val="auto"/>
              </w:rPr>
              <w:t>闪蒸干燥工段废气主要为天然气燃烧废气（颗粒物、二氧化硫、氮氧化物），干燥废气（颗粒物）。</w:t>
            </w:r>
          </w:p>
          <w:bookmarkEnd w:id="44"/>
          <w:p>
            <w:pPr>
              <w:ind w:firstLine="480"/>
              <w:rPr>
                <w:rFonts w:cs="Times New Roman"/>
                <w:color w:val="auto"/>
              </w:rPr>
            </w:pPr>
            <w:bookmarkStart w:id="45" w:name="_Hlk162004356"/>
            <w:r>
              <w:rPr>
                <w:rFonts w:cs="Times New Roman"/>
                <w:color w:val="auto"/>
              </w:rPr>
              <w:t>新建1台天然气干燥器，天然气燃烧后的废气经1根15m排气筒（P1）直接排放。</w:t>
            </w:r>
            <w:bookmarkEnd w:id="45"/>
            <w:r>
              <w:rPr>
                <w:rFonts w:cs="Times New Roman"/>
                <w:color w:val="auto"/>
              </w:rPr>
              <w:t>本项目干燥器采用天然气作为燃料，干燥器每小时耗气量为6.06m</w:t>
            </w:r>
            <w:r>
              <w:rPr>
                <w:rFonts w:cs="Times New Roman"/>
                <w:color w:val="auto"/>
                <w:vertAlign w:val="superscript"/>
              </w:rPr>
              <w:t>3</w:t>
            </w:r>
            <w:r>
              <w:rPr>
                <w:rFonts w:cs="Times New Roman"/>
                <w:color w:val="auto"/>
              </w:rPr>
              <w:t>，</w:t>
            </w:r>
            <w:r>
              <w:rPr>
                <w:rFonts w:cs="Times New Roman"/>
                <w:bCs/>
                <w:color w:val="auto"/>
              </w:rPr>
              <w:t>年工作时间为7200h</w:t>
            </w:r>
            <w:r>
              <w:rPr>
                <w:rFonts w:cs="Times New Roman"/>
                <w:color w:val="auto"/>
              </w:rPr>
              <w:t>，天然气年消耗量为</w:t>
            </w:r>
            <w:r>
              <w:rPr>
                <w:rFonts w:hint="eastAsia" w:cs="Times New Roman"/>
                <w:color w:val="auto"/>
                <w:lang w:val="en-US" w:eastAsia="zh-CN"/>
              </w:rPr>
              <w:t>43650</w:t>
            </w:r>
            <w:r>
              <w:rPr>
                <w:rFonts w:cs="Times New Roman"/>
                <w:color w:val="auto"/>
              </w:rPr>
              <w:t>m</w:t>
            </w:r>
            <w:r>
              <w:rPr>
                <w:rFonts w:cs="Times New Roman"/>
                <w:color w:val="auto"/>
                <w:vertAlign w:val="superscript"/>
              </w:rPr>
              <w:t>3</w:t>
            </w:r>
            <w:r>
              <w:rPr>
                <w:rFonts w:cs="Times New Roman"/>
                <w:color w:val="auto"/>
              </w:rPr>
              <w:t>/a；</w:t>
            </w:r>
          </w:p>
          <w:p>
            <w:pPr>
              <w:ind w:firstLine="480"/>
              <w:rPr>
                <w:rFonts w:cs="Times New Roman"/>
                <w:color w:val="auto"/>
              </w:rPr>
            </w:pPr>
            <w:bookmarkStart w:id="46" w:name="_Hlk162004149"/>
            <w:r>
              <w:rPr>
                <w:rFonts w:cs="Times New Roman"/>
                <w:bCs/>
                <w:color w:val="auto"/>
              </w:rPr>
              <w:t>天然气燃烧废气产排参照</w:t>
            </w:r>
            <w:r>
              <w:rPr>
                <w:rFonts w:cs="Times New Roman"/>
                <w:color w:val="auto"/>
              </w:rPr>
              <w:t>《排放源统计调查产排污核算方法和系数手册》“4430锅炉产排污量核算系数手册”产污系数取值</w:t>
            </w:r>
            <w:bookmarkEnd w:id="46"/>
            <w:r>
              <w:rPr>
                <w:rFonts w:cs="Times New Roman"/>
                <w:color w:val="auto"/>
              </w:rPr>
              <w:t>情况见下表4-1。</w:t>
            </w:r>
          </w:p>
          <w:p>
            <w:pPr>
              <w:ind w:firstLine="0" w:firstLineChars="0"/>
              <w:jc w:val="center"/>
              <w:rPr>
                <w:rFonts w:cs="Times New Roman"/>
                <w:b/>
                <w:bCs/>
                <w:color w:val="auto"/>
                <w:szCs w:val="22"/>
              </w:rPr>
            </w:pPr>
            <w:r>
              <w:rPr>
                <w:rFonts w:cs="Times New Roman"/>
                <w:b/>
                <w:bCs/>
                <w:color w:val="auto"/>
                <w:szCs w:val="22"/>
              </w:rPr>
              <w:t>表4-1锅炉产排污系数</w:t>
            </w:r>
          </w:p>
          <w:tbl>
            <w:tblPr>
              <w:tblStyle w:val="27"/>
              <w:tblW w:w="5000"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791"/>
              <w:gridCol w:w="902"/>
              <w:gridCol w:w="1539"/>
              <w:gridCol w:w="2903"/>
              <w:gridCol w:w="1275"/>
              <w:gridCol w:w="1965"/>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422" w:type="pct"/>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原料名称</w:t>
                  </w:r>
                </w:p>
              </w:tc>
              <w:tc>
                <w:tcPr>
                  <w:tcW w:w="481" w:type="pct"/>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工艺名称</w:t>
                  </w:r>
                </w:p>
              </w:tc>
              <w:tc>
                <w:tcPr>
                  <w:tcW w:w="821" w:type="pct"/>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污染物指标</w:t>
                  </w:r>
                </w:p>
              </w:tc>
              <w:tc>
                <w:tcPr>
                  <w:tcW w:w="1548" w:type="pct"/>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单位</w:t>
                  </w:r>
                </w:p>
              </w:tc>
              <w:tc>
                <w:tcPr>
                  <w:tcW w:w="680" w:type="pct"/>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产污系数</w:t>
                  </w:r>
                </w:p>
              </w:tc>
              <w:tc>
                <w:tcPr>
                  <w:tcW w:w="1048" w:type="pct"/>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备注</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422" w:type="pct"/>
                  <w:vMerge w:val="restart"/>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天然气</w:t>
                  </w:r>
                </w:p>
              </w:tc>
              <w:tc>
                <w:tcPr>
                  <w:tcW w:w="481" w:type="pct"/>
                  <w:vMerge w:val="restart"/>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室燃炉</w:t>
                  </w:r>
                </w:p>
              </w:tc>
              <w:tc>
                <w:tcPr>
                  <w:tcW w:w="821" w:type="pct"/>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工业废气量</w:t>
                  </w:r>
                </w:p>
              </w:tc>
              <w:tc>
                <w:tcPr>
                  <w:tcW w:w="1548" w:type="pct"/>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标立方米/万立方米-原料</w:t>
                  </w:r>
                </w:p>
              </w:tc>
              <w:tc>
                <w:tcPr>
                  <w:tcW w:w="680" w:type="pct"/>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107753</w:t>
                  </w:r>
                </w:p>
              </w:tc>
              <w:tc>
                <w:tcPr>
                  <w:tcW w:w="1048" w:type="pct"/>
                  <w:vMerge w:val="restart"/>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《第二次全国污染源普查工业污染源产排污系数手册》4430工业锅炉（热力供应）行业系数手册</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422" w:type="pct"/>
                  <w:vMerge w:val="continue"/>
                  <w:tcBorders>
                    <w:tl2br w:val="nil"/>
                    <w:tr2bl w:val="nil"/>
                  </w:tcBorders>
                  <w:vAlign w:val="center"/>
                </w:tcPr>
                <w:p>
                  <w:pPr>
                    <w:spacing w:line="240" w:lineRule="auto"/>
                    <w:ind w:firstLine="0" w:firstLineChars="0"/>
                    <w:jc w:val="center"/>
                    <w:rPr>
                      <w:rFonts w:cs="Times New Roman"/>
                      <w:color w:val="auto"/>
                      <w:sz w:val="21"/>
                      <w:szCs w:val="21"/>
                    </w:rPr>
                  </w:pPr>
                </w:p>
              </w:tc>
              <w:tc>
                <w:tcPr>
                  <w:tcW w:w="481" w:type="pct"/>
                  <w:vMerge w:val="continue"/>
                  <w:tcBorders>
                    <w:tl2br w:val="nil"/>
                    <w:tr2bl w:val="nil"/>
                  </w:tcBorders>
                  <w:vAlign w:val="center"/>
                </w:tcPr>
                <w:p>
                  <w:pPr>
                    <w:spacing w:line="240" w:lineRule="auto"/>
                    <w:ind w:firstLine="0" w:firstLineChars="0"/>
                    <w:jc w:val="center"/>
                    <w:rPr>
                      <w:rFonts w:cs="Times New Roman"/>
                      <w:color w:val="auto"/>
                      <w:sz w:val="21"/>
                      <w:szCs w:val="21"/>
                    </w:rPr>
                  </w:pPr>
                </w:p>
              </w:tc>
              <w:tc>
                <w:tcPr>
                  <w:tcW w:w="821" w:type="pct"/>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SO</w:t>
                  </w:r>
                  <w:r>
                    <w:rPr>
                      <w:rFonts w:cs="Times New Roman"/>
                      <w:color w:val="auto"/>
                      <w:sz w:val="21"/>
                      <w:szCs w:val="21"/>
                      <w:vertAlign w:val="subscript"/>
                    </w:rPr>
                    <w:t>2</w:t>
                  </w:r>
                </w:p>
              </w:tc>
              <w:tc>
                <w:tcPr>
                  <w:tcW w:w="1548" w:type="pct"/>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千克/万立方米-原料</w:t>
                  </w:r>
                </w:p>
              </w:tc>
              <w:tc>
                <w:tcPr>
                  <w:tcW w:w="680" w:type="pct"/>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0.02S</w:t>
                  </w:r>
                </w:p>
              </w:tc>
              <w:tc>
                <w:tcPr>
                  <w:tcW w:w="1048" w:type="pct"/>
                  <w:vMerge w:val="continue"/>
                  <w:tcBorders>
                    <w:tl2br w:val="nil"/>
                    <w:tr2bl w:val="nil"/>
                  </w:tcBorders>
                  <w:vAlign w:val="center"/>
                </w:tcPr>
                <w:p>
                  <w:pPr>
                    <w:spacing w:line="240" w:lineRule="auto"/>
                    <w:ind w:firstLine="0" w:firstLineChars="0"/>
                    <w:jc w:val="center"/>
                    <w:rPr>
                      <w:rFonts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422" w:type="pct"/>
                  <w:vMerge w:val="continue"/>
                  <w:tcBorders>
                    <w:tl2br w:val="nil"/>
                    <w:tr2bl w:val="nil"/>
                  </w:tcBorders>
                  <w:vAlign w:val="center"/>
                </w:tcPr>
                <w:p>
                  <w:pPr>
                    <w:spacing w:line="240" w:lineRule="auto"/>
                    <w:ind w:firstLine="0" w:firstLineChars="0"/>
                    <w:jc w:val="center"/>
                    <w:rPr>
                      <w:rFonts w:cs="Times New Roman"/>
                      <w:color w:val="auto"/>
                      <w:sz w:val="21"/>
                      <w:szCs w:val="21"/>
                    </w:rPr>
                  </w:pPr>
                </w:p>
              </w:tc>
              <w:tc>
                <w:tcPr>
                  <w:tcW w:w="481" w:type="pct"/>
                  <w:vMerge w:val="continue"/>
                  <w:tcBorders>
                    <w:tl2br w:val="nil"/>
                    <w:tr2bl w:val="nil"/>
                  </w:tcBorders>
                  <w:vAlign w:val="center"/>
                </w:tcPr>
                <w:p>
                  <w:pPr>
                    <w:spacing w:line="240" w:lineRule="auto"/>
                    <w:ind w:firstLine="0" w:firstLineChars="0"/>
                    <w:jc w:val="center"/>
                    <w:rPr>
                      <w:rFonts w:cs="Times New Roman"/>
                      <w:color w:val="auto"/>
                      <w:sz w:val="21"/>
                      <w:szCs w:val="21"/>
                    </w:rPr>
                  </w:pPr>
                </w:p>
              </w:tc>
              <w:tc>
                <w:tcPr>
                  <w:tcW w:w="821" w:type="pct"/>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颗粒物</w:t>
                  </w:r>
                </w:p>
              </w:tc>
              <w:tc>
                <w:tcPr>
                  <w:tcW w:w="1548" w:type="pct"/>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千克/万立方米-原料</w:t>
                  </w:r>
                </w:p>
              </w:tc>
              <w:tc>
                <w:tcPr>
                  <w:tcW w:w="680" w:type="pct"/>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0.5</w:t>
                  </w:r>
                </w:p>
              </w:tc>
              <w:tc>
                <w:tcPr>
                  <w:tcW w:w="1048" w:type="pct"/>
                  <w:vMerge w:val="continue"/>
                  <w:tcBorders>
                    <w:tl2br w:val="nil"/>
                    <w:tr2bl w:val="nil"/>
                  </w:tcBorders>
                  <w:vAlign w:val="center"/>
                </w:tcPr>
                <w:p>
                  <w:pPr>
                    <w:spacing w:line="240" w:lineRule="auto"/>
                    <w:ind w:firstLine="0" w:firstLineChars="0"/>
                    <w:jc w:val="center"/>
                    <w:rPr>
                      <w:rFonts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422" w:type="pct"/>
                  <w:vMerge w:val="continue"/>
                  <w:tcBorders>
                    <w:tl2br w:val="nil"/>
                    <w:tr2bl w:val="nil"/>
                  </w:tcBorders>
                  <w:vAlign w:val="center"/>
                </w:tcPr>
                <w:p>
                  <w:pPr>
                    <w:spacing w:line="240" w:lineRule="auto"/>
                    <w:ind w:firstLine="0" w:firstLineChars="0"/>
                    <w:jc w:val="center"/>
                    <w:rPr>
                      <w:rFonts w:cs="Times New Roman"/>
                      <w:color w:val="auto"/>
                      <w:sz w:val="21"/>
                      <w:szCs w:val="21"/>
                    </w:rPr>
                  </w:pPr>
                </w:p>
              </w:tc>
              <w:tc>
                <w:tcPr>
                  <w:tcW w:w="481" w:type="pct"/>
                  <w:vMerge w:val="continue"/>
                  <w:tcBorders>
                    <w:tl2br w:val="nil"/>
                    <w:tr2bl w:val="nil"/>
                  </w:tcBorders>
                  <w:vAlign w:val="center"/>
                </w:tcPr>
                <w:p>
                  <w:pPr>
                    <w:spacing w:line="240" w:lineRule="auto"/>
                    <w:ind w:firstLine="0" w:firstLineChars="0"/>
                    <w:jc w:val="center"/>
                    <w:rPr>
                      <w:rFonts w:cs="Times New Roman"/>
                      <w:color w:val="auto"/>
                      <w:sz w:val="21"/>
                      <w:szCs w:val="21"/>
                    </w:rPr>
                  </w:pPr>
                </w:p>
              </w:tc>
              <w:tc>
                <w:tcPr>
                  <w:tcW w:w="821" w:type="pct"/>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NO</w:t>
                  </w:r>
                  <w:r>
                    <w:rPr>
                      <w:rFonts w:cs="Times New Roman"/>
                      <w:color w:val="auto"/>
                      <w:sz w:val="21"/>
                      <w:szCs w:val="21"/>
                      <w:vertAlign w:val="subscript"/>
                    </w:rPr>
                    <w:t>X</w:t>
                  </w:r>
                </w:p>
              </w:tc>
              <w:tc>
                <w:tcPr>
                  <w:tcW w:w="1548" w:type="pct"/>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千克/万立方米-原料</w:t>
                  </w:r>
                </w:p>
              </w:tc>
              <w:tc>
                <w:tcPr>
                  <w:tcW w:w="680" w:type="pct"/>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15.87</w:t>
                  </w:r>
                </w:p>
              </w:tc>
              <w:tc>
                <w:tcPr>
                  <w:tcW w:w="1048" w:type="pct"/>
                  <w:vMerge w:val="continue"/>
                  <w:tcBorders>
                    <w:tl2br w:val="nil"/>
                    <w:tr2bl w:val="nil"/>
                  </w:tcBorders>
                  <w:vAlign w:val="center"/>
                </w:tcPr>
                <w:p>
                  <w:pPr>
                    <w:spacing w:line="240" w:lineRule="auto"/>
                    <w:ind w:firstLine="0" w:firstLineChars="0"/>
                    <w:jc w:val="center"/>
                    <w:rPr>
                      <w:rFonts w:cs="Times New Roman"/>
                      <w:color w:val="auto"/>
                      <w:sz w:val="21"/>
                      <w:szCs w:val="21"/>
                    </w:rPr>
                  </w:pPr>
                </w:p>
              </w:tc>
            </w:tr>
          </w:tbl>
          <w:p>
            <w:pPr>
              <w:ind w:firstLine="402"/>
              <w:rPr>
                <w:rFonts w:cs="Times New Roman"/>
                <w:b/>
                <w:bCs/>
                <w:color w:val="auto"/>
                <w:sz w:val="20"/>
                <w:szCs w:val="18"/>
              </w:rPr>
            </w:pPr>
            <w:r>
              <w:rPr>
                <w:rFonts w:cs="Times New Roman"/>
                <w:b/>
                <w:bCs/>
                <w:color w:val="auto"/>
                <w:sz w:val="20"/>
                <w:szCs w:val="18"/>
              </w:rPr>
              <w:t>注：*产排污系数表中二氧化硫的产排污系数是以含硫量（S%）的形式表示的，其中含硫量（S%）是指天然气收到基硫分含量，以质量百分数的形式表示。</w:t>
            </w:r>
          </w:p>
          <w:p>
            <w:pPr>
              <w:ind w:firstLine="480"/>
              <w:contextualSpacing/>
              <w:rPr>
                <w:rFonts w:cs="Times New Roman"/>
                <w:bCs/>
                <w:color w:val="auto"/>
              </w:rPr>
            </w:pPr>
            <w:bookmarkStart w:id="47" w:name="_Hlk162004156"/>
            <w:r>
              <w:rPr>
                <w:rFonts w:cs="Times New Roman"/>
                <w:color w:val="auto"/>
              </w:rPr>
              <w:t>经计算，</w:t>
            </w:r>
            <w:bookmarkStart w:id="48" w:name="_Hlk163635896"/>
            <w:r>
              <w:rPr>
                <w:rFonts w:cs="Times New Roman"/>
                <w:color w:val="auto"/>
              </w:rPr>
              <w:t>闪蒸干燥颗粒物的产生量为0.0022t/a（0.0003kg/h），二氧化硫的产生量为0.0087t/a（0.0012kg/h）</w:t>
            </w:r>
            <w:bookmarkEnd w:id="48"/>
            <w:r>
              <w:rPr>
                <w:rFonts w:cs="Times New Roman"/>
                <w:color w:val="auto"/>
              </w:rPr>
              <w:t>，氮氧化物的产生量为0.0693t/a（0.0096kg/h），产生的废气经碱喷淋塔</w:t>
            </w:r>
            <w:r>
              <w:rPr>
                <w:rFonts w:cs="Times New Roman"/>
                <w:bCs/>
                <w:color w:val="auto"/>
              </w:rPr>
              <w:t>内进行处置，</w:t>
            </w:r>
            <w:bookmarkStart w:id="49" w:name="_Hlk163635982"/>
            <w:r>
              <w:rPr>
                <w:rFonts w:cs="Times New Roman"/>
                <w:bCs/>
                <w:color w:val="auto"/>
              </w:rPr>
              <w:t>颗粒物处理效率可达到90%，二氧化硫处理效率可达到60%</w:t>
            </w:r>
            <w:bookmarkEnd w:id="49"/>
            <w:r>
              <w:rPr>
                <w:rFonts w:cs="Times New Roman"/>
                <w:bCs/>
                <w:color w:val="auto"/>
              </w:rPr>
              <w:t>，</w:t>
            </w:r>
            <w:r>
              <w:rPr>
                <w:rFonts w:cs="Times New Roman"/>
                <w:color w:val="auto"/>
              </w:rPr>
              <w:t>处理后的废气与氟化工序废气合并后通过1根</w:t>
            </w:r>
            <w:r>
              <w:rPr>
                <w:rFonts w:cs="Times New Roman"/>
                <w:bCs/>
                <w:color w:val="auto"/>
              </w:rPr>
              <w:t>15m排气筒（P1）排放。</w:t>
            </w:r>
          </w:p>
          <w:bookmarkEnd w:id="47"/>
          <w:p>
            <w:pPr>
              <w:ind w:firstLine="480"/>
              <w:contextualSpacing/>
              <w:rPr>
                <w:rFonts w:cs="Times New Roman"/>
                <w:bCs/>
                <w:color w:val="auto"/>
              </w:rPr>
            </w:pPr>
            <w:bookmarkStart w:id="50" w:name="_Hlk162004165"/>
            <w:r>
              <w:rPr>
                <w:rFonts w:cs="Times New Roman"/>
                <w:color w:val="auto"/>
              </w:rPr>
              <w:t>干燥过程与筛分过程类似，参考《逸散性工业粉尘控制技术》粒料加工厂逸散尘排放因子，筛分粉尘因子为1.0kg/t，</w:t>
            </w:r>
            <w:r>
              <w:rPr>
                <w:rFonts w:cs="Times New Roman"/>
                <w:bCs/>
                <w:color w:val="auto"/>
              </w:rPr>
              <w:t>年干燥抛光粉物料3980.61吨，则粉尘产生量为3.98t/a（0.55</w:t>
            </w:r>
            <w:r>
              <w:rPr>
                <w:rFonts w:cs="Times New Roman"/>
                <w:color w:val="auto"/>
              </w:rPr>
              <w:t>kg/h</w:t>
            </w:r>
            <w:r>
              <w:rPr>
                <w:rFonts w:cs="Times New Roman"/>
                <w:bCs/>
                <w:color w:val="auto"/>
              </w:rPr>
              <w:t>），通入燃烧废气碱喷淋塔内进行处置。颗粒物处理效率可达到90%，</w:t>
            </w:r>
            <w:r>
              <w:rPr>
                <w:rFonts w:cs="Times New Roman"/>
                <w:color w:val="auto"/>
              </w:rPr>
              <w:t>处理后的废气与氟化工序废气合并后通过1根</w:t>
            </w:r>
            <w:r>
              <w:rPr>
                <w:rFonts w:cs="Times New Roman"/>
                <w:bCs/>
                <w:color w:val="auto"/>
              </w:rPr>
              <w:t>15m排气筒（P1）排放。</w:t>
            </w:r>
          </w:p>
          <w:bookmarkEnd w:id="50"/>
          <w:p>
            <w:pPr>
              <w:ind w:firstLine="0" w:firstLineChars="0"/>
              <w:jc w:val="center"/>
              <w:rPr>
                <w:rFonts w:cs="Times New Roman"/>
                <w:b/>
                <w:bCs/>
                <w:snapToGrid w:val="0"/>
                <w:color w:val="auto"/>
                <w:kern w:val="0"/>
                <w:szCs w:val="22"/>
              </w:rPr>
            </w:pPr>
            <w:r>
              <w:rPr>
                <w:rFonts w:cs="Times New Roman"/>
                <w:b/>
                <w:bCs/>
                <w:snapToGrid w:val="0"/>
                <w:color w:val="auto"/>
                <w:kern w:val="0"/>
                <w:szCs w:val="22"/>
              </w:rPr>
              <w:t>表4-2氟化、闪蒸烘干废气污染源源强核算结果及相关参数一览表</w:t>
            </w:r>
          </w:p>
          <w:tbl>
            <w:tblPr>
              <w:tblStyle w:val="26"/>
              <w:tblW w:w="4996" w:type="pct"/>
              <w:tblInd w:w="0" w:type="dxa"/>
              <w:tblLayout w:type="autofit"/>
              <w:tblCellMar>
                <w:top w:w="0" w:type="dxa"/>
                <w:left w:w="108" w:type="dxa"/>
                <w:bottom w:w="0" w:type="dxa"/>
                <w:right w:w="108" w:type="dxa"/>
              </w:tblCellMar>
            </w:tblPr>
            <w:tblGrid>
              <w:gridCol w:w="636"/>
              <w:gridCol w:w="1056"/>
              <w:gridCol w:w="427"/>
              <w:gridCol w:w="427"/>
              <w:gridCol w:w="794"/>
              <w:gridCol w:w="794"/>
              <w:gridCol w:w="835"/>
              <w:gridCol w:w="636"/>
              <w:gridCol w:w="702"/>
              <w:gridCol w:w="794"/>
              <w:gridCol w:w="794"/>
              <w:gridCol w:w="836"/>
              <w:gridCol w:w="637"/>
            </w:tblGrid>
            <w:tr>
              <w:tblPrEx>
                <w:tblCellMar>
                  <w:top w:w="0" w:type="dxa"/>
                  <w:left w:w="108" w:type="dxa"/>
                  <w:bottom w:w="0" w:type="dxa"/>
                  <w:right w:w="108" w:type="dxa"/>
                </w:tblCellMar>
              </w:tblPrEx>
              <w:trPr>
                <w:trHeight w:val="340" w:hRule="atLeast"/>
              </w:trPr>
              <w:tc>
                <w:tcPr>
                  <w:tcW w:w="33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污染源</w:t>
                  </w:r>
                </w:p>
              </w:tc>
              <w:tc>
                <w:tcPr>
                  <w:tcW w:w="54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废气量（m</w:t>
                  </w:r>
                  <w:r>
                    <w:rPr>
                      <w:rFonts w:cs="Times New Roman"/>
                      <w:b/>
                      <w:bCs/>
                      <w:color w:val="auto"/>
                      <w:kern w:val="0"/>
                      <w:sz w:val="21"/>
                      <w:szCs w:val="21"/>
                      <w:vertAlign w:val="superscript"/>
                    </w:rPr>
                    <w:t>3</w:t>
                  </w:r>
                  <w:r>
                    <w:rPr>
                      <w:rFonts w:cs="Times New Roman"/>
                      <w:b/>
                      <w:bCs/>
                      <w:color w:val="auto"/>
                      <w:kern w:val="0"/>
                      <w:sz w:val="21"/>
                      <w:szCs w:val="21"/>
                    </w:rPr>
                    <w:t>/h）</w:t>
                  </w:r>
                </w:p>
              </w:tc>
              <w:tc>
                <w:tcPr>
                  <w:tcW w:w="23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污染物</w:t>
                  </w:r>
                </w:p>
              </w:tc>
              <w:tc>
                <w:tcPr>
                  <w:tcW w:w="1595"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污染物产生</w:t>
                  </w:r>
                </w:p>
              </w:tc>
              <w:tc>
                <w:tcPr>
                  <w:tcW w:w="69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治理措施</w:t>
                  </w:r>
                </w:p>
              </w:tc>
              <w:tc>
                <w:tcPr>
                  <w:tcW w:w="1262"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污染物排放</w:t>
                  </w:r>
                </w:p>
              </w:tc>
              <w:tc>
                <w:tcPr>
                  <w:tcW w:w="33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排放</w:t>
                  </w:r>
                </w:p>
              </w:tc>
            </w:tr>
            <w:tr>
              <w:tblPrEx>
                <w:tblCellMar>
                  <w:top w:w="0" w:type="dxa"/>
                  <w:left w:w="108" w:type="dxa"/>
                  <w:bottom w:w="0" w:type="dxa"/>
                  <w:right w:w="108" w:type="dxa"/>
                </w:tblCellMar>
              </w:tblPrEx>
              <w:trPr>
                <w:trHeight w:val="340" w:hRule="atLeast"/>
              </w:trPr>
              <w:tc>
                <w:tcPr>
                  <w:tcW w:w="336"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left"/>
                    <w:rPr>
                      <w:rFonts w:cs="Times New Roman"/>
                      <w:b/>
                      <w:bCs/>
                      <w:color w:val="auto"/>
                      <w:kern w:val="0"/>
                      <w:sz w:val="21"/>
                      <w:szCs w:val="21"/>
                    </w:rPr>
                  </w:pPr>
                </w:p>
              </w:tc>
              <w:tc>
                <w:tcPr>
                  <w:tcW w:w="545"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left"/>
                    <w:rPr>
                      <w:rFonts w:cs="Times New Roman"/>
                      <w:b/>
                      <w:bCs/>
                      <w:color w:val="auto"/>
                      <w:kern w:val="0"/>
                      <w:sz w:val="21"/>
                      <w:szCs w:val="21"/>
                    </w:rPr>
                  </w:pPr>
                </w:p>
              </w:tc>
              <w:tc>
                <w:tcPr>
                  <w:tcW w:w="231"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left"/>
                    <w:rPr>
                      <w:rFonts w:cs="Times New Roman"/>
                      <w:b/>
                      <w:bCs/>
                      <w:color w:val="auto"/>
                      <w:kern w:val="0"/>
                      <w:sz w:val="21"/>
                      <w:szCs w:val="21"/>
                    </w:rPr>
                  </w:pPr>
                </w:p>
              </w:tc>
              <w:tc>
                <w:tcPr>
                  <w:tcW w:w="23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核算方法</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产生量t/a</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产生速率kg/h</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产生浓度mg/m3</w:t>
                  </w:r>
                </w:p>
              </w:tc>
              <w:tc>
                <w:tcPr>
                  <w:tcW w:w="23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cs="Times New Roman"/>
                      <w:b/>
                      <w:bCs/>
                      <w:color w:val="auto"/>
                      <w:kern w:val="0"/>
                      <w:sz w:val="21"/>
                      <w:szCs w:val="21"/>
                    </w:rPr>
                  </w:pPr>
                  <w:r>
                    <w:rPr>
                      <w:rFonts w:cs="Times New Roman"/>
                      <w:b/>
                      <w:bCs/>
                      <w:color w:val="auto"/>
                      <w:kern w:val="0"/>
                      <w:sz w:val="21"/>
                      <w:szCs w:val="21"/>
                    </w:rPr>
                    <w:t>工艺</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效率%</w:t>
                  </w: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cs="Times New Roman"/>
                      <w:b/>
                      <w:bCs/>
                      <w:color w:val="auto"/>
                      <w:kern w:val="0"/>
                      <w:sz w:val="21"/>
                      <w:szCs w:val="21"/>
                    </w:rPr>
                  </w:pPr>
                  <w:r>
                    <w:rPr>
                      <w:rFonts w:cs="Times New Roman"/>
                      <w:b/>
                      <w:bCs/>
                      <w:color w:val="auto"/>
                      <w:kern w:val="0"/>
                      <w:sz w:val="21"/>
                      <w:szCs w:val="21"/>
                    </w:rPr>
                    <w:t>排放量t/a</w:t>
                  </w: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cs="Times New Roman"/>
                      <w:b/>
                      <w:bCs/>
                      <w:color w:val="auto"/>
                      <w:kern w:val="0"/>
                      <w:sz w:val="21"/>
                      <w:szCs w:val="21"/>
                    </w:rPr>
                  </w:pPr>
                  <w:r>
                    <w:rPr>
                      <w:rFonts w:cs="Times New Roman"/>
                      <w:b/>
                      <w:bCs/>
                      <w:color w:val="auto"/>
                      <w:kern w:val="0"/>
                      <w:sz w:val="21"/>
                      <w:szCs w:val="21"/>
                    </w:rPr>
                    <w:t>排放速率kg/h</w:t>
                  </w:r>
                </w:p>
              </w:tc>
              <w:tc>
                <w:tcPr>
                  <w:tcW w:w="43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排放浓度mg/m3</w:t>
                  </w:r>
                </w:p>
              </w:tc>
              <w:tc>
                <w:tcPr>
                  <w:tcW w:w="33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时间h</w:t>
                  </w:r>
                </w:p>
              </w:tc>
            </w:tr>
            <w:tr>
              <w:tblPrEx>
                <w:tblCellMar>
                  <w:top w:w="0" w:type="dxa"/>
                  <w:left w:w="108" w:type="dxa"/>
                  <w:bottom w:w="0" w:type="dxa"/>
                  <w:right w:w="108" w:type="dxa"/>
                </w:tblCellMar>
              </w:tblPrEx>
              <w:trPr>
                <w:trHeight w:val="340" w:hRule="atLeast"/>
              </w:trPr>
              <w:tc>
                <w:tcPr>
                  <w:tcW w:w="33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氟化、闪蒸烘干废气</w:t>
                  </w:r>
                </w:p>
              </w:tc>
              <w:tc>
                <w:tcPr>
                  <w:tcW w:w="54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1500</w:t>
                  </w:r>
                </w:p>
              </w:tc>
              <w:tc>
                <w:tcPr>
                  <w:tcW w:w="23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颗粒物</w:t>
                  </w:r>
                </w:p>
              </w:tc>
              <w:tc>
                <w:tcPr>
                  <w:tcW w:w="23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产污系数法</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3.9828</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0.5532</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368.78</w:t>
                  </w:r>
                </w:p>
              </w:tc>
              <w:tc>
                <w:tcPr>
                  <w:tcW w:w="23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碱喷淋塔（1套）</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90</w:t>
                  </w: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0.3983</w:t>
                  </w: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0.0553</w:t>
                  </w:r>
                </w:p>
              </w:tc>
              <w:tc>
                <w:tcPr>
                  <w:tcW w:w="43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36.88</w:t>
                  </w:r>
                </w:p>
              </w:tc>
              <w:tc>
                <w:tcPr>
                  <w:tcW w:w="33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7200</w:t>
                  </w:r>
                </w:p>
              </w:tc>
            </w:tr>
            <w:tr>
              <w:tblPrEx>
                <w:tblCellMar>
                  <w:top w:w="0" w:type="dxa"/>
                  <w:left w:w="108" w:type="dxa"/>
                  <w:bottom w:w="0" w:type="dxa"/>
                  <w:right w:w="108" w:type="dxa"/>
                </w:tblCellMar>
              </w:tblPrEx>
              <w:trPr>
                <w:trHeight w:val="340" w:hRule="atLeast"/>
              </w:trPr>
              <w:tc>
                <w:tcPr>
                  <w:tcW w:w="336"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left"/>
                    <w:rPr>
                      <w:rFonts w:cs="Times New Roman"/>
                      <w:color w:val="auto"/>
                      <w:kern w:val="0"/>
                      <w:sz w:val="21"/>
                      <w:szCs w:val="21"/>
                    </w:rPr>
                  </w:pPr>
                </w:p>
              </w:tc>
              <w:tc>
                <w:tcPr>
                  <w:tcW w:w="545"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left"/>
                    <w:rPr>
                      <w:rFonts w:cs="Times New Roman"/>
                      <w:color w:val="auto"/>
                      <w:kern w:val="0"/>
                      <w:sz w:val="21"/>
                      <w:szCs w:val="21"/>
                    </w:rPr>
                  </w:pPr>
                </w:p>
              </w:tc>
              <w:tc>
                <w:tcPr>
                  <w:tcW w:w="23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二氧化硫</w:t>
                  </w:r>
                </w:p>
              </w:tc>
              <w:tc>
                <w:tcPr>
                  <w:tcW w:w="231"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left"/>
                    <w:rPr>
                      <w:rFonts w:cs="Times New Roman"/>
                      <w:color w:val="auto"/>
                      <w:kern w:val="0"/>
                      <w:sz w:val="21"/>
                      <w:szCs w:val="21"/>
                    </w:rPr>
                  </w:pP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0.0087</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0.0012</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0.81</w:t>
                  </w:r>
                </w:p>
              </w:tc>
              <w:tc>
                <w:tcPr>
                  <w:tcW w:w="231"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left"/>
                    <w:rPr>
                      <w:rFonts w:cs="Times New Roman"/>
                      <w:color w:val="auto"/>
                      <w:kern w:val="0"/>
                      <w:sz w:val="21"/>
                      <w:szCs w:val="21"/>
                    </w:rPr>
                  </w:pP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60</w:t>
                  </w: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0.0035</w:t>
                  </w: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0.0005</w:t>
                  </w:r>
                </w:p>
              </w:tc>
              <w:tc>
                <w:tcPr>
                  <w:tcW w:w="43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0.32</w:t>
                  </w:r>
                </w:p>
              </w:tc>
              <w:tc>
                <w:tcPr>
                  <w:tcW w:w="335"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left"/>
                    <w:rPr>
                      <w:rFonts w:cs="Times New Roman"/>
                      <w:color w:val="auto"/>
                      <w:kern w:val="0"/>
                      <w:sz w:val="21"/>
                      <w:szCs w:val="21"/>
                    </w:rPr>
                  </w:pPr>
                </w:p>
              </w:tc>
            </w:tr>
            <w:tr>
              <w:tblPrEx>
                <w:tblCellMar>
                  <w:top w:w="0" w:type="dxa"/>
                  <w:left w:w="108" w:type="dxa"/>
                  <w:bottom w:w="0" w:type="dxa"/>
                  <w:right w:w="108" w:type="dxa"/>
                </w:tblCellMar>
              </w:tblPrEx>
              <w:trPr>
                <w:trHeight w:val="340" w:hRule="atLeast"/>
              </w:trPr>
              <w:tc>
                <w:tcPr>
                  <w:tcW w:w="336"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left"/>
                    <w:rPr>
                      <w:rFonts w:cs="Times New Roman"/>
                      <w:color w:val="auto"/>
                      <w:kern w:val="0"/>
                      <w:sz w:val="21"/>
                      <w:szCs w:val="21"/>
                    </w:rPr>
                  </w:pPr>
                </w:p>
              </w:tc>
              <w:tc>
                <w:tcPr>
                  <w:tcW w:w="545"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left"/>
                    <w:rPr>
                      <w:rFonts w:cs="Times New Roman"/>
                      <w:color w:val="auto"/>
                      <w:kern w:val="0"/>
                      <w:sz w:val="21"/>
                      <w:szCs w:val="21"/>
                    </w:rPr>
                  </w:pPr>
                </w:p>
              </w:tc>
              <w:tc>
                <w:tcPr>
                  <w:tcW w:w="23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氮氧化物</w:t>
                  </w:r>
                </w:p>
              </w:tc>
              <w:tc>
                <w:tcPr>
                  <w:tcW w:w="231"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left"/>
                    <w:rPr>
                      <w:rFonts w:cs="Times New Roman"/>
                      <w:color w:val="auto"/>
                      <w:kern w:val="0"/>
                      <w:sz w:val="21"/>
                      <w:szCs w:val="21"/>
                    </w:rPr>
                  </w:pP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0.0693</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0.0096</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6.41</w:t>
                  </w:r>
                </w:p>
              </w:tc>
              <w:tc>
                <w:tcPr>
                  <w:tcW w:w="231"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left"/>
                    <w:rPr>
                      <w:rFonts w:cs="Times New Roman"/>
                      <w:color w:val="auto"/>
                      <w:kern w:val="0"/>
                      <w:sz w:val="21"/>
                      <w:szCs w:val="21"/>
                    </w:rPr>
                  </w:pP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0</w:t>
                  </w: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0.0693</w:t>
                  </w: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0.0096</w:t>
                  </w:r>
                </w:p>
              </w:tc>
              <w:tc>
                <w:tcPr>
                  <w:tcW w:w="43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6.41</w:t>
                  </w:r>
                </w:p>
              </w:tc>
              <w:tc>
                <w:tcPr>
                  <w:tcW w:w="335"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left"/>
                    <w:rPr>
                      <w:rFonts w:cs="Times New Roman"/>
                      <w:color w:val="auto"/>
                      <w:kern w:val="0"/>
                      <w:sz w:val="21"/>
                      <w:szCs w:val="21"/>
                    </w:rPr>
                  </w:pPr>
                </w:p>
              </w:tc>
            </w:tr>
            <w:tr>
              <w:tblPrEx>
                <w:tblCellMar>
                  <w:top w:w="0" w:type="dxa"/>
                  <w:left w:w="108" w:type="dxa"/>
                  <w:bottom w:w="0" w:type="dxa"/>
                  <w:right w:w="108" w:type="dxa"/>
                </w:tblCellMar>
              </w:tblPrEx>
              <w:trPr>
                <w:trHeight w:val="340" w:hRule="atLeast"/>
              </w:trPr>
              <w:tc>
                <w:tcPr>
                  <w:tcW w:w="336"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left"/>
                    <w:rPr>
                      <w:rFonts w:cs="Times New Roman"/>
                      <w:color w:val="auto"/>
                      <w:kern w:val="0"/>
                      <w:sz w:val="21"/>
                      <w:szCs w:val="21"/>
                    </w:rPr>
                  </w:pPr>
                </w:p>
              </w:tc>
              <w:tc>
                <w:tcPr>
                  <w:tcW w:w="545"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left"/>
                    <w:rPr>
                      <w:rFonts w:cs="Times New Roman"/>
                      <w:color w:val="auto"/>
                      <w:kern w:val="0"/>
                      <w:sz w:val="21"/>
                      <w:szCs w:val="21"/>
                    </w:rPr>
                  </w:pPr>
                </w:p>
              </w:tc>
              <w:tc>
                <w:tcPr>
                  <w:tcW w:w="23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氟化物</w:t>
                  </w:r>
                </w:p>
              </w:tc>
              <w:tc>
                <w:tcPr>
                  <w:tcW w:w="231"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left"/>
                    <w:rPr>
                      <w:rFonts w:cs="Times New Roman"/>
                      <w:color w:val="auto"/>
                      <w:kern w:val="0"/>
                      <w:sz w:val="21"/>
                      <w:szCs w:val="21"/>
                    </w:rPr>
                  </w:pP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0.3568</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0.0496</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33.03</w:t>
                  </w:r>
                </w:p>
              </w:tc>
              <w:tc>
                <w:tcPr>
                  <w:tcW w:w="231"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left"/>
                    <w:rPr>
                      <w:rFonts w:cs="Times New Roman"/>
                      <w:color w:val="auto"/>
                      <w:kern w:val="0"/>
                      <w:sz w:val="21"/>
                      <w:szCs w:val="21"/>
                    </w:rPr>
                  </w:pP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85.00</w:t>
                  </w: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0.0535</w:t>
                  </w: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0.0074</w:t>
                  </w:r>
                </w:p>
              </w:tc>
              <w:tc>
                <w:tcPr>
                  <w:tcW w:w="43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4.96</w:t>
                  </w:r>
                </w:p>
              </w:tc>
              <w:tc>
                <w:tcPr>
                  <w:tcW w:w="335"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left"/>
                    <w:rPr>
                      <w:rFonts w:cs="Times New Roman"/>
                      <w:color w:val="auto"/>
                      <w:kern w:val="0"/>
                      <w:sz w:val="21"/>
                      <w:szCs w:val="21"/>
                    </w:rPr>
                  </w:pPr>
                </w:p>
              </w:tc>
            </w:tr>
          </w:tbl>
          <w:p>
            <w:pPr>
              <w:ind w:firstLine="480"/>
              <w:rPr>
                <w:rFonts w:cs="Times New Roman"/>
                <w:color w:val="auto"/>
              </w:rPr>
            </w:pPr>
            <w:r>
              <w:rPr>
                <w:rFonts w:cs="Times New Roman"/>
                <w:color w:val="auto"/>
              </w:rPr>
              <w:t>（3）</w:t>
            </w:r>
            <w:bookmarkStart w:id="51" w:name="_Hlk162004173"/>
            <w:r>
              <w:rPr>
                <w:rFonts w:cs="Times New Roman"/>
                <w:color w:val="auto"/>
              </w:rPr>
              <w:t>电</w:t>
            </w:r>
            <w:r>
              <w:rPr>
                <w:rFonts w:cs="Times New Roman"/>
                <w:bCs/>
                <w:color w:val="auto"/>
              </w:rPr>
              <w:t>辊道窑废气G1-3和天然气辊道窑废气</w:t>
            </w:r>
            <w:r>
              <w:rPr>
                <w:rFonts w:cs="Times New Roman"/>
                <w:color w:val="auto"/>
              </w:rPr>
              <w:t>G1-4</w:t>
            </w:r>
          </w:p>
          <w:bookmarkEnd w:id="51"/>
          <w:p>
            <w:pPr>
              <w:ind w:firstLine="480"/>
              <w:contextualSpacing/>
              <w:rPr>
                <w:rFonts w:cs="Times New Roman"/>
                <w:color w:val="auto"/>
              </w:rPr>
            </w:pPr>
            <w:bookmarkStart w:id="52" w:name="_Hlk162004177"/>
            <w:r>
              <w:rPr>
                <w:rFonts w:cs="Times New Roman"/>
                <w:color w:val="auto"/>
              </w:rPr>
              <w:t>本项目建成后一期设有1台天然气辊道窑和1台电辊道窑，进入到天然气辊道窑和电辊道窑物料均为750t/a（2.5t/d）。</w:t>
            </w:r>
          </w:p>
          <w:p>
            <w:pPr>
              <w:ind w:firstLine="480"/>
              <w:contextualSpacing/>
              <w:rPr>
                <w:rFonts w:cs="Times New Roman"/>
                <w:color w:val="auto"/>
                <w:kern w:val="0"/>
              </w:rPr>
            </w:pPr>
            <w:r>
              <w:rPr>
                <w:rFonts w:cs="Times New Roman"/>
                <w:color w:val="auto"/>
              </w:rPr>
              <w:t>灼烧过程中产生一定量的天然气燃烧废气和煅烧废气，燃烧废气为颗粒物、</w:t>
            </w:r>
            <w:r>
              <w:rPr>
                <w:rFonts w:cs="Times New Roman"/>
                <w:color w:val="auto"/>
                <w:kern w:val="0"/>
              </w:rPr>
              <w:t>SO</w:t>
            </w:r>
            <w:r>
              <w:rPr>
                <w:rFonts w:cs="Times New Roman"/>
                <w:color w:val="auto"/>
                <w:kern w:val="0"/>
                <w:vertAlign w:val="subscript"/>
              </w:rPr>
              <w:t>2</w:t>
            </w:r>
            <w:r>
              <w:rPr>
                <w:rFonts w:cs="Times New Roman"/>
                <w:color w:val="auto"/>
              </w:rPr>
              <w:t>、</w:t>
            </w:r>
            <w:r>
              <w:rPr>
                <w:rFonts w:cs="Times New Roman"/>
                <w:color w:val="auto"/>
                <w:kern w:val="0"/>
              </w:rPr>
              <w:t>NOx，煅烧废气为颗粒物</w:t>
            </w:r>
            <w:r>
              <w:rPr>
                <w:rFonts w:cs="Times New Roman"/>
                <w:color w:val="auto"/>
              </w:rPr>
              <w:t>和</w:t>
            </w:r>
            <w:r>
              <w:rPr>
                <w:rFonts w:cs="Times New Roman"/>
                <w:color w:val="auto"/>
                <w:kern w:val="0"/>
              </w:rPr>
              <w:t>氟化物。</w:t>
            </w:r>
          </w:p>
          <w:bookmarkEnd w:id="52"/>
          <w:p>
            <w:pPr>
              <w:ind w:firstLine="482"/>
              <w:contextualSpacing/>
              <w:rPr>
                <w:rFonts w:cs="Times New Roman"/>
                <w:b/>
                <w:bCs/>
                <w:color w:val="auto"/>
              </w:rPr>
            </w:pPr>
            <w:bookmarkStart w:id="53" w:name="_Hlk162004184"/>
            <w:r>
              <w:rPr>
                <w:rFonts w:cs="Times New Roman"/>
                <w:b/>
                <w:bCs/>
                <w:color w:val="auto"/>
              </w:rPr>
              <w:t>天然气辊道窑：</w:t>
            </w:r>
          </w:p>
          <w:p>
            <w:pPr>
              <w:ind w:firstLine="480"/>
              <w:contextualSpacing/>
              <w:rPr>
                <w:rFonts w:cs="Times New Roman"/>
                <w:color w:val="auto"/>
              </w:rPr>
            </w:pPr>
            <w:r>
              <w:rPr>
                <w:rFonts w:cs="Times New Roman"/>
                <w:color w:val="auto"/>
              </w:rPr>
              <w:t>1台天然气辊道窑全年运行时间约7200h，则天然气消耗量为</w:t>
            </w:r>
            <w:r>
              <w:rPr>
                <w:rFonts w:hint="eastAsia" w:cs="Times New Roman"/>
                <w:color w:val="auto"/>
                <w:lang w:val="en-US" w:eastAsia="zh-CN"/>
              </w:rPr>
              <w:t>487944</w:t>
            </w:r>
            <w:r>
              <w:rPr>
                <w:rFonts w:cs="Times New Roman"/>
                <w:color w:val="auto"/>
              </w:rPr>
              <w:t>m³/a。</w:t>
            </w:r>
          </w:p>
          <w:p>
            <w:pPr>
              <w:ind w:firstLine="480"/>
              <w:rPr>
                <w:rFonts w:cs="Times New Roman"/>
                <w:color w:val="auto"/>
              </w:rPr>
            </w:pPr>
            <w:r>
              <w:rPr>
                <w:rFonts w:cs="Times New Roman"/>
                <w:color w:val="auto"/>
                <w:kern w:val="0"/>
              </w:rPr>
              <w:t>氟化物：参照《包头海亮科技有限公司年产2000吨高性能多用途稀土系列抛光粉技术改造项目竣工环境保护验收监测报告表》中各污染物排放量检测值，氟化物排放速率为0.00193kg/h，项目验收时，生产能力为5.15t/d，并且</w:t>
            </w:r>
            <w:r>
              <w:rPr>
                <w:rFonts w:cs="Times New Roman"/>
                <w:bCs/>
                <w:color w:val="auto"/>
              </w:rPr>
              <w:t>碱喷淋塔对氟化物处理效率为85%，则</w:t>
            </w:r>
            <w:r>
              <w:rPr>
                <w:rFonts w:cs="Times New Roman"/>
                <w:color w:val="auto"/>
              </w:rPr>
              <w:t>天然气辊道窑</w:t>
            </w:r>
            <w:r>
              <w:rPr>
                <w:rFonts w:cs="Times New Roman"/>
                <w:color w:val="auto"/>
                <w:kern w:val="0"/>
              </w:rPr>
              <w:t>氟化物产生速率为0.013kg/h，本项目生产能力为</w:t>
            </w:r>
            <w:r>
              <w:rPr>
                <w:rFonts w:cs="Times New Roman"/>
                <w:color w:val="auto"/>
              </w:rPr>
              <w:t>2.5t/d，则天然气辊道窑</w:t>
            </w:r>
            <w:r>
              <w:rPr>
                <w:rFonts w:cs="Times New Roman"/>
                <w:color w:val="auto"/>
                <w:kern w:val="0"/>
              </w:rPr>
              <w:t>氟化物产生速率为0.005kg/h。</w:t>
            </w:r>
          </w:p>
          <w:p>
            <w:pPr>
              <w:tabs>
                <w:tab w:val="center" w:pos="4153"/>
                <w:tab w:val="right" w:pos="8306"/>
              </w:tabs>
              <w:ind w:firstLine="480"/>
              <w:contextualSpacing/>
              <w:rPr>
                <w:rFonts w:cs="Times New Roman"/>
                <w:color w:val="auto"/>
              </w:rPr>
            </w:pPr>
            <w:r>
              <w:rPr>
                <w:rFonts w:cs="Times New Roman"/>
                <w:color w:val="auto"/>
              </w:rPr>
              <w:t>燃烧废气：</w:t>
            </w:r>
            <w:r>
              <w:rPr>
                <w:rFonts w:cs="Times New Roman"/>
                <w:bCs/>
                <w:color w:val="auto"/>
              </w:rPr>
              <w:t>天然气辊道窑废气产排参照</w:t>
            </w:r>
            <w:r>
              <w:rPr>
                <w:rFonts w:cs="Times New Roman"/>
                <w:color w:val="auto"/>
              </w:rPr>
              <w:t>《排放源统计调查产排污核算方法和系数手册》“4430锅炉产排污量核算系数手册”产污系数取值。</w:t>
            </w:r>
          </w:p>
          <w:p>
            <w:pPr>
              <w:ind w:firstLine="480"/>
              <w:contextualSpacing/>
              <w:rPr>
                <w:rFonts w:cs="Times New Roman"/>
                <w:bCs/>
                <w:color w:val="auto"/>
              </w:rPr>
            </w:pPr>
            <w:r>
              <w:rPr>
                <w:rFonts w:cs="Times New Roman"/>
                <w:color w:val="auto"/>
              </w:rPr>
              <w:t>新增1台天然气辊道窑产生的废气</w:t>
            </w:r>
            <w:r>
              <w:rPr>
                <w:rFonts w:cs="Times New Roman"/>
                <w:bCs/>
                <w:color w:val="auto"/>
              </w:rPr>
              <w:t>经1座碱喷淋塔处理，碱喷淋塔对氟化物处理效率为85%，对粉尘净化效率为90%，处理后的废气经一根高15m排气筒（P2）排放。</w:t>
            </w:r>
          </w:p>
          <w:p>
            <w:pPr>
              <w:ind w:firstLine="482"/>
              <w:rPr>
                <w:rFonts w:cs="Times New Roman"/>
                <w:b/>
                <w:color w:val="auto"/>
              </w:rPr>
            </w:pPr>
            <w:r>
              <w:rPr>
                <w:rFonts w:cs="Times New Roman"/>
                <w:b/>
                <w:color w:val="auto"/>
              </w:rPr>
              <w:t>电辊道窑：</w:t>
            </w:r>
          </w:p>
          <w:p>
            <w:pPr>
              <w:ind w:firstLine="480"/>
              <w:rPr>
                <w:rFonts w:cs="Times New Roman"/>
                <w:color w:val="auto"/>
              </w:rPr>
            </w:pPr>
            <w:r>
              <w:rPr>
                <w:rFonts w:cs="Times New Roman"/>
                <w:bCs/>
                <w:color w:val="auto"/>
              </w:rPr>
              <w:t>本项目建成后物料在电式辊道窑中煅烧会产生一定量的废气，年运行时间为7200h，废气中污染物有烟尘、氟化物。</w:t>
            </w:r>
          </w:p>
          <w:p>
            <w:pPr>
              <w:ind w:firstLine="480"/>
              <w:rPr>
                <w:rFonts w:cs="Times New Roman"/>
                <w:color w:val="auto"/>
                <w:kern w:val="0"/>
              </w:rPr>
            </w:pPr>
            <w:r>
              <w:rPr>
                <w:rFonts w:cs="Times New Roman"/>
                <w:color w:val="auto"/>
                <w:kern w:val="0"/>
              </w:rPr>
              <w:t>（1）氟化物：参照《包头海亮科技有限公司年产2000吨高性能多用途稀土系列抛光粉技术改造项目竣工环境保护验收监测报告表》中各污染物排放量检测值，氟化物排放速率为0.00205kg/h，项目验收时，生产能力为5.15t/d，并且</w:t>
            </w:r>
            <w:r>
              <w:rPr>
                <w:rFonts w:cs="Times New Roman"/>
                <w:bCs/>
                <w:color w:val="auto"/>
              </w:rPr>
              <w:t>碱喷淋塔对氟化物处理效率为85%，则电式辊道窑</w:t>
            </w:r>
            <w:r>
              <w:rPr>
                <w:rFonts w:cs="Times New Roman"/>
                <w:color w:val="auto"/>
                <w:kern w:val="0"/>
              </w:rPr>
              <w:t>氟化物产生速率为0.0161kg/h，</w:t>
            </w:r>
            <w:r>
              <w:rPr>
                <w:rFonts w:cs="Times New Roman"/>
                <w:bCs/>
                <w:color w:val="auto"/>
              </w:rPr>
              <w:t>本项目生产能力为2.5t/d，则电辊道窑</w:t>
            </w:r>
            <w:r>
              <w:rPr>
                <w:rFonts w:cs="Times New Roman"/>
                <w:color w:val="auto"/>
                <w:kern w:val="0"/>
              </w:rPr>
              <w:t>氟化物</w:t>
            </w:r>
            <w:r>
              <w:rPr>
                <w:rFonts w:cs="Times New Roman"/>
                <w:bCs/>
                <w:color w:val="auto"/>
              </w:rPr>
              <w:t>产生速率为0.005kg/h。</w:t>
            </w:r>
          </w:p>
          <w:p>
            <w:pPr>
              <w:ind w:firstLine="480"/>
              <w:rPr>
                <w:rFonts w:cs="Times New Roman"/>
                <w:bCs/>
                <w:color w:val="auto"/>
              </w:rPr>
            </w:pPr>
            <w:r>
              <w:rPr>
                <w:rFonts w:cs="Times New Roman"/>
                <w:color w:val="auto"/>
                <w:kern w:val="0"/>
              </w:rPr>
              <w:t>（2）颗粒物：参照《包头海亮科技有限公司年产2000吨高性能多用途稀土系列抛光粉技术改造项目竣工环境保护验收监测报告表》中各污染物排放量检测值，颗粒物排放速率为0.0287kg/h，现有项目验收时，生产能力为5.15t/d，</w:t>
            </w:r>
            <w:r>
              <w:rPr>
                <w:rFonts w:cs="Times New Roman"/>
                <w:bCs/>
                <w:color w:val="auto"/>
              </w:rPr>
              <w:t>碱喷淋塔对颗粒物处理效率为90%，则电辊道窑颗粒物产生速率为0.013kg/h，本项目生产能力为2.5t/d，则电辊道窑颗粒物产生速率为0.0063kg/h。</w:t>
            </w:r>
          </w:p>
          <w:p>
            <w:pPr>
              <w:ind w:firstLine="480"/>
              <w:contextualSpacing/>
              <w:rPr>
                <w:rFonts w:cs="Times New Roman"/>
                <w:bCs/>
                <w:color w:val="auto"/>
              </w:rPr>
            </w:pPr>
            <w:r>
              <w:rPr>
                <w:rFonts w:cs="Times New Roman"/>
                <w:color w:val="auto"/>
              </w:rPr>
              <w:t>新增</w:t>
            </w:r>
            <w:r>
              <w:rPr>
                <w:rFonts w:cs="Times New Roman"/>
                <w:bCs/>
                <w:color w:val="auto"/>
              </w:rPr>
              <w:t>1台电式辊道窑</w:t>
            </w:r>
            <w:r>
              <w:rPr>
                <w:rFonts w:cs="Times New Roman"/>
                <w:color w:val="auto"/>
              </w:rPr>
              <w:t>产生的废气并入到天然气辊道窑</w:t>
            </w:r>
            <w:r>
              <w:rPr>
                <w:rFonts w:cs="Times New Roman"/>
                <w:bCs/>
                <w:color w:val="auto"/>
              </w:rPr>
              <w:t>1座碱喷淋塔处理，碱喷淋塔对氟化物处理效率为85%，对粉尘净化效率为90%，氟化物和粉尘经一根高15m排气筒（P2）排放。</w:t>
            </w:r>
          </w:p>
          <w:bookmarkEnd w:id="53"/>
          <w:p>
            <w:pPr>
              <w:ind w:firstLine="0" w:firstLineChars="0"/>
              <w:jc w:val="center"/>
              <w:rPr>
                <w:rFonts w:cs="Times New Roman"/>
                <w:b/>
                <w:bCs/>
                <w:color w:val="auto"/>
                <w:szCs w:val="22"/>
              </w:rPr>
            </w:pPr>
            <w:r>
              <w:rPr>
                <w:rFonts w:cs="Times New Roman"/>
                <w:b/>
                <w:bCs/>
                <w:color w:val="auto"/>
                <w:szCs w:val="22"/>
              </w:rPr>
              <w:t>表4-3本项目天然气辊道窑、电辊道窑产排污情况表</w:t>
            </w:r>
          </w:p>
          <w:tbl>
            <w:tblPr>
              <w:tblStyle w:val="26"/>
              <w:tblW w:w="5000" w:type="pct"/>
              <w:tblInd w:w="0" w:type="dxa"/>
              <w:tblLayout w:type="autofit"/>
              <w:tblCellMar>
                <w:top w:w="0" w:type="dxa"/>
                <w:left w:w="108" w:type="dxa"/>
                <w:bottom w:w="0" w:type="dxa"/>
                <w:right w:w="108" w:type="dxa"/>
              </w:tblCellMar>
            </w:tblPr>
            <w:tblGrid>
              <w:gridCol w:w="637"/>
              <w:gridCol w:w="1056"/>
              <w:gridCol w:w="437"/>
              <w:gridCol w:w="436"/>
              <w:gridCol w:w="794"/>
              <w:gridCol w:w="794"/>
              <w:gridCol w:w="835"/>
              <w:gridCol w:w="638"/>
              <w:gridCol w:w="689"/>
              <w:gridCol w:w="794"/>
              <w:gridCol w:w="794"/>
              <w:gridCol w:w="835"/>
              <w:gridCol w:w="636"/>
            </w:tblGrid>
            <w:tr>
              <w:tblPrEx>
                <w:tblCellMar>
                  <w:top w:w="0" w:type="dxa"/>
                  <w:left w:w="108" w:type="dxa"/>
                  <w:bottom w:w="0" w:type="dxa"/>
                  <w:right w:w="108" w:type="dxa"/>
                </w:tblCellMar>
              </w:tblPrEx>
              <w:trPr>
                <w:trHeight w:val="340" w:hRule="atLeast"/>
              </w:trPr>
              <w:tc>
                <w:tcPr>
                  <w:tcW w:w="34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污染源</w:t>
                  </w:r>
                </w:p>
              </w:tc>
              <w:tc>
                <w:tcPr>
                  <w:tcW w:w="55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废气量（m</w:t>
                  </w:r>
                  <w:r>
                    <w:rPr>
                      <w:rFonts w:cs="Times New Roman"/>
                      <w:b/>
                      <w:bCs/>
                      <w:color w:val="auto"/>
                      <w:kern w:val="0"/>
                      <w:sz w:val="21"/>
                      <w:szCs w:val="21"/>
                      <w:vertAlign w:val="superscript"/>
                    </w:rPr>
                    <w:t>3</w:t>
                  </w:r>
                  <w:r>
                    <w:rPr>
                      <w:rFonts w:cs="Times New Roman"/>
                      <w:b/>
                      <w:bCs/>
                      <w:color w:val="auto"/>
                      <w:kern w:val="0"/>
                      <w:sz w:val="21"/>
                      <w:szCs w:val="21"/>
                    </w:rPr>
                    <w:t>/h）</w:t>
                  </w:r>
                </w:p>
              </w:tc>
              <w:tc>
                <w:tcPr>
                  <w:tcW w:w="23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污染物</w:t>
                  </w:r>
                </w:p>
              </w:tc>
              <w:tc>
                <w:tcPr>
                  <w:tcW w:w="1523"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污染物产生</w:t>
                  </w:r>
                </w:p>
              </w:tc>
              <w:tc>
                <w:tcPr>
                  <w:tcW w:w="71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治理措施</w:t>
                  </w:r>
                </w:p>
              </w:tc>
              <w:tc>
                <w:tcPr>
                  <w:tcW w:w="128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污染物排放</w:t>
                  </w:r>
                </w:p>
              </w:tc>
              <w:tc>
                <w:tcPr>
                  <w:tcW w:w="342"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排放</w:t>
                  </w:r>
                </w:p>
              </w:tc>
            </w:tr>
            <w:tr>
              <w:tblPrEx>
                <w:tblCellMar>
                  <w:top w:w="0" w:type="dxa"/>
                  <w:left w:w="108" w:type="dxa"/>
                  <w:bottom w:w="0" w:type="dxa"/>
                  <w:right w:w="108" w:type="dxa"/>
                </w:tblCellMar>
              </w:tblPrEx>
              <w:trPr>
                <w:trHeight w:val="340" w:hRule="atLeast"/>
              </w:trPr>
              <w:tc>
                <w:tcPr>
                  <w:tcW w:w="342"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left"/>
                    <w:rPr>
                      <w:rFonts w:cs="Times New Roman"/>
                      <w:b/>
                      <w:bCs/>
                      <w:color w:val="auto"/>
                      <w:kern w:val="0"/>
                      <w:sz w:val="21"/>
                      <w:szCs w:val="21"/>
                    </w:rPr>
                  </w:pPr>
                </w:p>
              </w:tc>
              <w:tc>
                <w:tcPr>
                  <w:tcW w:w="559"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left"/>
                    <w:rPr>
                      <w:rFonts w:cs="Times New Roman"/>
                      <w:b/>
                      <w:bCs/>
                      <w:color w:val="auto"/>
                      <w:kern w:val="0"/>
                      <w:sz w:val="21"/>
                      <w:szCs w:val="21"/>
                    </w:rPr>
                  </w:pPr>
                </w:p>
              </w:tc>
              <w:tc>
                <w:tcPr>
                  <w:tcW w:w="235"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left"/>
                    <w:rPr>
                      <w:rFonts w:cs="Times New Roman"/>
                      <w:b/>
                      <w:bCs/>
                      <w:color w:val="auto"/>
                      <w:kern w:val="0"/>
                      <w:sz w:val="21"/>
                      <w:szCs w:val="21"/>
                    </w:rPr>
                  </w:pPr>
                </w:p>
              </w:tc>
              <w:tc>
                <w:tcPr>
                  <w:tcW w:w="23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核算方法</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产生量t/a</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产生速率kg/h</w:t>
                  </w:r>
                </w:p>
              </w:tc>
              <w:tc>
                <w:tcPr>
                  <w:tcW w:w="44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产生浓度mg/m3</w:t>
                  </w:r>
                </w:p>
              </w:tc>
              <w:tc>
                <w:tcPr>
                  <w:tcW w:w="342"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cs="Times New Roman"/>
                      <w:b/>
                      <w:bCs/>
                      <w:color w:val="auto"/>
                      <w:kern w:val="0"/>
                      <w:sz w:val="21"/>
                      <w:szCs w:val="21"/>
                    </w:rPr>
                  </w:pPr>
                  <w:r>
                    <w:rPr>
                      <w:rFonts w:cs="Times New Roman"/>
                      <w:b/>
                      <w:bCs/>
                      <w:color w:val="auto"/>
                      <w:kern w:val="0"/>
                      <w:sz w:val="21"/>
                      <w:szCs w:val="21"/>
                    </w:rPr>
                    <w:t>工艺</w:t>
                  </w:r>
                </w:p>
              </w:tc>
              <w:tc>
                <w:tcPr>
                  <w:tcW w:w="36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效率%</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cs="Times New Roman"/>
                      <w:b/>
                      <w:bCs/>
                      <w:color w:val="auto"/>
                      <w:kern w:val="0"/>
                      <w:sz w:val="21"/>
                      <w:szCs w:val="21"/>
                    </w:rPr>
                  </w:pPr>
                  <w:r>
                    <w:rPr>
                      <w:rFonts w:cs="Times New Roman"/>
                      <w:b/>
                      <w:bCs/>
                      <w:color w:val="auto"/>
                      <w:kern w:val="0"/>
                      <w:sz w:val="21"/>
                      <w:szCs w:val="21"/>
                    </w:rPr>
                    <w:t>排放量t/a</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cs="Times New Roman"/>
                      <w:b/>
                      <w:bCs/>
                      <w:color w:val="auto"/>
                      <w:kern w:val="0"/>
                      <w:sz w:val="21"/>
                      <w:szCs w:val="21"/>
                    </w:rPr>
                  </w:pPr>
                  <w:r>
                    <w:rPr>
                      <w:rFonts w:cs="Times New Roman"/>
                      <w:b/>
                      <w:bCs/>
                      <w:color w:val="auto"/>
                      <w:kern w:val="0"/>
                      <w:sz w:val="21"/>
                      <w:szCs w:val="21"/>
                    </w:rPr>
                    <w:t>排放速率kg/h</w:t>
                  </w:r>
                </w:p>
              </w:tc>
              <w:tc>
                <w:tcPr>
                  <w:tcW w:w="44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排放浓度mg/m3</w:t>
                  </w:r>
                </w:p>
              </w:tc>
              <w:tc>
                <w:tcPr>
                  <w:tcW w:w="342"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时间h</w:t>
                  </w:r>
                </w:p>
              </w:tc>
            </w:tr>
            <w:tr>
              <w:tblPrEx>
                <w:tblCellMar>
                  <w:top w:w="0" w:type="dxa"/>
                  <w:left w:w="108" w:type="dxa"/>
                  <w:bottom w:w="0" w:type="dxa"/>
                  <w:right w:w="108" w:type="dxa"/>
                </w:tblCellMar>
              </w:tblPrEx>
              <w:trPr>
                <w:trHeight w:val="340" w:hRule="atLeast"/>
              </w:trPr>
              <w:tc>
                <w:tcPr>
                  <w:tcW w:w="34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天然气辊道窑、电辊道窑</w:t>
                  </w:r>
                </w:p>
              </w:tc>
              <w:tc>
                <w:tcPr>
                  <w:tcW w:w="55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1000</w:t>
                  </w:r>
                </w:p>
              </w:tc>
              <w:tc>
                <w:tcPr>
                  <w:tcW w:w="23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颗粒物</w:t>
                  </w:r>
                </w:p>
              </w:tc>
              <w:tc>
                <w:tcPr>
                  <w:tcW w:w="23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产污系数法</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0.0698</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0.0097</w:t>
                  </w:r>
                </w:p>
              </w:tc>
              <w:tc>
                <w:tcPr>
                  <w:tcW w:w="44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9.69</w:t>
                  </w:r>
                </w:p>
              </w:tc>
              <w:tc>
                <w:tcPr>
                  <w:tcW w:w="34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碱喷淋塔（1套）</w:t>
                  </w:r>
                </w:p>
              </w:tc>
              <w:tc>
                <w:tcPr>
                  <w:tcW w:w="36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90</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0.0070</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0.0010</w:t>
                  </w:r>
                </w:p>
              </w:tc>
              <w:tc>
                <w:tcPr>
                  <w:tcW w:w="44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0.97</w:t>
                  </w:r>
                </w:p>
              </w:tc>
              <w:tc>
                <w:tcPr>
                  <w:tcW w:w="34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7200</w:t>
                  </w:r>
                </w:p>
              </w:tc>
            </w:tr>
            <w:tr>
              <w:tblPrEx>
                <w:tblCellMar>
                  <w:top w:w="0" w:type="dxa"/>
                  <w:left w:w="108" w:type="dxa"/>
                  <w:bottom w:w="0" w:type="dxa"/>
                  <w:right w:w="108" w:type="dxa"/>
                </w:tblCellMar>
              </w:tblPrEx>
              <w:trPr>
                <w:trHeight w:val="340" w:hRule="atLeast"/>
              </w:trPr>
              <w:tc>
                <w:tcPr>
                  <w:tcW w:w="342"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left"/>
                    <w:rPr>
                      <w:rFonts w:cs="Times New Roman"/>
                      <w:color w:val="auto"/>
                      <w:kern w:val="0"/>
                      <w:sz w:val="21"/>
                      <w:szCs w:val="21"/>
                    </w:rPr>
                  </w:pPr>
                </w:p>
              </w:tc>
              <w:tc>
                <w:tcPr>
                  <w:tcW w:w="559"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left"/>
                    <w:rPr>
                      <w:rFonts w:cs="Times New Roman"/>
                      <w:color w:val="auto"/>
                      <w:kern w:val="0"/>
                      <w:sz w:val="21"/>
                      <w:szCs w:val="21"/>
                    </w:rPr>
                  </w:pPr>
                </w:p>
              </w:tc>
              <w:tc>
                <w:tcPr>
                  <w:tcW w:w="23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二氧化硫</w:t>
                  </w:r>
                </w:p>
              </w:tc>
              <w:tc>
                <w:tcPr>
                  <w:tcW w:w="234"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left"/>
                    <w:rPr>
                      <w:rFonts w:cs="Times New Roman"/>
                      <w:color w:val="auto"/>
                      <w:kern w:val="0"/>
                      <w:sz w:val="21"/>
                      <w:szCs w:val="21"/>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0.0976</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0.0136</w:t>
                  </w:r>
                </w:p>
              </w:tc>
              <w:tc>
                <w:tcPr>
                  <w:tcW w:w="44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13.55</w:t>
                  </w:r>
                </w:p>
              </w:tc>
              <w:tc>
                <w:tcPr>
                  <w:tcW w:w="342"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left"/>
                    <w:rPr>
                      <w:rFonts w:cs="Times New Roman"/>
                      <w:color w:val="auto"/>
                      <w:kern w:val="0"/>
                      <w:sz w:val="21"/>
                      <w:szCs w:val="21"/>
                    </w:rPr>
                  </w:pPr>
                </w:p>
              </w:tc>
              <w:tc>
                <w:tcPr>
                  <w:tcW w:w="36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60</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0.0390</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0.0054</w:t>
                  </w:r>
                </w:p>
              </w:tc>
              <w:tc>
                <w:tcPr>
                  <w:tcW w:w="44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5.42</w:t>
                  </w:r>
                </w:p>
              </w:tc>
              <w:tc>
                <w:tcPr>
                  <w:tcW w:w="342"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left"/>
                    <w:rPr>
                      <w:rFonts w:cs="Times New Roman"/>
                      <w:color w:val="auto"/>
                      <w:kern w:val="0"/>
                      <w:sz w:val="21"/>
                      <w:szCs w:val="21"/>
                    </w:rPr>
                  </w:pPr>
                </w:p>
              </w:tc>
            </w:tr>
            <w:tr>
              <w:tblPrEx>
                <w:tblCellMar>
                  <w:top w:w="0" w:type="dxa"/>
                  <w:left w:w="108" w:type="dxa"/>
                  <w:bottom w:w="0" w:type="dxa"/>
                  <w:right w:w="108" w:type="dxa"/>
                </w:tblCellMar>
              </w:tblPrEx>
              <w:trPr>
                <w:trHeight w:val="340" w:hRule="atLeast"/>
              </w:trPr>
              <w:tc>
                <w:tcPr>
                  <w:tcW w:w="342"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left"/>
                    <w:rPr>
                      <w:rFonts w:cs="Times New Roman"/>
                      <w:color w:val="auto"/>
                      <w:kern w:val="0"/>
                      <w:sz w:val="21"/>
                      <w:szCs w:val="21"/>
                    </w:rPr>
                  </w:pPr>
                </w:p>
              </w:tc>
              <w:tc>
                <w:tcPr>
                  <w:tcW w:w="559"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left"/>
                    <w:rPr>
                      <w:rFonts w:cs="Times New Roman"/>
                      <w:color w:val="auto"/>
                      <w:kern w:val="0"/>
                      <w:sz w:val="21"/>
                      <w:szCs w:val="21"/>
                    </w:rPr>
                  </w:pPr>
                </w:p>
              </w:tc>
              <w:tc>
                <w:tcPr>
                  <w:tcW w:w="23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氮氧化物</w:t>
                  </w:r>
                </w:p>
              </w:tc>
              <w:tc>
                <w:tcPr>
                  <w:tcW w:w="234"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left"/>
                    <w:rPr>
                      <w:rFonts w:cs="Times New Roman"/>
                      <w:color w:val="auto"/>
                      <w:kern w:val="0"/>
                      <w:sz w:val="21"/>
                      <w:szCs w:val="21"/>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0.7744</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0.1076</w:t>
                  </w:r>
                </w:p>
              </w:tc>
              <w:tc>
                <w:tcPr>
                  <w:tcW w:w="44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107.55</w:t>
                  </w:r>
                </w:p>
              </w:tc>
              <w:tc>
                <w:tcPr>
                  <w:tcW w:w="342"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left"/>
                    <w:rPr>
                      <w:rFonts w:cs="Times New Roman"/>
                      <w:color w:val="auto"/>
                      <w:kern w:val="0"/>
                      <w:sz w:val="21"/>
                      <w:szCs w:val="21"/>
                    </w:rPr>
                  </w:pPr>
                </w:p>
              </w:tc>
              <w:tc>
                <w:tcPr>
                  <w:tcW w:w="36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0</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0.7744</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0.1076</w:t>
                  </w:r>
                </w:p>
              </w:tc>
              <w:tc>
                <w:tcPr>
                  <w:tcW w:w="44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107.55</w:t>
                  </w:r>
                </w:p>
              </w:tc>
              <w:tc>
                <w:tcPr>
                  <w:tcW w:w="342"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left"/>
                    <w:rPr>
                      <w:rFonts w:cs="Times New Roman"/>
                      <w:color w:val="auto"/>
                      <w:kern w:val="0"/>
                      <w:sz w:val="21"/>
                      <w:szCs w:val="21"/>
                    </w:rPr>
                  </w:pPr>
                </w:p>
              </w:tc>
            </w:tr>
            <w:tr>
              <w:tblPrEx>
                <w:tblCellMar>
                  <w:top w:w="0" w:type="dxa"/>
                  <w:left w:w="108" w:type="dxa"/>
                  <w:bottom w:w="0" w:type="dxa"/>
                  <w:right w:w="108" w:type="dxa"/>
                </w:tblCellMar>
              </w:tblPrEx>
              <w:trPr>
                <w:trHeight w:val="340" w:hRule="atLeast"/>
              </w:trPr>
              <w:tc>
                <w:tcPr>
                  <w:tcW w:w="342"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left"/>
                    <w:rPr>
                      <w:rFonts w:cs="Times New Roman"/>
                      <w:color w:val="auto"/>
                      <w:kern w:val="0"/>
                      <w:sz w:val="21"/>
                      <w:szCs w:val="21"/>
                    </w:rPr>
                  </w:pPr>
                </w:p>
              </w:tc>
              <w:tc>
                <w:tcPr>
                  <w:tcW w:w="559"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left"/>
                    <w:rPr>
                      <w:rFonts w:cs="Times New Roman"/>
                      <w:color w:val="auto"/>
                      <w:kern w:val="0"/>
                      <w:sz w:val="21"/>
                      <w:szCs w:val="21"/>
                    </w:rPr>
                  </w:pPr>
                </w:p>
              </w:tc>
              <w:tc>
                <w:tcPr>
                  <w:tcW w:w="23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氟化物</w:t>
                  </w:r>
                </w:p>
              </w:tc>
              <w:tc>
                <w:tcPr>
                  <w:tcW w:w="234"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left"/>
                    <w:rPr>
                      <w:rFonts w:cs="Times New Roman"/>
                      <w:color w:val="auto"/>
                      <w:kern w:val="0"/>
                      <w:sz w:val="21"/>
                      <w:szCs w:val="21"/>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0.0720</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0.0100</w:t>
                  </w:r>
                </w:p>
              </w:tc>
              <w:tc>
                <w:tcPr>
                  <w:tcW w:w="44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10.00</w:t>
                  </w:r>
                </w:p>
              </w:tc>
              <w:tc>
                <w:tcPr>
                  <w:tcW w:w="342"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left"/>
                    <w:rPr>
                      <w:rFonts w:cs="Times New Roman"/>
                      <w:color w:val="auto"/>
                      <w:kern w:val="0"/>
                      <w:sz w:val="21"/>
                      <w:szCs w:val="21"/>
                    </w:rPr>
                  </w:pPr>
                </w:p>
              </w:tc>
              <w:tc>
                <w:tcPr>
                  <w:tcW w:w="36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85.00</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0.0108</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0.0015</w:t>
                  </w:r>
                </w:p>
              </w:tc>
              <w:tc>
                <w:tcPr>
                  <w:tcW w:w="44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1.50</w:t>
                  </w:r>
                </w:p>
              </w:tc>
              <w:tc>
                <w:tcPr>
                  <w:tcW w:w="342"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left"/>
                    <w:rPr>
                      <w:rFonts w:cs="Times New Roman"/>
                      <w:color w:val="auto"/>
                      <w:kern w:val="0"/>
                      <w:sz w:val="21"/>
                      <w:szCs w:val="21"/>
                    </w:rPr>
                  </w:pPr>
                </w:p>
              </w:tc>
            </w:tr>
          </w:tbl>
          <w:p>
            <w:pPr>
              <w:ind w:firstLine="480"/>
              <w:rPr>
                <w:rFonts w:cs="Times New Roman"/>
                <w:bCs/>
                <w:color w:val="auto"/>
              </w:rPr>
            </w:pPr>
            <w:r>
              <w:rPr>
                <w:rFonts w:cs="Times New Roman"/>
                <w:bCs/>
                <w:color w:val="auto"/>
              </w:rPr>
              <w:t>（4）</w:t>
            </w:r>
            <w:bookmarkStart w:id="54" w:name="_Hlk162004208"/>
            <w:r>
              <w:rPr>
                <w:rFonts w:cs="Times New Roman"/>
                <w:bCs/>
                <w:color w:val="auto"/>
              </w:rPr>
              <w:t>混料过筛G1-5、气流粉碎G1-6、射流分级G1-7粉尘</w:t>
            </w:r>
          </w:p>
          <w:bookmarkEnd w:id="54"/>
          <w:p>
            <w:pPr>
              <w:ind w:firstLine="480"/>
              <w:contextualSpacing/>
              <w:rPr>
                <w:rFonts w:cs="Times New Roman"/>
                <w:color w:val="auto"/>
              </w:rPr>
            </w:pPr>
            <w:bookmarkStart w:id="55" w:name="_Hlk162004232"/>
            <w:r>
              <w:rPr>
                <w:rFonts w:cs="Times New Roman"/>
                <w:color w:val="auto"/>
              </w:rPr>
              <w:t>一期工程和二期工程共用2台混料筛分机、2台气流粉碎机、1台射流分级机，生产时间一期3600d/a，生产时间二期3600d/a。</w:t>
            </w:r>
          </w:p>
          <w:p>
            <w:pPr>
              <w:ind w:firstLine="480"/>
              <w:contextualSpacing/>
              <w:rPr>
                <w:rFonts w:cs="Times New Roman"/>
                <w:bCs/>
                <w:color w:val="auto"/>
              </w:rPr>
            </w:pPr>
            <w:r>
              <w:rPr>
                <w:rFonts w:cs="Times New Roman"/>
                <w:color w:val="auto"/>
              </w:rPr>
              <w:t>生产过程会产生粉尘，气流磨工作时，气流运送物料在粉碎机内循环多次破碎，最终达到产品粒度要求，参考《逸散性工业粉尘控制技术》“三级破碎”按3.0kg/t（破碎料）计算，粉生产量为1500t/a，粉尘产生量为4.5t/a；气流磨</w:t>
            </w:r>
            <w:r>
              <w:rPr>
                <w:rFonts w:cs="Times New Roman"/>
                <w:bCs/>
                <w:color w:val="auto"/>
              </w:rPr>
              <w:t>为封闭结构，集气效率按100%计，风机风量为1000m</w:t>
            </w:r>
            <w:r>
              <w:rPr>
                <w:rFonts w:cs="Times New Roman"/>
                <w:bCs/>
                <w:color w:val="auto"/>
                <w:vertAlign w:val="superscript"/>
              </w:rPr>
              <w:t>3</w:t>
            </w:r>
            <w:r>
              <w:rPr>
                <w:rFonts w:cs="Times New Roman"/>
                <w:bCs/>
                <w:color w:val="auto"/>
              </w:rPr>
              <w:t>/h，</w:t>
            </w:r>
            <w:r>
              <w:rPr>
                <w:rFonts w:cs="Times New Roman"/>
                <w:color w:val="auto"/>
              </w:rPr>
              <w:t>经</w:t>
            </w:r>
            <w:r>
              <w:rPr>
                <w:rFonts w:cs="Times New Roman"/>
                <w:bCs/>
                <w:color w:val="auto"/>
              </w:rPr>
              <w:t>布袋除尘器（除尘效率为99%）处理后经一根高15m排气筒（P3）排放。</w:t>
            </w:r>
          </w:p>
          <w:bookmarkEnd w:id="55"/>
          <w:p>
            <w:pPr>
              <w:ind w:firstLine="480"/>
              <w:rPr>
                <w:rFonts w:cs="Times New Roman"/>
                <w:color w:val="auto"/>
              </w:rPr>
            </w:pPr>
            <w:r>
              <w:rPr>
                <w:rFonts w:cs="Times New Roman"/>
                <w:color w:val="auto"/>
              </w:rPr>
              <w:t>（5）</w:t>
            </w:r>
            <w:bookmarkStart w:id="56" w:name="_Hlk162004241"/>
            <w:r>
              <w:rPr>
                <w:rFonts w:cs="Times New Roman"/>
                <w:color w:val="auto"/>
              </w:rPr>
              <w:t>喷雾干燥G1-8</w:t>
            </w:r>
          </w:p>
          <w:bookmarkEnd w:id="56"/>
          <w:p>
            <w:pPr>
              <w:ind w:firstLine="480"/>
              <w:rPr>
                <w:rFonts w:cs="Times New Roman"/>
                <w:bCs/>
                <w:color w:val="auto"/>
              </w:rPr>
            </w:pPr>
            <w:bookmarkStart w:id="57" w:name="_Hlk162004249"/>
            <w:bookmarkStart w:id="58" w:name="_Hlk163636332"/>
            <w:r>
              <w:rPr>
                <w:rFonts w:cs="Times New Roman"/>
                <w:color w:val="auto"/>
              </w:rPr>
              <w:t>喷雾干燥工段废气主要为天然气燃烧废气（颗粒物、二氧化硫、氮氧化物），干燥废气（颗粒物）。</w:t>
            </w:r>
          </w:p>
          <w:bookmarkEnd w:id="57"/>
          <w:p>
            <w:pPr>
              <w:ind w:firstLine="480"/>
              <w:rPr>
                <w:rFonts w:cs="Times New Roman"/>
                <w:color w:val="auto"/>
              </w:rPr>
            </w:pPr>
            <w:bookmarkStart w:id="59" w:name="_Hlk162004252"/>
            <w:r>
              <w:rPr>
                <w:rFonts w:cs="Times New Roman"/>
                <w:color w:val="auto"/>
              </w:rPr>
              <w:t>一期工程和二期工程共用喷雾干燥，新建1台天然气干燥器，天然气燃烧后的废气经1根15m排气筒（P3）直接排放。</w:t>
            </w:r>
            <w:bookmarkEnd w:id="59"/>
            <w:r>
              <w:rPr>
                <w:rFonts w:cs="Times New Roman"/>
                <w:color w:val="auto"/>
              </w:rPr>
              <w:t>本项目干燥器采用天然气作为燃料，干燥器每小时耗气量为16.15m</w:t>
            </w:r>
            <w:r>
              <w:rPr>
                <w:rFonts w:cs="Times New Roman"/>
                <w:color w:val="auto"/>
                <w:vertAlign w:val="superscript"/>
              </w:rPr>
              <w:t>3</w:t>
            </w:r>
            <w:r>
              <w:rPr>
                <w:rFonts w:cs="Times New Roman"/>
                <w:color w:val="auto"/>
              </w:rPr>
              <w:t>，</w:t>
            </w:r>
            <w:r>
              <w:rPr>
                <w:rFonts w:cs="Times New Roman"/>
                <w:bCs/>
                <w:color w:val="auto"/>
              </w:rPr>
              <w:t>年工作时间为3600h</w:t>
            </w:r>
            <w:r>
              <w:rPr>
                <w:rFonts w:cs="Times New Roman"/>
                <w:color w:val="auto"/>
              </w:rPr>
              <w:t>，天然气年消耗量为</w:t>
            </w:r>
            <w:r>
              <w:rPr>
                <w:rFonts w:hint="eastAsia" w:cs="Times New Roman"/>
                <w:color w:val="auto"/>
                <w:lang w:val="en-US" w:eastAsia="zh-CN"/>
              </w:rPr>
              <w:t>58250</w:t>
            </w:r>
            <w:r>
              <w:rPr>
                <w:rFonts w:cs="Times New Roman"/>
                <w:color w:val="auto"/>
              </w:rPr>
              <w:t>m</w:t>
            </w:r>
            <w:r>
              <w:rPr>
                <w:rFonts w:cs="Times New Roman"/>
                <w:color w:val="auto"/>
                <w:vertAlign w:val="superscript"/>
              </w:rPr>
              <w:t>3</w:t>
            </w:r>
            <w:r>
              <w:rPr>
                <w:rFonts w:cs="Times New Roman"/>
                <w:color w:val="auto"/>
              </w:rPr>
              <w:t>/a；</w:t>
            </w:r>
          </w:p>
          <w:p>
            <w:pPr>
              <w:ind w:firstLine="480"/>
              <w:rPr>
                <w:rFonts w:cs="Times New Roman"/>
                <w:b/>
                <w:bCs/>
                <w:color w:val="auto"/>
                <w:sz w:val="20"/>
                <w:szCs w:val="18"/>
              </w:rPr>
            </w:pPr>
            <w:bookmarkStart w:id="60" w:name="_Hlk162004259"/>
            <w:r>
              <w:rPr>
                <w:rFonts w:cs="Times New Roman"/>
                <w:bCs/>
                <w:color w:val="auto"/>
              </w:rPr>
              <w:t>天然气燃烧废气产排参照</w:t>
            </w:r>
            <w:r>
              <w:rPr>
                <w:rFonts w:cs="Times New Roman"/>
                <w:color w:val="auto"/>
              </w:rPr>
              <w:t>《排放源统计调查产排污核算方法和系数手册》“4430锅炉产排污量核算系数手册”产污系数取值。</w:t>
            </w:r>
          </w:p>
          <w:p>
            <w:pPr>
              <w:ind w:firstLine="480"/>
              <w:rPr>
                <w:rFonts w:cs="Times New Roman"/>
                <w:bCs/>
                <w:color w:val="auto"/>
              </w:rPr>
            </w:pPr>
            <w:r>
              <w:rPr>
                <w:rFonts w:cs="Times New Roman"/>
                <w:color w:val="auto"/>
              </w:rPr>
              <w:t>经计算，喷雾干燥颗粒物的产生量为0.0029t/a（0.0004kg/h），二氧化硫的产生量为0.0117t/a（0.0016kg/h），氮氧化物的产生量为0.0924t/a（0.0128kg/h），产生的废气汇入到布袋除尘器</w:t>
            </w:r>
            <w:r>
              <w:rPr>
                <w:rFonts w:cs="Times New Roman"/>
                <w:bCs/>
                <w:color w:val="auto"/>
              </w:rPr>
              <w:t>内进行处置，颗粒物处理效率可达到99%，</w:t>
            </w:r>
            <w:r>
              <w:rPr>
                <w:rFonts w:cs="Times New Roman"/>
                <w:color w:val="auto"/>
              </w:rPr>
              <w:t>处理后的废气与</w:t>
            </w:r>
            <w:r>
              <w:rPr>
                <w:rFonts w:cs="Times New Roman"/>
                <w:bCs/>
                <w:color w:val="auto"/>
              </w:rPr>
              <w:t>混料过筛、气流粉碎、射流分级</w:t>
            </w:r>
            <w:r>
              <w:rPr>
                <w:rFonts w:cs="Times New Roman"/>
                <w:color w:val="auto"/>
              </w:rPr>
              <w:t>工序废气合并后通过1根</w:t>
            </w:r>
            <w:r>
              <w:rPr>
                <w:rFonts w:cs="Times New Roman"/>
                <w:bCs/>
                <w:color w:val="auto"/>
              </w:rPr>
              <w:t>15m排气筒（P3）排放。</w:t>
            </w:r>
          </w:p>
          <w:bookmarkEnd w:id="58"/>
          <w:p>
            <w:pPr>
              <w:ind w:firstLine="480"/>
              <w:contextualSpacing/>
              <w:rPr>
                <w:rFonts w:cs="Times New Roman"/>
                <w:bCs/>
                <w:color w:val="auto"/>
              </w:rPr>
            </w:pPr>
            <w:r>
              <w:rPr>
                <w:rFonts w:cs="Times New Roman"/>
                <w:color w:val="auto"/>
              </w:rPr>
              <w:t>干燥过程与筛分过程类似，参考《逸散性工业粉尘控制技术》粒料加工厂逸散尘排放因子，筛分粉尘因子为1.0kg/t，</w:t>
            </w:r>
            <w:r>
              <w:rPr>
                <w:rFonts w:cs="Times New Roman"/>
                <w:bCs/>
                <w:color w:val="auto"/>
              </w:rPr>
              <w:t>年干燥抛光粉物料3401.56吨，则粉尘产生量为3.40t/a（0.94</w:t>
            </w:r>
            <w:r>
              <w:rPr>
                <w:rFonts w:cs="Times New Roman"/>
                <w:color w:val="auto"/>
              </w:rPr>
              <w:t>kg/h</w:t>
            </w:r>
            <w:r>
              <w:rPr>
                <w:rFonts w:cs="Times New Roman"/>
                <w:bCs/>
                <w:color w:val="auto"/>
              </w:rPr>
              <w:t>），通入燃烧废气碱喷淋塔内进行处置。颗粒物处理效率可达到90%，</w:t>
            </w:r>
            <w:r>
              <w:rPr>
                <w:rFonts w:cs="Times New Roman"/>
                <w:color w:val="auto"/>
              </w:rPr>
              <w:t>处理后的废气</w:t>
            </w:r>
            <w:r>
              <w:rPr>
                <w:rFonts w:cs="Times New Roman"/>
                <w:bCs/>
                <w:color w:val="auto"/>
              </w:rPr>
              <w:t>混料过筛、气流粉碎、射流分级</w:t>
            </w:r>
            <w:r>
              <w:rPr>
                <w:rFonts w:cs="Times New Roman"/>
                <w:color w:val="auto"/>
              </w:rPr>
              <w:t>工序废气合并后通过1根</w:t>
            </w:r>
            <w:r>
              <w:rPr>
                <w:rFonts w:cs="Times New Roman"/>
                <w:bCs/>
                <w:color w:val="auto"/>
              </w:rPr>
              <w:t>15m排气筒（P3）排放。</w:t>
            </w:r>
          </w:p>
          <w:bookmarkEnd w:id="60"/>
          <w:p>
            <w:pPr>
              <w:ind w:firstLine="0" w:firstLineChars="0"/>
              <w:jc w:val="center"/>
              <w:rPr>
                <w:rFonts w:cs="Times New Roman"/>
                <w:b/>
                <w:bCs/>
                <w:color w:val="auto"/>
                <w:szCs w:val="22"/>
              </w:rPr>
            </w:pPr>
            <w:r>
              <w:rPr>
                <w:rFonts w:cs="Times New Roman"/>
                <w:b/>
                <w:bCs/>
                <w:color w:val="auto"/>
                <w:szCs w:val="22"/>
              </w:rPr>
              <w:t>表4-4本项目</w:t>
            </w:r>
            <w:r>
              <w:rPr>
                <w:rFonts w:cs="Times New Roman"/>
                <w:b/>
                <w:bCs/>
                <w:color w:val="auto"/>
              </w:rPr>
              <w:t>料过筛、气流粉碎、射流分级</w:t>
            </w:r>
            <w:r>
              <w:rPr>
                <w:rFonts w:cs="Times New Roman"/>
                <w:b/>
                <w:bCs/>
                <w:color w:val="auto"/>
                <w:szCs w:val="22"/>
              </w:rPr>
              <w:t>、喷雾干燥产排污情况表</w:t>
            </w:r>
          </w:p>
          <w:tbl>
            <w:tblPr>
              <w:tblStyle w:val="26"/>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636"/>
              <w:gridCol w:w="1056"/>
              <w:gridCol w:w="427"/>
              <w:gridCol w:w="427"/>
              <w:gridCol w:w="794"/>
              <w:gridCol w:w="794"/>
              <w:gridCol w:w="899"/>
              <w:gridCol w:w="636"/>
              <w:gridCol w:w="637"/>
              <w:gridCol w:w="794"/>
              <w:gridCol w:w="794"/>
              <w:gridCol w:w="835"/>
              <w:gridCol w:w="63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0" w:type="pct"/>
                  <w:vMerge w:val="restart"/>
                  <w:shd w:val="clear" w:color="auto" w:fill="auto"/>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污染源</w:t>
                  </w:r>
                </w:p>
              </w:tc>
              <w:tc>
                <w:tcPr>
                  <w:tcW w:w="554" w:type="pct"/>
                  <w:vMerge w:val="restart"/>
                  <w:shd w:val="clear" w:color="auto" w:fill="auto"/>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废气量（m</w:t>
                  </w:r>
                  <w:r>
                    <w:rPr>
                      <w:rFonts w:cs="Times New Roman"/>
                      <w:b/>
                      <w:bCs/>
                      <w:color w:val="auto"/>
                      <w:kern w:val="0"/>
                      <w:sz w:val="21"/>
                      <w:szCs w:val="21"/>
                      <w:vertAlign w:val="superscript"/>
                    </w:rPr>
                    <w:t>3</w:t>
                  </w:r>
                  <w:r>
                    <w:rPr>
                      <w:rFonts w:cs="Times New Roman"/>
                      <w:b/>
                      <w:bCs/>
                      <w:color w:val="auto"/>
                      <w:kern w:val="0"/>
                      <w:sz w:val="21"/>
                      <w:szCs w:val="21"/>
                    </w:rPr>
                    <w:t>/h）</w:t>
                  </w:r>
                </w:p>
              </w:tc>
              <w:tc>
                <w:tcPr>
                  <w:tcW w:w="233" w:type="pct"/>
                  <w:vMerge w:val="restart"/>
                  <w:shd w:val="clear" w:color="auto" w:fill="auto"/>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污染物</w:t>
                  </w:r>
                </w:p>
              </w:tc>
              <w:tc>
                <w:tcPr>
                  <w:tcW w:w="1679" w:type="pct"/>
                  <w:gridSpan w:val="4"/>
                  <w:shd w:val="clear" w:color="auto" w:fill="auto"/>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污染物产生</w:t>
                  </w:r>
                </w:p>
              </w:tc>
              <w:tc>
                <w:tcPr>
                  <w:tcW w:w="573" w:type="pct"/>
                  <w:gridSpan w:val="2"/>
                  <w:shd w:val="clear" w:color="auto" w:fill="auto"/>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治理措施</w:t>
                  </w:r>
                </w:p>
              </w:tc>
              <w:tc>
                <w:tcPr>
                  <w:tcW w:w="1281" w:type="pct"/>
                  <w:gridSpan w:val="3"/>
                  <w:shd w:val="clear" w:color="auto" w:fill="auto"/>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污染物排放</w:t>
                  </w:r>
                </w:p>
              </w:tc>
              <w:tc>
                <w:tcPr>
                  <w:tcW w:w="340" w:type="pct"/>
                  <w:shd w:val="clear" w:color="auto" w:fill="auto"/>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排放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0" w:type="pct"/>
                  <w:vMerge w:val="continue"/>
                  <w:vAlign w:val="center"/>
                </w:tcPr>
                <w:p>
                  <w:pPr>
                    <w:widowControl/>
                    <w:snapToGrid w:val="0"/>
                    <w:spacing w:line="240" w:lineRule="auto"/>
                    <w:ind w:firstLine="0" w:firstLineChars="0"/>
                    <w:jc w:val="left"/>
                    <w:rPr>
                      <w:rFonts w:cs="Times New Roman"/>
                      <w:b/>
                      <w:bCs/>
                      <w:color w:val="auto"/>
                      <w:kern w:val="0"/>
                      <w:sz w:val="21"/>
                      <w:szCs w:val="21"/>
                    </w:rPr>
                  </w:pPr>
                </w:p>
              </w:tc>
              <w:tc>
                <w:tcPr>
                  <w:tcW w:w="554" w:type="pct"/>
                  <w:vMerge w:val="continue"/>
                  <w:vAlign w:val="center"/>
                </w:tcPr>
                <w:p>
                  <w:pPr>
                    <w:widowControl/>
                    <w:snapToGrid w:val="0"/>
                    <w:spacing w:line="240" w:lineRule="auto"/>
                    <w:ind w:firstLine="0" w:firstLineChars="0"/>
                    <w:jc w:val="left"/>
                    <w:rPr>
                      <w:rFonts w:cs="Times New Roman"/>
                      <w:b/>
                      <w:bCs/>
                      <w:color w:val="auto"/>
                      <w:kern w:val="0"/>
                      <w:sz w:val="21"/>
                      <w:szCs w:val="21"/>
                    </w:rPr>
                  </w:pPr>
                </w:p>
              </w:tc>
              <w:tc>
                <w:tcPr>
                  <w:tcW w:w="233" w:type="pct"/>
                  <w:vMerge w:val="continue"/>
                  <w:vAlign w:val="center"/>
                </w:tcPr>
                <w:p>
                  <w:pPr>
                    <w:widowControl/>
                    <w:snapToGrid w:val="0"/>
                    <w:spacing w:line="240" w:lineRule="auto"/>
                    <w:ind w:firstLine="0" w:firstLineChars="0"/>
                    <w:jc w:val="left"/>
                    <w:rPr>
                      <w:rFonts w:cs="Times New Roman"/>
                      <w:b/>
                      <w:bCs/>
                      <w:color w:val="auto"/>
                      <w:kern w:val="0"/>
                      <w:sz w:val="21"/>
                      <w:szCs w:val="21"/>
                    </w:rPr>
                  </w:pPr>
                </w:p>
              </w:tc>
              <w:tc>
                <w:tcPr>
                  <w:tcW w:w="233" w:type="pct"/>
                  <w:shd w:val="clear" w:color="auto" w:fill="auto"/>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核算方法</w:t>
                  </w:r>
                </w:p>
              </w:tc>
              <w:tc>
                <w:tcPr>
                  <w:tcW w:w="462" w:type="pct"/>
                  <w:shd w:val="clear" w:color="auto" w:fill="auto"/>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产生量t/a</w:t>
                  </w:r>
                </w:p>
              </w:tc>
              <w:tc>
                <w:tcPr>
                  <w:tcW w:w="462" w:type="pct"/>
                  <w:shd w:val="clear" w:color="auto" w:fill="auto"/>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产生速率kg/h</w:t>
                  </w:r>
                </w:p>
              </w:tc>
              <w:tc>
                <w:tcPr>
                  <w:tcW w:w="522" w:type="pct"/>
                  <w:shd w:val="clear" w:color="auto" w:fill="auto"/>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产生浓度mg/m3</w:t>
                  </w:r>
                </w:p>
              </w:tc>
              <w:tc>
                <w:tcPr>
                  <w:tcW w:w="233" w:type="pct"/>
                  <w:shd w:val="clear" w:color="auto" w:fill="auto"/>
                  <w:vAlign w:val="center"/>
                </w:tcPr>
                <w:p>
                  <w:pPr>
                    <w:widowControl/>
                    <w:snapToGrid w:val="0"/>
                    <w:spacing w:line="240" w:lineRule="auto"/>
                    <w:ind w:firstLine="0" w:firstLineChars="0"/>
                    <w:jc w:val="left"/>
                    <w:rPr>
                      <w:rFonts w:cs="Times New Roman"/>
                      <w:b/>
                      <w:bCs/>
                      <w:color w:val="auto"/>
                      <w:kern w:val="0"/>
                      <w:sz w:val="21"/>
                      <w:szCs w:val="21"/>
                    </w:rPr>
                  </w:pPr>
                  <w:r>
                    <w:rPr>
                      <w:rFonts w:cs="Times New Roman"/>
                      <w:b/>
                      <w:bCs/>
                      <w:color w:val="auto"/>
                      <w:kern w:val="0"/>
                      <w:sz w:val="21"/>
                      <w:szCs w:val="21"/>
                    </w:rPr>
                    <w:t>工艺</w:t>
                  </w:r>
                </w:p>
              </w:tc>
              <w:tc>
                <w:tcPr>
                  <w:tcW w:w="340" w:type="pct"/>
                  <w:shd w:val="clear" w:color="auto" w:fill="auto"/>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效率%</w:t>
                  </w:r>
                </w:p>
              </w:tc>
              <w:tc>
                <w:tcPr>
                  <w:tcW w:w="420" w:type="pct"/>
                  <w:shd w:val="clear" w:color="auto" w:fill="auto"/>
                  <w:vAlign w:val="center"/>
                </w:tcPr>
                <w:p>
                  <w:pPr>
                    <w:widowControl/>
                    <w:snapToGrid w:val="0"/>
                    <w:spacing w:line="240" w:lineRule="auto"/>
                    <w:ind w:firstLine="0" w:firstLineChars="0"/>
                    <w:jc w:val="left"/>
                    <w:rPr>
                      <w:rFonts w:cs="Times New Roman"/>
                      <w:b/>
                      <w:bCs/>
                      <w:color w:val="auto"/>
                      <w:kern w:val="0"/>
                      <w:sz w:val="21"/>
                      <w:szCs w:val="21"/>
                    </w:rPr>
                  </w:pPr>
                  <w:r>
                    <w:rPr>
                      <w:rFonts w:cs="Times New Roman"/>
                      <w:b/>
                      <w:bCs/>
                      <w:color w:val="auto"/>
                      <w:kern w:val="0"/>
                      <w:sz w:val="21"/>
                      <w:szCs w:val="21"/>
                    </w:rPr>
                    <w:t>排放量t/a</w:t>
                  </w:r>
                </w:p>
              </w:tc>
              <w:tc>
                <w:tcPr>
                  <w:tcW w:w="420" w:type="pct"/>
                  <w:shd w:val="clear" w:color="auto" w:fill="auto"/>
                  <w:vAlign w:val="center"/>
                </w:tcPr>
                <w:p>
                  <w:pPr>
                    <w:widowControl/>
                    <w:snapToGrid w:val="0"/>
                    <w:spacing w:line="240" w:lineRule="auto"/>
                    <w:ind w:firstLine="0" w:firstLineChars="0"/>
                    <w:jc w:val="left"/>
                    <w:rPr>
                      <w:rFonts w:cs="Times New Roman"/>
                      <w:b/>
                      <w:bCs/>
                      <w:color w:val="auto"/>
                      <w:kern w:val="0"/>
                      <w:sz w:val="21"/>
                      <w:szCs w:val="21"/>
                    </w:rPr>
                  </w:pPr>
                  <w:r>
                    <w:rPr>
                      <w:rFonts w:cs="Times New Roman"/>
                      <w:b/>
                      <w:bCs/>
                      <w:color w:val="auto"/>
                      <w:kern w:val="0"/>
                      <w:sz w:val="21"/>
                      <w:szCs w:val="21"/>
                    </w:rPr>
                    <w:t>排放速率kg/h</w:t>
                  </w:r>
                </w:p>
              </w:tc>
              <w:tc>
                <w:tcPr>
                  <w:tcW w:w="441" w:type="pct"/>
                  <w:shd w:val="clear" w:color="auto" w:fill="auto"/>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排放浓度mg/m3</w:t>
                  </w:r>
                </w:p>
              </w:tc>
              <w:tc>
                <w:tcPr>
                  <w:tcW w:w="340" w:type="pct"/>
                  <w:shd w:val="clear" w:color="auto" w:fill="auto"/>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时间h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0" w:type="pct"/>
                  <w:vMerge w:val="restart"/>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kern w:val="0"/>
                      <w:sz w:val="21"/>
                      <w:szCs w:val="21"/>
                    </w:rPr>
                    <w:t>后加工阶段、喷雾干燥</w:t>
                  </w:r>
                </w:p>
              </w:tc>
              <w:tc>
                <w:tcPr>
                  <w:tcW w:w="554" w:type="pct"/>
                  <w:vMerge w:val="restart"/>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kern w:val="0"/>
                      <w:sz w:val="21"/>
                      <w:szCs w:val="21"/>
                    </w:rPr>
                    <w:t>1000</w:t>
                  </w:r>
                </w:p>
              </w:tc>
              <w:tc>
                <w:tcPr>
                  <w:tcW w:w="233" w:type="pct"/>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kern w:val="0"/>
                      <w:sz w:val="21"/>
                      <w:szCs w:val="21"/>
                    </w:rPr>
                    <w:t>颗粒物</w:t>
                  </w:r>
                </w:p>
              </w:tc>
              <w:tc>
                <w:tcPr>
                  <w:tcW w:w="233" w:type="pct"/>
                  <w:vMerge w:val="restart"/>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kern w:val="0"/>
                      <w:sz w:val="21"/>
                      <w:szCs w:val="21"/>
                    </w:rPr>
                    <w:t>产污系数法</w:t>
                  </w:r>
                </w:p>
              </w:tc>
              <w:tc>
                <w:tcPr>
                  <w:tcW w:w="462" w:type="pct"/>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7.9045</w:t>
                  </w:r>
                </w:p>
              </w:tc>
              <w:tc>
                <w:tcPr>
                  <w:tcW w:w="462" w:type="pct"/>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2.1957</w:t>
                  </w:r>
                </w:p>
              </w:tc>
              <w:tc>
                <w:tcPr>
                  <w:tcW w:w="522" w:type="pct"/>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2195.69</w:t>
                  </w:r>
                </w:p>
              </w:tc>
              <w:tc>
                <w:tcPr>
                  <w:tcW w:w="233" w:type="pct"/>
                  <w:vMerge w:val="restart"/>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kern w:val="0"/>
                      <w:sz w:val="21"/>
                      <w:szCs w:val="21"/>
                    </w:rPr>
                    <w:t>布袋除尘器（1套）</w:t>
                  </w:r>
                </w:p>
              </w:tc>
              <w:tc>
                <w:tcPr>
                  <w:tcW w:w="340" w:type="pct"/>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kern w:val="0"/>
                      <w:sz w:val="21"/>
                      <w:szCs w:val="21"/>
                    </w:rPr>
                    <w:t>99</w:t>
                  </w:r>
                </w:p>
              </w:tc>
              <w:tc>
                <w:tcPr>
                  <w:tcW w:w="420" w:type="pct"/>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0.0340</w:t>
                  </w:r>
                </w:p>
              </w:tc>
              <w:tc>
                <w:tcPr>
                  <w:tcW w:w="420" w:type="pct"/>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0.0095</w:t>
                  </w:r>
                </w:p>
              </w:tc>
              <w:tc>
                <w:tcPr>
                  <w:tcW w:w="441" w:type="pct"/>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9.46</w:t>
                  </w:r>
                </w:p>
              </w:tc>
              <w:tc>
                <w:tcPr>
                  <w:tcW w:w="340" w:type="pct"/>
                  <w:vMerge w:val="restart"/>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kern w:val="0"/>
                      <w:sz w:val="21"/>
                      <w:szCs w:val="21"/>
                    </w:rPr>
                    <w:t>3600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0" w:type="pct"/>
                  <w:vMerge w:val="continue"/>
                  <w:vAlign w:val="center"/>
                </w:tcPr>
                <w:p>
                  <w:pPr>
                    <w:widowControl/>
                    <w:snapToGrid w:val="0"/>
                    <w:spacing w:line="240" w:lineRule="auto"/>
                    <w:ind w:firstLine="0" w:firstLineChars="0"/>
                    <w:jc w:val="left"/>
                    <w:rPr>
                      <w:rFonts w:cs="Times New Roman"/>
                      <w:color w:val="auto"/>
                      <w:kern w:val="0"/>
                      <w:sz w:val="21"/>
                      <w:szCs w:val="21"/>
                    </w:rPr>
                  </w:pPr>
                </w:p>
              </w:tc>
              <w:tc>
                <w:tcPr>
                  <w:tcW w:w="554" w:type="pct"/>
                  <w:vMerge w:val="continue"/>
                  <w:vAlign w:val="center"/>
                </w:tcPr>
                <w:p>
                  <w:pPr>
                    <w:widowControl/>
                    <w:snapToGrid w:val="0"/>
                    <w:spacing w:line="240" w:lineRule="auto"/>
                    <w:ind w:firstLine="0" w:firstLineChars="0"/>
                    <w:jc w:val="left"/>
                    <w:rPr>
                      <w:rFonts w:cs="Times New Roman"/>
                      <w:color w:val="auto"/>
                      <w:kern w:val="0"/>
                      <w:sz w:val="21"/>
                      <w:szCs w:val="21"/>
                    </w:rPr>
                  </w:pPr>
                </w:p>
              </w:tc>
              <w:tc>
                <w:tcPr>
                  <w:tcW w:w="233" w:type="pct"/>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kern w:val="0"/>
                      <w:sz w:val="21"/>
                      <w:szCs w:val="21"/>
                    </w:rPr>
                    <w:t>二氧化硫</w:t>
                  </w:r>
                </w:p>
              </w:tc>
              <w:tc>
                <w:tcPr>
                  <w:tcW w:w="233" w:type="pct"/>
                  <w:vMerge w:val="continue"/>
                  <w:vAlign w:val="center"/>
                </w:tcPr>
                <w:p>
                  <w:pPr>
                    <w:widowControl/>
                    <w:snapToGrid w:val="0"/>
                    <w:spacing w:line="240" w:lineRule="auto"/>
                    <w:ind w:firstLine="0" w:firstLineChars="0"/>
                    <w:jc w:val="left"/>
                    <w:rPr>
                      <w:rFonts w:cs="Times New Roman"/>
                      <w:color w:val="auto"/>
                      <w:kern w:val="0"/>
                      <w:sz w:val="21"/>
                      <w:szCs w:val="21"/>
                    </w:rPr>
                  </w:pPr>
                </w:p>
              </w:tc>
              <w:tc>
                <w:tcPr>
                  <w:tcW w:w="462" w:type="pct"/>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0.0117</w:t>
                  </w:r>
                </w:p>
              </w:tc>
              <w:tc>
                <w:tcPr>
                  <w:tcW w:w="462" w:type="pct"/>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0.0016</w:t>
                  </w:r>
                </w:p>
              </w:tc>
              <w:tc>
                <w:tcPr>
                  <w:tcW w:w="522" w:type="pct"/>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1.62</w:t>
                  </w:r>
                </w:p>
              </w:tc>
              <w:tc>
                <w:tcPr>
                  <w:tcW w:w="233" w:type="pct"/>
                  <w:vMerge w:val="continue"/>
                  <w:vAlign w:val="center"/>
                </w:tcPr>
                <w:p>
                  <w:pPr>
                    <w:widowControl/>
                    <w:snapToGrid w:val="0"/>
                    <w:spacing w:line="240" w:lineRule="auto"/>
                    <w:ind w:firstLine="0" w:firstLineChars="0"/>
                    <w:jc w:val="left"/>
                    <w:rPr>
                      <w:rFonts w:cs="Times New Roman"/>
                      <w:color w:val="auto"/>
                      <w:kern w:val="0"/>
                      <w:sz w:val="21"/>
                      <w:szCs w:val="21"/>
                    </w:rPr>
                  </w:pPr>
                </w:p>
              </w:tc>
              <w:tc>
                <w:tcPr>
                  <w:tcW w:w="340" w:type="pct"/>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kern w:val="0"/>
                      <w:sz w:val="21"/>
                      <w:szCs w:val="21"/>
                    </w:rPr>
                    <w:t>0</w:t>
                  </w:r>
                </w:p>
              </w:tc>
              <w:tc>
                <w:tcPr>
                  <w:tcW w:w="420" w:type="pct"/>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0.0117</w:t>
                  </w:r>
                </w:p>
              </w:tc>
              <w:tc>
                <w:tcPr>
                  <w:tcW w:w="420" w:type="pct"/>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0.0016</w:t>
                  </w:r>
                </w:p>
              </w:tc>
              <w:tc>
                <w:tcPr>
                  <w:tcW w:w="441" w:type="pct"/>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1.62</w:t>
                  </w:r>
                </w:p>
              </w:tc>
              <w:tc>
                <w:tcPr>
                  <w:tcW w:w="340" w:type="pct"/>
                  <w:vMerge w:val="continue"/>
                  <w:vAlign w:val="center"/>
                </w:tcPr>
                <w:p>
                  <w:pPr>
                    <w:widowControl/>
                    <w:snapToGrid w:val="0"/>
                    <w:spacing w:line="240" w:lineRule="auto"/>
                    <w:ind w:firstLine="0" w:firstLineChars="0"/>
                    <w:jc w:val="left"/>
                    <w:rPr>
                      <w:rFonts w:cs="Times New Roman"/>
                      <w:color w:val="auto"/>
                      <w:kern w:val="0"/>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0" w:type="pct"/>
                  <w:vMerge w:val="continue"/>
                  <w:vAlign w:val="center"/>
                </w:tcPr>
                <w:p>
                  <w:pPr>
                    <w:widowControl/>
                    <w:snapToGrid w:val="0"/>
                    <w:spacing w:line="240" w:lineRule="auto"/>
                    <w:ind w:firstLine="0" w:firstLineChars="0"/>
                    <w:jc w:val="left"/>
                    <w:rPr>
                      <w:rFonts w:cs="Times New Roman"/>
                      <w:color w:val="auto"/>
                      <w:kern w:val="0"/>
                      <w:sz w:val="21"/>
                      <w:szCs w:val="21"/>
                    </w:rPr>
                  </w:pPr>
                </w:p>
              </w:tc>
              <w:tc>
                <w:tcPr>
                  <w:tcW w:w="554" w:type="pct"/>
                  <w:vMerge w:val="continue"/>
                  <w:vAlign w:val="center"/>
                </w:tcPr>
                <w:p>
                  <w:pPr>
                    <w:widowControl/>
                    <w:snapToGrid w:val="0"/>
                    <w:spacing w:line="240" w:lineRule="auto"/>
                    <w:ind w:firstLine="0" w:firstLineChars="0"/>
                    <w:jc w:val="left"/>
                    <w:rPr>
                      <w:rFonts w:cs="Times New Roman"/>
                      <w:color w:val="auto"/>
                      <w:kern w:val="0"/>
                      <w:sz w:val="21"/>
                      <w:szCs w:val="21"/>
                    </w:rPr>
                  </w:pPr>
                </w:p>
              </w:tc>
              <w:tc>
                <w:tcPr>
                  <w:tcW w:w="233" w:type="pct"/>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kern w:val="0"/>
                      <w:sz w:val="21"/>
                      <w:szCs w:val="21"/>
                    </w:rPr>
                    <w:t>氮氧化物</w:t>
                  </w:r>
                </w:p>
              </w:tc>
              <w:tc>
                <w:tcPr>
                  <w:tcW w:w="233" w:type="pct"/>
                  <w:vMerge w:val="continue"/>
                  <w:vAlign w:val="center"/>
                </w:tcPr>
                <w:p>
                  <w:pPr>
                    <w:widowControl/>
                    <w:snapToGrid w:val="0"/>
                    <w:spacing w:line="240" w:lineRule="auto"/>
                    <w:ind w:firstLine="0" w:firstLineChars="0"/>
                    <w:jc w:val="left"/>
                    <w:rPr>
                      <w:rFonts w:cs="Times New Roman"/>
                      <w:color w:val="auto"/>
                      <w:kern w:val="0"/>
                      <w:sz w:val="21"/>
                      <w:szCs w:val="21"/>
                    </w:rPr>
                  </w:pPr>
                </w:p>
              </w:tc>
              <w:tc>
                <w:tcPr>
                  <w:tcW w:w="462" w:type="pct"/>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0.0924</w:t>
                  </w:r>
                </w:p>
              </w:tc>
              <w:tc>
                <w:tcPr>
                  <w:tcW w:w="462" w:type="pct"/>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0.0257</w:t>
                  </w:r>
                </w:p>
              </w:tc>
              <w:tc>
                <w:tcPr>
                  <w:tcW w:w="522" w:type="pct"/>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25.68</w:t>
                  </w:r>
                </w:p>
              </w:tc>
              <w:tc>
                <w:tcPr>
                  <w:tcW w:w="233" w:type="pct"/>
                  <w:vMerge w:val="continue"/>
                  <w:vAlign w:val="center"/>
                </w:tcPr>
                <w:p>
                  <w:pPr>
                    <w:widowControl/>
                    <w:snapToGrid w:val="0"/>
                    <w:spacing w:line="240" w:lineRule="auto"/>
                    <w:ind w:firstLine="0" w:firstLineChars="0"/>
                    <w:jc w:val="left"/>
                    <w:rPr>
                      <w:rFonts w:cs="Times New Roman"/>
                      <w:color w:val="auto"/>
                      <w:kern w:val="0"/>
                      <w:sz w:val="21"/>
                      <w:szCs w:val="21"/>
                    </w:rPr>
                  </w:pPr>
                </w:p>
              </w:tc>
              <w:tc>
                <w:tcPr>
                  <w:tcW w:w="340" w:type="pct"/>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kern w:val="0"/>
                      <w:sz w:val="21"/>
                      <w:szCs w:val="21"/>
                    </w:rPr>
                    <w:t>0</w:t>
                  </w:r>
                </w:p>
              </w:tc>
              <w:tc>
                <w:tcPr>
                  <w:tcW w:w="420" w:type="pct"/>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0.0924</w:t>
                  </w:r>
                </w:p>
              </w:tc>
              <w:tc>
                <w:tcPr>
                  <w:tcW w:w="420" w:type="pct"/>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0.0257</w:t>
                  </w:r>
                </w:p>
              </w:tc>
              <w:tc>
                <w:tcPr>
                  <w:tcW w:w="441" w:type="pct"/>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25.68</w:t>
                  </w:r>
                </w:p>
              </w:tc>
              <w:tc>
                <w:tcPr>
                  <w:tcW w:w="340" w:type="pct"/>
                  <w:vMerge w:val="continue"/>
                  <w:vAlign w:val="center"/>
                </w:tcPr>
                <w:p>
                  <w:pPr>
                    <w:widowControl/>
                    <w:snapToGrid w:val="0"/>
                    <w:spacing w:line="240" w:lineRule="auto"/>
                    <w:ind w:firstLine="0" w:firstLineChars="0"/>
                    <w:jc w:val="left"/>
                    <w:rPr>
                      <w:rFonts w:cs="Times New Roman"/>
                      <w:color w:val="auto"/>
                      <w:kern w:val="0"/>
                      <w:sz w:val="21"/>
                      <w:szCs w:val="21"/>
                    </w:rPr>
                  </w:pPr>
                </w:p>
              </w:tc>
            </w:tr>
          </w:tbl>
          <w:p>
            <w:pPr>
              <w:ind w:firstLine="482"/>
              <w:rPr>
                <w:rFonts w:cs="Times New Roman"/>
                <w:b/>
                <w:color w:val="auto"/>
              </w:rPr>
            </w:pPr>
            <w:r>
              <w:rPr>
                <w:rFonts w:cs="Times New Roman"/>
                <w:b/>
                <w:color w:val="auto"/>
              </w:rPr>
              <w:t>1.1.2二期工程</w:t>
            </w:r>
          </w:p>
          <w:p>
            <w:pPr>
              <w:ind w:firstLine="480"/>
              <w:rPr>
                <w:rFonts w:cs="Times New Roman"/>
                <w:bCs/>
                <w:color w:val="auto"/>
              </w:rPr>
            </w:pPr>
            <w:bookmarkStart w:id="61" w:name="_Hlk162004321"/>
            <w:r>
              <w:rPr>
                <w:rFonts w:cs="Times New Roman"/>
                <w:bCs/>
                <w:color w:val="auto"/>
              </w:rPr>
              <w:t>（1）氟化废气G2-1</w:t>
            </w:r>
          </w:p>
          <w:p>
            <w:pPr>
              <w:ind w:firstLine="480"/>
              <w:contextualSpacing/>
              <w:rPr>
                <w:rFonts w:cs="Times New Roman"/>
                <w:bCs/>
                <w:color w:val="auto"/>
              </w:rPr>
            </w:pPr>
            <w:r>
              <w:rPr>
                <w:rFonts w:cs="Times New Roman"/>
                <w:bCs/>
                <w:color w:val="auto"/>
              </w:rPr>
              <w:t>本项目抛光粉生产工艺氟化反应使用氢氟酸喷洒，反应过程会有氟化物产生，二期项</w:t>
            </w:r>
            <w:r>
              <w:rPr>
                <w:rFonts w:cs="Times New Roman"/>
                <w:color w:val="auto"/>
              </w:rPr>
              <w:t>目共用氢氟酸178.38t/a（其中HF含量40%，71.35t），根据设计资料，氟化物利用率为99.5%，产生的氟化物为0.36t/a，</w:t>
            </w:r>
            <w:r>
              <w:rPr>
                <w:rFonts w:cs="Times New Roman"/>
                <w:bCs/>
                <w:color w:val="auto"/>
              </w:rPr>
              <w:t>氟化工序产生的氟化物（气氟）经风机全部抽送至碱喷淋塔内进行处置，处理效率可达到85%，</w:t>
            </w:r>
            <w:r>
              <w:rPr>
                <w:rFonts w:cs="Times New Roman"/>
                <w:color w:val="auto"/>
              </w:rPr>
              <w:t>处理后的废气与闪蒸干燥工段废气合并后通过1根</w:t>
            </w:r>
            <w:r>
              <w:rPr>
                <w:rFonts w:cs="Times New Roman"/>
                <w:bCs/>
                <w:color w:val="auto"/>
              </w:rPr>
              <w:t>15m排气筒（P4）排放。</w:t>
            </w:r>
          </w:p>
          <w:p>
            <w:pPr>
              <w:ind w:firstLine="480"/>
              <w:rPr>
                <w:rFonts w:cs="Times New Roman"/>
                <w:bCs/>
                <w:color w:val="auto"/>
              </w:rPr>
            </w:pPr>
            <w:r>
              <w:rPr>
                <w:rFonts w:cs="Times New Roman"/>
                <w:bCs/>
                <w:color w:val="auto"/>
              </w:rPr>
              <w:t>（2）</w:t>
            </w:r>
            <w:r>
              <w:rPr>
                <w:rFonts w:cs="Times New Roman"/>
                <w:color w:val="auto"/>
              </w:rPr>
              <w:t>闪蒸干燥工段废气G2-2</w:t>
            </w:r>
          </w:p>
          <w:p>
            <w:pPr>
              <w:ind w:firstLine="480"/>
              <w:rPr>
                <w:rFonts w:cs="Times New Roman"/>
                <w:bCs/>
                <w:color w:val="auto"/>
              </w:rPr>
            </w:pPr>
            <w:r>
              <w:rPr>
                <w:rFonts w:cs="Times New Roman"/>
                <w:color w:val="auto"/>
              </w:rPr>
              <w:t>闪蒸干燥工段废气主要为天然气燃烧废气（颗粒物、二氧化硫、氮氧化物），干燥废气（颗粒物）。</w:t>
            </w:r>
          </w:p>
          <w:bookmarkEnd w:id="61"/>
          <w:p>
            <w:pPr>
              <w:ind w:firstLine="480"/>
              <w:rPr>
                <w:rFonts w:cs="Times New Roman"/>
                <w:color w:val="auto"/>
              </w:rPr>
            </w:pPr>
            <w:bookmarkStart w:id="62" w:name="_Hlk162004331"/>
            <w:r>
              <w:rPr>
                <w:rFonts w:cs="Times New Roman"/>
                <w:color w:val="auto"/>
              </w:rPr>
              <w:t>新建1台天然气干燥器，天然气燃烧后的废气经1根15m排气筒（P4）直接排放。</w:t>
            </w:r>
            <w:bookmarkEnd w:id="62"/>
            <w:r>
              <w:rPr>
                <w:rFonts w:cs="Times New Roman"/>
                <w:color w:val="auto"/>
              </w:rPr>
              <w:t>本项目干燥器采用天然气作为燃料，干燥器每小时耗气量为6.06m</w:t>
            </w:r>
            <w:r>
              <w:rPr>
                <w:rFonts w:cs="Times New Roman"/>
                <w:color w:val="auto"/>
                <w:vertAlign w:val="superscript"/>
              </w:rPr>
              <w:t>3</w:t>
            </w:r>
            <w:r>
              <w:rPr>
                <w:rFonts w:cs="Times New Roman"/>
                <w:color w:val="auto"/>
              </w:rPr>
              <w:t>，</w:t>
            </w:r>
            <w:r>
              <w:rPr>
                <w:rFonts w:cs="Times New Roman"/>
                <w:bCs/>
                <w:color w:val="auto"/>
              </w:rPr>
              <w:t>年工作时间为7200h</w:t>
            </w:r>
            <w:r>
              <w:rPr>
                <w:rFonts w:cs="Times New Roman"/>
                <w:color w:val="auto"/>
              </w:rPr>
              <w:t>，天然气年消耗量为</w:t>
            </w:r>
            <w:r>
              <w:rPr>
                <w:rFonts w:hint="eastAsia" w:cs="Times New Roman"/>
                <w:color w:val="auto"/>
                <w:lang w:val="en-US" w:eastAsia="zh-CN"/>
              </w:rPr>
              <w:t>43650</w:t>
            </w:r>
            <w:r>
              <w:rPr>
                <w:rFonts w:cs="Times New Roman"/>
                <w:color w:val="auto"/>
              </w:rPr>
              <w:t>m</w:t>
            </w:r>
            <w:r>
              <w:rPr>
                <w:rFonts w:cs="Times New Roman"/>
                <w:color w:val="auto"/>
                <w:vertAlign w:val="superscript"/>
              </w:rPr>
              <w:t>3</w:t>
            </w:r>
            <w:r>
              <w:rPr>
                <w:rFonts w:cs="Times New Roman"/>
                <w:color w:val="auto"/>
              </w:rPr>
              <w:t>/a；</w:t>
            </w:r>
          </w:p>
          <w:p>
            <w:pPr>
              <w:ind w:firstLine="480"/>
              <w:rPr>
                <w:rFonts w:cs="Times New Roman"/>
                <w:color w:val="auto"/>
              </w:rPr>
            </w:pPr>
            <w:bookmarkStart w:id="63" w:name="_Hlk162004385"/>
            <w:r>
              <w:rPr>
                <w:rFonts w:cs="Times New Roman"/>
                <w:bCs/>
                <w:color w:val="auto"/>
              </w:rPr>
              <w:t>天然气燃烧废气产排参照</w:t>
            </w:r>
            <w:r>
              <w:rPr>
                <w:rFonts w:cs="Times New Roman"/>
                <w:color w:val="auto"/>
              </w:rPr>
              <w:t>《排放源统计调查产排污核算方法和系数手册》“4430锅炉产排污量核算系数手册”产污系数取值</w:t>
            </w:r>
            <w:bookmarkEnd w:id="63"/>
            <w:r>
              <w:rPr>
                <w:rFonts w:cs="Times New Roman"/>
                <w:color w:val="auto"/>
              </w:rPr>
              <w:t>情况见下表4-5。</w:t>
            </w:r>
          </w:p>
          <w:p>
            <w:pPr>
              <w:ind w:firstLine="0" w:firstLineChars="0"/>
              <w:jc w:val="center"/>
              <w:rPr>
                <w:rFonts w:cs="Times New Roman"/>
                <w:b/>
                <w:bCs/>
                <w:color w:val="auto"/>
                <w:szCs w:val="22"/>
              </w:rPr>
            </w:pPr>
            <w:r>
              <w:rPr>
                <w:rFonts w:cs="Times New Roman"/>
                <w:b/>
                <w:bCs/>
                <w:color w:val="auto"/>
                <w:szCs w:val="22"/>
              </w:rPr>
              <w:t>表4-5锅炉产排污系数</w:t>
            </w:r>
          </w:p>
          <w:tbl>
            <w:tblPr>
              <w:tblStyle w:val="27"/>
              <w:tblW w:w="5000"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791"/>
              <w:gridCol w:w="902"/>
              <w:gridCol w:w="1539"/>
              <w:gridCol w:w="2903"/>
              <w:gridCol w:w="1275"/>
              <w:gridCol w:w="1965"/>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422" w:type="pct"/>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原料名称</w:t>
                  </w:r>
                </w:p>
              </w:tc>
              <w:tc>
                <w:tcPr>
                  <w:tcW w:w="481" w:type="pct"/>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工艺名称</w:t>
                  </w:r>
                </w:p>
              </w:tc>
              <w:tc>
                <w:tcPr>
                  <w:tcW w:w="821" w:type="pct"/>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污染物指标</w:t>
                  </w:r>
                </w:p>
              </w:tc>
              <w:tc>
                <w:tcPr>
                  <w:tcW w:w="1548" w:type="pct"/>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单位</w:t>
                  </w:r>
                </w:p>
              </w:tc>
              <w:tc>
                <w:tcPr>
                  <w:tcW w:w="680" w:type="pct"/>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产污系数</w:t>
                  </w:r>
                </w:p>
              </w:tc>
              <w:tc>
                <w:tcPr>
                  <w:tcW w:w="1048" w:type="pct"/>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备注</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422" w:type="pct"/>
                  <w:vMerge w:val="restart"/>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天然气</w:t>
                  </w:r>
                </w:p>
              </w:tc>
              <w:tc>
                <w:tcPr>
                  <w:tcW w:w="481" w:type="pct"/>
                  <w:vMerge w:val="restart"/>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室燃炉</w:t>
                  </w:r>
                </w:p>
              </w:tc>
              <w:tc>
                <w:tcPr>
                  <w:tcW w:w="821" w:type="pct"/>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工业废气量</w:t>
                  </w:r>
                </w:p>
              </w:tc>
              <w:tc>
                <w:tcPr>
                  <w:tcW w:w="1548" w:type="pct"/>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标立方米/万立方米-原料</w:t>
                  </w:r>
                </w:p>
              </w:tc>
              <w:tc>
                <w:tcPr>
                  <w:tcW w:w="680" w:type="pct"/>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107753</w:t>
                  </w:r>
                </w:p>
              </w:tc>
              <w:tc>
                <w:tcPr>
                  <w:tcW w:w="1048" w:type="pct"/>
                  <w:vMerge w:val="restart"/>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《第二次全国污染源普查工业污染源产排污系数手册》4430工业锅炉（热力供应）行业系数手册</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422" w:type="pct"/>
                  <w:vMerge w:val="continue"/>
                  <w:tcBorders>
                    <w:tl2br w:val="nil"/>
                    <w:tr2bl w:val="nil"/>
                  </w:tcBorders>
                  <w:vAlign w:val="center"/>
                </w:tcPr>
                <w:p>
                  <w:pPr>
                    <w:spacing w:line="240" w:lineRule="auto"/>
                    <w:ind w:firstLine="0" w:firstLineChars="0"/>
                    <w:jc w:val="center"/>
                    <w:rPr>
                      <w:rFonts w:cs="Times New Roman"/>
                      <w:color w:val="auto"/>
                      <w:sz w:val="21"/>
                      <w:szCs w:val="21"/>
                    </w:rPr>
                  </w:pPr>
                </w:p>
              </w:tc>
              <w:tc>
                <w:tcPr>
                  <w:tcW w:w="481" w:type="pct"/>
                  <w:vMerge w:val="continue"/>
                  <w:tcBorders>
                    <w:tl2br w:val="nil"/>
                    <w:tr2bl w:val="nil"/>
                  </w:tcBorders>
                  <w:vAlign w:val="center"/>
                </w:tcPr>
                <w:p>
                  <w:pPr>
                    <w:spacing w:line="240" w:lineRule="auto"/>
                    <w:ind w:firstLine="0" w:firstLineChars="0"/>
                    <w:jc w:val="center"/>
                    <w:rPr>
                      <w:rFonts w:cs="Times New Roman"/>
                      <w:color w:val="auto"/>
                      <w:sz w:val="21"/>
                      <w:szCs w:val="21"/>
                    </w:rPr>
                  </w:pPr>
                </w:p>
              </w:tc>
              <w:tc>
                <w:tcPr>
                  <w:tcW w:w="821" w:type="pct"/>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SO</w:t>
                  </w:r>
                  <w:r>
                    <w:rPr>
                      <w:rFonts w:cs="Times New Roman"/>
                      <w:color w:val="auto"/>
                      <w:sz w:val="21"/>
                      <w:szCs w:val="21"/>
                      <w:vertAlign w:val="subscript"/>
                    </w:rPr>
                    <w:t>2</w:t>
                  </w:r>
                </w:p>
              </w:tc>
              <w:tc>
                <w:tcPr>
                  <w:tcW w:w="1548" w:type="pct"/>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千克/万立方米-原料</w:t>
                  </w:r>
                </w:p>
              </w:tc>
              <w:tc>
                <w:tcPr>
                  <w:tcW w:w="680" w:type="pct"/>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0.02S</w:t>
                  </w:r>
                </w:p>
              </w:tc>
              <w:tc>
                <w:tcPr>
                  <w:tcW w:w="1048" w:type="pct"/>
                  <w:vMerge w:val="continue"/>
                  <w:tcBorders>
                    <w:tl2br w:val="nil"/>
                    <w:tr2bl w:val="nil"/>
                  </w:tcBorders>
                  <w:vAlign w:val="center"/>
                </w:tcPr>
                <w:p>
                  <w:pPr>
                    <w:spacing w:line="240" w:lineRule="auto"/>
                    <w:ind w:firstLine="0" w:firstLineChars="0"/>
                    <w:jc w:val="center"/>
                    <w:rPr>
                      <w:rFonts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422" w:type="pct"/>
                  <w:vMerge w:val="continue"/>
                  <w:tcBorders>
                    <w:tl2br w:val="nil"/>
                    <w:tr2bl w:val="nil"/>
                  </w:tcBorders>
                  <w:vAlign w:val="center"/>
                </w:tcPr>
                <w:p>
                  <w:pPr>
                    <w:spacing w:line="240" w:lineRule="auto"/>
                    <w:ind w:firstLine="0" w:firstLineChars="0"/>
                    <w:jc w:val="center"/>
                    <w:rPr>
                      <w:rFonts w:cs="Times New Roman"/>
                      <w:color w:val="auto"/>
                      <w:sz w:val="21"/>
                      <w:szCs w:val="21"/>
                    </w:rPr>
                  </w:pPr>
                </w:p>
              </w:tc>
              <w:tc>
                <w:tcPr>
                  <w:tcW w:w="481" w:type="pct"/>
                  <w:vMerge w:val="continue"/>
                  <w:tcBorders>
                    <w:tl2br w:val="nil"/>
                    <w:tr2bl w:val="nil"/>
                  </w:tcBorders>
                  <w:vAlign w:val="center"/>
                </w:tcPr>
                <w:p>
                  <w:pPr>
                    <w:spacing w:line="240" w:lineRule="auto"/>
                    <w:ind w:firstLine="0" w:firstLineChars="0"/>
                    <w:jc w:val="center"/>
                    <w:rPr>
                      <w:rFonts w:cs="Times New Roman"/>
                      <w:color w:val="auto"/>
                      <w:sz w:val="21"/>
                      <w:szCs w:val="21"/>
                    </w:rPr>
                  </w:pPr>
                </w:p>
              </w:tc>
              <w:tc>
                <w:tcPr>
                  <w:tcW w:w="821" w:type="pct"/>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颗粒物</w:t>
                  </w:r>
                </w:p>
              </w:tc>
              <w:tc>
                <w:tcPr>
                  <w:tcW w:w="1548" w:type="pct"/>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千克/万立方米-原料</w:t>
                  </w:r>
                </w:p>
              </w:tc>
              <w:tc>
                <w:tcPr>
                  <w:tcW w:w="680" w:type="pct"/>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0.5</w:t>
                  </w:r>
                </w:p>
              </w:tc>
              <w:tc>
                <w:tcPr>
                  <w:tcW w:w="1048" w:type="pct"/>
                  <w:vMerge w:val="continue"/>
                  <w:tcBorders>
                    <w:tl2br w:val="nil"/>
                    <w:tr2bl w:val="nil"/>
                  </w:tcBorders>
                  <w:vAlign w:val="center"/>
                </w:tcPr>
                <w:p>
                  <w:pPr>
                    <w:spacing w:line="240" w:lineRule="auto"/>
                    <w:ind w:firstLine="0" w:firstLineChars="0"/>
                    <w:jc w:val="center"/>
                    <w:rPr>
                      <w:rFonts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422" w:type="pct"/>
                  <w:vMerge w:val="continue"/>
                  <w:tcBorders>
                    <w:tl2br w:val="nil"/>
                    <w:tr2bl w:val="nil"/>
                  </w:tcBorders>
                  <w:vAlign w:val="center"/>
                </w:tcPr>
                <w:p>
                  <w:pPr>
                    <w:spacing w:line="240" w:lineRule="auto"/>
                    <w:ind w:firstLine="0" w:firstLineChars="0"/>
                    <w:jc w:val="center"/>
                    <w:rPr>
                      <w:rFonts w:cs="Times New Roman"/>
                      <w:color w:val="auto"/>
                      <w:sz w:val="21"/>
                      <w:szCs w:val="21"/>
                    </w:rPr>
                  </w:pPr>
                </w:p>
              </w:tc>
              <w:tc>
                <w:tcPr>
                  <w:tcW w:w="481" w:type="pct"/>
                  <w:vMerge w:val="continue"/>
                  <w:tcBorders>
                    <w:tl2br w:val="nil"/>
                    <w:tr2bl w:val="nil"/>
                  </w:tcBorders>
                  <w:vAlign w:val="center"/>
                </w:tcPr>
                <w:p>
                  <w:pPr>
                    <w:spacing w:line="240" w:lineRule="auto"/>
                    <w:ind w:firstLine="0" w:firstLineChars="0"/>
                    <w:jc w:val="center"/>
                    <w:rPr>
                      <w:rFonts w:cs="Times New Roman"/>
                      <w:color w:val="auto"/>
                      <w:sz w:val="21"/>
                      <w:szCs w:val="21"/>
                    </w:rPr>
                  </w:pPr>
                </w:p>
              </w:tc>
              <w:tc>
                <w:tcPr>
                  <w:tcW w:w="821" w:type="pct"/>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NO</w:t>
                  </w:r>
                  <w:r>
                    <w:rPr>
                      <w:rFonts w:cs="Times New Roman"/>
                      <w:color w:val="auto"/>
                      <w:sz w:val="21"/>
                      <w:szCs w:val="21"/>
                      <w:vertAlign w:val="subscript"/>
                    </w:rPr>
                    <w:t>X</w:t>
                  </w:r>
                </w:p>
              </w:tc>
              <w:tc>
                <w:tcPr>
                  <w:tcW w:w="1548" w:type="pct"/>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千克/万立方米-原料</w:t>
                  </w:r>
                </w:p>
              </w:tc>
              <w:tc>
                <w:tcPr>
                  <w:tcW w:w="680" w:type="pct"/>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15.87</w:t>
                  </w:r>
                </w:p>
              </w:tc>
              <w:tc>
                <w:tcPr>
                  <w:tcW w:w="1048" w:type="pct"/>
                  <w:vMerge w:val="continue"/>
                  <w:tcBorders>
                    <w:tl2br w:val="nil"/>
                    <w:tr2bl w:val="nil"/>
                  </w:tcBorders>
                  <w:vAlign w:val="center"/>
                </w:tcPr>
                <w:p>
                  <w:pPr>
                    <w:spacing w:line="240" w:lineRule="auto"/>
                    <w:ind w:firstLine="0" w:firstLineChars="0"/>
                    <w:jc w:val="center"/>
                    <w:rPr>
                      <w:rFonts w:cs="Times New Roman"/>
                      <w:color w:val="auto"/>
                      <w:sz w:val="21"/>
                      <w:szCs w:val="21"/>
                    </w:rPr>
                  </w:pPr>
                </w:p>
              </w:tc>
            </w:tr>
          </w:tbl>
          <w:p>
            <w:pPr>
              <w:ind w:firstLine="402"/>
              <w:rPr>
                <w:rFonts w:cs="Times New Roman"/>
                <w:b/>
                <w:bCs/>
                <w:color w:val="auto"/>
                <w:sz w:val="20"/>
                <w:szCs w:val="18"/>
              </w:rPr>
            </w:pPr>
            <w:r>
              <w:rPr>
                <w:rFonts w:cs="Times New Roman"/>
                <w:b/>
                <w:bCs/>
                <w:color w:val="auto"/>
                <w:sz w:val="20"/>
                <w:szCs w:val="18"/>
              </w:rPr>
              <w:t>注：*产排污系数表中二氧化硫的产排污系数是以含硫量（S%）的形式表示的，其中含硫量（S%）是指天然气收到基硫分含量，以质量百分数的形式表示。</w:t>
            </w:r>
          </w:p>
          <w:p>
            <w:pPr>
              <w:ind w:firstLine="480"/>
              <w:contextualSpacing/>
              <w:rPr>
                <w:rFonts w:cs="Times New Roman"/>
                <w:bCs/>
                <w:color w:val="auto"/>
              </w:rPr>
            </w:pPr>
            <w:bookmarkStart w:id="64" w:name="_Hlk162004392"/>
            <w:r>
              <w:rPr>
                <w:rFonts w:cs="Times New Roman"/>
                <w:color w:val="auto"/>
              </w:rPr>
              <w:t>经计算，闪蒸干燥颗粒物的产生量为0.0022t/a（0.0003kg/h），二氧化硫的产生量为0.0087t/a（0.0012kg/h），氮氧化物的产生量为0.0693t/a（0.0096kg/h），产生的废气经碱喷淋塔</w:t>
            </w:r>
            <w:r>
              <w:rPr>
                <w:rFonts w:cs="Times New Roman"/>
                <w:bCs/>
                <w:color w:val="auto"/>
              </w:rPr>
              <w:t>内进行处置，颗粒物处理效率可达到90%，</w:t>
            </w:r>
            <w:r>
              <w:rPr>
                <w:rFonts w:cs="Times New Roman"/>
                <w:color w:val="auto"/>
              </w:rPr>
              <w:t>处理后的废气与氟化工序废气合并后通过1根</w:t>
            </w:r>
            <w:r>
              <w:rPr>
                <w:rFonts w:cs="Times New Roman"/>
                <w:bCs/>
                <w:color w:val="auto"/>
              </w:rPr>
              <w:t>15m排气筒（P4）排放。</w:t>
            </w:r>
          </w:p>
          <w:p>
            <w:pPr>
              <w:ind w:firstLine="480"/>
              <w:contextualSpacing/>
              <w:rPr>
                <w:rFonts w:cs="Times New Roman"/>
                <w:bCs/>
                <w:color w:val="auto"/>
              </w:rPr>
            </w:pPr>
            <w:bookmarkStart w:id="65" w:name="_Hlk162004477"/>
            <w:r>
              <w:rPr>
                <w:rFonts w:cs="Times New Roman"/>
                <w:color w:val="auto"/>
              </w:rPr>
              <w:t>干燥过程与筛分过程类似，参考《逸散性工业粉尘控制技术》粒料加工厂逸散尘排放因子，筛分粉尘因子为1.0kg/t，</w:t>
            </w:r>
            <w:r>
              <w:rPr>
                <w:rFonts w:cs="Times New Roman"/>
                <w:bCs/>
                <w:color w:val="auto"/>
              </w:rPr>
              <w:t>年干燥抛光粉物料3980.61吨，则粉尘产生量为3.98t/a（0.55</w:t>
            </w:r>
            <w:r>
              <w:rPr>
                <w:rFonts w:cs="Times New Roman"/>
                <w:color w:val="auto"/>
              </w:rPr>
              <w:t>kg/h</w:t>
            </w:r>
            <w:r>
              <w:rPr>
                <w:rFonts w:cs="Times New Roman"/>
                <w:bCs/>
                <w:color w:val="auto"/>
              </w:rPr>
              <w:t>），通入燃烧废气碱喷淋塔内进行处置。颗粒物处理效率可达到90%，</w:t>
            </w:r>
            <w:r>
              <w:rPr>
                <w:rFonts w:cs="Times New Roman"/>
                <w:color w:val="auto"/>
              </w:rPr>
              <w:t>处理后的废气与氟化工序废气合并后通过1根</w:t>
            </w:r>
            <w:r>
              <w:rPr>
                <w:rFonts w:cs="Times New Roman"/>
                <w:bCs/>
                <w:color w:val="auto"/>
              </w:rPr>
              <w:t>15m排气筒（P4）排放</w:t>
            </w:r>
            <w:bookmarkEnd w:id="64"/>
            <w:r>
              <w:rPr>
                <w:rFonts w:cs="Times New Roman"/>
                <w:bCs/>
                <w:color w:val="auto"/>
              </w:rPr>
              <w:t>。</w:t>
            </w:r>
          </w:p>
          <w:bookmarkEnd w:id="65"/>
          <w:p>
            <w:pPr>
              <w:ind w:firstLine="0" w:firstLineChars="0"/>
              <w:jc w:val="center"/>
              <w:rPr>
                <w:rFonts w:cs="Times New Roman"/>
                <w:b/>
                <w:bCs/>
                <w:snapToGrid w:val="0"/>
                <w:color w:val="auto"/>
                <w:kern w:val="0"/>
                <w:szCs w:val="22"/>
              </w:rPr>
            </w:pPr>
            <w:r>
              <w:rPr>
                <w:rFonts w:cs="Times New Roman"/>
                <w:b/>
                <w:bCs/>
                <w:snapToGrid w:val="0"/>
                <w:color w:val="auto"/>
                <w:kern w:val="0"/>
                <w:szCs w:val="22"/>
              </w:rPr>
              <w:t>表4-6氟化、闪蒸烘干废气污染源源强核算结果及相关参数一览表</w:t>
            </w:r>
          </w:p>
          <w:tbl>
            <w:tblPr>
              <w:tblStyle w:val="26"/>
              <w:tblW w:w="5000" w:type="pct"/>
              <w:tblInd w:w="0" w:type="dxa"/>
              <w:tblLayout w:type="autofit"/>
              <w:tblCellMar>
                <w:top w:w="0" w:type="dxa"/>
                <w:left w:w="108" w:type="dxa"/>
                <w:bottom w:w="0" w:type="dxa"/>
                <w:right w:w="108" w:type="dxa"/>
              </w:tblCellMar>
            </w:tblPr>
            <w:tblGrid>
              <w:gridCol w:w="636"/>
              <w:gridCol w:w="1056"/>
              <w:gridCol w:w="427"/>
              <w:gridCol w:w="427"/>
              <w:gridCol w:w="794"/>
              <w:gridCol w:w="817"/>
              <w:gridCol w:w="835"/>
              <w:gridCol w:w="636"/>
              <w:gridCol w:w="689"/>
              <w:gridCol w:w="794"/>
              <w:gridCol w:w="794"/>
              <w:gridCol w:w="835"/>
              <w:gridCol w:w="636"/>
            </w:tblGrid>
            <w:tr>
              <w:tblPrEx>
                <w:tblCellMar>
                  <w:top w:w="0" w:type="dxa"/>
                  <w:left w:w="108" w:type="dxa"/>
                  <w:bottom w:w="0" w:type="dxa"/>
                  <w:right w:w="108" w:type="dxa"/>
                </w:tblCellMar>
              </w:tblPrEx>
              <w:trPr>
                <w:trHeight w:val="340" w:hRule="atLeast"/>
              </w:trPr>
              <w:tc>
                <w:tcPr>
                  <w:tcW w:w="34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污染源</w:t>
                  </w:r>
                </w:p>
              </w:tc>
              <w:tc>
                <w:tcPr>
                  <w:tcW w:w="55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废气量（m</w:t>
                  </w:r>
                  <w:r>
                    <w:rPr>
                      <w:rFonts w:cs="Times New Roman"/>
                      <w:b/>
                      <w:bCs/>
                      <w:color w:val="auto"/>
                      <w:kern w:val="0"/>
                      <w:sz w:val="21"/>
                      <w:szCs w:val="21"/>
                      <w:vertAlign w:val="superscript"/>
                    </w:rPr>
                    <w:t>3</w:t>
                  </w:r>
                  <w:r>
                    <w:rPr>
                      <w:rFonts w:cs="Times New Roman"/>
                      <w:b/>
                      <w:bCs/>
                      <w:color w:val="auto"/>
                      <w:kern w:val="0"/>
                      <w:sz w:val="21"/>
                      <w:szCs w:val="21"/>
                    </w:rPr>
                    <w:t>/h）</w:t>
                  </w:r>
                </w:p>
              </w:tc>
              <w:tc>
                <w:tcPr>
                  <w:tcW w:w="23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污染物</w:t>
                  </w:r>
                </w:p>
              </w:tc>
              <w:tc>
                <w:tcPr>
                  <w:tcW w:w="1630"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污染物产生</w:t>
                  </w:r>
                </w:p>
              </w:tc>
              <w:tc>
                <w:tcPr>
                  <w:tcW w:w="60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治理措施</w:t>
                  </w:r>
                </w:p>
              </w:tc>
              <w:tc>
                <w:tcPr>
                  <w:tcW w:w="1290"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污染物排放</w:t>
                  </w:r>
                </w:p>
              </w:tc>
              <w:tc>
                <w:tcPr>
                  <w:tcW w:w="342"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排放</w:t>
                  </w:r>
                </w:p>
              </w:tc>
            </w:tr>
            <w:tr>
              <w:tblPrEx>
                <w:tblCellMar>
                  <w:top w:w="0" w:type="dxa"/>
                  <w:left w:w="108" w:type="dxa"/>
                  <w:bottom w:w="0" w:type="dxa"/>
                  <w:right w:w="108" w:type="dxa"/>
                </w:tblCellMar>
              </w:tblPrEx>
              <w:trPr>
                <w:trHeight w:val="340" w:hRule="atLeast"/>
              </w:trPr>
              <w:tc>
                <w:tcPr>
                  <w:tcW w:w="341" w:type="pct"/>
                  <w:vMerge w:val="continue"/>
                  <w:tcBorders>
                    <w:top w:val="single" w:color="000000" w:sz="4" w:space="0"/>
                    <w:left w:val="single" w:color="000000" w:sz="4" w:space="0"/>
                    <w:bottom w:val="single" w:color="000000" w:sz="4" w:space="0"/>
                    <w:right w:val="single" w:color="000000" w:sz="4" w:space="0"/>
                  </w:tcBorders>
                  <w:vAlign w:val="center"/>
                </w:tcPr>
                <w:p>
                  <w:pPr>
                    <w:widowControl/>
                    <w:snapToGrid w:val="0"/>
                    <w:spacing w:line="240" w:lineRule="auto"/>
                    <w:ind w:firstLine="0" w:firstLineChars="0"/>
                    <w:jc w:val="left"/>
                    <w:rPr>
                      <w:rFonts w:cs="Times New Roman"/>
                      <w:b/>
                      <w:bCs/>
                      <w:color w:val="auto"/>
                      <w:kern w:val="0"/>
                      <w:sz w:val="21"/>
                      <w:szCs w:val="21"/>
                    </w:rPr>
                  </w:pPr>
                </w:p>
              </w:tc>
              <w:tc>
                <w:tcPr>
                  <w:tcW w:w="559" w:type="pct"/>
                  <w:vMerge w:val="continue"/>
                  <w:tcBorders>
                    <w:top w:val="single" w:color="000000" w:sz="4" w:space="0"/>
                    <w:left w:val="single" w:color="000000" w:sz="4" w:space="0"/>
                    <w:bottom w:val="single" w:color="000000" w:sz="4" w:space="0"/>
                    <w:right w:val="single" w:color="000000" w:sz="4" w:space="0"/>
                  </w:tcBorders>
                  <w:vAlign w:val="center"/>
                </w:tcPr>
                <w:p>
                  <w:pPr>
                    <w:widowControl/>
                    <w:snapToGrid w:val="0"/>
                    <w:spacing w:line="240" w:lineRule="auto"/>
                    <w:ind w:firstLine="0" w:firstLineChars="0"/>
                    <w:jc w:val="left"/>
                    <w:rPr>
                      <w:rFonts w:cs="Times New Roman"/>
                      <w:b/>
                      <w:bCs/>
                      <w:color w:val="auto"/>
                      <w:kern w:val="0"/>
                      <w:sz w:val="21"/>
                      <w:szCs w:val="21"/>
                    </w:rPr>
                  </w:pPr>
                </w:p>
              </w:tc>
              <w:tc>
                <w:tcPr>
                  <w:tcW w:w="234" w:type="pct"/>
                  <w:vMerge w:val="continue"/>
                  <w:tcBorders>
                    <w:top w:val="single" w:color="000000" w:sz="4" w:space="0"/>
                    <w:left w:val="single" w:color="000000" w:sz="4" w:space="0"/>
                    <w:bottom w:val="single" w:color="000000" w:sz="4" w:space="0"/>
                    <w:right w:val="single" w:color="000000" w:sz="4" w:space="0"/>
                  </w:tcBorders>
                  <w:vAlign w:val="center"/>
                </w:tcPr>
                <w:p>
                  <w:pPr>
                    <w:widowControl/>
                    <w:snapToGrid w:val="0"/>
                    <w:spacing w:line="240" w:lineRule="auto"/>
                    <w:ind w:firstLine="0" w:firstLineChars="0"/>
                    <w:jc w:val="left"/>
                    <w:rPr>
                      <w:rFonts w:cs="Times New Roman"/>
                      <w:b/>
                      <w:bCs/>
                      <w:color w:val="auto"/>
                      <w:kern w:val="0"/>
                      <w:sz w:val="21"/>
                      <w:szCs w:val="21"/>
                    </w:rPr>
                  </w:pPr>
                </w:p>
              </w:tc>
              <w:tc>
                <w:tcPr>
                  <w:tcW w:w="23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核算方法</w:t>
                  </w:r>
                </w:p>
              </w:tc>
              <w:tc>
                <w:tcPr>
                  <w:tcW w:w="46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产生量t/a</w:t>
                  </w:r>
                </w:p>
              </w:tc>
              <w:tc>
                <w:tcPr>
                  <w:tcW w:w="46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产生速率kg/h</w:t>
                  </w:r>
                </w:p>
              </w:tc>
              <w:tc>
                <w:tcPr>
                  <w:tcW w:w="46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产生浓度mg/m3</w:t>
                  </w:r>
                </w:p>
              </w:tc>
              <w:tc>
                <w:tcPr>
                  <w:tcW w:w="23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left"/>
                    <w:rPr>
                      <w:rFonts w:cs="Times New Roman"/>
                      <w:b/>
                      <w:bCs/>
                      <w:color w:val="auto"/>
                      <w:kern w:val="0"/>
                      <w:sz w:val="21"/>
                      <w:szCs w:val="21"/>
                    </w:rPr>
                  </w:pPr>
                  <w:r>
                    <w:rPr>
                      <w:rFonts w:cs="Times New Roman"/>
                      <w:b/>
                      <w:bCs/>
                      <w:color w:val="auto"/>
                      <w:kern w:val="0"/>
                      <w:sz w:val="21"/>
                      <w:szCs w:val="21"/>
                    </w:rPr>
                    <w:t>工艺</w:t>
                  </w:r>
                </w:p>
              </w:tc>
              <w:tc>
                <w:tcPr>
                  <w:tcW w:w="36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效率%</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left"/>
                    <w:rPr>
                      <w:rFonts w:cs="Times New Roman"/>
                      <w:b/>
                      <w:bCs/>
                      <w:color w:val="auto"/>
                      <w:kern w:val="0"/>
                      <w:sz w:val="21"/>
                      <w:szCs w:val="21"/>
                    </w:rPr>
                  </w:pPr>
                  <w:r>
                    <w:rPr>
                      <w:rFonts w:cs="Times New Roman"/>
                      <w:b/>
                      <w:bCs/>
                      <w:color w:val="auto"/>
                      <w:kern w:val="0"/>
                      <w:sz w:val="21"/>
                      <w:szCs w:val="21"/>
                    </w:rPr>
                    <w:t>排放量t/a</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left"/>
                    <w:rPr>
                      <w:rFonts w:cs="Times New Roman"/>
                      <w:b/>
                      <w:bCs/>
                      <w:color w:val="auto"/>
                      <w:kern w:val="0"/>
                      <w:sz w:val="21"/>
                      <w:szCs w:val="21"/>
                    </w:rPr>
                  </w:pPr>
                  <w:r>
                    <w:rPr>
                      <w:rFonts w:cs="Times New Roman"/>
                      <w:b/>
                      <w:bCs/>
                      <w:color w:val="auto"/>
                      <w:kern w:val="0"/>
                      <w:sz w:val="21"/>
                      <w:szCs w:val="21"/>
                    </w:rPr>
                    <w:t>排放速率kg/h</w:t>
                  </w:r>
                </w:p>
              </w:tc>
              <w:tc>
                <w:tcPr>
                  <w:tcW w:w="44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排放浓度mg/m3</w:t>
                  </w:r>
                </w:p>
              </w:tc>
              <w:tc>
                <w:tcPr>
                  <w:tcW w:w="342"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时间h</w:t>
                  </w:r>
                </w:p>
              </w:tc>
            </w:tr>
            <w:tr>
              <w:tblPrEx>
                <w:tblCellMar>
                  <w:top w:w="0" w:type="dxa"/>
                  <w:left w:w="108" w:type="dxa"/>
                  <w:bottom w:w="0" w:type="dxa"/>
                  <w:right w:w="108" w:type="dxa"/>
                </w:tblCellMar>
              </w:tblPrEx>
              <w:trPr>
                <w:trHeight w:val="340" w:hRule="atLeast"/>
              </w:trPr>
              <w:tc>
                <w:tcPr>
                  <w:tcW w:w="34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kern w:val="0"/>
                      <w:sz w:val="21"/>
                      <w:szCs w:val="21"/>
                    </w:rPr>
                    <w:t>氟化、闪蒸干燥</w:t>
                  </w:r>
                </w:p>
              </w:tc>
              <w:tc>
                <w:tcPr>
                  <w:tcW w:w="55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kern w:val="0"/>
                      <w:sz w:val="21"/>
                      <w:szCs w:val="21"/>
                    </w:rPr>
                    <w:t>1500</w:t>
                  </w:r>
                </w:p>
              </w:tc>
              <w:tc>
                <w:tcPr>
                  <w:tcW w:w="23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kern w:val="0"/>
                      <w:sz w:val="21"/>
                      <w:szCs w:val="21"/>
                    </w:rPr>
                    <w:t>颗粒物</w:t>
                  </w:r>
                </w:p>
              </w:tc>
              <w:tc>
                <w:tcPr>
                  <w:tcW w:w="23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kern w:val="0"/>
                      <w:sz w:val="21"/>
                      <w:szCs w:val="21"/>
                    </w:rPr>
                    <w:t>产污系数法</w:t>
                  </w:r>
                </w:p>
              </w:tc>
              <w:tc>
                <w:tcPr>
                  <w:tcW w:w="46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3.9828</w:t>
                  </w:r>
                </w:p>
              </w:tc>
              <w:tc>
                <w:tcPr>
                  <w:tcW w:w="46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0.5532</w:t>
                  </w:r>
                </w:p>
              </w:tc>
              <w:tc>
                <w:tcPr>
                  <w:tcW w:w="46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368.78</w:t>
                  </w:r>
                </w:p>
              </w:tc>
              <w:tc>
                <w:tcPr>
                  <w:tcW w:w="23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kern w:val="0"/>
                      <w:sz w:val="21"/>
                      <w:szCs w:val="21"/>
                    </w:rPr>
                    <w:t>碱喷淋塔（1套）</w:t>
                  </w:r>
                </w:p>
              </w:tc>
              <w:tc>
                <w:tcPr>
                  <w:tcW w:w="36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90</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0.3983</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0.0553</w:t>
                  </w:r>
                </w:p>
              </w:tc>
              <w:tc>
                <w:tcPr>
                  <w:tcW w:w="44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36.88</w:t>
                  </w:r>
                </w:p>
              </w:tc>
              <w:tc>
                <w:tcPr>
                  <w:tcW w:w="34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kern w:val="0"/>
                      <w:sz w:val="21"/>
                      <w:szCs w:val="21"/>
                    </w:rPr>
                    <w:t>7200</w:t>
                  </w:r>
                </w:p>
              </w:tc>
            </w:tr>
            <w:tr>
              <w:tblPrEx>
                <w:tblCellMar>
                  <w:top w:w="0" w:type="dxa"/>
                  <w:left w:w="108" w:type="dxa"/>
                  <w:bottom w:w="0" w:type="dxa"/>
                  <w:right w:w="108" w:type="dxa"/>
                </w:tblCellMar>
              </w:tblPrEx>
              <w:trPr>
                <w:trHeight w:val="340" w:hRule="atLeast"/>
              </w:trPr>
              <w:tc>
                <w:tcPr>
                  <w:tcW w:w="341" w:type="pct"/>
                  <w:vMerge w:val="continue"/>
                  <w:tcBorders>
                    <w:top w:val="single" w:color="000000" w:sz="4" w:space="0"/>
                    <w:left w:val="single" w:color="000000" w:sz="4" w:space="0"/>
                    <w:bottom w:val="single" w:color="000000" w:sz="4" w:space="0"/>
                    <w:right w:val="single" w:color="000000" w:sz="4" w:space="0"/>
                  </w:tcBorders>
                  <w:vAlign w:val="center"/>
                </w:tcPr>
                <w:p>
                  <w:pPr>
                    <w:widowControl/>
                    <w:snapToGrid w:val="0"/>
                    <w:spacing w:line="240" w:lineRule="auto"/>
                    <w:ind w:firstLine="0" w:firstLineChars="0"/>
                    <w:jc w:val="left"/>
                    <w:rPr>
                      <w:rFonts w:cs="Times New Roman"/>
                      <w:color w:val="auto"/>
                      <w:kern w:val="0"/>
                      <w:sz w:val="21"/>
                      <w:szCs w:val="21"/>
                    </w:rPr>
                  </w:pPr>
                </w:p>
              </w:tc>
              <w:tc>
                <w:tcPr>
                  <w:tcW w:w="559" w:type="pct"/>
                  <w:vMerge w:val="continue"/>
                  <w:tcBorders>
                    <w:top w:val="single" w:color="000000" w:sz="4" w:space="0"/>
                    <w:left w:val="single" w:color="000000" w:sz="4" w:space="0"/>
                    <w:bottom w:val="single" w:color="000000" w:sz="4" w:space="0"/>
                    <w:right w:val="single" w:color="000000" w:sz="4" w:space="0"/>
                  </w:tcBorders>
                  <w:vAlign w:val="center"/>
                </w:tcPr>
                <w:p>
                  <w:pPr>
                    <w:widowControl/>
                    <w:snapToGrid w:val="0"/>
                    <w:spacing w:line="240" w:lineRule="auto"/>
                    <w:ind w:firstLine="0" w:firstLineChars="0"/>
                    <w:jc w:val="left"/>
                    <w:rPr>
                      <w:rFonts w:cs="Times New Roman"/>
                      <w:color w:val="auto"/>
                      <w:kern w:val="0"/>
                      <w:sz w:val="21"/>
                      <w:szCs w:val="21"/>
                    </w:rPr>
                  </w:pPr>
                </w:p>
              </w:tc>
              <w:tc>
                <w:tcPr>
                  <w:tcW w:w="23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kern w:val="0"/>
                      <w:sz w:val="21"/>
                      <w:szCs w:val="21"/>
                    </w:rPr>
                    <w:t>二氧化硫</w:t>
                  </w:r>
                </w:p>
              </w:tc>
              <w:tc>
                <w:tcPr>
                  <w:tcW w:w="234" w:type="pct"/>
                  <w:vMerge w:val="continue"/>
                  <w:tcBorders>
                    <w:top w:val="single" w:color="000000" w:sz="4" w:space="0"/>
                    <w:left w:val="single" w:color="000000" w:sz="4" w:space="0"/>
                    <w:bottom w:val="single" w:color="000000" w:sz="4" w:space="0"/>
                    <w:right w:val="single" w:color="000000" w:sz="4" w:space="0"/>
                  </w:tcBorders>
                  <w:vAlign w:val="center"/>
                </w:tcPr>
                <w:p>
                  <w:pPr>
                    <w:widowControl/>
                    <w:snapToGrid w:val="0"/>
                    <w:spacing w:line="240" w:lineRule="auto"/>
                    <w:ind w:firstLine="0" w:firstLineChars="0"/>
                    <w:jc w:val="left"/>
                    <w:rPr>
                      <w:rFonts w:cs="Times New Roman"/>
                      <w:color w:val="auto"/>
                      <w:kern w:val="0"/>
                      <w:sz w:val="21"/>
                      <w:szCs w:val="21"/>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0.0087</w:t>
                  </w:r>
                </w:p>
              </w:tc>
              <w:tc>
                <w:tcPr>
                  <w:tcW w:w="46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0.0012</w:t>
                  </w:r>
                </w:p>
              </w:tc>
              <w:tc>
                <w:tcPr>
                  <w:tcW w:w="46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0.81</w:t>
                  </w:r>
                </w:p>
              </w:tc>
              <w:tc>
                <w:tcPr>
                  <w:tcW w:w="234" w:type="pct"/>
                  <w:vMerge w:val="continue"/>
                  <w:tcBorders>
                    <w:top w:val="single" w:color="000000" w:sz="4" w:space="0"/>
                    <w:left w:val="single" w:color="000000" w:sz="4" w:space="0"/>
                    <w:bottom w:val="single" w:color="000000" w:sz="4" w:space="0"/>
                    <w:right w:val="single" w:color="000000" w:sz="4" w:space="0"/>
                  </w:tcBorders>
                  <w:vAlign w:val="center"/>
                </w:tcPr>
                <w:p>
                  <w:pPr>
                    <w:widowControl/>
                    <w:snapToGrid w:val="0"/>
                    <w:spacing w:line="240" w:lineRule="auto"/>
                    <w:ind w:firstLine="0" w:firstLineChars="0"/>
                    <w:jc w:val="left"/>
                    <w:rPr>
                      <w:rFonts w:cs="Times New Roman"/>
                      <w:color w:val="auto"/>
                      <w:kern w:val="0"/>
                      <w:sz w:val="21"/>
                      <w:szCs w:val="21"/>
                    </w:rPr>
                  </w:pPr>
                </w:p>
              </w:tc>
              <w:tc>
                <w:tcPr>
                  <w:tcW w:w="36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60</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0.0035</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0.0005</w:t>
                  </w:r>
                </w:p>
              </w:tc>
              <w:tc>
                <w:tcPr>
                  <w:tcW w:w="44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0.32</w:t>
                  </w:r>
                </w:p>
              </w:tc>
              <w:tc>
                <w:tcPr>
                  <w:tcW w:w="342" w:type="pct"/>
                  <w:vMerge w:val="continue"/>
                  <w:tcBorders>
                    <w:top w:val="single" w:color="000000" w:sz="4" w:space="0"/>
                    <w:left w:val="single" w:color="000000" w:sz="4" w:space="0"/>
                    <w:bottom w:val="single" w:color="000000" w:sz="4" w:space="0"/>
                    <w:right w:val="single" w:color="000000" w:sz="4" w:space="0"/>
                  </w:tcBorders>
                  <w:vAlign w:val="center"/>
                </w:tcPr>
                <w:p>
                  <w:pPr>
                    <w:widowControl/>
                    <w:snapToGrid w:val="0"/>
                    <w:spacing w:line="240" w:lineRule="auto"/>
                    <w:ind w:firstLine="0" w:firstLineChars="0"/>
                    <w:jc w:val="left"/>
                    <w:rPr>
                      <w:rFonts w:cs="Times New Roman"/>
                      <w:color w:val="auto"/>
                      <w:kern w:val="0"/>
                      <w:sz w:val="21"/>
                      <w:szCs w:val="21"/>
                    </w:rPr>
                  </w:pPr>
                </w:p>
              </w:tc>
            </w:tr>
            <w:tr>
              <w:tblPrEx>
                <w:tblCellMar>
                  <w:top w:w="0" w:type="dxa"/>
                  <w:left w:w="108" w:type="dxa"/>
                  <w:bottom w:w="0" w:type="dxa"/>
                  <w:right w:w="108" w:type="dxa"/>
                </w:tblCellMar>
              </w:tblPrEx>
              <w:trPr>
                <w:trHeight w:val="340" w:hRule="atLeast"/>
              </w:trPr>
              <w:tc>
                <w:tcPr>
                  <w:tcW w:w="341" w:type="pct"/>
                  <w:vMerge w:val="continue"/>
                  <w:tcBorders>
                    <w:top w:val="single" w:color="000000" w:sz="4" w:space="0"/>
                    <w:left w:val="single" w:color="000000" w:sz="4" w:space="0"/>
                    <w:bottom w:val="single" w:color="000000" w:sz="4" w:space="0"/>
                    <w:right w:val="single" w:color="000000" w:sz="4" w:space="0"/>
                  </w:tcBorders>
                  <w:vAlign w:val="center"/>
                </w:tcPr>
                <w:p>
                  <w:pPr>
                    <w:widowControl/>
                    <w:snapToGrid w:val="0"/>
                    <w:spacing w:line="240" w:lineRule="auto"/>
                    <w:ind w:firstLine="0" w:firstLineChars="0"/>
                    <w:jc w:val="left"/>
                    <w:rPr>
                      <w:rFonts w:cs="Times New Roman"/>
                      <w:color w:val="auto"/>
                      <w:kern w:val="0"/>
                      <w:sz w:val="21"/>
                      <w:szCs w:val="21"/>
                    </w:rPr>
                  </w:pPr>
                </w:p>
              </w:tc>
              <w:tc>
                <w:tcPr>
                  <w:tcW w:w="559" w:type="pct"/>
                  <w:vMerge w:val="continue"/>
                  <w:tcBorders>
                    <w:top w:val="single" w:color="000000" w:sz="4" w:space="0"/>
                    <w:left w:val="single" w:color="000000" w:sz="4" w:space="0"/>
                    <w:bottom w:val="single" w:color="000000" w:sz="4" w:space="0"/>
                    <w:right w:val="single" w:color="000000" w:sz="4" w:space="0"/>
                  </w:tcBorders>
                  <w:vAlign w:val="center"/>
                </w:tcPr>
                <w:p>
                  <w:pPr>
                    <w:widowControl/>
                    <w:snapToGrid w:val="0"/>
                    <w:spacing w:line="240" w:lineRule="auto"/>
                    <w:ind w:firstLine="0" w:firstLineChars="0"/>
                    <w:jc w:val="left"/>
                    <w:rPr>
                      <w:rFonts w:cs="Times New Roman"/>
                      <w:color w:val="auto"/>
                      <w:kern w:val="0"/>
                      <w:sz w:val="21"/>
                      <w:szCs w:val="21"/>
                    </w:rPr>
                  </w:pPr>
                </w:p>
              </w:tc>
              <w:tc>
                <w:tcPr>
                  <w:tcW w:w="23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kern w:val="0"/>
                      <w:sz w:val="21"/>
                      <w:szCs w:val="21"/>
                    </w:rPr>
                    <w:t>氮氧化物</w:t>
                  </w:r>
                </w:p>
              </w:tc>
              <w:tc>
                <w:tcPr>
                  <w:tcW w:w="234" w:type="pct"/>
                  <w:vMerge w:val="continue"/>
                  <w:tcBorders>
                    <w:top w:val="single" w:color="000000" w:sz="4" w:space="0"/>
                    <w:left w:val="single" w:color="000000" w:sz="4" w:space="0"/>
                    <w:bottom w:val="single" w:color="000000" w:sz="4" w:space="0"/>
                    <w:right w:val="single" w:color="000000" w:sz="4" w:space="0"/>
                  </w:tcBorders>
                  <w:vAlign w:val="center"/>
                </w:tcPr>
                <w:p>
                  <w:pPr>
                    <w:widowControl/>
                    <w:snapToGrid w:val="0"/>
                    <w:spacing w:line="240" w:lineRule="auto"/>
                    <w:ind w:firstLine="0" w:firstLineChars="0"/>
                    <w:jc w:val="left"/>
                    <w:rPr>
                      <w:rFonts w:cs="Times New Roman"/>
                      <w:color w:val="auto"/>
                      <w:kern w:val="0"/>
                      <w:sz w:val="21"/>
                      <w:szCs w:val="21"/>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0.0693</w:t>
                  </w:r>
                </w:p>
              </w:tc>
              <w:tc>
                <w:tcPr>
                  <w:tcW w:w="46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0.0096</w:t>
                  </w:r>
                </w:p>
              </w:tc>
              <w:tc>
                <w:tcPr>
                  <w:tcW w:w="46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6.41</w:t>
                  </w:r>
                </w:p>
              </w:tc>
              <w:tc>
                <w:tcPr>
                  <w:tcW w:w="234" w:type="pct"/>
                  <w:vMerge w:val="continue"/>
                  <w:tcBorders>
                    <w:top w:val="single" w:color="000000" w:sz="4" w:space="0"/>
                    <w:left w:val="single" w:color="000000" w:sz="4" w:space="0"/>
                    <w:bottom w:val="single" w:color="000000" w:sz="4" w:space="0"/>
                    <w:right w:val="single" w:color="000000" w:sz="4" w:space="0"/>
                  </w:tcBorders>
                  <w:vAlign w:val="center"/>
                </w:tcPr>
                <w:p>
                  <w:pPr>
                    <w:widowControl/>
                    <w:snapToGrid w:val="0"/>
                    <w:spacing w:line="240" w:lineRule="auto"/>
                    <w:ind w:firstLine="0" w:firstLineChars="0"/>
                    <w:jc w:val="left"/>
                    <w:rPr>
                      <w:rFonts w:cs="Times New Roman"/>
                      <w:color w:val="auto"/>
                      <w:kern w:val="0"/>
                      <w:sz w:val="21"/>
                      <w:szCs w:val="21"/>
                    </w:rPr>
                  </w:pPr>
                </w:p>
              </w:tc>
              <w:tc>
                <w:tcPr>
                  <w:tcW w:w="36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0</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0.0693</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0.0096</w:t>
                  </w:r>
                </w:p>
              </w:tc>
              <w:tc>
                <w:tcPr>
                  <w:tcW w:w="44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6.41</w:t>
                  </w:r>
                </w:p>
              </w:tc>
              <w:tc>
                <w:tcPr>
                  <w:tcW w:w="342" w:type="pct"/>
                  <w:vMerge w:val="continue"/>
                  <w:tcBorders>
                    <w:top w:val="single" w:color="000000" w:sz="4" w:space="0"/>
                    <w:left w:val="single" w:color="000000" w:sz="4" w:space="0"/>
                    <w:bottom w:val="single" w:color="000000" w:sz="4" w:space="0"/>
                    <w:right w:val="single" w:color="000000" w:sz="4" w:space="0"/>
                  </w:tcBorders>
                  <w:vAlign w:val="center"/>
                </w:tcPr>
                <w:p>
                  <w:pPr>
                    <w:widowControl/>
                    <w:snapToGrid w:val="0"/>
                    <w:spacing w:line="240" w:lineRule="auto"/>
                    <w:ind w:firstLine="0" w:firstLineChars="0"/>
                    <w:jc w:val="left"/>
                    <w:rPr>
                      <w:rFonts w:cs="Times New Roman"/>
                      <w:color w:val="auto"/>
                      <w:kern w:val="0"/>
                      <w:sz w:val="21"/>
                      <w:szCs w:val="21"/>
                    </w:rPr>
                  </w:pPr>
                </w:p>
              </w:tc>
            </w:tr>
            <w:tr>
              <w:tblPrEx>
                <w:tblCellMar>
                  <w:top w:w="0" w:type="dxa"/>
                  <w:left w:w="108" w:type="dxa"/>
                  <w:bottom w:w="0" w:type="dxa"/>
                  <w:right w:w="108" w:type="dxa"/>
                </w:tblCellMar>
              </w:tblPrEx>
              <w:trPr>
                <w:trHeight w:val="340" w:hRule="atLeast"/>
              </w:trPr>
              <w:tc>
                <w:tcPr>
                  <w:tcW w:w="341" w:type="pct"/>
                  <w:vMerge w:val="continue"/>
                  <w:tcBorders>
                    <w:top w:val="single" w:color="000000" w:sz="4" w:space="0"/>
                    <w:left w:val="single" w:color="000000" w:sz="4" w:space="0"/>
                    <w:bottom w:val="single" w:color="000000" w:sz="4" w:space="0"/>
                    <w:right w:val="single" w:color="000000" w:sz="4" w:space="0"/>
                  </w:tcBorders>
                  <w:vAlign w:val="center"/>
                </w:tcPr>
                <w:p>
                  <w:pPr>
                    <w:widowControl/>
                    <w:snapToGrid w:val="0"/>
                    <w:spacing w:line="240" w:lineRule="auto"/>
                    <w:ind w:firstLine="0" w:firstLineChars="0"/>
                    <w:jc w:val="left"/>
                    <w:rPr>
                      <w:rFonts w:cs="Times New Roman"/>
                      <w:color w:val="auto"/>
                      <w:kern w:val="0"/>
                      <w:sz w:val="21"/>
                      <w:szCs w:val="21"/>
                    </w:rPr>
                  </w:pPr>
                </w:p>
              </w:tc>
              <w:tc>
                <w:tcPr>
                  <w:tcW w:w="559" w:type="pct"/>
                  <w:vMerge w:val="continue"/>
                  <w:tcBorders>
                    <w:top w:val="single" w:color="000000" w:sz="4" w:space="0"/>
                    <w:left w:val="single" w:color="000000" w:sz="4" w:space="0"/>
                    <w:bottom w:val="single" w:color="000000" w:sz="4" w:space="0"/>
                    <w:right w:val="single" w:color="000000" w:sz="4" w:space="0"/>
                  </w:tcBorders>
                  <w:vAlign w:val="center"/>
                </w:tcPr>
                <w:p>
                  <w:pPr>
                    <w:widowControl/>
                    <w:snapToGrid w:val="0"/>
                    <w:spacing w:line="240" w:lineRule="auto"/>
                    <w:ind w:firstLine="0" w:firstLineChars="0"/>
                    <w:jc w:val="left"/>
                    <w:rPr>
                      <w:rFonts w:cs="Times New Roman"/>
                      <w:color w:val="auto"/>
                      <w:kern w:val="0"/>
                      <w:sz w:val="21"/>
                      <w:szCs w:val="21"/>
                    </w:rPr>
                  </w:pPr>
                </w:p>
              </w:tc>
              <w:tc>
                <w:tcPr>
                  <w:tcW w:w="23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kern w:val="0"/>
                      <w:sz w:val="21"/>
                      <w:szCs w:val="21"/>
                    </w:rPr>
                    <w:t>氟化物</w:t>
                  </w:r>
                </w:p>
              </w:tc>
              <w:tc>
                <w:tcPr>
                  <w:tcW w:w="234" w:type="pct"/>
                  <w:vMerge w:val="continue"/>
                  <w:tcBorders>
                    <w:top w:val="single" w:color="000000" w:sz="4" w:space="0"/>
                    <w:left w:val="single" w:color="000000" w:sz="4" w:space="0"/>
                    <w:bottom w:val="single" w:color="000000" w:sz="4" w:space="0"/>
                    <w:right w:val="single" w:color="000000" w:sz="4" w:space="0"/>
                  </w:tcBorders>
                  <w:vAlign w:val="center"/>
                </w:tcPr>
                <w:p>
                  <w:pPr>
                    <w:widowControl/>
                    <w:snapToGrid w:val="0"/>
                    <w:spacing w:line="240" w:lineRule="auto"/>
                    <w:ind w:firstLine="0" w:firstLineChars="0"/>
                    <w:jc w:val="left"/>
                    <w:rPr>
                      <w:rFonts w:cs="Times New Roman"/>
                      <w:color w:val="auto"/>
                      <w:kern w:val="0"/>
                      <w:sz w:val="21"/>
                      <w:szCs w:val="21"/>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0.3568</w:t>
                  </w:r>
                </w:p>
              </w:tc>
              <w:tc>
                <w:tcPr>
                  <w:tcW w:w="46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0.0496</w:t>
                  </w:r>
                </w:p>
              </w:tc>
              <w:tc>
                <w:tcPr>
                  <w:tcW w:w="46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33.03</w:t>
                  </w:r>
                </w:p>
              </w:tc>
              <w:tc>
                <w:tcPr>
                  <w:tcW w:w="234" w:type="pct"/>
                  <w:vMerge w:val="continue"/>
                  <w:tcBorders>
                    <w:top w:val="single" w:color="000000" w:sz="4" w:space="0"/>
                    <w:left w:val="single" w:color="000000" w:sz="4" w:space="0"/>
                    <w:bottom w:val="single" w:color="000000" w:sz="4" w:space="0"/>
                    <w:right w:val="single" w:color="000000" w:sz="4" w:space="0"/>
                  </w:tcBorders>
                  <w:vAlign w:val="center"/>
                </w:tcPr>
                <w:p>
                  <w:pPr>
                    <w:widowControl/>
                    <w:snapToGrid w:val="0"/>
                    <w:spacing w:line="240" w:lineRule="auto"/>
                    <w:ind w:firstLine="0" w:firstLineChars="0"/>
                    <w:jc w:val="left"/>
                    <w:rPr>
                      <w:rFonts w:cs="Times New Roman"/>
                      <w:color w:val="auto"/>
                      <w:kern w:val="0"/>
                      <w:sz w:val="21"/>
                      <w:szCs w:val="21"/>
                    </w:rPr>
                  </w:pPr>
                </w:p>
              </w:tc>
              <w:tc>
                <w:tcPr>
                  <w:tcW w:w="36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85.00</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0.0535</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0.0074</w:t>
                  </w:r>
                </w:p>
              </w:tc>
              <w:tc>
                <w:tcPr>
                  <w:tcW w:w="44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4.96</w:t>
                  </w:r>
                </w:p>
              </w:tc>
              <w:tc>
                <w:tcPr>
                  <w:tcW w:w="342" w:type="pct"/>
                  <w:vMerge w:val="continue"/>
                  <w:tcBorders>
                    <w:top w:val="single" w:color="000000" w:sz="4" w:space="0"/>
                    <w:left w:val="single" w:color="000000" w:sz="4" w:space="0"/>
                    <w:bottom w:val="single" w:color="000000" w:sz="4" w:space="0"/>
                    <w:right w:val="single" w:color="000000" w:sz="4" w:space="0"/>
                  </w:tcBorders>
                  <w:vAlign w:val="center"/>
                </w:tcPr>
                <w:p>
                  <w:pPr>
                    <w:widowControl/>
                    <w:snapToGrid w:val="0"/>
                    <w:spacing w:line="240" w:lineRule="auto"/>
                    <w:ind w:firstLine="0" w:firstLineChars="0"/>
                    <w:jc w:val="left"/>
                    <w:rPr>
                      <w:rFonts w:cs="Times New Roman"/>
                      <w:color w:val="auto"/>
                      <w:kern w:val="0"/>
                      <w:sz w:val="21"/>
                      <w:szCs w:val="21"/>
                    </w:rPr>
                  </w:pPr>
                </w:p>
              </w:tc>
            </w:tr>
          </w:tbl>
          <w:p>
            <w:pPr>
              <w:ind w:firstLine="480"/>
              <w:rPr>
                <w:rFonts w:cs="Times New Roman"/>
                <w:color w:val="auto"/>
              </w:rPr>
            </w:pPr>
            <w:bookmarkStart w:id="66" w:name="_Hlk162004407"/>
            <w:r>
              <w:rPr>
                <w:rFonts w:cs="Times New Roman"/>
                <w:color w:val="auto"/>
              </w:rPr>
              <w:t>（3）天然气回转窑</w:t>
            </w:r>
            <w:r>
              <w:rPr>
                <w:rFonts w:cs="Times New Roman"/>
                <w:bCs/>
                <w:color w:val="auto"/>
              </w:rPr>
              <w:t>废气</w:t>
            </w:r>
            <w:r>
              <w:rPr>
                <w:rFonts w:cs="Times New Roman"/>
                <w:color w:val="auto"/>
              </w:rPr>
              <w:t>G2-3</w:t>
            </w:r>
          </w:p>
          <w:bookmarkEnd w:id="66"/>
          <w:p>
            <w:pPr>
              <w:ind w:firstLine="480"/>
              <w:contextualSpacing/>
              <w:rPr>
                <w:rFonts w:cs="Times New Roman"/>
                <w:color w:val="auto"/>
              </w:rPr>
            </w:pPr>
            <w:bookmarkStart w:id="67" w:name="_Hlk162004411"/>
            <w:r>
              <w:rPr>
                <w:rFonts w:cs="Times New Roman"/>
                <w:color w:val="auto"/>
              </w:rPr>
              <w:t>本项目建成后二期设有1台天然气回转窑，进入到天然气回转窑物料为1500t/a（5t/d）。</w:t>
            </w:r>
          </w:p>
          <w:p>
            <w:pPr>
              <w:ind w:firstLine="480"/>
              <w:contextualSpacing/>
              <w:rPr>
                <w:rFonts w:cs="Times New Roman"/>
                <w:color w:val="auto"/>
                <w:kern w:val="0"/>
              </w:rPr>
            </w:pPr>
            <w:r>
              <w:rPr>
                <w:rFonts w:cs="Times New Roman"/>
                <w:color w:val="auto"/>
              </w:rPr>
              <w:t>灼烧过程中产生一定量的天然气燃烧废气和煅烧废气，燃烧废气为颗粒物、</w:t>
            </w:r>
            <w:r>
              <w:rPr>
                <w:rFonts w:cs="Times New Roman"/>
                <w:color w:val="auto"/>
                <w:kern w:val="0"/>
              </w:rPr>
              <w:t>SO</w:t>
            </w:r>
            <w:r>
              <w:rPr>
                <w:rFonts w:cs="Times New Roman"/>
                <w:color w:val="auto"/>
                <w:kern w:val="0"/>
                <w:vertAlign w:val="subscript"/>
              </w:rPr>
              <w:t>2</w:t>
            </w:r>
            <w:r>
              <w:rPr>
                <w:rFonts w:cs="Times New Roman"/>
                <w:color w:val="auto"/>
              </w:rPr>
              <w:t>、</w:t>
            </w:r>
            <w:r>
              <w:rPr>
                <w:rFonts w:cs="Times New Roman"/>
                <w:color w:val="auto"/>
                <w:kern w:val="0"/>
              </w:rPr>
              <w:t>NOx，煅烧废气为颗粒物</w:t>
            </w:r>
            <w:r>
              <w:rPr>
                <w:rFonts w:cs="Times New Roman"/>
                <w:color w:val="auto"/>
              </w:rPr>
              <w:t>和</w:t>
            </w:r>
            <w:r>
              <w:rPr>
                <w:rFonts w:cs="Times New Roman"/>
                <w:color w:val="auto"/>
                <w:kern w:val="0"/>
              </w:rPr>
              <w:t>氟化物。</w:t>
            </w:r>
          </w:p>
          <w:bookmarkEnd w:id="67"/>
          <w:p>
            <w:pPr>
              <w:ind w:firstLine="482"/>
              <w:contextualSpacing/>
              <w:rPr>
                <w:rFonts w:cs="Times New Roman"/>
                <w:b/>
                <w:bCs/>
                <w:color w:val="auto"/>
              </w:rPr>
            </w:pPr>
            <w:r>
              <w:rPr>
                <w:rFonts w:cs="Times New Roman"/>
                <w:b/>
                <w:bCs/>
                <w:color w:val="auto"/>
              </w:rPr>
              <w:t>天然气回转窑：</w:t>
            </w:r>
          </w:p>
          <w:p>
            <w:pPr>
              <w:ind w:firstLine="480"/>
              <w:contextualSpacing/>
              <w:rPr>
                <w:rFonts w:cs="Times New Roman"/>
                <w:color w:val="auto"/>
              </w:rPr>
            </w:pPr>
            <w:r>
              <w:rPr>
                <w:rFonts w:cs="Times New Roman"/>
                <w:color w:val="auto"/>
              </w:rPr>
              <w:t>1台天然气回转窑全年运行时间约7200h，则</w:t>
            </w:r>
            <w:bookmarkStart w:id="68" w:name="_Hlk163637208"/>
            <w:r>
              <w:rPr>
                <w:rFonts w:cs="Times New Roman"/>
                <w:color w:val="auto"/>
              </w:rPr>
              <w:t>天然气消耗量为</w:t>
            </w:r>
            <w:bookmarkStart w:id="69" w:name="_Hlk163637203"/>
            <w:r>
              <w:rPr>
                <w:rFonts w:hint="eastAsia" w:cs="Times New Roman"/>
                <w:color w:val="auto"/>
                <w:lang w:val="en-US" w:eastAsia="zh-CN"/>
              </w:rPr>
              <w:t>951480</w:t>
            </w:r>
            <w:r>
              <w:rPr>
                <w:rFonts w:cs="Times New Roman"/>
                <w:color w:val="auto"/>
              </w:rPr>
              <w:t>m³/a</w:t>
            </w:r>
            <w:bookmarkEnd w:id="68"/>
            <w:bookmarkEnd w:id="69"/>
            <w:r>
              <w:rPr>
                <w:rFonts w:cs="Times New Roman"/>
                <w:color w:val="auto"/>
              </w:rPr>
              <w:t>。</w:t>
            </w:r>
          </w:p>
          <w:p>
            <w:pPr>
              <w:ind w:firstLine="480"/>
              <w:rPr>
                <w:rFonts w:cs="Times New Roman"/>
                <w:color w:val="auto"/>
              </w:rPr>
            </w:pPr>
            <w:bookmarkStart w:id="70" w:name="_Hlk162004495"/>
            <w:r>
              <w:rPr>
                <w:rFonts w:cs="Times New Roman"/>
                <w:color w:val="auto"/>
                <w:kern w:val="0"/>
              </w:rPr>
              <w:t>氟化物：参照《包头海亮科技有限公司年产2000吨高性能多用途稀土系列抛光粉技术改造项目竣工环境保护验收监测报告表》中各污染物排放量检测值，氟化物排放速率为0.00193kg/h，项目验收时，生产能力为5.15t/d，并且</w:t>
            </w:r>
            <w:r>
              <w:rPr>
                <w:rFonts w:cs="Times New Roman"/>
                <w:bCs/>
                <w:color w:val="auto"/>
              </w:rPr>
              <w:t>碱喷淋塔对氟化物处理效率为85%，则</w:t>
            </w:r>
            <w:r>
              <w:rPr>
                <w:rFonts w:cs="Times New Roman"/>
                <w:color w:val="auto"/>
              </w:rPr>
              <w:t>天然气辊道窑</w:t>
            </w:r>
            <w:r>
              <w:rPr>
                <w:rFonts w:cs="Times New Roman"/>
                <w:color w:val="auto"/>
                <w:kern w:val="0"/>
              </w:rPr>
              <w:t>氟化物产生速率为0.013kg/h，本项目生产能力为</w:t>
            </w:r>
            <w:r>
              <w:rPr>
                <w:rFonts w:cs="Times New Roman"/>
                <w:color w:val="auto"/>
              </w:rPr>
              <w:t>5t/d，则天然气辊道窑</w:t>
            </w:r>
            <w:r>
              <w:rPr>
                <w:rFonts w:cs="Times New Roman"/>
                <w:color w:val="auto"/>
                <w:kern w:val="0"/>
              </w:rPr>
              <w:t>氟化物产生速率为0.013kg/h。</w:t>
            </w:r>
          </w:p>
          <w:p>
            <w:pPr>
              <w:tabs>
                <w:tab w:val="center" w:pos="4153"/>
                <w:tab w:val="right" w:pos="8306"/>
              </w:tabs>
              <w:ind w:firstLine="480"/>
              <w:contextualSpacing/>
              <w:rPr>
                <w:rFonts w:cs="Times New Roman"/>
                <w:color w:val="auto"/>
              </w:rPr>
            </w:pPr>
            <w:r>
              <w:rPr>
                <w:rFonts w:cs="Times New Roman"/>
                <w:color w:val="auto"/>
              </w:rPr>
              <w:t>燃烧废气：</w:t>
            </w:r>
            <w:bookmarkStart w:id="71" w:name="_Hlk163637228"/>
            <w:r>
              <w:rPr>
                <w:rFonts w:cs="Times New Roman"/>
                <w:bCs/>
                <w:color w:val="auto"/>
              </w:rPr>
              <w:t>天然气回转窑废气产排参照</w:t>
            </w:r>
            <w:r>
              <w:rPr>
                <w:rFonts w:cs="Times New Roman"/>
                <w:color w:val="auto"/>
              </w:rPr>
              <w:t>《排放源统计调查产排污核算方法和系数手册》“4430锅炉产排污量核算系数手册”产污系数取值。</w:t>
            </w:r>
          </w:p>
          <w:bookmarkEnd w:id="71"/>
          <w:p>
            <w:pPr>
              <w:ind w:firstLine="480"/>
              <w:contextualSpacing/>
              <w:rPr>
                <w:rFonts w:cs="Times New Roman"/>
                <w:bCs/>
                <w:color w:val="auto"/>
              </w:rPr>
            </w:pPr>
            <w:r>
              <w:rPr>
                <w:rFonts w:cs="Times New Roman"/>
                <w:color w:val="auto"/>
              </w:rPr>
              <w:t>新增1台天然气回转窑产生的废气</w:t>
            </w:r>
            <w:r>
              <w:rPr>
                <w:rFonts w:cs="Times New Roman"/>
                <w:bCs/>
                <w:color w:val="auto"/>
              </w:rPr>
              <w:t>经1座碱喷淋塔处理，碱喷淋塔对氟化物处理效率为85%，对粉尘净化效率为90%，对二氧化硫处理效率为60%，处理后的废气经一根高15m排气筒（P5）排放。</w:t>
            </w:r>
          </w:p>
          <w:bookmarkEnd w:id="70"/>
          <w:p>
            <w:pPr>
              <w:ind w:firstLine="0" w:firstLineChars="0"/>
              <w:jc w:val="center"/>
              <w:rPr>
                <w:rFonts w:cs="Times New Roman"/>
                <w:b/>
                <w:bCs/>
                <w:color w:val="auto"/>
                <w:szCs w:val="22"/>
              </w:rPr>
            </w:pPr>
            <w:r>
              <w:rPr>
                <w:rFonts w:cs="Times New Roman"/>
                <w:b/>
                <w:bCs/>
                <w:color w:val="auto"/>
                <w:szCs w:val="22"/>
              </w:rPr>
              <w:t>表4-7本项目天然气回转窑产排污情况表</w:t>
            </w:r>
          </w:p>
          <w:tbl>
            <w:tblPr>
              <w:tblStyle w:val="26"/>
              <w:tblW w:w="5000" w:type="pct"/>
              <w:tblInd w:w="0" w:type="dxa"/>
              <w:tblLayout w:type="autofit"/>
              <w:tblCellMar>
                <w:top w:w="0" w:type="dxa"/>
                <w:left w:w="108" w:type="dxa"/>
                <w:bottom w:w="0" w:type="dxa"/>
                <w:right w:w="108" w:type="dxa"/>
              </w:tblCellMar>
            </w:tblPr>
            <w:tblGrid>
              <w:gridCol w:w="427"/>
              <w:gridCol w:w="1059"/>
              <w:gridCol w:w="427"/>
              <w:gridCol w:w="427"/>
              <w:gridCol w:w="794"/>
              <w:gridCol w:w="794"/>
              <w:gridCol w:w="837"/>
              <w:gridCol w:w="846"/>
              <w:gridCol w:w="691"/>
              <w:gridCol w:w="798"/>
              <w:gridCol w:w="798"/>
              <w:gridCol w:w="841"/>
              <w:gridCol w:w="636"/>
            </w:tblGrid>
            <w:tr>
              <w:tblPrEx>
                <w:tblCellMar>
                  <w:top w:w="0" w:type="dxa"/>
                  <w:left w:w="108" w:type="dxa"/>
                  <w:bottom w:w="0" w:type="dxa"/>
                  <w:right w:w="108" w:type="dxa"/>
                </w:tblCellMar>
              </w:tblPrEx>
              <w:trPr>
                <w:trHeight w:val="340" w:hRule="atLeast"/>
              </w:trPr>
              <w:tc>
                <w:tcPr>
                  <w:tcW w:w="24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污染源</w:t>
                  </w:r>
                </w:p>
              </w:tc>
              <w:tc>
                <w:tcPr>
                  <w:tcW w:w="58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废气量（m</w:t>
                  </w:r>
                  <w:r>
                    <w:rPr>
                      <w:rFonts w:cs="Times New Roman"/>
                      <w:b/>
                      <w:bCs/>
                      <w:color w:val="auto"/>
                      <w:kern w:val="0"/>
                      <w:sz w:val="21"/>
                      <w:szCs w:val="21"/>
                      <w:vertAlign w:val="superscript"/>
                    </w:rPr>
                    <w:t>3</w:t>
                  </w:r>
                  <w:r>
                    <w:rPr>
                      <w:rFonts w:cs="Times New Roman"/>
                      <w:b/>
                      <w:bCs/>
                      <w:color w:val="auto"/>
                      <w:kern w:val="0"/>
                      <w:sz w:val="21"/>
                      <w:szCs w:val="21"/>
                    </w:rPr>
                    <w:t>/h）</w:t>
                  </w:r>
                </w:p>
              </w:tc>
              <w:tc>
                <w:tcPr>
                  <w:tcW w:w="24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污染物</w:t>
                  </w:r>
                </w:p>
              </w:tc>
              <w:tc>
                <w:tcPr>
                  <w:tcW w:w="1594"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污染物产生</w:t>
                  </w:r>
                </w:p>
              </w:tc>
              <w:tc>
                <w:tcPr>
                  <w:tcW w:w="62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治理措施</w:t>
                  </w:r>
                </w:p>
              </w:tc>
              <w:tc>
                <w:tcPr>
                  <w:tcW w:w="1352"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污染物排放</w:t>
                  </w:r>
                </w:p>
              </w:tc>
              <w:tc>
                <w:tcPr>
                  <w:tcW w:w="3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排放</w:t>
                  </w:r>
                </w:p>
              </w:tc>
            </w:tr>
            <w:tr>
              <w:tblPrEx>
                <w:tblCellMar>
                  <w:top w:w="0" w:type="dxa"/>
                  <w:left w:w="108" w:type="dxa"/>
                  <w:bottom w:w="0" w:type="dxa"/>
                  <w:right w:w="108" w:type="dxa"/>
                </w:tblCellMar>
              </w:tblPrEx>
              <w:trPr>
                <w:trHeight w:val="340" w:hRule="atLeast"/>
              </w:trPr>
              <w:tc>
                <w:tcPr>
                  <w:tcW w:w="241" w:type="pct"/>
                  <w:vMerge w:val="continue"/>
                  <w:tcBorders>
                    <w:top w:val="single" w:color="000000" w:sz="4" w:space="0"/>
                    <w:left w:val="single" w:color="000000" w:sz="4" w:space="0"/>
                    <w:bottom w:val="single" w:color="000000" w:sz="4" w:space="0"/>
                    <w:right w:val="single" w:color="000000" w:sz="4" w:space="0"/>
                  </w:tcBorders>
                  <w:vAlign w:val="center"/>
                </w:tcPr>
                <w:p>
                  <w:pPr>
                    <w:widowControl/>
                    <w:snapToGrid w:val="0"/>
                    <w:spacing w:line="240" w:lineRule="auto"/>
                    <w:ind w:firstLine="0" w:firstLineChars="0"/>
                    <w:jc w:val="left"/>
                    <w:rPr>
                      <w:rFonts w:cs="Times New Roman"/>
                      <w:b/>
                      <w:bCs/>
                      <w:color w:val="auto"/>
                      <w:kern w:val="0"/>
                      <w:sz w:val="21"/>
                      <w:szCs w:val="21"/>
                    </w:rPr>
                  </w:pPr>
                </w:p>
              </w:tc>
              <w:tc>
                <w:tcPr>
                  <w:tcW w:w="587" w:type="pct"/>
                  <w:vMerge w:val="continue"/>
                  <w:tcBorders>
                    <w:top w:val="single" w:color="000000" w:sz="4" w:space="0"/>
                    <w:left w:val="single" w:color="000000" w:sz="4" w:space="0"/>
                    <w:bottom w:val="single" w:color="000000" w:sz="4" w:space="0"/>
                    <w:right w:val="single" w:color="000000" w:sz="4" w:space="0"/>
                  </w:tcBorders>
                  <w:vAlign w:val="center"/>
                </w:tcPr>
                <w:p>
                  <w:pPr>
                    <w:widowControl/>
                    <w:snapToGrid w:val="0"/>
                    <w:spacing w:line="240" w:lineRule="auto"/>
                    <w:ind w:firstLine="0" w:firstLineChars="0"/>
                    <w:jc w:val="left"/>
                    <w:rPr>
                      <w:rFonts w:cs="Times New Roman"/>
                      <w:b/>
                      <w:bCs/>
                      <w:color w:val="auto"/>
                      <w:kern w:val="0"/>
                      <w:sz w:val="21"/>
                      <w:szCs w:val="21"/>
                    </w:rPr>
                  </w:pPr>
                </w:p>
              </w:tc>
              <w:tc>
                <w:tcPr>
                  <w:tcW w:w="242" w:type="pct"/>
                  <w:vMerge w:val="continue"/>
                  <w:tcBorders>
                    <w:top w:val="single" w:color="000000" w:sz="4" w:space="0"/>
                    <w:left w:val="single" w:color="000000" w:sz="4" w:space="0"/>
                    <w:bottom w:val="single" w:color="000000" w:sz="4" w:space="0"/>
                    <w:right w:val="single" w:color="000000" w:sz="4" w:space="0"/>
                  </w:tcBorders>
                  <w:vAlign w:val="center"/>
                </w:tcPr>
                <w:p>
                  <w:pPr>
                    <w:widowControl/>
                    <w:snapToGrid w:val="0"/>
                    <w:spacing w:line="240" w:lineRule="auto"/>
                    <w:ind w:firstLine="0" w:firstLineChars="0"/>
                    <w:jc w:val="left"/>
                    <w:rPr>
                      <w:rFonts w:cs="Times New Roman"/>
                      <w:b/>
                      <w:bCs/>
                      <w:color w:val="auto"/>
                      <w:kern w:val="0"/>
                      <w:sz w:val="21"/>
                      <w:szCs w:val="21"/>
                    </w:rPr>
                  </w:pPr>
                </w:p>
              </w:tc>
              <w:tc>
                <w:tcPr>
                  <w:tcW w:w="242"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核算方法</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产生量t/a</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产生速率kg/h</w:t>
                  </w:r>
                </w:p>
              </w:tc>
              <w:tc>
                <w:tcPr>
                  <w:tcW w:w="46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产生浓度mg/m3</w:t>
                  </w:r>
                </w:p>
              </w:tc>
              <w:tc>
                <w:tcPr>
                  <w:tcW w:w="242"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left"/>
                    <w:rPr>
                      <w:rFonts w:cs="Times New Roman"/>
                      <w:b/>
                      <w:bCs/>
                      <w:color w:val="auto"/>
                      <w:kern w:val="0"/>
                      <w:sz w:val="21"/>
                      <w:szCs w:val="21"/>
                    </w:rPr>
                  </w:pPr>
                  <w:r>
                    <w:rPr>
                      <w:rFonts w:cs="Times New Roman"/>
                      <w:b/>
                      <w:bCs/>
                      <w:color w:val="auto"/>
                      <w:kern w:val="0"/>
                      <w:sz w:val="21"/>
                      <w:szCs w:val="21"/>
                    </w:rPr>
                    <w:t>工艺</w:t>
                  </w:r>
                </w:p>
              </w:tc>
              <w:tc>
                <w:tcPr>
                  <w:tcW w:w="38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效率%</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left"/>
                    <w:rPr>
                      <w:rFonts w:cs="Times New Roman"/>
                      <w:b/>
                      <w:bCs/>
                      <w:color w:val="auto"/>
                      <w:kern w:val="0"/>
                      <w:sz w:val="21"/>
                      <w:szCs w:val="21"/>
                    </w:rPr>
                  </w:pPr>
                  <w:r>
                    <w:rPr>
                      <w:rFonts w:cs="Times New Roman"/>
                      <w:b/>
                      <w:bCs/>
                      <w:color w:val="auto"/>
                      <w:kern w:val="0"/>
                      <w:sz w:val="21"/>
                      <w:szCs w:val="21"/>
                    </w:rPr>
                    <w:t>排放量t/a</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left"/>
                    <w:rPr>
                      <w:rFonts w:cs="Times New Roman"/>
                      <w:b/>
                      <w:bCs/>
                      <w:color w:val="auto"/>
                      <w:kern w:val="0"/>
                      <w:sz w:val="21"/>
                      <w:szCs w:val="21"/>
                    </w:rPr>
                  </w:pPr>
                  <w:r>
                    <w:rPr>
                      <w:rFonts w:cs="Times New Roman"/>
                      <w:b/>
                      <w:bCs/>
                      <w:color w:val="auto"/>
                      <w:kern w:val="0"/>
                      <w:sz w:val="21"/>
                      <w:szCs w:val="21"/>
                    </w:rPr>
                    <w:t>排放速率kg/h</w:t>
                  </w:r>
                </w:p>
              </w:tc>
              <w:tc>
                <w:tcPr>
                  <w:tcW w:w="46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排放浓度mg/m3</w:t>
                  </w:r>
                </w:p>
              </w:tc>
              <w:tc>
                <w:tcPr>
                  <w:tcW w:w="35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时间h</w:t>
                  </w:r>
                </w:p>
              </w:tc>
            </w:tr>
            <w:tr>
              <w:tblPrEx>
                <w:tblCellMar>
                  <w:top w:w="0" w:type="dxa"/>
                  <w:left w:w="108" w:type="dxa"/>
                  <w:bottom w:w="0" w:type="dxa"/>
                  <w:right w:w="108" w:type="dxa"/>
                </w:tblCellMar>
              </w:tblPrEx>
              <w:trPr>
                <w:trHeight w:val="340" w:hRule="atLeast"/>
              </w:trPr>
              <w:tc>
                <w:tcPr>
                  <w:tcW w:w="24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kern w:val="0"/>
                      <w:sz w:val="21"/>
                      <w:szCs w:val="21"/>
                    </w:rPr>
                    <w:t>天然气回转窑</w:t>
                  </w:r>
                </w:p>
              </w:tc>
              <w:tc>
                <w:tcPr>
                  <w:tcW w:w="58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kern w:val="0"/>
                      <w:sz w:val="21"/>
                      <w:szCs w:val="21"/>
                    </w:rPr>
                    <w:t>2000</w:t>
                  </w:r>
                </w:p>
              </w:tc>
              <w:tc>
                <w:tcPr>
                  <w:tcW w:w="242"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kern w:val="0"/>
                      <w:sz w:val="21"/>
                      <w:szCs w:val="21"/>
                    </w:rPr>
                    <w:t>颗粒物</w:t>
                  </w:r>
                </w:p>
              </w:tc>
              <w:tc>
                <w:tcPr>
                  <w:tcW w:w="24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kern w:val="0"/>
                      <w:sz w:val="21"/>
                      <w:szCs w:val="21"/>
                    </w:rPr>
                    <w:t>产污系数法</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kern w:val="0"/>
                      <w:sz w:val="21"/>
                      <w:szCs w:val="21"/>
                    </w:rPr>
                    <w:t>0.0476</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kern w:val="0"/>
                      <w:sz w:val="21"/>
                      <w:szCs w:val="21"/>
                    </w:rPr>
                    <w:t>0.0066</w:t>
                  </w:r>
                </w:p>
              </w:tc>
              <w:tc>
                <w:tcPr>
                  <w:tcW w:w="46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kern w:val="0"/>
                      <w:sz w:val="21"/>
                      <w:szCs w:val="21"/>
                    </w:rPr>
                    <w:t>3.30</w:t>
                  </w:r>
                </w:p>
              </w:tc>
              <w:tc>
                <w:tcPr>
                  <w:tcW w:w="24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kern w:val="0"/>
                      <w:sz w:val="21"/>
                      <w:szCs w:val="21"/>
                    </w:rPr>
                    <w:t>碱喷淋塔（1套））</w:t>
                  </w:r>
                </w:p>
              </w:tc>
              <w:tc>
                <w:tcPr>
                  <w:tcW w:w="38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90</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0.0048</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0.0007</w:t>
                  </w:r>
                </w:p>
              </w:tc>
              <w:tc>
                <w:tcPr>
                  <w:tcW w:w="46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0.33</w:t>
                  </w:r>
                </w:p>
              </w:tc>
              <w:tc>
                <w:tcPr>
                  <w:tcW w:w="35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kern w:val="0"/>
                      <w:sz w:val="21"/>
                      <w:szCs w:val="21"/>
                    </w:rPr>
                    <w:t>7200</w:t>
                  </w:r>
                </w:p>
              </w:tc>
            </w:tr>
            <w:tr>
              <w:tblPrEx>
                <w:tblCellMar>
                  <w:top w:w="0" w:type="dxa"/>
                  <w:left w:w="108" w:type="dxa"/>
                  <w:bottom w:w="0" w:type="dxa"/>
                  <w:right w:w="108" w:type="dxa"/>
                </w:tblCellMar>
              </w:tblPrEx>
              <w:trPr>
                <w:trHeight w:val="340" w:hRule="atLeast"/>
              </w:trPr>
              <w:tc>
                <w:tcPr>
                  <w:tcW w:w="241" w:type="pct"/>
                  <w:vMerge w:val="continue"/>
                  <w:tcBorders>
                    <w:top w:val="single" w:color="000000" w:sz="4" w:space="0"/>
                    <w:left w:val="single" w:color="000000" w:sz="4" w:space="0"/>
                    <w:bottom w:val="single" w:color="000000" w:sz="4" w:space="0"/>
                    <w:right w:val="single" w:color="000000" w:sz="4" w:space="0"/>
                  </w:tcBorders>
                  <w:vAlign w:val="center"/>
                </w:tcPr>
                <w:p>
                  <w:pPr>
                    <w:widowControl/>
                    <w:snapToGrid w:val="0"/>
                    <w:spacing w:line="240" w:lineRule="auto"/>
                    <w:ind w:firstLine="0" w:firstLineChars="0"/>
                    <w:jc w:val="left"/>
                    <w:rPr>
                      <w:rFonts w:cs="Times New Roman"/>
                      <w:color w:val="auto"/>
                      <w:kern w:val="0"/>
                      <w:sz w:val="21"/>
                      <w:szCs w:val="21"/>
                    </w:rPr>
                  </w:pPr>
                </w:p>
              </w:tc>
              <w:tc>
                <w:tcPr>
                  <w:tcW w:w="587" w:type="pct"/>
                  <w:vMerge w:val="continue"/>
                  <w:tcBorders>
                    <w:top w:val="single" w:color="000000" w:sz="4" w:space="0"/>
                    <w:left w:val="single" w:color="000000" w:sz="4" w:space="0"/>
                    <w:bottom w:val="single" w:color="000000" w:sz="4" w:space="0"/>
                    <w:right w:val="single" w:color="000000" w:sz="4" w:space="0"/>
                  </w:tcBorders>
                  <w:vAlign w:val="center"/>
                </w:tcPr>
                <w:p>
                  <w:pPr>
                    <w:widowControl/>
                    <w:snapToGrid w:val="0"/>
                    <w:spacing w:line="240" w:lineRule="auto"/>
                    <w:ind w:firstLine="0" w:firstLineChars="0"/>
                    <w:jc w:val="left"/>
                    <w:rPr>
                      <w:rFonts w:cs="Times New Roman"/>
                      <w:color w:val="auto"/>
                      <w:kern w:val="0"/>
                      <w:sz w:val="21"/>
                      <w:szCs w:val="21"/>
                    </w:rPr>
                  </w:pPr>
                </w:p>
              </w:tc>
              <w:tc>
                <w:tcPr>
                  <w:tcW w:w="242"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kern w:val="0"/>
                      <w:sz w:val="21"/>
                      <w:szCs w:val="21"/>
                    </w:rPr>
                    <w:t>二氧化硫</w:t>
                  </w:r>
                </w:p>
              </w:tc>
              <w:tc>
                <w:tcPr>
                  <w:tcW w:w="242" w:type="pct"/>
                  <w:vMerge w:val="continue"/>
                  <w:tcBorders>
                    <w:top w:val="single" w:color="000000" w:sz="4" w:space="0"/>
                    <w:left w:val="single" w:color="000000" w:sz="4" w:space="0"/>
                    <w:bottom w:val="single" w:color="000000" w:sz="4" w:space="0"/>
                    <w:right w:val="single" w:color="000000" w:sz="4" w:space="0"/>
                  </w:tcBorders>
                  <w:vAlign w:val="center"/>
                </w:tcPr>
                <w:p>
                  <w:pPr>
                    <w:widowControl/>
                    <w:snapToGrid w:val="0"/>
                    <w:spacing w:line="240" w:lineRule="auto"/>
                    <w:ind w:firstLine="0" w:firstLineChars="0"/>
                    <w:jc w:val="left"/>
                    <w:rPr>
                      <w:rFonts w:cs="Times New Roman"/>
                      <w:color w:val="auto"/>
                      <w:kern w:val="0"/>
                      <w:sz w:val="21"/>
                      <w:szCs w:val="21"/>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kern w:val="0"/>
                      <w:sz w:val="21"/>
                      <w:szCs w:val="21"/>
                    </w:rPr>
                    <w:t>0.1903</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kern w:val="0"/>
                      <w:sz w:val="21"/>
                      <w:szCs w:val="21"/>
                    </w:rPr>
                    <w:t>0.0264</w:t>
                  </w:r>
                </w:p>
              </w:tc>
              <w:tc>
                <w:tcPr>
                  <w:tcW w:w="46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kern w:val="0"/>
                      <w:sz w:val="21"/>
                      <w:szCs w:val="21"/>
                    </w:rPr>
                    <w:t>13.22</w:t>
                  </w:r>
                </w:p>
              </w:tc>
              <w:tc>
                <w:tcPr>
                  <w:tcW w:w="242" w:type="pct"/>
                  <w:vMerge w:val="continue"/>
                  <w:tcBorders>
                    <w:top w:val="single" w:color="000000" w:sz="4" w:space="0"/>
                    <w:left w:val="single" w:color="000000" w:sz="4" w:space="0"/>
                    <w:bottom w:val="single" w:color="000000" w:sz="4" w:space="0"/>
                    <w:right w:val="single" w:color="000000" w:sz="4" w:space="0"/>
                  </w:tcBorders>
                  <w:vAlign w:val="center"/>
                </w:tcPr>
                <w:p>
                  <w:pPr>
                    <w:widowControl/>
                    <w:snapToGrid w:val="0"/>
                    <w:spacing w:line="240" w:lineRule="auto"/>
                    <w:ind w:firstLine="0" w:firstLineChars="0"/>
                    <w:jc w:val="left"/>
                    <w:rPr>
                      <w:rFonts w:cs="Times New Roman"/>
                      <w:color w:val="auto"/>
                      <w:kern w:val="0"/>
                      <w:sz w:val="21"/>
                      <w:szCs w:val="21"/>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60</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0.0761</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0.0106</w:t>
                  </w:r>
                </w:p>
              </w:tc>
              <w:tc>
                <w:tcPr>
                  <w:tcW w:w="46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5.29</w:t>
                  </w:r>
                </w:p>
              </w:tc>
              <w:tc>
                <w:tcPr>
                  <w:tcW w:w="356" w:type="pct"/>
                  <w:vMerge w:val="continue"/>
                  <w:tcBorders>
                    <w:top w:val="single" w:color="000000" w:sz="4" w:space="0"/>
                    <w:left w:val="single" w:color="000000" w:sz="4" w:space="0"/>
                    <w:bottom w:val="single" w:color="000000" w:sz="4" w:space="0"/>
                    <w:right w:val="single" w:color="000000" w:sz="4" w:space="0"/>
                  </w:tcBorders>
                  <w:vAlign w:val="center"/>
                </w:tcPr>
                <w:p>
                  <w:pPr>
                    <w:widowControl/>
                    <w:snapToGrid w:val="0"/>
                    <w:spacing w:line="240" w:lineRule="auto"/>
                    <w:ind w:firstLine="0" w:firstLineChars="0"/>
                    <w:jc w:val="left"/>
                    <w:rPr>
                      <w:rFonts w:cs="Times New Roman"/>
                      <w:color w:val="auto"/>
                      <w:kern w:val="0"/>
                      <w:sz w:val="21"/>
                      <w:szCs w:val="21"/>
                    </w:rPr>
                  </w:pPr>
                </w:p>
              </w:tc>
            </w:tr>
            <w:tr>
              <w:tblPrEx>
                <w:tblCellMar>
                  <w:top w:w="0" w:type="dxa"/>
                  <w:left w:w="108" w:type="dxa"/>
                  <w:bottom w:w="0" w:type="dxa"/>
                  <w:right w:w="108" w:type="dxa"/>
                </w:tblCellMar>
              </w:tblPrEx>
              <w:trPr>
                <w:trHeight w:val="340" w:hRule="atLeast"/>
              </w:trPr>
              <w:tc>
                <w:tcPr>
                  <w:tcW w:w="241" w:type="pct"/>
                  <w:vMerge w:val="continue"/>
                  <w:tcBorders>
                    <w:top w:val="single" w:color="000000" w:sz="4" w:space="0"/>
                    <w:left w:val="single" w:color="000000" w:sz="4" w:space="0"/>
                    <w:bottom w:val="single" w:color="000000" w:sz="4" w:space="0"/>
                    <w:right w:val="single" w:color="000000" w:sz="4" w:space="0"/>
                  </w:tcBorders>
                  <w:vAlign w:val="center"/>
                </w:tcPr>
                <w:p>
                  <w:pPr>
                    <w:widowControl/>
                    <w:snapToGrid w:val="0"/>
                    <w:spacing w:line="240" w:lineRule="auto"/>
                    <w:ind w:firstLine="0" w:firstLineChars="0"/>
                    <w:jc w:val="left"/>
                    <w:rPr>
                      <w:rFonts w:cs="Times New Roman"/>
                      <w:color w:val="auto"/>
                      <w:kern w:val="0"/>
                      <w:sz w:val="21"/>
                      <w:szCs w:val="21"/>
                    </w:rPr>
                  </w:pPr>
                </w:p>
              </w:tc>
              <w:tc>
                <w:tcPr>
                  <w:tcW w:w="587" w:type="pct"/>
                  <w:vMerge w:val="continue"/>
                  <w:tcBorders>
                    <w:top w:val="single" w:color="000000" w:sz="4" w:space="0"/>
                    <w:left w:val="single" w:color="000000" w:sz="4" w:space="0"/>
                    <w:bottom w:val="single" w:color="000000" w:sz="4" w:space="0"/>
                    <w:right w:val="single" w:color="000000" w:sz="4" w:space="0"/>
                  </w:tcBorders>
                  <w:vAlign w:val="center"/>
                </w:tcPr>
                <w:p>
                  <w:pPr>
                    <w:widowControl/>
                    <w:snapToGrid w:val="0"/>
                    <w:spacing w:line="240" w:lineRule="auto"/>
                    <w:ind w:firstLine="0" w:firstLineChars="0"/>
                    <w:jc w:val="left"/>
                    <w:rPr>
                      <w:rFonts w:cs="Times New Roman"/>
                      <w:color w:val="auto"/>
                      <w:kern w:val="0"/>
                      <w:sz w:val="21"/>
                      <w:szCs w:val="21"/>
                    </w:rPr>
                  </w:pPr>
                </w:p>
              </w:tc>
              <w:tc>
                <w:tcPr>
                  <w:tcW w:w="242"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kern w:val="0"/>
                      <w:sz w:val="21"/>
                      <w:szCs w:val="21"/>
                    </w:rPr>
                    <w:t>氮氧化物</w:t>
                  </w:r>
                </w:p>
              </w:tc>
              <w:tc>
                <w:tcPr>
                  <w:tcW w:w="242" w:type="pct"/>
                  <w:vMerge w:val="continue"/>
                  <w:tcBorders>
                    <w:top w:val="single" w:color="000000" w:sz="4" w:space="0"/>
                    <w:left w:val="single" w:color="000000" w:sz="4" w:space="0"/>
                    <w:bottom w:val="single" w:color="000000" w:sz="4" w:space="0"/>
                    <w:right w:val="single" w:color="000000" w:sz="4" w:space="0"/>
                  </w:tcBorders>
                  <w:vAlign w:val="center"/>
                </w:tcPr>
                <w:p>
                  <w:pPr>
                    <w:widowControl/>
                    <w:snapToGrid w:val="0"/>
                    <w:spacing w:line="240" w:lineRule="auto"/>
                    <w:ind w:firstLine="0" w:firstLineChars="0"/>
                    <w:jc w:val="left"/>
                    <w:rPr>
                      <w:rFonts w:cs="Times New Roman"/>
                      <w:color w:val="auto"/>
                      <w:kern w:val="0"/>
                      <w:sz w:val="21"/>
                      <w:szCs w:val="21"/>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kern w:val="0"/>
                      <w:sz w:val="21"/>
                      <w:szCs w:val="21"/>
                    </w:rPr>
                    <w:t>1.5100</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kern w:val="0"/>
                      <w:sz w:val="21"/>
                      <w:szCs w:val="21"/>
                    </w:rPr>
                    <w:t>0.2097</w:t>
                  </w:r>
                </w:p>
              </w:tc>
              <w:tc>
                <w:tcPr>
                  <w:tcW w:w="46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kern w:val="0"/>
                      <w:sz w:val="21"/>
                      <w:szCs w:val="21"/>
                    </w:rPr>
                    <w:t>104.86</w:t>
                  </w:r>
                </w:p>
              </w:tc>
              <w:tc>
                <w:tcPr>
                  <w:tcW w:w="242" w:type="pct"/>
                  <w:vMerge w:val="continue"/>
                  <w:tcBorders>
                    <w:top w:val="single" w:color="000000" w:sz="4" w:space="0"/>
                    <w:left w:val="single" w:color="000000" w:sz="4" w:space="0"/>
                    <w:bottom w:val="single" w:color="000000" w:sz="4" w:space="0"/>
                    <w:right w:val="single" w:color="000000" w:sz="4" w:space="0"/>
                  </w:tcBorders>
                  <w:vAlign w:val="center"/>
                </w:tcPr>
                <w:p>
                  <w:pPr>
                    <w:widowControl/>
                    <w:snapToGrid w:val="0"/>
                    <w:spacing w:line="240" w:lineRule="auto"/>
                    <w:ind w:firstLine="0" w:firstLineChars="0"/>
                    <w:jc w:val="left"/>
                    <w:rPr>
                      <w:rFonts w:cs="Times New Roman"/>
                      <w:color w:val="auto"/>
                      <w:kern w:val="0"/>
                      <w:sz w:val="21"/>
                      <w:szCs w:val="21"/>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0</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1.5100</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0.2097</w:t>
                  </w:r>
                </w:p>
              </w:tc>
              <w:tc>
                <w:tcPr>
                  <w:tcW w:w="46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104.86</w:t>
                  </w:r>
                </w:p>
              </w:tc>
              <w:tc>
                <w:tcPr>
                  <w:tcW w:w="356" w:type="pct"/>
                  <w:vMerge w:val="continue"/>
                  <w:tcBorders>
                    <w:top w:val="single" w:color="000000" w:sz="4" w:space="0"/>
                    <w:left w:val="single" w:color="000000" w:sz="4" w:space="0"/>
                    <w:bottom w:val="single" w:color="000000" w:sz="4" w:space="0"/>
                    <w:right w:val="single" w:color="000000" w:sz="4" w:space="0"/>
                  </w:tcBorders>
                  <w:vAlign w:val="center"/>
                </w:tcPr>
                <w:p>
                  <w:pPr>
                    <w:widowControl/>
                    <w:snapToGrid w:val="0"/>
                    <w:spacing w:line="240" w:lineRule="auto"/>
                    <w:ind w:firstLine="0" w:firstLineChars="0"/>
                    <w:jc w:val="left"/>
                    <w:rPr>
                      <w:rFonts w:cs="Times New Roman"/>
                      <w:color w:val="auto"/>
                      <w:kern w:val="0"/>
                      <w:sz w:val="21"/>
                      <w:szCs w:val="21"/>
                    </w:rPr>
                  </w:pPr>
                </w:p>
              </w:tc>
            </w:tr>
            <w:tr>
              <w:tblPrEx>
                <w:tblCellMar>
                  <w:top w:w="0" w:type="dxa"/>
                  <w:left w:w="108" w:type="dxa"/>
                  <w:bottom w:w="0" w:type="dxa"/>
                  <w:right w:w="108" w:type="dxa"/>
                </w:tblCellMar>
              </w:tblPrEx>
              <w:trPr>
                <w:trHeight w:val="340" w:hRule="atLeast"/>
              </w:trPr>
              <w:tc>
                <w:tcPr>
                  <w:tcW w:w="241" w:type="pct"/>
                  <w:vMerge w:val="continue"/>
                  <w:tcBorders>
                    <w:top w:val="single" w:color="000000" w:sz="4" w:space="0"/>
                    <w:left w:val="single" w:color="000000" w:sz="4" w:space="0"/>
                    <w:bottom w:val="single" w:color="000000" w:sz="4" w:space="0"/>
                    <w:right w:val="single" w:color="000000" w:sz="4" w:space="0"/>
                  </w:tcBorders>
                  <w:vAlign w:val="center"/>
                </w:tcPr>
                <w:p>
                  <w:pPr>
                    <w:widowControl/>
                    <w:snapToGrid w:val="0"/>
                    <w:spacing w:line="240" w:lineRule="auto"/>
                    <w:ind w:firstLine="0" w:firstLineChars="0"/>
                    <w:jc w:val="left"/>
                    <w:rPr>
                      <w:rFonts w:cs="Times New Roman"/>
                      <w:color w:val="auto"/>
                      <w:kern w:val="0"/>
                      <w:sz w:val="21"/>
                      <w:szCs w:val="21"/>
                    </w:rPr>
                  </w:pPr>
                </w:p>
              </w:tc>
              <w:tc>
                <w:tcPr>
                  <w:tcW w:w="587" w:type="pct"/>
                  <w:vMerge w:val="continue"/>
                  <w:tcBorders>
                    <w:top w:val="single" w:color="000000" w:sz="4" w:space="0"/>
                    <w:left w:val="single" w:color="000000" w:sz="4" w:space="0"/>
                    <w:bottom w:val="single" w:color="000000" w:sz="4" w:space="0"/>
                    <w:right w:val="single" w:color="000000" w:sz="4" w:space="0"/>
                  </w:tcBorders>
                  <w:vAlign w:val="center"/>
                </w:tcPr>
                <w:p>
                  <w:pPr>
                    <w:widowControl/>
                    <w:snapToGrid w:val="0"/>
                    <w:spacing w:line="240" w:lineRule="auto"/>
                    <w:ind w:firstLine="0" w:firstLineChars="0"/>
                    <w:jc w:val="left"/>
                    <w:rPr>
                      <w:rFonts w:cs="Times New Roman"/>
                      <w:color w:val="auto"/>
                      <w:kern w:val="0"/>
                      <w:sz w:val="21"/>
                      <w:szCs w:val="21"/>
                    </w:rPr>
                  </w:pPr>
                </w:p>
              </w:tc>
              <w:tc>
                <w:tcPr>
                  <w:tcW w:w="242"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kern w:val="0"/>
                      <w:sz w:val="21"/>
                      <w:szCs w:val="21"/>
                    </w:rPr>
                    <w:t>氟化物</w:t>
                  </w:r>
                </w:p>
              </w:tc>
              <w:tc>
                <w:tcPr>
                  <w:tcW w:w="242" w:type="pct"/>
                  <w:vMerge w:val="continue"/>
                  <w:tcBorders>
                    <w:top w:val="single" w:color="000000" w:sz="4" w:space="0"/>
                    <w:left w:val="single" w:color="000000" w:sz="4" w:space="0"/>
                    <w:bottom w:val="single" w:color="000000" w:sz="4" w:space="0"/>
                    <w:right w:val="single" w:color="000000" w:sz="4" w:space="0"/>
                  </w:tcBorders>
                  <w:vAlign w:val="center"/>
                </w:tcPr>
                <w:p>
                  <w:pPr>
                    <w:widowControl/>
                    <w:snapToGrid w:val="0"/>
                    <w:spacing w:line="240" w:lineRule="auto"/>
                    <w:ind w:firstLine="0" w:firstLineChars="0"/>
                    <w:jc w:val="left"/>
                    <w:rPr>
                      <w:rFonts w:cs="Times New Roman"/>
                      <w:color w:val="auto"/>
                      <w:kern w:val="0"/>
                      <w:sz w:val="21"/>
                      <w:szCs w:val="21"/>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kern w:val="0"/>
                      <w:sz w:val="21"/>
                      <w:szCs w:val="21"/>
                    </w:rPr>
                    <w:t>0.0360</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kern w:val="0"/>
                      <w:sz w:val="21"/>
                      <w:szCs w:val="21"/>
                    </w:rPr>
                    <w:t>0.0050</w:t>
                  </w:r>
                </w:p>
              </w:tc>
              <w:tc>
                <w:tcPr>
                  <w:tcW w:w="46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kern w:val="0"/>
                      <w:sz w:val="21"/>
                      <w:szCs w:val="21"/>
                    </w:rPr>
                    <w:t>2.50</w:t>
                  </w:r>
                </w:p>
              </w:tc>
              <w:tc>
                <w:tcPr>
                  <w:tcW w:w="242" w:type="pct"/>
                  <w:vMerge w:val="continue"/>
                  <w:tcBorders>
                    <w:top w:val="single" w:color="000000" w:sz="4" w:space="0"/>
                    <w:left w:val="single" w:color="000000" w:sz="4" w:space="0"/>
                    <w:bottom w:val="single" w:color="000000" w:sz="4" w:space="0"/>
                    <w:right w:val="single" w:color="000000" w:sz="4" w:space="0"/>
                  </w:tcBorders>
                  <w:vAlign w:val="center"/>
                </w:tcPr>
                <w:p>
                  <w:pPr>
                    <w:widowControl/>
                    <w:snapToGrid w:val="0"/>
                    <w:spacing w:line="240" w:lineRule="auto"/>
                    <w:ind w:firstLine="0" w:firstLineChars="0"/>
                    <w:jc w:val="left"/>
                    <w:rPr>
                      <w:rFonts w:cs="Times New Roman"/>
                      <w:color w:val="auto"/>
                      <w:kern w:val="0"/>
                      <w:sz w:val="21"/>
                      <w:szCs w:val="21"/>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85</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0.0054</w:t>
                  </w:r>
                </w:p>
              </w:tc>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0.0008</w:t>
                  </w:r>
                </w:p>
              </w:tc>
              <w:tc>
                <w:tcPr>
                  <w:tcW w:w="46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240" w:lineRule="auto"/>
                    <w:ind w:firstLine="0" w:firstLineChars="0"/>
                    <w:jc w:val="center"/>
                    <w:rPr>
                      <w:rFonts w:cs="Times New Roman"/>
                      <w:color w:val="auto"/>
                      <w:kern w:val="0"/>
                      <w:sz w:val="21"/>
                      <w:szCs w:val="21"/>
                    </w:rPr>
                  </w:pPr>
                  <w:r>
                    <w:rPr>
                      <w:rFonts w:cs="Times New Roman"/>
                      <w:color w:val="auto"/>
                      <w:sz w:val="21"/>
                      <w:szCs w:val="21"/>
                    </w:rPr>
                    <w:t>0.38</w:t>
                  </w:r>
                </w:p>
              </w:tc>
              <w:tc>
                <w:tcPr>
                  <w:tcW w:w="356" w:type="pct"/>
                  <w:vMerge w:val="continue"/>
                  <w:tcBorders>
                    <w:top w:val="single" w:color="000000" w:sz="4" w:space="0"/>
                    <w:left w:val="single" w:color="000000" w:sz="4" w:space="0"/>
                    <w:bottom w:val="single" w:color="000000" w:sz="4" w:space="0"/>
                    <w:right w:val="single" w:color="000000" w:sz="4" w:space="0"/>
                  </w:tcBorders>
                  <w:vAlign w:val="center"/>
                </w:tcPr>
                <w:p>
                  <w:pPr>
                    <w:widowControl/>
                    <w:snapToGrid w:val="0"/>
                    <w:spacing w:line="240" w:lineRule="auto"/>
                    <w:ind w:firstLine="0" w:firstLineChars="0"/>
                    <w:jc w:val="left"/>
                    <w:rPr>
                      <w:rFonts w:cs="Times New Roman"/>
                      <w:color w:val="auto"/>
                      <w:kern w:val="0"/>
                      <w:sz w:val="21"/>
                      <w:szCs w:val="21"/>
                    </w:rPr>
                  </w:pPr>
                </w:p>
              </w:tc>
            </w:tr>
          </w:tbl>
          <w:p>
            <w:pPr>
              <w:ind w:firstLine="480"/>
              <w:rPr>
                <w:rFonts w:cs="Times New Roman"/>
                <w:bCs/>
                <w:color w:val="auto"/>
              </w:rPr>
            </w:pPr>
            <w:r>
              <w:rPr>
                <w:rFonts w:cs="Times New Roman"/>
                <w:bCs/>
                <w:color w:val="auto"/>
              </w:rPr>
              <w:t>（4）混料过筛G2-4、气流粉碎G2-5、射流分级G2-6粉尘</w:t>
            </w:r>
          </w:p>
          <w:p>
            <w:pPr>
              <w:ind w:firstLine="480"/>
              <w:contextualSpacing/>
              <w:rPr>
                <w:rFonts w:cs="Times New Roman"/>
                <w:bCs/>
                <w:color w:val="auto"/>
              </w:rPr>
            </w:pPr>
            <w:r>
              <w:rPr>
                <w:rFonts w:cs="Times New Roman"/>
                <w:color w:val="auto"/>
              </w:rPr>
              <w:t>二期工程后加工阶段设备依托一期工程，一期工程设置2台混料筛分机、2台气流粉碎机、1台射流分级机，生产过程会产生粉尘，气流磨工作时，气流运送物料在粉碎机内循环多次破碎，最终达到产品粒度要求，参考《逸散性工业粉尘控制技术》“三级破碎”按3.0kg/t（破碎料）计算，粉生产量为1500t/a，粉尘产生量为4.5t/a；气流磨</w:t>
            </w:r>
            <w:r>
              <w:rPr>
                <w:rFonts w:cs="Times New Roman"/>
                <w:bCs/>
                <w:color w:val="auto"/>
              </w:rPr>
              <w:t>为封闭结构，集气效率按100%计，风机风量为1000m</w:t>
            </w:r>
            <w:r>
              <w:rPr>
                <w:rFonts w:cs="Times New Roman"/>
                <w:bCs/>
                <w:color w:val="auto"/>
                <w:vertAlign w:val="superscript"/>
              </w:rPr>
              <w:t>3</w:t>
            </w:r>
            <w:r>
              <w:rPr>
                <w:rFonts w:cs="Times New Roman"/>
                <w:bCs/>
                <w:color w:val="auto"/>
              </w:rPr>
              <w:t>/h，</w:t>
            </w:r>
            <w:r>
              <w:rPr>
                <w:rFonts w:cs="Times New Roman"/>
                <w:color w:val="auto"/>
              </w:rPr>
              <w:t>经</w:t>
            </w:r>
            <w:r>
              <w:rPr>
                <w:rFonts w:cs="Times New Roman"/>
                <w:bCs/>
                <w:color w:val="auto"/>
              </w:rPr>
              <w:t>布袋除尘器（除尘效率为99%）处理后经一根高15m排气筒（P3）排放。</w:t>
            </w:r>
          </w:p>
          <w:p>
            <w:pPr>
              <w:ind w:firstLine="480"/>
              <w:rPr>
                <w:rFonts w:cs="Times New Roman"/>
                <w:color w:val="auto"/>
              </w:rPr>
            </w:pPr>
            <w:r>
              <w:rPr>
                <w:rFonts w:cs="Times New Roman"/>
                <w:color w:val="auto"/>
              </w:rPr>
              <w:t>（5）喷雾干燥G2-7</w:t>
            </w:r>
          </w:p>
          <w:p>
            <w:pPr>
              <w:ind w:firstLine="480"/>
              <w:rPr>
                <w:rFonts w:cs="Times New Roman"/>
                <w:bCs/>
                <w:color w:val="auto"/>
              </w:rPr>
            </w:pPr>
            <w:bookmarkStart w:id="72" w:name="_Hlk163637401"/>
            <w:r>
              <w:rPr>
                <w:rFonts w:cs="Times New Roman"/>
                <w:color w:val="auto"/>
              </w:rPr>
              <w:t>二期工程喷雾干燥依托一期工程。</w:t>
            </w:r>
          </w:p>
          <w:bookmarkEnd w:id="72"/>
          <w:p>
            <w:pPr>
              <w:ind w:firstLine="480"/>
              <w:rPr>
                <w:rFonts w:cs="Times New Roman"/>
                <w:bCs/>
                <w:color w:val="auto"/>
              </w:rPr>
            </w:pPr>
            <w:r>
              <w:rPr>
                <w:rFonts w:cs="Times New Roman"/>
                <w:color w:val="auto"/>
              </w:rPr>
              <w:t>喷雾干燥工段废气主要为天然气燃烧废气（颗粒物、二氧化硫、氮氧化物），干燥废气（颗粒物）。</w:t>
            </w:r>
          </w:p>
          <w:p>
            <w:pPr>
              <w:ind w:firstLine="480"/>
              <w:rPr>
                <w:rFonts w:cs="Times New Roman"/>
                <w:color w:val="auto"/>
              </w:rPr>
            </w:pPr>
            <w:r>
              <w:rPr>
                <w:rFonts w:cs="Times New Roman"/>
                <w:color w:val="auto"/>
              </w:rPr>
              <w:t>一期工程和二期工程共用喷雾干燥，新建1台天然气干燥器，天然气燃烧后的废气经1根15m排气筒（P3）直接排放。本项目干燥器采用天然气作为燃料，干燥器每小时耗气量为16.15m</w:t>
            </w:r>
            <w:r>
              <w:rPr>
                <w:rFonts w:cs="Times New Roman"/>
                <w:color w:val="auto"/>
                <w:vertAlign w:val="superscript"/>
              </w:rPr>
              <w:t>3</w:t>
            </w:r>
            <w:r>
              <w:rPr>
                <w:rFonts w:cs="Times New Roman"/>
                <w:color w:val="auto"/>
              </w:rPr>
              <w:t>，</w:t>
            </w:r>
            <w:r>
              <w:rPr>
                <w:rFonts w:cs="Times New Roman"/>
                <w:bCs/>
                <w:color w:val="auto"/>
              </w:rPr>
              <w:t>年工作时间为3600h</w:t>
            </w:r>
            <w:r>
              <w:rPr>
                <w:rFonts w:cs="Times New Roman"/>
                <w:color w:val="auto"/>
              </w:rPr>
              <w:t>，天然气年消耗量为</w:t>
            </w:r>
            <w:r>
              <w:rPr>
                <w:rFonts w:hint="eastAsia" w:cs="Times New Roman"/>
                <w:color w:val="auto"/>
                <w:lang w:val="en-US" w:eastAsia="zh-CN"/>
              </w:rPr>
              <w:t>58250</w:t>
            </w:r>
            <w:r>
              <w:rPr>
                <w:rFonts w:cs="Times New Roman"/>
                <w:color w:val="auto"/>
              </w:rPr>
              <w:t>m</w:t>
            </w:r>
            <w:r>
              <w:rPr>
                <w:rFonts w:cs="Times New Roman"/>
                <w:color w:val="auto"/>
                <w:vertAlign w:val="superscript"/>
              </w:rPr>
              <w:t>3</w:t>
            </w:r>
            <w:r>
              <w:rPr>
                <w:rFonts w:cs="Times New Roman"/>
                <w:color w:val="auto"/>
              </w:rPr>
              <w:t>/a；</w:t>
            </w:r>
          </w:p>
          <w:p>
            <w:pPr>
              <w:ind w:firstLine="480"/>
              <w:rPr>
                <w:rFonts w:cs="Times New Roman"/>
                <w:b/>
                <w:bCs/>
                <w:color w:val="auto"/>
                <w:sz w:val="20"/>
                <w:szCs w:val="18"/>
              </w:rPr>
            </w:pPr>
            <w:r>
              <w:rPr>
                <w:rFonts w:cs="Times New Roman"/>
                <w:bCs/>
                <w:color w:val="auto"/>
              </w:rPr>
              <w:t>天然气燃烧废气产排参照</w:t>
            </w:r>
            <w:r>
              <w:rPr>
                <w:rFonts w:cs="Times New Roman"/>
                <w:color w:val="auto"/>
              </w:rPr>
              <w:t>《排放源统计调查产排污核算方法和系数手册》“4430锅炉产排污量核算系数手册”产污系数取值。</w:t>
            </w:r>
          </w:p>
          <w:p>
            <w:pPr>
              <w:ind w:firstLine="480"/>
              <w:rPr>
                <w:rFonts w:cs="Times New Roman"/>
                <w:bCs/>
                <w:color w:val="auto"/>
              </w:rPr>
            </w:pPr>
            <w:r>
              <w:rPr>
                <w:rFonts w:cs="Times New Roman"/>
                <w:color w:val="auto"/>
              </w:rPr>
              <w:t>经计算，喷雾干燥颗粒物的产生量为0.0029t/a（0.0004kg/h），二氧化硫的产生量为0.0117t/a（0.0016kg/h），氮氧化物的产生量为0.0924t/a（0.0128kg/h），产生的废气汇入到布袋除尘器</w:t>
            </w:r>
            <w:r>
              <w:rPr>
                <w:rFonts w:cs="Times New Roman"/>
                <w:bCs/>
                <w:color w:val="auto"/>
              </w:rPr>
              <w:t>内进行处置，颗粒物处理效率可达到99%，</w:t>
            </w:r>
            <w:r>
              <w:rPr>
                <w:rFonts w:cs="Times New Roman"/>
                <w:color w:val="auto"/>
              </w:rPr>
              <w:t>处理后的废气与</w:t>
            </w:r>
            <w:r>
              <w:rPr>
                <w:rFonts w:cs="Times New Roman"/>
                <w:bCs/>
                <w:color w:val="auto"/>
              </w:rPr>
              <w:t>混料过筛、气流粉碎、射流分级</w:t>
            </w:r>
            <w:r>
              <w:rPr>
                <w:rFonts w:cs="Times New Roman"/>
                <w:color w:val="auto"/>
              </w:rPr>
              <w:t>工序废气合并后通过1根</w:t>
            </w:r>
            <w:r>
              <w:rPr>
                <w:rFonts w:cs="Times New Roman"/>
                <w:bCs/>
                <w:color w:val="auto"/>
              </w:rPr>
              <w:t>15m排气筒（P3）排放。</w:t>
            </w:r>
          </w:p>
          <w:p>
            <w:pPr>
              <w:ind w:firstLine="480"/>
              <w:contextualSpacing/>
              <w:rPr>
                <w:rFonts w:cs="Times New Roman"/>
                <w:bCs/>
                <w:color w:val="auto"/>
              </w:rPr>
            </w:pPr>
            <w:r>
              <w:rPr>
                <w:rFonts w:cs="Times New Roman"/>
                <w:color w:val="auto"/>
              </w:rPr>
              <w:t>干燥过程与筛分过程类似，参考《逸散性工业粉尘控制技术》粒料加工厂逸散尘排放因子，筛分粉尘因子为1.0kg/t，</w:t>
            </w:r>
            <w:r>
              <w:rPr>
                <w:rFonts w:cs="Times New Roman"/>
                <w:bCs/>
                <w:color w:val="auto"/>
              </w:rPr>
              <w:t>年干燥抛光粉物料3406.81吨，则粉尘产生量为3.41t/a（0.47</w:t>
            </w:r>
            <w:r>
              <w:rPr>
                <w:rFonts w:cs="Times New Roman"/>
                <w:color w:val="auto"/>
              </w:rPr>
              <w:t>kg/h</w:t>
            </w:r>
            <w:r>
              <w:rPr>
                <w:rFonts w:cs="Times New Roman"/>
                <w:bCs/>
                <w:color w:val="auto"/>
              </w:rPr>
              <w:t>），通入燃烧废气碱喷淋塔内进行处置。颗粒物处理效率可达到90%，</w:t>
            </w:r>
            <w:r>
              <w:rPr>
                <w:rFonts w:cs="Times New Roman"/>
                <w:color w:val="auto"/>
              </w:rPr>
              <w:t>处理后的废气与氟化工序废气合并后通过1根</w:t>
            </w:r>
            <w:r>
              <w:rPr>
                <w:rFonts w:cs="Times New Roman"/>
                <w:bCs/>
                <w:color w:val="auto"/>
              </w:rPr>
              <w:t>15m排气筒（P3）排放。</w:t>
            </w:r>
          </w:p>
          <w:p>
            <w:pPr>
              <w:ind w:firstLine="0" w:firstLineChars="0"/>
              <w:jc w:val="center"/>
              <w:rPr>
                <w:rFonts w:cs="Times New Roman"/>
                <w:b/>
                <w:bCs/>
                <w:color w:val="auto"/>
                <w:szCs w:val="22"/>
              </w:rPr>
            </w:pPr>
            <w:r>
              <w:rPr>
                <w:rFonts w:cs="Times New Roman"/>
                <w:b/>
                <w:bCs/>
                <w:color w:val="auto"/>
                <w:szCs w:val="22"/>
              </w:rPr>
              <w:t>表4-8本项目</w:t>
            </w:r>
            <w:r>
              <w:rPr>
                <w:rFonts w:cs="Times New Roman"/>
                <w:b/>
                <w:bCs/>
                <w:color w:val="auto"/>
              </w:rPr>
              <w:t>料过筛、气流粉碎、射流分级</w:t>
            </w:r>
            <w:r>
              <w:rPr>
                <w:rFonts w:cs="Times New Roman"/>
                <w:b/>
                <w:bCs/>
                <w:color w:val="auto"/>
                <w:szCs w:val="22"/>
              </w:rPr>
              <w:t>、喷雾干燥产排污情况表</w:t>
            </w:r>
          </w:p>
          <w:tbl>
            <w:tblPr>
              <w:tblStyle w:val="26"/>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636"/>
              <w:gridCol w:w="1056"/>
              <w:gridCol w:w="427"/>
              <w:gridCol w:w="427"/>
              <w:gridCol w:w="794"/>
              <w:gridCol w:w="794"/>
              <w:gridCol w:w="899"/>
              <w:gridCol w:w="636"/>
              <w:gridCol w:w="637"/>
              <w:gridCol w:w="794"/>
              <w:gridCol w:w="794"/>
              <w:gridCol w:w="835"/>
              <w:gridCol w:w="63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23" w:type="pct"/>
                  <w:vMerge w:val="restart"/>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污染源</w:t>
                  </w:r>
                </w:p>
              </w:tc>
              <w:tc>
                <w:tcPr>
                  <w:tcW w:w="520" w:type="pct"/>
                  <w:vMerge w:val="restart"/>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废气量（m</w:t>
                  </w:r>
                  <w:r>
                    <w:rPr>
                      <w:rFonts w:cs="Times New Roman"/>
                      <w:b/>
                      <w:bCs/>
                      <w:color w:val="auto"/>
                      <w:kern w:val="0"/>
                      <w:sz w:val="21"/>
                      <w:szCs w:val="21"/>
                      <w:vertAlign w:val="superscript"/>
                    </w:rPr>
                    <w:t>3</w:t>
                  </w:r>
                  <w:r>
                    <w:rPr>
                      <w:rFonts w:cs="Times New Roman"/>
                      <w:b/>
                      <w:bCs/>
                      <w:color w:val="auto"/>
                      <w:kern w:val="0"/>
                      <w:sz w:val="21"/>
                      <w:szCs w:val="21"/>
                    </w:rPr>
                    <w:t>/h）</w:t>
                  </w:r>
                </w:p>
              </w:tc>
              <w:tc>
                <w:tcPr>
                  <w:tcW w:w="225" w:type="pct"/>
                  <w:vMerge w:val="restart"/>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污染物</w:t>
                  </w:r>
                </w:p>
              </w:tc>
              <w:tc>
                <w:tcPr>
                  <w:tcW w:w="1584" w:type="pct"/>
                  <w:gridSpan w:val="4"/>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污染物产生</w:t>
                  </w:r>
                </w:p>
              </w:tc>
              <w:tc>
                <w:tcPr>
                  <w:tcW w:w="743" w:type="pct"/>
                  <w:gridSpan w:val="2"/>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治理措施</w:t>
                  </w:r>
                </w:p>
              </w:tc>
              <w:tc>
                <w:tcPr>
                  <w:tcW w:w="1284" w:type="pct"/>
                  <w:gridSpan w:val="3"/>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污染物排放</w:t>
                  </w:r>
                </w:p>
              </w:tc>
              <w:tc>
                <w:tcPr>
                  <w:tcW w:w="323" w:type="pct"/>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排放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23" w:type="pct"/>
                  <w:vMerge w:val="continue"/>
                  <w:vAlign w:val="center"/>
                </w:tcPr>
                <w:p>
                  <w:pPr>
                    <w:widowControl/>
                    <w:spacing w:line="240" w:lineRule="auto"/>
                    <w:ind w:firstLine="0" w:firstLineChars="0"/>
                    <w:jc w:val="left"/>
                    <w:rPr>
                      <w:rFonts w:cs="Times New Roman"/>
                      <w:b/>
                      <w:bCs/>
                      <w:color w:val="auto"/>
                      <w:kern w:val="0"/>
                      <w:sz w:val="21"/>
                      <w:szCs w:val="21"/>
                    </w:rPr>
                  </w:pPr>
                </w:p>
              </w:tc>
              <w:tc>
                <w:tcPr>
                  <w:tcW w:w="520" w:type="pct"/>
                  <w:vMerge w:val="continue"/>
                  <w:vAlign w:val="center"/>
                </w:tcPr>
                <w:p>
                  <w:pPr>
                    <w:widowControl/>
                    <w:spacing w:line="240" w:lineRule="auto"/>
                    <w:ind w:firstLine="0" w:firstLineChars="0"/>
                    <w:jc w:val="left"/>
                    <w:rPr>
                      <w:rFonts w:cs="Times New Roman"/>
                      <w:b/>
                      <w:bCs/>
                      <w:color w:val="auto"/>
                      <w:kern w:val="0"/>
                      <w:sz w:val="21"/>
                      <w:szCs w:val="21"/>
                    </w:rPr>
                  </w:pPr>
                </w:p>
              </w:tc>
              <w:tc>
                <w:tcPr>
                  <w:tcW w:w="225" w:type="pct"/>
                  <w:vMerge w:val="continue"/>
                  <w:vAlign w:val="center"/>
                </w:tcPr>
                <w:p>
                  <w:pPr>
                    <w:widowControl/>
                    <w:spacing w:line="240" w:lineRule="auto"/>
                    <w:ind w:firstLine="0" w:firstLineChars="0"/>
                    <w:jc w:val="left"/>
                    <w:rPr>
                      <w:rFonts w:cs="Times New Roman"/>
                      <w:b/>
                      <w:bCs/>
                      <w:color w:val="auto"/>
                      <w:kern w:val="0"/>
                      <w:sz w:val="21"/>
                      <w:szCs w:val="21"/>
                    </w:rPr>
                  </w:pPr>
                </w:p>
              </w:tc>
              <w:tc>
                <w:tcPr>
                  <w:tcW w:w="225" w:type="pct"/>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核算方法</w:t>
                  </w:r>
                </w:p>
              </w:tc>
              <w:tc>
                <w:tcPr>
                  <w:tcW w:w="434" w:type="pct"/>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产生量t/a</w:t>
                  </w:r>
                </w:p>
              </w:tc>
              <w:tc>
                <w:tcPr>
                  <w:tcW w:w="434" w:type="pct"/>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产生速率kg/h</w:t>
                  </w:r>
                </w:p>
              </w:tc>
              <w:tc>
                <w:tcPr>
                  <w:tcW w:w="490" w:type="pct"/>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产生浓度mg/m3</w:t>
                  </w:r>
                </w:p>
              </w:tc>
              <w:tc>
                <w:tcPr>
                  <w:tcW w:w="420" w:type="pct"/>
                  <w:shd w:val="clear" w:color="auto" w:fill="auto"/>
                  <w:vAlign w:val="center"/>
                </w:tcPr>
                <w:p>
                  <w:pPr>
                    <w:widowControl/>
                    <w:spacing w:line="240" w:lineRule="auto"/>
                    <w:ind w:firstLine="0" w:firstLineChars="0"/>
                    <w:jc w:val="left"/>
                    <w:rPr>
                      <w:rFonts w:cs="Times New Roman"/>
                      <w:b/>
                      <w:bCs/>
                      <w:color w:val="auto"/>
                      <w:kern w:val="0"/>
                      <w:sz w:val="21"/>
                      <w:szCs w:val="21"/>
                    </w:rPr>
                  </w:pPr>
                  <w:r>
                    <w:rPr>
                      <w:rFonts w:cs="Times New Roman"/>
                      <w:b/>
                      <w:bCs/>
                      <w:color w:val="auto"/>
                      <w:kern w:val="0"/>
                      <w:sz w:val="21"/>
                      <w:szCs w:val="21"/>
                    </w:rPr>
                    <w:t>工艺</w:t>
                  </w:r>
                </w:p>
              </w:tc>
              <w:tc>
                <w:tcPr>
                  <w:tcW w:w="323" w:type="pct"/>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效率%</w:t>
                  </w:r>
                </w:p>
              </w:tc>
              <w:tc>
                <w:tcPr>
                  <w:tcW w:w="434" w:type="pct"/>
                  <w:shd w:val="clear" w:color="auto" w:fill="auto"/>
                  <w:vAlign w:val="center"/>
                </w:tcPr>
                <w:p>
                  <w:pPr>
                    <w:widowControl/>
                    <w:spacing w:line="240" w:lineRule="auto"/>
                    <w:ind w:firstLine="0" w:firstLineChars="0"/>
                    <w:jc w:val="left"/>
                    <w:rPr>
                      <w:rFonts w:cs="Times New Roman"/>
                      <w:b/>
                      <w:bCs/>
                      <w:color w:val="auto"/>
                      <w:kern w:val="0"/>
                      <w:sz w:val="21"/>
                      <w:szCs w:val="21"/>
                    </w:rPr>
                  </w:pPr>
                  <w:r>
                    <w:rPr>
                      <w:rFonts w:cs="Times New Roman"/>
                      <w:b/>
                      <w:bCs/>
                      <w:color w:val="auto"/>
                      <w:kern w:val="0"/>
                      <w:sz w:val="21"/>
                      <w:szCs w:val="21"/>
                    </w:rPr>
                    <w:t>排放量t/a</w:t>
                  </w:r>
                </w:p>
              </w:tc>
              <w:tc>
                <w:tcPr>
                  <w:tcW w:w="434" w:type="pct"/>
                  <w:shd w:val="clear" w:color="auto" w:fill="auto"/>
                  <w:vAlign w:val="center"/>
                </w:tcPr>
                <w:p>
                  <w:pPr>
                    <w:widowControl/>
                    <w:spacing w:line="240" w:lineRule="auto"/>
                    <w:ind w:firstLine="0" w:firstLineChars="0"/>
                    <w:jc w:val="left"/>
                    <w:rPr>
                      <w:rFonts w:cs="Times New Roman"/>
                      <w:b/>
                      <w:bCs/>
                      <w:color w:val="auto"/>
                      <w:kern w:val="0"/>
                      <w:sz w:val="21"/>
                      <w:szCs w:val="21"/>
                    </w:rPr>
                  </w:pPr>
                  <w:r>
                    <w:rPr>
                      <w:rFonts w:cs="Times New Roman"/>
                      <w:b/>
                      <w:bCs/>
                      <w:color w:val="auto"/>
                      <w:kern w:val="0"/>
                      <w:sz w:val="21"/>
                      <w:szCs w:val="21"/>
                    </w:rPr>
                    <w:t>排放速率kg/h</w:t>
                  </w:r>
                </w:p>
              </w:tc>
              <w:tc>
                <w:tcPr>
                  <w:tcW w:w="415" w:type="pct"/>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排放浓度mg/m3</w:t>
                  </w:r>
                </w:p>
              </w:tc>
              <w:tc>
                <w:tcPr>
                  <w:tcW w:w="323" w:type="pct"/>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时间h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23" w:type="pct"/>
                  <w:vMerge w:val="restar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后加工阶段、喷雾干燥</w:t>
                  </w:r>
                </w:p>
              </w:tc>
              <w:tc>
                <w:tcPr>
                  <w:tcW w:w="520" w:type="pct"/>
                  <w:vMerge w:val="restar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1000</w:t>
                  </w:r>
                </w:p>
              </w:tc>
              <w:tc>
                <w:tcPr>
                  <w:tcW w:w="225"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颗粒物</w:t>
                  </w:r>
                </w:p>
              </w:tc>
              <w:tc>
                <w:tcPr>
                  <w:tcW w:w="225" w:type="pct"/>
                  <w:vMerge w:val="restar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产污系数法</w:t>
                  </w:r>
                </w:p>
              </w:tc>
              <w:tc>
                <w:tcPr>
                  <w:tcW w:w="434"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7.9097</w:t>
                  </w:r>
                </w:p>
              </w:tc>
              <w:tc>
                <w:tcPr>
                  <w:tcW w:w="434"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1.2504</w:t>
                  </w:r>
                </w:p>
              </w:tc>
              <w:tc>
                <w:tcPr>
                  <w:tcW w:w="490"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1250.40</w:t>
                  </w:r>
                </w:p>
              </w:tc>
              <w:tc>
                <w:tcPr>
                  <w:tcW w:w="420" w:type="pct"/>
                  <w:vMerge w:val="restar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布袋除尘器（1套）</w:t>
                  </w:r>
                </w:p>
              </w:tc>
              <w:tc>
                <w:tcPr>
                  <w:tcW w:w="323"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99</w:t>
                  </w:r>
                </w:p>
              </w:tc>
              <w:tc>
                <w:tcPr>
                  <w:tcW w:w="434"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0.0791</w:t>
                  </w:r>
                </w:p>
              </w:tc>
              <w:tc>
                <w:tcPr>
                  <w:tcW w:w="434"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0.0125</w:t>
                  </w:r>
                </w:p>
              </w:tc>
              <w:tc>
                <w:tcPr>
                  <w:tcW w:w="415"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12.50</w:t>
                  </w:r>
                </w:p>
              </w:tc>
              <w:tc>
                <w:tcPr>
                  <w:tcW w:w="323" w:type="pct"/>
                  <w:vMerge w:val="restar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3600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23" w:type="pct"/>
                  <w:vMerge w:val="continue"/>
                  <w:vAlign w:val="center"/>
                </w:tcPr>
                <w:p>
                  <w:pPr>
                    <w:widowControl/>
                    <w:spacing w:line="240" w:lineRule="auto"/>
                    <w:ind w:firstLine="0" w:firstLineChars="0"/>
                    <w:jc w:val="left"/>
                    <w:rPr>
                      <w:rFonts w:cs="Times New Roman"/>
                      <w:color w:val="auto"/>
                      <w:kern w:val="0"/>
                      <w:sz w:val="21"/>
                      <w:szCs w:val="21"/>
                    </w:rPr>
                  </w:pPr>
                </w:p>
              </w:tc>
              <w:tc>
                <w:tcPr>
                  <w:tcW w:w="520" w:type="pct"/>
                  <w:vMerge w:val="continue"/>
                  <w:vAlign w:val="center"/>
                </w:tcPr>
                <w:p>
                  <w:pPr>
                    <w:widowControl/>
                    <w:spacing w:line="240" w:lineRule="auto"/>
                    <w:ind w:firstLine="0" w:firstLineChars="0"/>
                    <w:jc w:val="left"/>
                    <w:rPr>
                      <w:rFonts w:cs="Times New Roman"/>
                      <w:color w:val="auto"/>
                      <w:kern w:val="0"/>
                      <w:sz w:val="21"/>
                      <w:szCs w:val="21"/>
                    </w:rPr>
                  </w:pPr>
                </w:p>
              </w:tc>
              <w:tc>
                <w:tcPr>
                  <w:tcW w:w="225"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二氧化硫</w:t>
                  </w:r>
                </w:p>
              </w:tc>
              <w:tc>
                <w:tcPr>
                  <w:tcW w:w="225" w:type="pct"/>
                  <w:vMerge w:val="continue"/>
                  <w:vAlign w:val="center"/>
                </w:tcPr>
                <w:p>
                  <w:pPr>
                    <w:widowControl/>
                    <w:spacing w:line="240" w:lineRule="auto"/>
                    <w:ind w:firstLine="0" w:firstLineChars="0"/>
                    <w:jc w:val="left"/>
                    <w:rPr>
                      <w:rFonts w:cs="Times New Roman"/>
                      <w:color w:val="auto"/>
                      <w:kern w:val="0"/>
                      <w:sz w:val="21"/>
                      <w:szCs w:val="21"/>
                    </w:rPr>
                  </w:pPr>
                </w:p>
              </w:tc>
              <w:tc>
                <w:tcPr>
                  <w:tcW w:w="434"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0.0117</w:t>
                  </w:r>
                </w:p>
              </w:tc>
              <w:tc>
                <w:tcPr>
                  <w:tcW w:w="434"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0.0016</w:t>
                  </w:r>
                </w:p>
              </w:tc>
              <w:tc>
                <w:tcPr>
                  <w:tcW w:w="490"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1.62</w:t>
                  </w:r>
                </w:p>
              </w:tc>
              <w:tc>
                <w:tcPr>
                  <w:tcW w:w="420" w:type="pct"/>
                  <w:vMerge w:val="continue"/>
                  <w:vAlign w:val="center"/>
                </w:tcPr>
                <w:p>
                  <w:pPr>
                    <w:widowControl/>
                    <w:spacing w:line="240" w:lineRule="auto"/>
                    <w:ind w:firstLine="0" w:firstLineChars="0"/>
                    <w:jc w:val="left"/>
                    <w:rPr>
                      <w:rFonts w:cs="Times New Roman"/>
                      <w:color w:val="auto"/>
                      <w:kern w:val="0"/>
                      <w:sz w:val="21"/>
                      <w:szCs w:val="21"/>
                    </w:rPr>
                  </w:pPr>
                </w:p>
              </w:tc>
              <w:tc>
                <w:tcPr>
                  <w:tcW w:w="323"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0</w:t>
                  </w:r>
                </w:p>
              </w:tc>
              <w:tc>
                <w:tcPr>
                  <w:tcW w:w="434"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0.0117</w:t>
                  </w:r>
                </w:p>
              </w:tc>
              <w:tc>
                <w:tcPr>
                  <w:tcW w:w="434"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0.0016</w:t>
                  </w:r>
                </w:p>
              </w:tc>
              <w:tc>
                <w:tcPr>
                  <w:tcW w:w="415"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1.62</w:t>
                  </w:r>
                </w:p>
              </w:tc>
              <w:tc>
                <w:tcPr>
                  <w:tcW w:w="323" w:type="pct"/>
                  <w:vMerge w:val="continue"/>
                  <w:vAlign w:val="center"/>
                </w:tcPr>
                <w:p>
                  <w:pPr>
                    <w:widowControl/>
                    <w:spacing w:line="240" w:lineRule="auto"/>
                    <w:ind w:firstLine="0" w:firstLineChars="0"/>
                    <w:jc w:val="left"/>
                    <w:rPr>
                      <w:rFonts w:cs="Times New Roman"/>
                      <w:color w:val="auto"/>
                      <w:kern w:val="0"/>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23" w:type="pct"/>
                  <w:vMerge w:val="continue"/>
                  <w:vAlign w:val="center"/>
                </w:tcPr>
                <w:p>
                  <w:pPr>
                    <w:widowControl/>
                    <w:spacing w:line="240" w:lineRule="auto"/>
                    <w:ind w:firstLine="0" w:firstLineChars="0"/>
                    <w:jc w:val="left"/>
                    <w:rPr>
                      <w:rFonts w:cs="Times New Roman"/>
                      <w:color w:val="auto"/>
                      <w:kern w:val="0"/>
                      <w:sz w:val="21"/>
                      <w:szCs w:val="21"/>
                    </w:rPr>
                  </w:pPr>
                </w:p>
              </w:tc>
              <w:tc>
                <w:tcPr>
                  <w:tcW w:w="520" w:type="pct"/>
                  <w:vMerge w:val="continue"/>
                  <w:vAlign w:val="center"/>
                </w:tcPr>
                <w:p>
                  <w:pPr>
                    <w:widowControl/>
                    <w:spacing w:line="240" w:lineRule="auto"/>
                    <w:ind w:firstLine="0" w:firstLineChars="0"/>
                    <w:jc w:val="left"/>
                    <w:rPr>
                      <w:rFonts w:cs="Times New Roman"/>
                      <w:color w:val="auto"/>
                      <w:kern w:val="0"/>
                      <w:sz w:val="21"/>
                      <w:szCs w:val="21"/>
                    </w:rPr>
                  </w:pPr>
                </w:p>
              </w:tc>
              <w:tc>
                <w:tcPr>
                  <w:tcW w:w="225"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氮氧化物</w:t>
                  </w:r>
                </w:p>
              </w:tc>
              <w:tc>
                <w:tcPr>
                  <w:tcW w:w="225" w:type="pct"/>
                  <w:vMerge w:val="continue"/>
                  <w:vAlign w:val="center"/>
                </w:tcPr>
                <w:p>
                  <w:pPr>
                    <w:widowControl/>
                    <w:spacing w:line="240" w:lineRule="auto"/>
                    <w:ind w:firstLine="0" w:firstLineChars="0"/>
                    <w:jc w:val="left"/>
                    <w:rPr>
                      <w:rFonts w:cs="Times New Roman"/>
                      <w:color w:val="auto"/>
                      <w:kern w:val="0"/>
                      <w:sz w:val="21"/>
                      <w:szCs w:val="21"/>
                    </w:rPr>
                  </w:pPr>
                </w:p>
              </w:tc>
              <w:tc>
                <w:tcPr>
                  <w:tcW w:w="434"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0.0924</w:t>
                  </w:r>
                </w:p>
              </w:tc>
              <w:tc>
                <w:tcPr>
                  <w:tcW w:w="434"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0.0128</w:t>
                  </w:r>
                </w:p>
              </w:tc>
              <w:tc>
                <w:tcPr>
                  <w:tcW w:w="490"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12.84</w:t>
                  </w:r>
                </w:p>
              </w:tc>
              <w:tc>
                <w:tcPr>
                  <w:tcW w:w="420" w:type="pct"/>
                  <w:vMerge w:val="continue"/>
                  <w:vAlign w:val="center"/>
                </w:tcPr>
                <w:p>
                  <w:pPr>
                    <w:widowControl/>
                    <w:spacing w:line="240" w:lineRule="auto"/>
                    <w:ind w:firstLine="0" w:firstLineChars="0"/>
                    <w:jc w:val="left"/>
                    <w:rPr>
                      <w:rFonts w:cs="Times New Roman"/>
                      <w:color w:val="auto"/>
                      <w:kern w:val="0"/>
                      <w:sz w:val="21"/>
                      <w:szCs w:val="21"/>
                    </w:rPr>
                  </w:pPr>
                </w:p>
              </w:tc>
              <w:tc>
                <w:tcPr>
                  <w:tcW w:w="323"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0</w:t>
                  </w:r>
                </w:p>
              </w:tc>
              <w:tc>
                <w:tcPr>
                  <w:tcW w:w="434"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0.0924</w:t>
                  </w:r>
                </w:p>
              </w:tc>
              <w:tc>
                <w:tcPr>
                  <w:tcW w:w="434"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0.0128</w:t>
                  </w:r>
                </w:p>
              </w:tc>
              <w:tc>
                <w:tcPr>
                  <w:tcW w:w="415"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sz w:val="21"/>
                      <w:szCs w:val="21"/>
                    </w:rPr>
                    <w:t>12.84</w:t>
                  </w:r>
                </w:p>
              </w:tc>
              <w:tc>
                <w:tcPr>
                  <w:tcW w:w="323" w:type="pct"/>
                  <w:vMerge w:val="continue"/>
                  <w:vAlign w:val="center"/>
                </w:tcPr>
                <w:p>
                  <w:pPr>
                    <w:widowControl/>
                    <w:spacing w:line="240" w:lineRule="auto"/>
                    <w:ind w:firstLine="0" w:firstLineChars="0"/>
                    <w:jc w:val="left"/>
                    <w:rPr>
                      <w:rFonts w:cs="Times New Roman"/>
                      <w:color w:val="auto"/>
                      <w:kern w:val="0"/>
                      <w:sz w:val="21"/>
                      <w:szCs w:val="21"/>
                    </w:rPr>
                  </w:pPr>
                </w:p>
              </w:tc>
            </w:tr>
          </w:tbl>
          <w:p>
            <w:pPr>
              <w:ind w:firstLine="482"/>
              <w:rPr>
                <w:rFonts w:cs="Times New Roman"/>
                <w:b/>
                <w:bCs/>
                <w:color w:val="auto"/>
              </w:rPr>
            </w:pPr>
            <w:r>
              <w:rPr>
                <w:rFonts w:cs="Times New Roman"/>
                <w:b/>
                <w:bCs/>
                <w:color w:val="auto"/>
              </w:rPr>
              <w:t>1.1.3天然气锅炉</w:t>
            </w:r>
          </w:p>
          <w:p>
            <w:pPr>
              <w:ind w:firstLine="480"/>
              <w:rPr>
                <w:rFonts w:cs="Times New Roman"/>
                <w:color w:val="auto"/>
              </w:rPr>
            </w:pPr>
            <w:r>
              <w:rPr>
                <w:rFonts w:cs="Times New Roman"/>
                <w:color w:val="auto"/>
              </w:rPr>
              <w:t>本项目一期设置2台锅炉（1用1备），二期设置1台锅炉，天然气用量为100.8万m</w:t>
            </w:r>
            <w:r>
              <w:rPr>
                <w:rFonts w:cs="Times New Roman"/>
                <w:color w:val="auto"/>
                <w:vertAlign w:val="superscript"/>
              </w:rPr>
              <w:t>3</w:t>
            </w:r>
            <w:r>
              <w:rPr>
                <w:rFonts w:cs="Times New Roman"/>
                <w:color w:val="auto"/>
              </w:rPr>
              <w:t>。</w:t>
            </w:r>
          </w:p>
          <w:p>
            <w:pPr>
              <w:ind w:firstLine="480"/>
              <w:rPr>
                <w:rFonts w:cs="Times New Roman"/>
                <w:b/>
                <w:bCs/>
                <w:color w:val="auto"/>
                <w:sz w:val="20"/>
                <w:szCs w:val="18"/>
              </w:rPr>
            </w:pPr>
            <w:r>
              <w:rPr>
                <w:rFonts w:cs="Times New Roman"/>
                <w:bCs/>
                <w:color w:val="auto"/>
              </w:rPr>
              <w:t>天然气燃烧废气产排参照</w:t>
            </w:r>
            <w:r>
              <w:rPr>
                <w:rFonts w:cs="Times New Roman"/>
                <w:color w:val="auto"/>
              </w:rPr>
              <w:t>《排放源统计调查产排污核算方法和系数手册》“4430锅炉产排污量核算系数手册”产污系数取值。</w:t>
            </w:r>
          </w:p>
          <w:p>
            <w:pPr>
              <w:ind w:firstLine="480"/>
              <w:rPr>
                <w:rFonts w:cs="Times New Roman"/>
                <w:color w:val="auto"/>
              </w:rPr>
            </w:pPr>
            <w:r>
              <w:rPr>
                <w:rFonts w:cs="Times New Roman"/>
                <w:color w:val="auto"/>
              </w:rPr>
              <w:t>经计算，天然气锅炉颗粒物的产生量为0.0504t/a（0.0070kg/h），二氧化硫的产生量为0.2016t/a（0.0280kg/h），氮氧化物的产生量为1.5997t/a（0.2222kg/h），产生的废气通过1根</w:t>
            </w:r>
            <w:r>
              <w:rPr>
                <w:rFonts w:cs="Times New Roman"/>
                <w:bCs/>
                <w:color w:val="auto"/>
              </w:rPr>
              <w:t>14m排气筒（P6）排放。</w:t>
            </w:r>
          </w:p>
          <w:p>
            <w:pPr>
              <w:ind w:firstLine="0" w:firstLineChars="0"/>
              <w:jc w:val="center"/>
              <w:rPr>
                <w:rFonts w:cs="Times New Roman"/>
                <w:b/>
                <w:bCs/>
                <w:color w:val="auto"/>
                <w:szCs w:val="22"/>
              </w:rPr>
            </w:pPr>
            <w:r>
              <w:rPr>
                <w:rFonts w:cs="Times New Roman"/>
                <w:b/>
                <w:bCs/>
                <w:color w:val="auto"/>
                <w:szCs w:val="22"/>
              </w:rPr>
              <w:t>表4-9本项目</w:t>
            </w:r>
            <w:r>
              <w:rPr>
                <w:rFonts w:cs="Times New Roman"/>
                <w:b/>
                <w:bCs/>
                <w:color w:val="auto"/>
              </w:rPr>
              <w:t>天然气锅炉</w:t>
            </w:r>
            <w:r>
              <w:rPr>
                <w:rFonts w:cs="Times New Roman"/>
                <w:b/>
                <w:bCs/>
                <w:color w:val="auto"/>
                <w:szCs w:val="22"/>
              </w:rPr>
              <w:t>产排污情况表</w:t>
            </w:r>
          </w:p>
          <w:tbl>
            <w:tblPr>
              <w:tblStyle w:val="26"/>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669"/>
              <w:gridCol w:w="1056"/>
              <w:gridCol w:w="427"/>
              <w:gridCol w:w="664"/>
              <w:gridCol w:w="794"/>
              <w:gridCol w:w="794"/>
              <w:gridCol w:w="835"/>
              <w:gridCol w:w="427"/>
              <w:gridCol w:w="637"/>
              <w:gridCol w:w="794"/>
              <w:gridCol w:w="795"/>
              <w:gridCol w:w="836"/>
              <w:gridCol w:w="63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56" w:type="pct"/>
                  <w:vMerge w:val="restart"/>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污染源</w:t>
                  </w:r>
                </w:p>
              </w:tc>
              <w:tc>
                <w:tcPr>
                  <w:tcW w:w="456" w:type="pct"/>
                  <w:vMerge w:val="restart"/>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废气量（m</w:t>
                  </w:r>
                  <w:r>
                    <w:rPr>
                      <w:rFonts w:cs="Times New Roman"/>
                      <w:b/>
                      <w:bCs/>
                      <w:color w:val="auto"/>
                      <w:kern w:val="0"/>
                      <w:sz w:val="21"/>
                      <w:szCs w:val="21"/>
                      <w:vertAlign w:val="superscript"/>
                    </w:rPr>
                    <w:t>3</w:t>
                  </w:r>
                  <w:r>
                    <w:rPr>
                      <w:rFonts w:cs="Times New Roman"/>
                      <w:b/>
                      <w:bCs/>
                      <w:color w:val="auto"/>
                      <w:kern w:val="0"/>
                      <w:sz w:val="21"/>
                      <w:szCs w:val="21"/>
                    </w:rPr>
                    <w:t>/h）</w:t>
                  </w:r>
                </w:p>
              </w:tc>
              <w:tc>
                <w:tcPr>
                  <w:tcW w:w="324" w:type="pct"/>
                  <w:vMerge w:val="restart"/>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污染物</w:t>
                  </w:r>
                </w:p>
              </w:tc>
              <w:tc>
                <w:tcPr>
                  <w:tcW w:w="1779" w:type="pct"/>
                  <w:gridSpan w:val="4"/>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污染物产生</w:t>
                  </w:r>
                </w:p>
              </w:tc>
              <w:tc>
                <w:tcPr>
                  <w:tcW w:w="648" w:type="pct"/>
                  <w:gridSpan w:val="2"/>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治理措施</w:t>
                  </w:r>
                </w:p>
              </w:tc>
              <w:tc>
                <w:tcPr>
                  <w:tcW w:w="1013" w:type="pct"/>
                  <w:gridSpan w:val="3"/>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污染物排放</w:t>
                  </w:r>
                </w:p>
              </w:tc>
              <w:tc>
                <w:tcPr>
                  <w:tcW w:w="324" w:type="pct"/>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排放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56" w:type="pct"/>
                  <w:vMerge w:val="continue"/>
                  <w:vAlign w:val="center"/>
                </w:tcPr>
                <w:p>
                  <w:pPr>
                    <w:widowControl/>
                    <w:spacing w:line="240" w:lineRule="auto"/>
                    <w:ind w:firstLine="0" w:firstLineChars="0"/>
                    <w:jc w:val="left"/>
                    <w:rPr>
                      <w:rFonts w:cs="Times New Roman"/>
                      <w:b/>
                      <w:bCs/>
                      <w:color w:val="auto"/>
                      <w:kern w:val="0"/>
                      <w:sz w:val="21"/>
                      <w:szCs w:val="21"/>
                    </w:rPr>
                  </w:pPr>
                </w:p>
              </w:tc>
              <w:tc>
                <w:tcPr>
                  <w:tcW w:w="456" w:type="pct"/>
                  <w:vMerge w:val="continue"/>
                  <w:vAlign w:val="center"/>
                </w:tcPr>
                <w:p>
                  <w:pPr>
                    <w:widowControl/>
                    <w:spacing w:line="240" w:lineRule="auto"/>
                    <w:ind w:firstLine="0" w:firstLineChars="0"/>
                    <w:jc w:val="left"/>
                    <w:rPr>
                      <w:rFonts w:cs="Times New Roman"/>
                      <w:b/>
                      <w:bCs/>
                      <w:color w:val="auto"/>
                      <w:kern w:val="0"/>
                      <w:sz w:val="21"/>
                      <w:szCs w:val="21"/>
                    </w:rPr>
                  </w:pPr>
                </w:p>
              </w:tc>
              <w:tc>
                <w:tcPr>
                  <w:tcW w:w="324" w:type="pct"/>
                  <w:vMerge w:val="continue"/>
                  <w:vAlign w:val="center"/>
                </w:tcPr>
                <w:p>
                  <w:pPr>
                    <w:widowControl/>
                    <w:spacing w:line="240" w:lineRule="auto"/>
                    <w:ind w:firstLine="0" w:firstLineChars="0"/>
                    <w:jc w:val="left"/>
                    <w:rPr>
                      <w:rFonts w:cs="Times New Roman"/>
                      <w:b/>
                      <w:bCs/>
                      <w:color w:val="auto"/>
                      <w:kern w:val="0"/>
                      <w:sz w:val="21"/>
                      <w:szCs w:val="21"/>
                    </w:rPr>
                  </w:pPr>
                </w:p>
              </w:tc>
              <w:tc>
                <w:tcPr>
                  <w:tcW w:w="456" w:type="pct"/>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核算方法</w:t>
                  </w:r>
                </w:p>
              </w:tc>
              <w:tc>
                <w:tcPr>
                  <w:tcW w:w="455" w:type="pct"/>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产生量t/a</w:t>
                  </w:r>
                </w:p>
              </w:tc>
              <w:tc>
                <w:tcPr>
                  <w:tcW w:w="414" w:type="pct"/>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产生速率kg/h</w:t>
                  </w:r>
                </w:p>
              </w:tc>
              <w:tc>
                <w:tcPr>
                  <w:tcW w:w="455" w:type="pct"/>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产生浓度mg/m3</w:t>
                  </w:r>
                </w:p>
              </w:tc>
              <w:tc>
                <w:tcPr>
                  <w:tcW w:w="324" w:type="pct"/>
                  <w:shd w:val="clear" w:color="auto" w:fill="auto"/>
                  <w:vAlign w:val="center"/>
                </w:tcPr>
                <w:p>
                  <w:pPr>
                    <w:widowControl/>
                    <w:spacing w:line="240" w:lineRule="auto"/>
                    <w:ind w:firstLine="0" w:firstLineChars="0"/>
                    <w:jc w:val="left"/>
                    <w:rPr>
                      <w:rFonts w:cs="Times New Roman"/>
                      <w:b/>
                      <w:bCs/>
                      <w:color w:val="auto"/>
                      <w:kern w:val="0"/>
                      <w:sz w:val="21"/>
                      <w:szCs w:val="21"/>
                    </w:rPr>
                  </w:pPr>
                  <w:r>
                    <w:rPr>
                      <w:rFonts w:cs="Times New Roman"/>
                      <w:b/>
                      <w:bCs/>
                      <w:color w:val="auto"/>
                      <w:kern w:val="0"/>
                      <w:sz w:val="21"/>
                      <w:szCs w:val="21"/>
                    </w:rPr>
                    <w:t>工艺</w:t>
                  </w:r>
                </w:p>
              </w:tc>
              <w:tc>
                <w:tcPr>
                  <w:tcW w:w="324" w:type="pct"/>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效率%</w:t>
                  </w:r>
                </w:p>
              </w:tc>
              <w:tc>
                <w:tcPr>
                  <w:tcW w:w="338" w:type="pct"/>
                  <w:shd w:val="clear" w:color="auto" w:fill="auto"/>
                  <w:vAlign w:val="center"/>
                </w:tcPr>
                <w:p>
                  <w:pPr>
                    <w:widowControl/>
                    <w:spacing w:line="240" w:lineRule="auto"/>
                    <w:ind w:firstLine="0" w:firstLineChars="0"/>
                    <w:jc w:val="left"/>
                    <w:rPr>
                      <w:rFonts w:cs="Times New Roman"/>
                      <w:b/>
                      <w:bCs/>
                      <w:color w:val="auto"/>
                      <w:kern w:val="0"/>
                      <w:sz w:val="21"/>
                      <w:szCs w:val="21"/>
                    </w:rPr>
                  </w:pPr>
                  <w:r>
                    <w:rPr>
                      <w:rFonts w:cs="Times New Roman"/>
                      <w:b/>
                      <w:bCs/>
                      <w:color w:val="auto"/>
                      <w:kern w:val="0"/>
                      <w:sz w:val="21"/>
                      <w:szCs w:val="21"/>
                    </w:rPr>
                    <w:t>排放量t/a</w:t>
                  </w:r>
                </w:p>
              </w:tc>
              <w:tc>
                <w:tcPr>
                  <w:tcW w:w="338" w:type="pct"/>
                  <w:shd w:val="clear" w:color="auto" w:fill="auto"/>
                  <w:vAlign w:val="center"/>
                </w:tcPr>
                <w:p>
                  <w:pPr>
                    <w:widowControl/>
                    <w:spacing w:line="240" w:lineRule="auto"/>
                    <w:ind w:firstLine="0" w:firstLineChars="0"/>
                    <w:jc w:val="left"/>
                    <w:rPr>
                      <w:rFonts w:cs="Times New Roman"/>
                      <w:b/>
                      <w:bCs/>
                      <w:color w:val="auto"/>
                      <w:kern w:val="0"/>
                      <w:sz w:val="21"/>
                      <w:szCs w:val="21"/>
                    </w:rPr>
                  </w:pPr>
                  <w:r>
                    <w:rPr>
                      <w:rFonts w:cs="Times New Roman"/>
                      <w:b/>
                      <w:bCs/>
                      <w:color w:val="auto"/>
                      <w:kern w:val="0"/>
                      <w:sz w:val="21"/>
                      <w:szCs w:val="21"/>
                    </w:rPr>
                    <w:t>排放速率kg/h</w:t>
                  </w:r>
                </w:p>
              </w:tc>
              <w:tc>
                <w:tcPr>
                  <w:tcW w:w="338" w:type="pct"/>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排放浓度mg/m3</w:t>
                  </w:r>
                </w:p>
              </w:tc>
              <w:tc>
                <w:tcPr>
                  <w:tcW w:w="324" w:type="pct"/>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时间h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56" w:type="pct"/>
                  <w:vMerge w:val="restar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天然气锅炉</w:t>
                  </w:r>
                </w:p>
              </w:tc>
              <w:tc>
                <w:tcPr>
                  <w:tcW w:w="456" w:type="pct"/>
                  <w:vMerge w:val="restar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1508.542</w:t>
                  </w:r>
                </w:p>
              </w:tc>
              <w:tc>
                <w:tcPr>
                  <w:tcW w:w="324"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颗粒物</w:t>
                  </w:r>
                </w:p>
              </w:tc>
              <w:tc>
                <w:tcPr>
                  <w:tcW w:w="456" w:type="pct"/>
                  <w:vMerge w:val="restar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产污系数法</w:t>
                  </w:r>
                </w:p>
              </w:tc>
              <w:tc>
                <w:tcPr>
                  <w:tcW w:w="455"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0.0504</w:t>
                  </w:r>
                </w:p>
              </w:tc>
              <w:tc>
                <w:tcPr>
                  <w:tcW w:w="414"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0.0070</w:t>
                  </w:r>
                </w:p>
              </w:tc>
              <w:tc>
                <w:tcPr>
                  <w:tcW w:w="455"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4.64</w:t>
                  </w:r>
                </w:p>
              </w:tc>
              <w:tc>
                <w:tcPr>
                  <w:tcW w:w="324" w:type="pct"/>
                  <w:vMerge w:val="restart"/>
                  <w:shd w:val="clear" w:color="auto" w:fill="auto"/>
                  <w:vAlign w:val="center"/>
                </w:tcPr>
                <w:p>
                  <w:pPr>
                    <w:widowControl/>
                    <w:spacing w:line="240" w:lineRule="auto"/>
                    <w:ind w:firstLine="0" w:firstLineChars="0"/>
                    <w:jc w:val="center"/>
                    <w:rPr>
                      <w:rFonts w:hint="eastAsia" w:cs="Times New Roman"/>
                      <w:color w:val="auto"/>
                      <w:kern w:val="0"/>
                      <w:sz w:val="21"/>
                      <w:szCs w:val="21"/>
                    </w:rPr>
                  </w:pPr>
                  <w:r>
                    <w:rPr>
                      <w:rFonts w:hint="eastAsia" w:cs="Times New Roman"/>
                      <w:color w:val="auto"/>
                      <w:kern w:val="0"/>
                      <w:sz w:val="21"/>
                      <w:szCs w:val="21"/>
                    </w:rPr>
                    <w:t>低氮燃烧器</w:t>
                  </w:r>
                </w:p>
              </w:tc>
              <w:tc>
                <w:tcPr>
                  <w:tcW w:w="324"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0</w:t>
                  </w:r>
                </w:p>
              </w:tc>
              <w:tc>
                <w:tcPr>
                  <w:tcW w:w="338"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0.0504</w:t>
                  </w:r>
                </w:p>
              </w:tc>
              <w:tc>
                <w:tcPr>
                  <w:tcW w:w="338"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0.0070</w:t>
                  </w:r>
                </w:p>
              </w:tc>
              <w:tc>
                <w:tcPr>
                  <w:tcW w:w="338"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4.64</w:t>
                  </w:r>
                </w:p>
              </w:tc>
              <w:tc>
                <w:tcPr>
                  <w:tcW w:w="324" w:type="pct"/>
                  <w:vMerge w:val="restar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7200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56" w:type="pct"/>
                  <w:vMerge w:val="continue"/>
                  <w:vAlign w:val="center"/>
                </w:tcPr>
                <w:p>
                  <w:pPr>
                    <w:widowControl/>
                    <w:spacing w:line="240" w:lineRule="auto"/>
                    <w:ind w:firstLine="0" w:firstLineChars="0"/>
                    <w:jc w:val="left"/>
                    <w:rPr>
                      <w:rFonts w:cs="Times New Roman"/>
                      <w:color w:val="auto"/>
                      <w:kern w:val="0"/>
                      <w:sz w:val="21"/>
                      <w:szCs w:val="21"/>
                    </w:rPr>
                  </w:pPr>
                </w:p>
              </w:tc>
              <w:tc>
                <w:tcPr>
                  <w:tcW w:w="456" w:type="pct"/>
                  <w:vMerge w:val="continue"/>
                  <w:vAlign w:val="center"/>
                </w:tcPr>
                <w:p>
                  <w:pPr>
                    <w:widowControl/>
                    <w:spacing w:line="240" w:lineRule="auto"/>
                    <w:ind w:firstLine="0" w:firstLineChars="0"/>
                    <w:jc w:val="left"/>
                    <w:rPr>
                      <w:rFonts w:cs="Times New Roman"/>
                      <w:color w:val="auto"/>
                      <w:kern w:val="0"/>
                      <w:sz w:val="21"/>
                      <w:szCs w:val="21"/>
                    </w:rPr>
                  </w:pPr>
                </w:p>
              </w:tc>
              <w:tc>
                <w:tcPr>
                  <w:tcW w:w="324"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二氧化硫</w:t>
                  </w:r>
                </w:p>
              </w:tc>
              <w:tc>
                <w:tcPr>
                  <w:tcW w:w="456" w:type="pct"/>
                  <w:vMerge w:val="continue"/>
                  <w:vAlign w:val="center"/>
                </w:tcPr>
                <w:p>
                  <w:pPr>
                    <w:widowControl/>
                    <w:spacing w:line="240" w:lineRule="auto"/>
                    <w:ind w:firstLine="0" w:firstLineChars="0"/>
                    <w:jc w:val="left"/>
                    <w:rPr>
                      <w:rFonts w:cs="Times New Roman"/>
                      <w:color w:val="auto"/>
                      <w:kern w:val="0"/>
                      <w:sz w:val="21"/>
                      <w:szCs w:val="21"/>
                    </w:rPr>
                  </w:pPr>
                </w:p>
              </w:tc>
              <w:tc>
                <w:tcPr>
                  <w:tcW w:w="455"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0.2016</w:t>
                  </w:r>
                </w:p>
              </w:tc>
              <w:tc>
                <w:tcPr>
                  <w:tcW w:w="414"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0.0280</w:t>
                  </w:r>
                </w:p>
              </w:tc>
              <w:tc>
                <w:tcPr>
                  <w:tcW w:w="455"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18.56</w:t>
                  </w:r>
                </w:p>
              </w:tc>
              <w:tc>
                <w:tcPr>
                  <w:tcW w:w="324" w:type="pct"/>
                  <w:vMerge w:val="continue"/>
                  <w:vAlign w:val="center"/>
                </w:tcPr>
                <w:p>
                  <w:pPr>
                    <w:widowControl/>
                    <w:spacing w:line="240" w:lineRule="auto"/>
                    <w:ind w:firstLine="0" w:firstLineChars="0"/>
                    <w:jc w:val="left"/>
                    <w:rPr>
                      <w:rFonts w:cs="Times New Roman"/>
                      <w:color w:val="auto"/>
                      <w:kern w:val="0"/>
                      <w:sz w:val="21"/>
                      <w:szCs w:val="21"/>
                    </w:rPr>
                  </w:pPr>
                </w:p>
              </w:tc>
              <w:tc>
                <w:tcPr>
                  <w:tcW w:w="324"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0</w:t>
                  </w:r>
                </w:p>
              </w:tc>
              <w:tc>
                <w:tcPr>
                  <w:tcW w:w="338"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0.2016</w:t>
                  </w:r>
                </w:p>
              </w:tc>
              <w:tc>
                <w:tcPr>
                  <w:tcW w:w="338"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0.0280</w:t>
                  </w:r>
                </w:p>
              </w:tc>
              <w:tc>
                <w:tcPr>
                  <w:tcW w:w="338"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18.56</w:t>
                  </w:r>
                </w:p>
              </w:tc>
              <w:tc>
                <w:tcPr>
                  <w:tcW w:w="324" w:type="pct"/>
                  <w:vMerge w:val="continue"/>
                  <w:vAlign w:val="center"/>
                </w:tcPr>
                <w:p>
                  <w:pPr>
                    <w:widowControl/>
                    <w:spacing w:line="240" w:lineRule="auto"/>
                    <w:ind w:firstLine="0" w:firstLineChars="0"/>
                    <w:jc w:val="left"/>
                    <w:rPr>
                      <w:rFonts w:cs="Times New Roman"/>
                      <w:color w:val="auto"/>
                      <w:kern w:val="0"/>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56" w:type="pct"/>
                  <w:vMerge w:val="continue"/>
                  <w:vAlign w:val="center"/>
                </w:tcPr>
                <w:p>
                  <w:pPr>
                    <w:widowControl/>
                    <w:spacing w:line="240" w:lineRule="auto"/>
                    <w:ind w:firstLine="0" w:firstLineChars="0"/>
                    <w:jc w:val="left"/>
                    <w:rPr>
                      <w:rFonts w:cs="Times New Roman"/>
                      <w:color w:val="auto"/>
                      <w:kern w:val="0"/>
                      <w:sz w:val="21"/>
                      <w:szCs w:val="21"/>
                    </w:rPr>
                  </w:pPr>
                </w:p>
              </w:tc>
              <w:tc>
                <w:tcPr>
                  <w:tcW w:w="456" w:type="pct"/>
                  <w:vMerge w:val="continue"/>
                  <w:vAlign w:val="center"/>
                </w:tcPr>
                <w:p>
                  <w:pPr>
                    <w:widowControl/>
                    <w:spacing w:line="240" w:lineRule="auto"/>
                    <w:ind w:firstLine="0" w:firstLineChars="0"/>
                    <w:jc w:val="left"/>
                    <w:rPr>
                      <w:rFonts w:cs="Times New Roman"/>
                      <w:color w:val="auto"/>
                      <w:kern w:val="0"/>
                      <w:sz w:val="21"/>
                      <w:szCs w:val="21"/>
                    </w:rPr>
                  </w:pPr>
                </w:p>
              </w:tc>
              <w:tc>
                <w:tcPr>
                  <w:tcW w:w="324"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氮氧化物</w:t>
                  </w:r>
                </w:p>
              </w:tc>
              <w:tc>
                <w:tcPr>
                  <w:tcW w:w="456" w:type="pct"/>
                  <w:vMerge w:val="continue"/>
                  <w:vAlign w:val="center"/>
                </w:tcPr>
                <w:p>
                  <w:pPr>
                    <w:widowControl/>
                    <w:spacing w:line="240" w:lineRule="auto"/>
                    <w:ind w:firstLine="0" w:firstLineChars="0"/>
                    <w:jc w:val="left"/>
                    <w:rPr>
                      <w:rFonts w:cs="Times New Roman"/>
                      <w:color w:val="auto"/>
                      <w:kern w:val="0"/>
                      <w:sz w:val="21"/>
                      <w:szCs w:val="21"/>
                    </w:rPr>
                  </w:pPr>
                </w:p>
              </w:tc>
              <w:tc>
                <w:tcPr>
                  <w:tcW w:w="455"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1.5997</w:t>
                  </w:r>
                </w:p>
              </w:tc>
              <w:tc>
                <w:tcPr>
                  <w:tcW w:w="414"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0.2222</w:t>
                  </w:r>
                </w:p>
              </w:tc>
              <w:tc>
                <w:tcPr>
                  <w:tcW w:w="455"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147.28</w:t>
                  </w:r>
                </w:p>
              </w:tc>
              <w:tc>
                <w:tcPr>
                  <w:tcW w:w="324" w:type="pct"/>
                  <w:vMerge w:val="continue"/>
                  <w:vAlign w:val="center"/>
                </w:tcPr>
                <w:p>
                  <w:pPr>
                    <w:widowControl/>
                    <w:spacing w:line="240" w:lineRule="auto"/>
                    <w:ind w:firstLine="0" w:firstLineChars="0"/>
                    <w:jc w:val="left"/>
                    <w:rPr>
                      <w:rFonts w:cs="Times New Roman"/>
                      <w:color w:val="auto"/>
                      <w:kern w:val="0"/>
                      <w:sz w:val="21"/>
                      <w:szCs w:val="21"/>
                    </w:rPr>
                  </w:pPr>
                </w:p>
              </w:tc>
              <w:tc>
                <w:tcPr>
                  <w:tcW w:w="324"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0</w:t>
                  </w:r>
                </w:p>
              </w:tc>
              <w:tc>
                <w:tcPr>
                  <w:tcW w:w="338"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1.5997</w:t>
                  </w:r>
                </w:p>
              </w:tc>
              <w:tc>
                <w:tcPr>
                  <w:tcW w:w="338"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0.2222</w:t>
                  </w:r>
                </w:p>
              </w:tc>
              <w:tc>
                <w:tcPr>
                  <w:tcW w:w="338"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147.28</w:t>
                  </w:r>
                </w:p>
              </w:tc>
              <w:tc>
                <w:tcPr>
                  <w:tcW w:w="324" w:type="pct"/>
                  <w:vMerge w:val="continue"/>
                  <w:vAlign w:val="center"/>
                </w:tcPr>
                <w:p>
                  <w:pPr>
                    <w:widowControl/>
                    <w:spacing w:line="240" w:lineRule="auto"/>
                    <w:ind w:firstLine="0" w:firstLineChars="0"/>
                    <w:jc w:val="left"/>
                    <w:rPr>
                      <w:rFonts w:cs="Times New Roman"/>
                      <w:color w:val="auto"/>
                      <w:kern w:val="0"/>
                      <w:sz w:val="21"/>
                      <w:szCs w:val="21"/>
                    </w:rPr>
                  </w:pPr>
                </w:p>
              </w:tc>
            </w:tr>
          </w:tbl>
          <w:p>
            <w:pPr>
              <w:ind w:firstLine="482"/>
              <w:rPr>
                <w:rFonts w:cs="Times New Roman"/>
                <w:b/>
                <w:bCs/>
                <w:color w:val="auto"/>
              </w:rPr>
            </w:pPr>
            <w:r>
              <w:rPr>
                <w:rFonts w:cs="Times New Roman"/>
                <w:b/>
                <w:bCs/>
                <w:color w:val="auto"/>
              </w:rPr>
              <w:t>1.2大气污染物排放量核算</w:t>
            </w:r>
          </w:p>
          <w:p>
            <w:pPr>
              <w:ind w:firstLine="480"/>
              <w:rPr>
                <w:rFonts w:cs="Times New Roman"/>
                <w:color w:val="auto"/>
              </w:rPr>
            </w:pPr>
            <w:r>
              <w:rPr>
                <w:rFonts w:cs="Times New Roman"/>
                <w:color w:val="auto"/>
              </w:rPr>
              <w:t>本项目大气污染源治理情况汇总表见表4-10。</w:t>
            </w:r>
          </w:p>
          <w:p>
            <w:pPr>
              <w:ind w:firstLine="482"/>
              <w:jc w:val="center"/>
              <w:rPr>
                <w:rFonts w:cs="Times New Roman"/>
                <w:b/>
                <w:bCs/>
                <w:color w:val="auto"/>
              </w:rPr>
            </w:pPr>
            <w:r>
              <w:rPr>
                <w:rFonts w:cs="Times New Roman"/>
                <w:b/>
                <w:bCs/>
                <w:color w:val="auto"/>
              </w:rPr>
              <w:t>表4-10大气污染物产生、排放、治理情况汇总表</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41"/>
              <w:gridCol w:w="541"/>
              <w:gridCol w:w="547"/>
              <w:gridCol w:w="916"/>
              <w:gridCol w:w="785"/>
              <w:gridCol w:w="1199"/>
              <w:gridCol w:w="701"/>
              <w:gridCol w:w="1189"/>
              <w:gridCol w:w="406"/>
              <w:gridCol w:w="2171"/>
              <w:gridCol w:w="3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9" w:type="pct"/>
                  <w:vMerge w:val="restart"/>
                  <w:tcMar>
                    <w:left w:w="28" w:type="dxa"/>
                    <w:right w:w="28" w:type="dxa"/>
                  </w:tcMar>
                  <w:vAlign w:val="center"/>
                </w:tcPr>
                <w:p>
                  <w:pPr>
                    <w:snapToGrid w:val="0"/>
                    <w:spacing w:line="240" w:lineRule="auto"/>
                    <w:ind w:firstLine="0" w:firstLineChars="0"/>
                    <w:jc w:val="center"/>
                    <w:rPr>
                      <w:rFonts w:cs="Times New Roman"/>
                      <w:b/>
                      <w:bCs/>
                      <w:color w:val="auto"/>
                      <w:sz w:val="21"/>
                      <w:szCs w:val="21"/>
                    </w:rPr>
                  </w:pPr>
                  <w:r>
                    <w:rPr>
                      <w:rFonts w:cs="Times New Roman"/>
                      <w:b/>
                      <w:bCs/>
                      <w:color w:val="auto"/>
                      <w:sz w:val="21"/>
                      <w:szCs w:val="21"/>
                    </w:rPr>
                    <w:t>污染源</w:t>
                  </w:r>
                </w:p>
              </w:tc>
              <w:tc>
                <w:tcPr>
                  <w:tcW w:w="289" w:type="pct"/>
                  <w:vMerge w:val="restart"/>
                  <w:tcMar>
                    <w:left w:w="28" w:type="dxa"/>
                    <w:right w:w="28" w:type="dxa"/>
                  </w:tcMar>
                  <w:vAlign w:val="center"/>
                </w:tcPr>
                <w:p>
                  <w:pPr>
                    <w:snapToGrid w:val="0"/>
                    <w:spacing w:line="240" w:lineRule="auto"/>
                    <w:ind w:firstLine="0" w:firstLineChars="0"/>
                    <w:jc w:val="center"/>
                    <w:rPr>
                      <w:rFonts w:cs="Times New Roman"/>
                      <w:b/>
                      <w:bCs/>
                      <w:color w:val="auto"/>
                      <w:sz w:val="21"/>
                      <w:szCs w:val="21"/>
                    </w:rPr>
                  </w:pPr>
                  <w:r>
                    <w:rPr>
                      <w:rFonts w:cs="Times New Roman"/>
                      <w:b/>
                      <w:bCs/>
                      <w:color w:val="auto"/>
                      <w:sz w:val="21"/>
                      <w:szCs w:val="21"/>
                    </w:rPr>
                    <w:t>排放方式</w:t>
                  </w:r>
                </w:p>
              </w:tc>
              <w:tc>
                <w:tcPr>
                  <w:tcW w:w="292" w:type="pct"/>
                  <w:vMerge w:val="restart"/>
                  <w:tcMar>
                    <w:left w:w="28" w:type="dxa"/>
                    <w:right w:w="28" w:type="dxa"/>
                  </w:tcMar>
                  <w:vAlign w:val="center"/>
                </w:tcPr>
                <w:p>
                  <w:pPr>
                    <w:snapToGrid w:val="0"/>
                    <w:spacing w:line="240" w:lineRule="auto"/>
                    <w:ind w:firstLine="0" w:firstLineChars="0"/>
                    <w:jc w:val="center"/>
                    <w:rPr>
                      <w:rFonts w:cs="Times New Roman"/>
                      <w:b/>
                      <w:bCs/>
                      <w:color w:val="auto"/>
                      <w:sz w:val="21"/>
                      <w:szCs w:val="21"/>
                    </w:rPr>
                  </w:pPr>
                  <w:r>
                    <w:rPr>
                      <w:rFonts w:cs="Times New Roman"/>
                      <w:b/>
                      <w:bCs/>
                      <w:color w:val="auto"/>
                      <w:sz w:val="21"/>
                      <w:szCs w:val="21"/>
                    </w:rPr>
                    <w:t>污染因子</w:t>
                  </w:r>
                </w:p>
              </w:tc>
              <w:tc>
                <w:tcPr>
                  <w:tcW w:w="908" w:type="pct"/>
                  <w:gridSpan w:val="2"/>
                  <w:tcMar>
                    <w:left w:w="28" w:type="dxa"/>
                    <w:right w:w="28" w:type="dxa"/>
                  </w:tcMar>
                  <w:vAlign w:val="center"/>
                </w:tcPr>
                <w:p>
                  <w:pPr>
                    <w:snapToGrid w:val="0"/>
                    <w:spacing w:line="240" w:lineRule="auto"/>
                    <w:ind w:firstLine="0" w:firstLineChars="0"/>
                    <w:jc w:val="center"/>
                    <w:rPr>
                      <w:rFonts w:cs="Times New Roman"/>
                      <w:b/>
                      <w:bCs/>
                      <w:color w:val="auto"/>
                      <w:sz w:val="21"/>
                      <w:szCs w:val="21"/>
                    </w:rPr>
                  </w:pPr>
                  <w:r>
                    <w:rPr>
                      <w:rFonts w:cs="Times New Roman"/>
                      <w:b/>
                      <w:bCs/>
                      <w:color w:val="auto"/>
                      <w:sz w:val="21"/>
                      <w:szCs w:val="21"/>
                    </w:rPr>
                    <w:t>污染物产生情况</w:t>
                  </w:r>
                </w:p>
              </w:tc>
              <w:tc>
                <w:tcPr>
                  <w:tcW w:w="640" w:type="pct"/>
                  <w:vMerge w:val="restart"/>
                  <w:tcMar>
                    <w:left w:w="28" w:type="dxa"/>
                    <w:right w:w="28" w:type="dxa"/>
                  </w:tcMar>
                  <w:vAlign w:val="center"/>
                </w:tcPr>
                <w:p>
                  <w:pPr>
                    <w:snapToGrid w:val="0"/>
                    <w:spacing w:line="240" w:lineRule="auto"/>
                    <w:ind w:firstLine="0" w:firstLineChars="0"/>
                    <w:jc w:val="center"/>
                    <w:rPr>
                      <w:rFonts w:cs="Times New Roman"/>
                      <w:b/>
                      <w:bCs/>
                      <w:color w:val="auto"/>
                      <w:sz w:val="21"/>
                      <w:szCs w:val="21"/>
                    </w:rPr>
                  </w:pPr>
                  <w:r>
                    <w:rPr>
                      <w:rFonts w:cs="Times New Roman"/>
                      <w:b/>
                      <w:bCs/>
                      <w:color w:val="auto"/>
                      <w:sz w:val="21"/>
                      <w:szCs w:val="21"/>
                    </w:rPr>
                    <w:t>治理措施</w:t>
                  </w:r>
                </w:p>
              </w:tc>
              <w:tc>
                <w:tcPr>
                  <w:tcW w:w="1009" w:type="pct"/>
                  <w:gridSpan w:val="2"/>
                  <w:tcMar>
                    <w:left w:w="28" w:type="dxa"/>
                    <w:right w:w="28" w:type="dxa"/>
                  </w:tcMar>
                  <w:vAlign w:val="center"/>
                </w:tcPr>
                <w:p>
                  <w:pPr>
                    <w:snapToGrid w:val="0"/>
                    <w:spacing w:line="240" w:lineRule="auto"/>
                    <w:ind w:firstLine="0" w:firstLineChars="0"/>
                    <w:jc w:val="center"/>
                    <w:rPr>
                      <w:rFonts w:cs="Times New Roman"/>
                      <w:b/>
                      <w:bCs/>
                      <w:color w:val="auto"/>
                      <w:sz w:val="21"/>
                      <w:szCs w:val="21"/>
                    </w:rPr>
                  </w:pPr>
                  <w:r>
                    <w:rPr>
                      <w:rFonts w:cs="Times New Roman"/>
                      <w:b/>
                      <w:bCs/>
                      <w:color w:val="auto"/>
                      <w:sz w:val="21"/>
                      <w:szCs w:val="21"/>
                    </w:rPr>
                    <w:t>污染物排放情况</w:t>
                  </w:r>
                </w:p>
              </w:tc>
              <w:tc>
                <w:tcPr>
                  <w:tcW w:w="217" w:type="pct"/>
                  <w:vMerge w:val="restart"/>
                  <w:tcMar>
                    <w:left w:w="28" w:type="dxa"/>
                    <w:right w:w="28" w:type="dxa"/>
                  </w:tcMar>
                  <w:vAlign w:val="center"/>
                </w:tcPr>
                <w:p>
                  <w:pPr>
                    <w:snapToGrid w:val="0"/>
                    <w:spacing w:line="240" w:lineRule="auto"/>
                    <w:ind w:firstLine="0" w:firstLineChars="0"/>
                    <w:jc w:val="center"/>
                    <w:rPr>
                      <w:rFonts w:cs="Times New Roman"/>
                      <w:b/>
                      <w:bCs/>
                      <w:color w:val="auto"/>
                      <w:sz w:val="21"/>
                      <w:szCs w:val="21"/>
                    </w:rPr>
                  </w:pPr>
                  <w:r>
                    <w:rPr>
                      <w:rFonts w:cs="Times New Roman"/>
                      <w:b/>
                      <w:bCs/>
                      <w:color w:val="auto"/>
                      <w:sz w:val="21"/>
                      <w:szCs w:val="21"/>
                    </w:rPr>
                    <w:t>排放限值</w:t>
                  </w:r>
                </w:p>
              </w:tc>
              <w:tc>
                <w:tcPr>
                  <w:tcW w:w="1159" w:type="pct"/>
                  <w:vMerge w:val="restart"/>
                  <w:tcMar>
                    <w:left w:w="28" w:type="dxa"/>
                    <w:right w:w="28" w:type="dxa"/>
                  </w:tcMar>
                  <w:vAlign w:val="center"/>
                </w:tcPr>
                <w:p>
                  <w:pPr>
                    <w:snapToGrid w:val="0"/>
                    <w:spacing w:line="240" w:lineRule="auto"/>
                    <w:ind w:firstLine="0" w:firstLineChars="0"/>
                    <w:jc w:val="center"/>
                    <w:rPr>
                      <w:rFonts w:cs="Times New Roman"/>
                      <w:b/>
                      <w:bCs/>
                      <w:color w:val="auto"/>
                      <w:sz w:val="21"/>
                      <w:szCs w:val="21"/>
                    </w:rPr>
                  </w:pPr>
                  <w:r>
                    <w:rPr>
                      <w:rFonts w:cs="Times New Roman"/>
                      <w:b/>
                      <w:bCs/>
                      <w:color w:val="auto"/>
                      <w:sz w:val="21"/>
                      <w:szCs w:val="21"/>
                    </w:rPr>
                    <w:t>排放标准</w:t>
                  </w:r>
                </w:p>
              </w:tc>
              <w:tc>
                <w:tcPr>
                  <w:tcW w:w="197" w:type="pct"/>
                  <w:vMerge w:val="restart"/>
                  <w:tcMar>
                    <w:left w:w="28" w:type="dxa"/>
                    <w:right w:w="28" w:type="dxa"/>
                  </w:tcMar>
                  <w:vAlign w:val="center"/>
                </w:tcPr>
                <w:p>
                  <w:pPr>
                    <w:snapToGrid w:val="0"/>
                    <w:spacing w:line="240" w:lineRule="auto"/>
                    <w:ind w:firstLine="0" w:firstLineChars="0"/>
                    <w:jc w:val="center"/>
                    <w:rPr>
                      <w:rFonts w:cs="Times New Roman"/>
                      <w:b/>
                      <w:bCs/>
                      <w:color w:val="auto"/>
                      <w:sz w:val="21"/>
                      <w:szCs w:val="21"/>
                    </w:rPr>
                  </w:pPr>
                  <w:r>
                    <w:rPr>
                      <w:rFonts w:cs="Times New Roman"/>
                      <w:b/>
                      <w:bCs/>
                      <w:color w:val="auto"/>
                      <w:sz w:val="21"/>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9" w:type="pct"/>
                  <w:vMerge w:val="continue"/>
                  <w:tcMar>
                    <w:left w:w="28" w:type="dxa"/>
                    <w:right w:w="28" w:type="dxa"/>
                  </w:tcMar>
                  <w:vAlign w:val="center"/>
                </w:tcPr>
                <w:p>
                  <w:pPr>
                    <w:snapToGrid w:val="0"/>
                    <w:spacing w:line="240" w:lineRule="auto"/>
                    <w:ind w:firstLine="0" w:firstLineChars="0"/>
                    <w:jc w:val="center"/>
                    <w:rPr>
                      <w:rFonts w:cs="Times New Roman"/>
                      <w:b/>
                      <w:bCs/>
                      <w:color w:val="auto"/>
                      <w:sz w:val="21"/>
                      <w:szCs w:val="21"/>
                    </w:rPr>
                  </w:pPr>
                </w:p>
              </w:tc>
              <w:tc>
                <w:tcPr>
                  <w:tcW w:w="289" w:type="pct"/>
                  <w:vMerge w:val="continue"/>
                  <w:tcMar>
                    <w:left w:w="28" w:type="dxa"/>
                    <w:right w:w="28" w:type="dxa"/>
                  </w:tcMar>
                  <w:vAlign w:val="center"/>
                </w:tcPr>
                <w:p>
                  <w:pPr>
                    <w:snapToGrid w:val="0"/>
                    <w:spacing w:line="240" w:lineRule="auto"/>
                    <w:ind w:firstLine="0" w:firstLineChars="0"/>
                    <w:jc w:val="center"/>
                    <w:rPr>
                      <w:rFonts w:cs="Times New Roman"/>
                      <w:b/>
                      <w:bCs/>
                      <w:color w:val="auto"/>
                      <w:sz w:val="21"/>
                      <w:szCs w:val="21"/>
                    </w:rPr>
                  </w:pPr>
                </w:p>
              </w:tc>
              <w:tc>
                <w:tcPr>
                  <w:tcW w:w="292" w:type="pct"/>
                  <w:vMerge w:val="continue"/>
                  <w:tcMar>
                    <w:left w:w="28" w:type="dxa"/>
                    <w:right w:w="28" w:type="dxa"/>
                  </w:tcMar>
                  <w:vAlign w:val="center"/>
                </w:tcPr>
                <w:p>
                  <w:pPr>
                    <w:snapToGrid w:val="0"/>
                    <w:spacing w:line="240" w:lineRule="auto"/>
                    <w:ind w:firstLine="0" w:firstLineChars="0"/>
                    <w:jc w:val="center"/>
                    <w:rPr>
                      <w:rFonts w:cs="Times New Roman"/>
                      <w:b/>
                      <w:bCs/>
                      <w:color w:val="auto"/>
                      <w:sz w:val="21"/>
                      <w:szCs w:val="21"/>
                    </w:rPr>
                  </w:pPr>
                </w:p>
              </w:tc>
              <w:tc>
                <w:tcPr>
                  <w:tcW w:w="489" w:type="pct"/>
                  <w:tcMar>
                    <w:left w:w="28" w:type="dxa"/>
                    <w:right w:w="28" w:type="dxa"/>
                  </w:tcMar>
                  <w:vAlign w:val="center"/>
                </w:tcPr>
                <w:p>
                  <w:pPr>
                    <w:snapToGrid w:val="0"/>
                    <w:spacing w:line="240" w:lineRule="auto"/>
                    <w:ind w:firstLine="0" w:firstLineChars="0"/>
                    <w:jc w:val="center"/>
                    <w:rPr>
                      <w:rFonts w:cs="Times New Roman"/>
                      <w:b/>
                      <w:bCs/>
                      <w:color w:val="auto"/>
                      <w:sz w:val="21"/>
                      <w:szCs w:val="21"/>
                    </w:rPr>
                  </w:pPr>
                  <w:r>
                    <w:rPr>
                      <w:rFonts w:cs="Times New Roman"/>
                      <w:b/>
                      <w:bCs/>
                      <w:color w:val="auto"/>
                      <w:sz w:val="21"/>
                      <w:szCs w:val="21"/>
                    </w:rPr>
                    <w:t>mg/m</w:t>
                  </w:r>
                  <w:r>
                    <w:rPr>
                      <w:rFonts w:cs="Times New Roman"/>
                      <w:b/>
                      <w:bCs/>
                      <w:color w:val="auto"/>
                      <w:sz w:val="21"/>
                      <w:szCs w:val="21"/>
                      <w:vertAlign w:val="superscript"/>
                    </w:rPr>
                    <w:t>3</w:t>
                  </w:r>
                </w:p>
              </w:tc>
              <w:tc>
                <w:tcPr>
                  <w:tcW w:w="419" w:type="pct"/>
                  <w:tcMar>
                    <w:left w:w="28" w:type="dxa"/>
                    <w:right w:w="28" w:type="dxa"/>
                  </w:tcMar>
                  <w:vAlign w:val="center"/>
                </w:tcPr>
                <w:p>
                  <w:pPr>
                    <w:snapToGrid w:val="0"/>
                    <w:spacing w:line="240" w:lineRule="auto"/>
                    <w:ind w:firstLine="0" w:firstLineChars="0"/>
                    <w:jc w:val="center"/>
                    <w:rPr>
                      <w:rFonts w:cs="Times New Roman"/>
                      <w:b/>
                      <w:bCs/>
                      <w:color w:val="auto"/>
                      <w:sz w:val="21"/>
                      <w:szCs w:val="21"/>
                    </w:rPr>
                  </w:pPr>
                  <w:r>
                    <w:rPr>
                      <w:rFonts w:cs="Times New Roman"/>
                      <w:b/>
                      <w:bCs/>
                      <w:color w:val="auto"/>
                      <w:sz w:val="21"/>
                      <w:szCs w:val="21"/>
                    </w:rPr>
                    <w:t>t/a</w:t>
                  </w:r>
                </w:p>
              </w:tc>
              <w:tc>
                <w:tcPr>
                  <w:tcW w:w="640" w:type="pct"/>
                  <w:vMerge w:val="continue"/>
                  <w:tcMar>
                    <w:left w:w="28" w:type="dxa"/>
                    <w:right w:w="28" w:type="dxa"/>
                  </w:tcMar>
                  <w:vAlign w:val="center"/>
                </w:tcPr>
                <w:p>
                  <w:pPr>
                    <w:snapToGrid w:val="0"/>
                    <w:spacing w:line="240" w:lineRule="auto"/>
                    <w:ind w:firstLine="0" w:firstLineChars="0"/>
                    <w:jc w:val="center"/>
                    <w:rPr>
                      <w:rFonts w:cs="Times New Roman"/>
                      <w:b/>
                      <w:bCs/>
                      <w:color w:val="auto"/>
                      <w:sz w:val="21"/>
                      <w:szCs w:val="21"/>
                    </w:rPr>
                  </w:pPr>
                </w:p>
              </w:tc>
              <w:tc>
                <w:tcPr>
                  <w:tcW w:w="374" w:type="pct"/>
                  <w:tcMar>
                    <w:left w:w="28" w:type="dxa"/>
                    <w:right w:w="28" w:type="dxa"/>
                  </w:tcMar>
                  <w:vAlign w:val="center"/>
                </w:tcPr>
                <w:p>
                  <w:pPr>
                    <w:snapToGrid w:val="0"/>
                    <w:spacing w:line="240" w:lineRule="auto"/>
                    <w:ind w:firstLine="0" w:firstLineChars="0"/>
                    <w:jc w:val="center"/>
                    <w:rPr>
                      <w:rFonts w:cs="Times New Roman"/>
                      <w:b/>
                      <w:bCs/>
                      <w:color w:val="auto"/>
                      <w:sz w:val="21"/>
                      <w:szCs w:val="21"/>
                    </w:rPr>
                  </w:pPr>
                  <w:r>
                    <w:rPr>
                      <w:rFonts w:cs="Times New Roman"/>
                      <w:b/>
                      <w:bCs/>
                      <w:color w:val="auto"/>
                      <w:sz w:val="21"/>
                      <w:szCs w:val="21"/>
                    </w:rPr>
                    <w:t>mg/m</w:t>
                  </w:r>
                  <w:r>
                    <w:rPr>
                      <w:rFonts w:cs="Times New Roman"/>
                      <w:b/>
                      <w:bCs/>
                      <w:color w:val="auto"/>
                      <w:sz w:val="21"/>
                      <w:szCs w:val="21"/>
                      <w:vertAlign w:val="superscript"/>
                    </w:rPr>
                    <w:t>3</w:t>
                  </w:r>
                </w:p>
              </w:tc>
              <w:tc>
                <w:tcPr>
                  <w:tcW w:w="635" w:type="pct"/>
                  <w:tcMar>
                    <w:left w:w="28" w:type="dxa"/>
                    <w:right w:w="28" w:type="dxa"/>
                  </w:tcMar>
                  <w:vAlign w:val="center"/>
                </w:tcPr>
                <w:p>
                  <w:pPr>
                    <w:snapToGrid w:val="0"/>
                    <w:spacing w:line="240" w:lineRule="auto"/>
                    <w:ind w:firstLine="0" w:firstLineChars="0"/>
                    <w:jc w:val="center"/>
                    <w:rPr>
                      <w:rFonts w:cs="Times New Roman"/>
                      <w:b/>
                      <w:bCs/>
                      <w:color w:val="auto"/>
                      <w:sz w:val="21"/>
                      <w:szCs w:val="21"/>
                    </w:rPr>
                  </w:pPr>
                  <w:r>
                    <w:rPr>
                      <w:rFonts w:cs="Times New Roman"/>
                      <w:b/>
                      <w:bCs/>
                      <w:color w:val="auto"/>
                      <w:sz w:val="21"/>
                      <w:szCs w:val="21"/>
                    </w:rPr>
                    <w:t>t/a</w:t>
                  </w:r>
                </w:p>
              </w:tc>
              <w:tc>
                <w:tcPr>
                  <w:tcW w:w="217" w:type="pct"/>
                  <w:vMerge w:val="continue"/>
                  <w:tcMar>
                    <w:left w:w="28" w:type="dxa"/>
                    <w:right w:w="28" w:type="dxa"/>
                  </w:tcMar>
                  <w:vAlign w:val="center"/>
                </w:tcPr>
                <w:p>
                  <w:pPr>
                    <w:snapToGrid w:val="0"/>
                    <w:spacing w:line="240" w:lineRule="auto"/>
                    <w:ind w:firstLine="0" w:firstLineChars="0"/>
                    <w:jc w:val="center"/>
                    <w:rPr>
                      <w:rFonts w:cs="Times New Roman"/>
                      <w:b/>
                      <w:bCs/>
                      <w:color w:val="auto"/>
                      <w:sz w:val="21"/>
                      <w:szCs w:val="21"/>
                    </w:rPr>
                  </w:pPr>
                </w:p>
              </w:tc>
              <w:tc>
                <w:tcPr>
                  <w:tcW w:w="1159" w:type="pct"/>
                  <w:vMerge w:val="continue"/>
                  <w:tcMar>
                    <w:left w:w="28" w:type="dxa"/>
                    <w:right w:w="28" w:type="dxa"/>
                  </w:tcMar>
                  <w:vAlign w:val="center"/>
                </w:tcPr>
                <w:p>
                  <w:pPr>
                    <w:snapToGrid w:val="0"/>
                    <w:spacing w:line="240" w:lineRule="auto"/>
                    <w:ind w:firstLine="0" w:firstLineChars="0"/>
                    <w:jc w:val="center"/>
                    <w:rPr>
                      <w:rFonts w:cs="Times New Roman"/>
                      <w:b/>
                      <w:bCs/>
                      <w:color w:val="auto"/>
                      <w:sz w:val="21"/>
                      <w:szCs w:val="21"/>
                    </w:rPr>
                  </w:pPr>
                </w:p>
              </w:tc>
              <w:tc>
                <w:tcPr>
                  <w:tcW w:w="197" w:type="pct"/>
                  <w:vMerge w:val="continue"/>
                  <w:tcMar>
                    <w:left w:w="28" w:type="dxa"/>
                    <w:right w:w="28" w:type="dxa"/>
                  </w:tcMar>
                  <w:vAlign w:val="center"/>
                </w:tcPr>
                <w:p>
                  <w:pPr>
                    <w:snapToGrid w:val="0"/>
                    <w:spacing w:line="240" w:lineRule="auto"/>
                    <w:ind w:firstLine="0" w:firstLineChars="0"/>
                    <w:jc w:val="center"/>
                    <w:rPr>
                      <w:rFonts w:cs="Times New Roman"/>
                      <w:b/>
                      <w:bCs/>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00" w:type="pct"/>
                  <w:gridSpan w:val="11"/>
                  <w:tcMar>
                    <w:left w:w="28" w:type="dxa"/>
                    <w:right w:w="28" w:type="dxa"/>
                  </w:tcMar>
                  <w:vAlign w:val="center"/>
                </w:tcPr>
                <w:p>
                  <w:pPr>
                    <w:snapToGrid w:val="0"/>
                    <w:spacing w:line="240" w:lineRule="auto"/>
                    <w:ind w:firstLine="0" w:firstLineChars="0"/>
                    <w:jc w:val="center"/>
                    <w:rPr>
                      <w:rFonts w:cs="Times New Roman"/>
                      <w:b/>
                      <w:bCs/>
                      <w:color w:val="auto"/>
                      <w:sz w:val="21"/>
                      <w:szCs w:val="21"/>
                    </w:rPr>
                  </w:pPr>
                  <w:r>
                    <w:rPr>
                      <w:rFonts w:cs="Times New Roman"/>
                      <w:b/>
                      <w:bCs/>
                      <w:color w:val="auto"/>
                      <w:sz w:val="21"/>
                      <w:szCs w:val="21"/>
                    </w:rPr>
                    <w:t>一期工程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9" w:type="pct"/>
                  <w:vMerge w:val="restar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氟化、闪蒸干燥</w:t>
                  </w:r>
                </w:p>
              </w:tc>
              <w:tc>
                <w:tcPr>
                  <w:tcW w:w="289" w:type="pct"/>
                  <w:vMerge w:val="restar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有组织</w:t>
                  </w:r>
                </w:p>
              </w:tc>
              <w:tc>
                <w:tcPr>
                  <w:tcW w:w="292"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颗粒物</w:t>
                  </w:r>
                </w:p>
              </w:tc>
              <w:tc>
                <w:tcPr>
                  <w:tcW w:w="489"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368.78</w:t>
                  </w:r>
                </w:p>
              </w:tc>
              <w:tc>
                <w:tcPr>
                  <w:tcW w:w="419" w:type="pct"/>
                  <w:tcMar>
                    <w:left w:w="28" w:type="dxa"/>
                    <w:right w:w="28"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3.9828</w:t>
                  </w:r>
                </w:p>
              </w:tc>
              <w:tc>
                <w:tcPr>
                  <w:tcW w:w="640" w:type="pct"/>
                  <w:vMerge w:val="restar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碱喷淋塔+1根15m高，内径0.2m的排气筒进行排放（DA001）</w:t>
                  </w:r>
                </w:p>
              </w:tc>
              <w:tc>
                <w:tcPr>
                  <w:tcW w:w="374"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36.88</w:t>
                  </w:r>
                </w:p>
              </w:tc>
              <w:tc>
                <w:tcPr>
                  <w:tcW w:w="635" w:type="pct"/>
                  <w:tcMar>
                    <w:left w:w="28" w:type="dxa"/>
                    <w:right w:w="28"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0.3983</w:t>
                  </w:r>
                </w:p>
              </w:tc>
              <w:tc>
                <w:tcPr>
                  <w:tcW w:w="217"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40</w:t>
                  </w:r>
                </w:p>
              </w:tc>
              <w:tc>
                <w:tcPr>
                  <w:tcW w:w="1159" w:type="pct"/>
                  <w:vMerge w:val="restar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《稀土工业污染物排放标准》（GB26451-2011）表5</w:t>
                  </w:r>
                </w:p>
              </w:tc>
              <w:tc>
                <w:tcPr>
                  <w:tcW w:w="197"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28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292"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二氧化硫</w:t>
                  </w:r>
                </w:p>
              </w:tc>
              <w:tc>
                <w:tcPr>
                  <w:tcW w:w="489"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0.81</w:t>
                  </w:r>
                </w:p>
              </w:tc>
              <w:tc>
                <w:tcPr>
                  <w:tcW w:w="419" w:type="pct"/>
                  <w:tcMar>
                    <w:left w:w="28" w:type="dxa"/>
                    <w:right w:w="28"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0.0087</w:t>
                  </w:r>
                </w:p>
              </w:tc>
              <w:tc>
                <w:tcPr>
                  <w:tcW w:w="640"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374"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0.32</w:t>
                  </w:r>
                </w:p>
              </w:tc>
              <w:tc>
                <w:tcPr>
                  <w:tcW w:w="635" w:type="pct"/>
                  <w:tcMar>
                    <w:left w:w="28" w:type="dxa"/>
                    <w:right w:w="28"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0.0035</w:t>
                  </w:r>
                </w:p>
              </w:tc>
              <w:tc>
                <w:tcPr>
                  <w:tcW w:w="217"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300</w:t>
                  </w:r>
                </w:p>
              </w:tc>
              <w:tc>
                <w:tcPr>
                  <w:tcW w:w="115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197"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28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292"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氮氧化物</w:t>
                  </w:r>
                </w:p>
              </w:tc>
              <w:tc>
                <w:tcPr>
                  <w:tcW w:w="489"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6.41</w:t>
                  </w:r>
                </w:p>
              </w:tc>
              <w:tc>
                <w:tcPr>
                  <w:tcW w:w="419" w:type="pct"/>
                  <w:tcMar>
                    <w:left w:w="28" w:type="dxa"/>
                    <w:right w:w="28"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0.0693</w:t>
                  </w:r>
                </w:p>
              </w:tc>
              <w:tc>
                <w:tcPr>
                  <w:tcW w:w="640"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374"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6.41</w:t>
                  </w:r>
                </w:p>
              </w:tc>
              <w:tc>
                <w:tcPr>
                  <w:tcW w:w="635" w:type="pct"/>
                  <w:tcMar>
                    <w:left w:w="28" w:type="dxa"/>
                    <w:right w:w="28"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0.0693</w:t>
                  </w:r>
                </w:p>
              </w:tc>
              <w:tc>
                <w:tcPr>
                  <w:tcW w:w="217"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200</w:t>
                  </w:r>
                </w:p>
              </w:tc>
              <w:tc>
                <w:tcPr>
                  <w:tcW w:w="115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197"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28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292"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氟化物</w:t>
                  </w:r>
                </w:p>
              </w:tc>
              <w:tc>
                <w:tcPr>
                  <w:tcW w:w="489"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33.03</w:t>
                  </w:r>
                </w:p>
              </w:tc>
              <w:tc>
                <w:tcPr>
                  <w:tcW w:w="419" w:type="pct"/>
                  <w:tcMar>
                    <w:left w:w="28" w:type="dxa"/>
                    <w:right w:w="28"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0.3568</w:t>
                  </w:r>
                </w:p>
              </w:tc>
              <w:tc>
                <w:tcPr>
                  <w:tcW w:w="640"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374"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4.96</w:t>
                  </w:r>
                </w:p>
              </w:tc>
              <w:tc>
                <w:tcPr>
                  <w:tcW w:w="635" w:type="pct"/>
                  <w:tcMar>
                    <w:left w:w="28" w:type="dxa"/>
                    <w:right w:w="28"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0.0535</w:t>
                  </w:r>
                </w:p>
              </w:tc>
              <w:tc>
                <w:tcPr>
                  <w:tcW w:w="217"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7</w:t>
                  </w:r>
                </w:p>
              </w:tc>
              <w:tc>
                <w:tcPr>
                  <w:tcW w:w="115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197"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9" w:type="pct"/>
                  <w:vMerge w:val="restar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天然气辊道窑、电辊道窑</w:t>
                  </w:r>
                </w:p>
              </w:tc>
              <w:tc>
                <w:tcPr>
                  <w:tcW w:w="289" w:type="pct"/>
                  <w:vMerge w:val="restar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有组织</w:t>
                  </w:r>
                </w:p>
              </w:tc>
              <w:tc>
                <w:tcPr>
                  <w:tcW w:w="292"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颗粒物</w:t>
                  </w:r>
                </w:p>
              </w:tc>
              <w:tc>
                <w:tcPr>
                  <w:tcW w:w="489"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9.69</w:t>
                  </w:r>
                </w:p>
              </w:tc>
              <w:tc>
                <w:tcPr>
                  <w:tcW w:w="419" w:type="pct"/>
                  <w:tcMar>
                    <w:left w:w="28" w:type="dxa"/>
                    <w:right w:w="28"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0.0698</w:t>
                  </w:r>
                </w:p>
              </w:tc>
              <w:tc>
                <w:tcPr>
                  <w:tcW w:w="640" w:type="pct"/>
                  <w:vMerge w:val="restar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碱喷淋塔+1根15m高，内径0.2m的排气筒进行排放（DA002）</w:t>
                  </w:r>
                </w:p>
              </w:tc>
              <w:tc>
                <w:tcPr>
                  <w:tcW w:w="374"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0.97</w:t>
                  </w:r>
                </w:p>
              </w:tc>
              <w:tc>
                <w:tcPr>
                  <w:tcW w:w="635" w:type="pct"/>
                  <w:tcMar>
                    <w:left w:w="28" w:type="dxa"/>
                    <w:right w:w="28"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0.0070</w:t>
                  </w:r>
                </w:p>
              </w:tc>
              <w:tc>
                <w:tcPr>
                  <w:tcW w:w="217"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40</w:t>
                  </w:r>
                </w:p>
              </w:tc>
              <w:tc>
                <w:tcPr>
                  <w:tcW w:w="1159" w:type="pct"/>
                  <w:vMerge w:val="restar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《稀土工业污染物排放标准》（GB26451-2011）表5</w:t>
                  </w:r>
                </w:p>
              </w:tc>
              <w:tc>
                <w:tcPr>
                  <w:tcW w:w="197"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28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292"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二氧化硫</w:t>
                  </w:r>
                </w:p>
              </w:tc>
              <w:tc>
                <w:tcPr>
                  <w:tcW w:w="489"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13.55</w:t>
                  </w:r>
                </w:p>
              </w:tc>
              <w:tc>
                <w:tcPr>
                  <w:tcW w:w="419" w:type="pct"/>
                  <w:tcMar>
                    <w:left w:w="28" w:type="dxa"/>
                    <w:right w:w="28"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0.0976</w:t>
                  </w:r>
                </w:p>
              </w:tc>
              <w:tc>
                <w:tcPr>
                  <w:tcW w:w="640"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374"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5.42</w:t>
                  </w:r>
                </w:p>
              </w:tc>
              <w:tc>
                <w:tcPr>
                  <w:tcW w:w="635" w:type="pct"/>
                  <w:tcMar>
                    <w:left w:w="28" w:type="dxa"/>
                    <w:right w:w="28"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0.0390</w:t>
                  </w:r>
                </w:p>
              </w:tc>
              <w:tc>
                <w:tcPr>
                  <w:tcW w:w="217"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300</w:t>
                  </w:r>
                </w:p>
              </w:tc>
              <w:tc>
                <w:tcPr>
                  <w:tcW w:w="115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197"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28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292"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氮氧化物</w:t>
                  </w:r>
                </w:p>
              </w:tc>
              <w:tc>
                <w:tcPr>
                  <w:tcW w:w="489"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107.55</w:t>
                  </w:r>
                </w:p>
              </w:tc>
              <w:tc>
                <w:tcPr>
                  <w:tcW w:w="419" w:type="pct"/>
                  <w:tcMar>
                    <w:left w:w="28" w:type="dxa"/>
                    <w:right w:w="28"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0.7744</w:t>
                  </w:r>
                </w:p>
              </w:tc>
              <w:tc>
                <w:tcPr>
                  <w:tcW w:w="640"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374"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107.55</w:t>
                  </w:r>
                </w:p>
              </w:tc>
              <w:tc>
                <w:tcPr>
                  <w:tcW w:w="635" w:type="pct"/>
                  <w:tcMar>
                    <w:left w:w="28" w:type="dxa"/>
                    <w:right w:w="28"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0.7744</w:t>
                  </w:r>
                </w:p>
              </w:tc>
              <w:tc>
                <w:tcPr>
                  <w:tcW w:w="217"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200</w:t>
                  </w:r>
                </w:p>
              </w:tc>
              <w:tc>
                <w:tcPr>
                  <w:tcW w:w="115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197"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28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292"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氟化物</w:t>
                  </w:r>
                </w:p>
              </w:tc>
              <w:tc>
                <w:tcPr>
                  <w:tcW w:w="489"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10.00</w:t>
                  </w:r>
                </w:p>
              </w:tc>
              <w:tc>
                <w:tcPr>
                  <w:tcW w:w="419" w:type="pct"/>
                  <w:tcMar>
                    <w:left w:w="28" w:type="dxa"/>
                    <w:right w:w="28"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0.0720</w:t>
                  </w:r>
                </w:p>
              </w:tc>
              <w:tc>
                <w:tcPr>
                  <w:tcW w:w="640"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374"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1.50</w:t>
                  </w:r>
                </w:p>
              </w:tc>
              <w:tc>
                <w:tcPr>
                  <w:tcW w:w="635" w:type="pct"/>
                  <w:tcMar>
                    <w:left w:w="28" w:type="dxa"/>
                    <w:right w:w="28"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0.0108</w:t>
                  </w:r>
                </w:p>
              </w:tc>
              <w:tc>
                <w:tcPr>
                  <w:tcW w:w="217"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7</w:t>
                  </w:r>
                </w:p>
              </w:tc>
              <w:tc>
                <w:tcPr>
                  <w:tcW w:w="115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197"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9" w:type="pct"/>
                  <w:vMerge w:val="restar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后加工阶段、喷雾干燥</w:t>
                  </w:r>
                </w:p>
              </w:tc>
              <w:tc>
                <w:tcPr>
                  <w:tcW w:w="289" w:type="pct"/>
                  <w:vMerge w:val="restar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有组织</w:t>
                  </w:r>
                </w:p>
              </w:tc>
              <w:tc>
                <w:tcPr>
                  <w:tcW w:w="292"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颗粒物</w:t>
                  </w:r>
                </w:p>
              </w:tc>
              <w:tc>
                <w:tcPr>
                  <w:tcW w:w="489"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2195.69</w:t>
                  </w:r>
                </w:p>
              </w:tc>
              <w:tc>
                <w:tcPr>
                  <w:tcW w:w="419"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7.9045</w:t>
                  </w:r>
                </w:p>
              </w:tc>
              <w:tc>
                <w:tcPr>
                  <w:tcW w:w="640" w:type="pct"/>
                  <w:vMerge w:val="restar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布袋除尘器+1根15，内径0.2mm高的排气筒进行排放（DA003）</w:t>
                  </w:r>
                </w:p>
              </w:tc>
              <w:tc>
                <w:tcPr>
                  <w:tcW w:w="374"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21.96</w:t>
                  </w:r>
                </w:p>
              </w:tc>
              <w:tc>
                <w:tcPr>
                  <w:tcW w:w="635"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0.0790</w:t>
                  </w:r>
                </w:p>
              </w:tc>
              <w:tc>
                <w:tcPr>
                  <w:tcW w:w="217"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40</w:t>
                  </w:r>
                </w:p>
              </w:tc>
              <w:tc>
                <w:tcPr>
                  <w:tcW w:w="1159" w:type="pct"/>
                  <w:vMerge w:val="restar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《稀土工业污染物排放标准》</w:t>
                  </w:r>
                </w:p>
                <w:p>
                  <w:pPr>
                    <w:snapToGrid w:val="0"/>
                    <w:spacing w:line="240" w:lineRule="auto"/>
                    <w:ind w:firstLine="0" w:firstLineChars="0"/>
                    <w:jc w:val="center"/>
                    <w:rPr>
                      <w:rFonts w:cs="Times New Roman"/>
                      <w:color w:val="auto"/>
                      <w:sz w:val="21"/>
                      <w:szCs w:val="21"/>
                    </w:rPr>
                  </w:pPr>
                  <w:r>
                    <w:rPr>
                      <w:rFonts w:cs="Times New Roman"/>
                      <w:color w:val="auto"/>
                      <w:sz w:val="21"/>
                      <w:szCs w:val="21"/>
                    </w:rPr>
                    <w:t>（GB26451-2011）表5</w:t>
                  </w:r>
                </w:p>
              </w:tc>
              <w:tc>
                <w:tcPr>
                  <w:tcW w:w="197"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28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292"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二氧化硫</w:t>
                  </w:r>
                </w:p>
              </w:tc>
              <w:tc>
                <w:tcPr>
                  <w:tcW w:w="489"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1.62</w:t>
                  </w:r>
                </w:p>
              </w:tc>
              <w:tc>
                <w:tcPr>
                  <w:tcW w:w="419"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0.0117</w:t>
                  </w:r>
                </w:p>
              </w:tc>
              <w:tc>
                <w:tcPr>
                  <w:tcW w:w="640"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374"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1.62</w:t>
                  </w:r>
                </w:p>
              </w:tc>
              <w:tc>
                <w:tcPr>
                  <w:tcW w:w="635"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0.0117</w:t>
                  </w:r>
                </w:p>
              </w:tc>
              <w:tc>
                <w:tcPr>
                  <w:tcW w:w="217"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300</w:t>
                  </w:r>
                </w:p>
              </w:tc>
              <w:tc>
                <w:tcPr>
                  <w:tcW w:w="115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197"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28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292"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氮氧化物</w:t>
                  </w:r>
                </w:p>
              </w:tc>
              <w:tc>
                <w:tcPr>
                  <w:tcW w:w="489"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25.68</w:t>
                  </w:r>
                </w:p>
              </w:tc>
              <w:tc>
                <w:tcPr>
                  <w:tcW w:w="419"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0.0924</w:t>
                  </w:r>
                </w:p>
              </w:tc>
              <w:tc>
                <w:tcPr>
                  <w:tcW w:w="640"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374"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25.68</w:t>
                  </w:r>
                </w:p>
              </w:tc>
              <w:tc>
                <w:tcPr>
                  <w:tcW w:w="635"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0.0924</w:t>
                  </w:r>
                </w:p>
              </w:tc>
              <w:tc>
                <w:tcPr>
                  <w:tcW w:w="217"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200</w:t>
                  </w:r>
                </w:p>
              </w:tc>
              <w:tc>
                <w:tcPr>
                  <w:tcW w:w="115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197"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00" w:type="pct"/>
                  <w:gridSpan w:val="11"/>
                  <w:tcMar>
                    <w:left w:w="28" w:type="dxa"/>
                    <w:right w:w="28" w:type="dxa"/>
                  </w:tcMar>
                  <w:vAlign w:val="center"/>
                </w:tcPr>
                <w:p>
                  <w:pPr>
                    <w:snapToGrid w:val="0"/>
                    <w:spacing w:line="240" w:lineRule="auto"/>
                    <w:ind w:firstLine="0" w:firstLineChars="0"/>
                    <w:jc w:val="center"/>
                    <w:rPr>
                      <w:rFonts w:cs="Times New Roman"/>
                      <w:b/>
                      <w:bCs/>
                      <w:color w:val="auto"/>
                      <w:sz w:val="21"/>
                      <w:szCs w:val="21"/>
                    </w:rPr>
                  </w:pPr>
                  <w:r>
                    <w:rPr>
                      <w:rFonts w:cs="Times New Roman"/>
                      <w:b/>
                      <w:bCs/>
                      <w:color w:val="auto"/>
                      <w:sz w:val="21"/>
                      <w:szCs w:val="21"/>
                    </w:rPr>
                    <w:t>二期工程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9" w:type="pct"/>
                  <w:vMerge w:val="restart"/>
                  <w:tcMar>
                    <w:left w:w="28" w:type="dxa"/>
                    <w:right w:w="28" w:type="dxa"/>
                  </w:tcMar>
                  <w:vAlign w:val="center"/>
                </w:tcPr>
                <w:p>
                  <w:pPr>
                    <w:snapToGrid w:val="0"/>
                    <w:spacing w:line="240" w:lineRule="auto"/>
                    <w:ind w:firstLine="0" w:firstLineChars="0"/>
                    <w:rPr>
                      <w:rFonts w:cs="Times New Roman"/>
                      <w:color w:val="auto"/>
                      <w:sz w:val="21"/>
                      <w:szCs w:val="21"/>
                    </w:rPr>
                  </w:pPr>
                  <w:r>
                    <w:rPr>
                      <w:rFonts w:cs="Times New Roman"/>
                      <w:color w:val="auto"/>
                      <w:sz w:val="21"/>
                      <w:szCs w:val="21"/>
                    </w:rPr>
                    <w:t>氟化、闪蒸干燥</w:t>
                  </w:r>
                </w:p>
              </w:tc>
              <w:tc>
                <w:tcPr>
                  <w:tcW w:w="289" w:type="pct"/>
                  <w:vMerge w:val="restar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有组织</w:t>
                  </w:r>
                </w:p>
              </w:tc>
              <w:tc>
                <w:tcPr>
                  <w:tcW w:w="292"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颗粒物</w:t>
                  </w:r>
                </w:p>
              </w:tc>
              <w:tc>
                <w:tcPr>
                  <w:tcW w:w="489"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368.78</w:t>
                  </w:r>
                </w:p>
              </w:tc>
              <w:tc>
                <w:tcPr>
                  <w:tcW w:w="419" w:type="pct"/>
                  <w:tcMar>
                    <w:left w:w="28" w:type="dxa"/>
                    <w:right w:w="28"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3.9828</w:t>
                  </w:r>
                </w:p>
              </w:tc>
              <w:tc>
                <w:tcPr>
                  <w:tcW w:w="640" w:type="pct"/>
                  <w:vMerge w:val="restar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碱喷淋塔+1根15m高，内径0.2m的排气筒进行排放（DA004）</w:t>
                  </w:r>
                </w:p>
              </w:tc>
              <w:tc>
                <w:tcPr>
                  <w:tcW w:w="374"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36.88</w:t>
                  </w:r>
                </w:p>
              </w:tc>
              <w:tc>
                <w:tcPr>
                  <w:tcW w:w="635" w:type="pct"/>
                  <w:tcMar>
                    <w:left w:w="28" w:type="dxa"/>
                    <w:right w:w="28"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0.3983</w:t>
                  </w:r>
                </w:p>
              </w:tc>
              <w:tc>
                <w:tcPr>
                  <w:tcW w:w="217"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40</w:t>
                  </w:r>
                </w:p>
              </w:tc>
              <w:tc>
                <w:tcPr>
                  <w:tcW w:w="1159" w:type="pct"/>
                  <w:vMerge w:val="restar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《稀土工业污染物排放标准》（GB26451-2011）表5</w:t>
                  </w:r>
                </w:p>
              </w:tc>
              <w:tc>
                <w:tcPr>
                  <w:tcW w:w="197"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9" w:type="pct"/>
                  <w:vMerge w:val="continue"/>
                  <w:tcMar>
                    <w:left w:w="28" w:type="dxa"/>
                    <w:right w:w="28" w:type="dxa"/>
                  </w:tcMar>
                  <w:vAlign w:val="center"/>
                </w:tcPr>
                <w:p>
                  <w:pPr>
                    <w:snapToGrid w:val="0"/>
                    <w:spacing w:line="240" w:lineRule="auto"/>
                    <w:ind w:firstLine="420"/>
                    <w:jc w:val="center"/>
                    <w:rPr>
                      <w:rFonts w:cs="Times New Roman"/>
                      <w:color w:val="auto"/>
                      <w:sz w:val="21"/>
                      <w:szCs w:val="21"/>
                    </w:rPr>
                  </w:pPr>
                </w:p>
              </w:tc>
              <w:tc>
                <w:tcPr>
                  <w:tcW w:w="28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292"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二氧化硫</w:t>
                  </w:r>
                </w:p>
              </w:tc>
              <w:tc>
                <w:tcPr>
                  <w:tcW w:w="489"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0.81</w:t>
                  </w:r>
                </w:p>
              </w:tc>
              <w:tc>
                <w:tcPr>
                  <w:tcW w:w="419" w:type="pct"/>
                  <w:tcMar>
                    <w:left w:w="28" w:type="dxa"/>
                    <w:right w:w="28" w:type="dxa"/>
                  </w:tcMar>
                  <w:vAlign w:val="center"/>
                </w:tcPr>
                <w:p>
                  <w:pPr>
                    <w:spacing w:line="240" w:lineRule="auto"/>
                    <w:ind w:firstLine="0" w:firstLineChars="0"/>
                    <w:jc w:val="center"/>
                    <w:rPr>
                      <w:rFonts w:cs="Times New Roman"/>
                      <w:bCs/>
                      <w:color w:val="auto"/>
                      <w:sz w:val="21"/>
                      <w:szCs w:val="21"/>
                    </w:rPr>
                  </w:pPr>
                  <w:r>
                    <w:rPr>
                      <w:rFonts w:cs="Times New Roman"/>
                      <w:color w:val="auto"/>
                      <w:sz w:val="21"/>
                      <w:szCs w:val="21"/>
                    </w:rPr>
                    <w:t>0.0087</w:t>
                  </w:r>
                </w:p>
              </w:tc>
              <w:tc>
                <w:tcPr>
                  <w:tcW w:w="640"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374"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0.32</w:t>
                  </w:r>
                </w:p>
              </w:tc>
              <w:tc>
                <w:tcPr>
                  <w:tcW w:w="635" w:type="pct"/>
                  <w:tcMar>
                    <w:left w:w="28" w:type="dxa"/>
                    <w:right w:w="28"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0.0035</w:t>
                  </w:r>
                </w:p>
              </w:tc>
              <w:tc>
                <w:tcPr>
                  <w:tcW w:w="217"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300</w:t>
                  </w:r>
                </w:p>
              </w:tc>
              <w:tc>
                <w:tcPr>
                  <w:tcW w:w="115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197"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9" w:type="pct"/>
                  <w:vMerge w:val="continue"/>
                  <w:tcMar>
                    <w:left w:w="28" w:type="dxa"/>
                    <w:right w:w="28" w:type="dxa"/>
                  </w:tcMar>
                  <w:vAlign w:val="center"/>
                </w:tcPr>
                <w:p>
                  <w:pPr>
                    <w:snapToGrid w:val="0"/>
                    <w:spacing w:line="240" w:lineRule="auto"/>
                    <w:ind w:firstLine="420"/>
                    <w:jc w:val="center"/>
                    <w:rPr>
                      <w:rFonts w:cs="Times New Roman"/>
                      <w:color w:val="auto"/>
                      <w:sz w:val="21"/>
                      <w:szCs w:val="21"/>
                    </w:rPr>
                  </w:pPr>
                </w:p>
              </w:tc>
              <w:tc>
                <w:tcPr>
                  <w:tcW w:w="28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292"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氮氧化物</w:t>
                  </w:r>
                </w:p>
              </w:tc>
              <w:tc>
                <w:tcPr>
                  <w:tcW w:w="489"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6.41</w:t>
                  </w:r>
                </w:p>
              </w:tc>
              <w:tc>
                <w:tcPr>
                  <w:tcW w:w="419" w:type="pct"/>
                  <w:tcMar>
                    <w:left w:w="28" w:type="dxa"/>
                    <w:right w:w="28" w:type="dxa"/>
                  </w:tcMar>
                  <w:vAlign w:val="center"/>
                </w:tcPr>
                <w:p>
                  <w:pPr>
                    <w:spacing w:line="240" w:lineRule="auto"/>
                    <w:ind w:firstLine="0" w:firstLineChars="0"/>
                    <w:jc w:val="center"/>
                    <w:rPr>
                      <w:rFonts w:cs="Times New Roman"/>
                      <w:bCs/>
                      <w:color w:val="auto"/>
                      <w:sz w:val="21"/>
                      <w:szCs w:val="21"/>
                    </w:rPr>
                  </w:pPr>
                  <w:r>
                    <w:rPr>
                      <w:rFonts w:cs="Times New Roman"/>
                      <w:color w:val="auto"/>
                      <w:sz w:val="21"/>
                      <w:szCs w:val="21"/>
                    </w:rPr>
                    <w:t>0.0693</w:t>
                  </w:r>
                </w:p>
              </w:tc>
              <w:tc>
                <w:tcPr>
                  <w:tcW w:w="640"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374"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6.41</w:t>
                  </w:r>
                </w:p>
              </w:tc>
              <w:tc>
                <w:tcPr>
                  <w:tcW w:w="635" w:type="pct"/>
                  <w:tcMar>
                    <w:left w:w="28" w:type="dxa"/>
                    <w:right w:w="28"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0.0693</w:t>
                  </w:r>
                </w:p>
              </w:tc>
              <w:tc>
                <w:tcPr>
                  <w:tcW w:w="217"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200</w:t>
                  </w:r>
                </w:p>
              </w:tc>
              <w:tc>
                <w:tcPr>
                  <w:tcW w:w="115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197"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28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292"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氟化物</w:t>
                  </w:r>
                </w:p>
              </w:tc>
              <w:tc>
                <w:tcPr>
                  <w:tcW w:w="489"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33.03</w:t>
                  </w:r>
                </w:p>
              </w:tc>
              <w:tc>
                <w:tcPr>
                  <w:tcW w:w="419" w:type="pct"/>
                  <w:tcMar>
                    <w:left w:w="28" w:type="dxa"/>
                    <w:right w:w="28" w:type="dxa"/>
                  </w:tcMar>
                  <w:vAlign w:val="center"/>
                </w:tcPr>
                <w:p>
                  <w:pPr>
                    <w:spacing w:line="240" w:lineRule="auto"/>
                    <w:ind w:firstLine="0" w:firstLineChars="0"/>
                    <w:jc w:val="center"/>
                    <w:rPr>
                      <w:rFonts w:cs="Times New Roman"/>
                      <w:bCs/>
                      <w:color w:val="auto"/>
                      <w:sz w:val="21"/>
                      <w:szCs w:val="21"/>
                    </w:rPr>
                  </w:pPr>
                  <w:r>
                    <w:rPr>
                      <w:rFonts w:cs="Times New Roman"/>
                      <w:color w:val="auto"/>
                      <w:sz w:val="21"/>
                      <w:szCs w:val="21"/>
                    </w:rPr>
                    <w:t>0.3568</w:t>
                  </w:r>
                </w:p>
              </w:tc>
              <w:tc>
                <w:tcPr>
                  <w:tcW w:w="640"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374"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4.96</w:t>
                  </w:r>
                </w:p>
              </w:tc>
              <w:tc>
                <w:tcPr>
                  <w:tcW w:w="635" w:type="pct"/>
                  <w:tcMar>
                    <w:left w:w="28" w:type="dxa"/>
                    <w:right w:w="28"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0.0535</w:t>
                  </w:r>
                </w:p>
              </w:tc>
              <w:tc>
                <w:tcPr>
                  <w:tcW w:w="217"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7</w:t>
                  </w:r>
                </w:p>
              </w:tc>
              <w:tc>
                <w:tcPr>
                  <w:tcW w:w="115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197"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9" w:type="pct"/>
                  <w:vMerge w:val="restar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天然气回转窑</w:t>
                  </w:r>
                </w:p>
              </w:tc>
              <w:tc>
                <w:tcPr>
                  <w:tcW w:w="289" w:type="pct"/>
                  <w:vMerge w:val="restar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有组织</w:t>
                  </w:r>
                </w:p>
              </w:tc>
              <w:tc>
                <w:tcPr>
                  <w:tcW w:w="292"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颗粒物</w:t>
                  </w:r>
                </w:p>
              </w:tc>
              <w:tc>
                <w:tcPr>
                  <w:tcW w:w="489"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3.30</w:t>
                  </w:r>
                </w:p>
              </w:tc>
              <w:tc>
                <w:tcPr>
                  <w:tcW w:w="419" w:type="pct"/>
                  <w:tcMar>
                    <w:left w:w="28" w:type="dxa"/>
                    <w:right w:w="28"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0.0476</w:t>
                  </w:r>
                </w:p>
              </w:tc>
              <w:tc>
                <w:tcPr>
                  <w:tcW w:w="640" w:type="pct"/>
                  <w:vMerge w:val="restar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碱喷淋塔+1根15m高，内径0.2m的排气筒进行排放（DA005）</w:t>
                  </w:r>
                </w:p>
              </w:tc>
              <w:tc>
                <w:tcPr>
                  <w:tcW w:w="374"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0.33</w:t>
                  </w:r>
                </w:p>
              </w:tc>
              <w:tc>
                <w:tcPr>
                  <w:tcW w:w="635" w:type="pct"/>
                  <w:tcMar>
                    <w:left w:w="28" w:type="dxa"/>
                    <w:right w:w="28"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0.0048</w:t>
                  </w:r>
                </w:p>
              </w:tc>
              <w:tc>
                <w:tcPr>
                  <w:tcW w:w="217"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40</w:t>
                  </w:r>
                </w:p>
              </w:tc>
              <w:tc>
                <w:tcPr>
                  <w:tcW w:w="1159" w:type="pct"/>
                  <w:vMerge w:val="restar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《稀土工业污染物排放标准》（GB26451-2011）表5</w:t>
                  </w:r>
                </w:p>
              </w:tc>
              <w:tc>
                <w:tcPr>
                  <w:tcW w:w="197"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28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292"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二氧化硫</w:t>
                  </w:r>
                </w:p>
              </w:tc>
              <w:tc>
                <w:tcPr>
                  <w:tcW w:w="489"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13.22</w:t>
                  </w:r>
                </w:p>
              </w:tc>
              <w:tc>
                <w:tcPr>
                  <w:tcW w:w="419" w:type="pct"/>
                  <w:tcMar>
                    <w:left w:w="28" w:type="dxa"/>
                    <w:right w:w="28"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0.1903</w:t>
                  </w:r>
                </w:p>
              </w:tc>
              <w:tc>
                <w:tcPr>
                  <w:tcW w:w="640"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374"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5.29</w:t>
                  </w:r>
                </w:p>
              </w:tc>
              <w:tc>
                <w:tcPr>
                  <w:tcW w:w="635" w:type="pct"/>
                  <w:tcMar>
                    <w:left w:w="28" w:type="dxa"/>
                    <w:right w:w="28"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0.0761</w:t>
                  </w:r>
                </w:p>
              </w:tc>
              <w:tc>
                <w:tcPr>
                  <w:tcW w:w="217"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300</w:t>
                  </w:r>
                </w:p>
              </w:tc>
              <w:tc>
                <w:tcPr>
                  <w:tcW w:w="115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197"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28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292"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氮氧化物</w:t>
                  </w:r>
                </w:p>
              </w:tc>
              <w:tc>
                <w:tcPr>
                  <w:tcW w:w="489"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104.86</w:t>
                  </w:r>
                </w:p>
              </w:tc>
              <w:tc>
                <w:tcPr>
                  <w:tcW w:w="419" w:type="pct"/>
                  <w:tcMar>
                    <w:left w:w="28" w:type="dxa"/>
                    <w:right w:w="28"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1.5100</w:t>
                  </w:r>
                </w:p>
              </w:tc>
              <w:tc>
                <w:tcPr>
                  <w:tcW w:w="640"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374"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104.86</w:t>
                  </w:r>
                </w:p>
              </w:tc>
              <w:tc>
                <w:tcPr>
                  <w:tcW w:w="635" w:type="pct"/>
                  <w:tcMar>
                    <w:left w:w="28" w:type="dxa"/>
                    <w:right w:w="28"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1.5100</w:t>
                  </w:r>
                </w:p>
              </w:tc>
              <w:tc>
                <w:tcPr>
                  <w:tcW w:w="217"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200</w:t>
                  </w:r>
                </w:p>
              </w:tc>
              <w:tc>
                <w:tcPr>
                  <w:tcW w:w="115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197"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28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292"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氟化物</w:t>
                  </w:r>
                </w:p>
              </w:tc>
              <w:tc>
                <w:tcPr>
                  <w:tcW w:w="489"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2.50</w:t>
                  </w:r>
                </w:p>
              </w:tc>
              <w:tc>
                <w:tcPr>
                  <w:tcW w:w="419" w:type="pct"/>
                  <w:tcMar>
                    <w:left w:w="28" w:type="dxa"/>
                    <w:right w:w="28"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0.0360</w:t>
                  </w:r>
                </w:p>
              </w:tc>
              <w:tc>
                <w:tcPr>
                  <w:tcW w:w="640"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374"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0.38</w:t>
                  </w:r>
                </w:p>
              </w:tc>
              <w:tc>
                <w:tcPr>
                  <w:tcW w:w="635" w:type="pct"/>
                  <w:tcMar>
                    <w:left w:w="28" w:type="dxa"/>
                    <w:right w:w="28"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0.0054</w:t>
                  </w:r>
                </w:p>
              </w:tc>
              <w:tc>
                <w:tcPr>
                  <w:tcW w:w="217"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7</w:t>
                  </w:r>
                </w:p>
              </w:tc>
              <w:tc>
                <w:tcPr>
                  <w:tcW w:w="115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197"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9" w:type="pct"/>
                  <w:vMerge w:val="restar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后加工阶段、喷雾干燥</w:t>
                  </w:r>
                </w:p>
              </w:tc>
              <w:tc>
                <w:tcPr>
                  <w:tcW w:w="289" w:type="pct"/>
                  <w:vMerge w:val="restar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有组织</w:t>
                  </w:r>
                </w:p>
              </w:tc>
              <w:tc>
                <w:tcPr>
                  <w:tcW w:w="292"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颗粒物</w:t>
                  </w:r>
                </w:p>
              </w:tc>
              <w:tc>
                <w:tcPr>
                  <w:tcW w:w="489"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1723.57</w:t>
                  </w:r>
                </w:p>
              </w:tc>
              <w:tc>
                <w:tcPr>
                  <w:tcW w:w="419" w:type="pct"/>
                  <w:tcMar>
                    <w:left w:w="28" w:type="dxa"/>
                    <w:right w:w="28"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7.9097</w:t>
                  </w:r>
                </w:p>
              </w:tc>
              <w:tc>
                <w:tcPr>
                  <w:tcW w:w="640" w:type="pct"/>
                  <w:vMerge w:val="restar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布袋除尘器+1根15m高，内径0.2m的排气筒进行排放（DA003）</w:t>
                  </w:r>
                </w:p>
              </w:tc>
              <w:tc>
                <w:tcPr>
                  <w:tcW w:w="374"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17.24</w:t>
                  </w:r>
                </w:p>
              </w:tc>
              <w:tc>
                <w:tcPr>
                  <w:tcW w:w="635" w:type="pct"/>
                  <w:tcMar>
                    <w:left w:w="28" w:type="dxa"/>
                    <w:right w:w="28"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0.0791</w:t>
                  </w:r>
                </w:p>
              </w:tc>
              <w:tc>
                <w:tcPr>
                  <w:tcW w:w="217" w:type="pct"/>
                  <w:tcMar>
                    <w:left w:w="28" w:type="dxa"/>
                    <w:right w:w="28"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40</w:t>
                  </w:r>
                </w:p>
              </w:tc>
              <w:tc>
                <w:tcPr>
                  <w:tcW w:w="1159" w:type="pct"/>
                  <w:vMerge w:val="restar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《稀土工业污染物排放标准》</w:t>
                  </w:r>
                </w:p>
                <w:p>
                  <w:pPr>
                    <w:snapToGrid w:val="0"/>
                    <w:spacing w:line="240" w:lineRule="auto"/>
                    <w:ind w:firstLine="0" w:firstLineChars="0"/>
                    <w:jc w:val="center"/>
                    <w:rPr>
                      <w:rFonts w:cs="Times New Roman"/>
                      <w:color w:val="auto"/>
                      <w:sz w:val="21"/>
                      <w:szCs w:val="21"/>
                    </w:rPr>
                  </w:pPr>
                  <w:r>
                    <w:rPr>
                      <w:rFonts w:cs="Times New Roman"/>
                      <w:color w:val="auto"/>
                      <w:sz w:val="21"/>
                      <w:szCs w:val="21"/>
                    </w:rPr>
                    <w:t>（GB26451-2011）表5</w:t>
                  </w:r>
                </w:p>
              </w:tc>
              <w:tc>
                <w:tcPr>
                  <w:tcW w:w="197"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28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292"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二氧化硫</w:t>
                  </w:r>
                </w:p>
              </w:tc>
              <w:tc>
                <w:tcPr>
                  <w:tcW w:w="489"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1.62</w:t>
                  </w:r>
                </w:p>
              </w:tc>
              <w:tc>
                <w:tcPr>
                  <w:tcW w:w="419" w:type="pct"/>
                  <w:tcMar>
                    <w:left w:w="28" w:type="dxa"/>
                    <w:right w:w="28"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0.0117</w:t>
                  </w:r>
                </w:p>
              </w:tc>
              <w:tc>
                <w:tcPr>
                  <w:tcW w:w="640"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374"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1.62</w:t>
                  </w:r>
                </w:p>
              </w:tc>
              <w:tc>
                <w:tcPr>
                  <w:tcW w:w="635" w:type="pct"/>
                  <w:tcMar>
                    <w:left w:w="28" w:type="dxa"/>
                    <w:right w:w="28"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0.0117</w:t>
                  </w:r>
                </w:p>
              </w:tc>
              <w:tc>
                <w:tcPr>
                  <w:tcW w:w="217" w:type="pct"/>
                  <w:tcMar>
                    <w:left w:w="28" w:type="dxa"/>
                    <w:right w:w="28"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300</w:t>
                  </w:r>
                </w:p>
              </w:tc>
              <w:tc>
                <w:tcPr>
                  <w:tcW w:w="115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197"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28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292"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氮氧化物</w:t>
                  </w:r>
                </w:p>
              </w:tc>
              <w:tc>
                <w:tcPr>
                  <w:tcW w:w="489"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12.84</w:t>
                  </w:r>
                </w:p>
              </w:tc>
              <w:tc>
                <w:tcPr>
                  <w:tcW w:w="419" w:type="pct"/>
                  <w:tcMar>
                    <w:left w:w="28" w:type="dxa"/>
                    <w:right w:w="28"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0.0924</w:t>
                  </w:r>
                </w:p>
              </w:tc>
              <w:tc>
                <w:tcPr>
                  <w:tcW w:w="640"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374"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12.84</w:t>
                  </w:r>
                </w:p>
              </w:tc>
              <w:tc>
                <w:tcPr>
                  <w:tcW w:w="635" w:type="pct"/>
                  <w:tcMar>
                    <w:left w:w="28" w:type="dxa"/>
                    <w:right w:w="28"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0.0924</w:t>
                  </w:r>
                </w:p>
              </w:tc>
              <w:tc>
                <w:tcPr>
                  <w:tcW w:w="217" w:type="pct"/>
                  <w:tcMar>
                    <w:left w:w="28" w:type="dxa"/>
                    <w:right w:w="28"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200</w:t>
                  </w:r>
                </w:p>
              </w:tc>
              <w:tc>
                <w:tcPr>
                  <w:tcW w:w="115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197"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9" w:type="pct"/>
                  <w:vMerge w:val="restar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天然气锅炉废气</w:t>
                  </w:r>
                </w:p>
              </w:tc>
              <w:tc>
                <w:tcPr>
                  <w:tcW w:w="289" w:type="pct"/>
                  <w:vMerge w:val="restar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有组织</w:t>
                  </w:r>
                </w:p>
              </w:tc>
              <w:tc>
                <w:tcPr>
                  <w:tcW w:w="292"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颗粒物</w:t>
                  </w:r>
                </w:p>
              </w:tc>
              <w:tc>
                <w:tcPr>
                  <w:tcW w:w="489"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4.64</w:t>
                  </w:r>
                </w:p>
              </w:tc>
              <w:tc>
                <w:tcPr>
                  <w:tcW w:w="419" w:type="pct"/>
                  <w:tcMar>
                    <w:left w:w="28" w:type="dxa"/>
                    <w:right w:w="28" w:type="dxa"/>
                  </w:tcMar>
                  <w:vAlign w:val="center"/>
                </w:tcPr>
                <w:p>
                  <w:pPr>
                    <w:spacing w:line="240" w:lineRule="auto"/>
                    <w:ind w:firstLine="0" w:firstLineChars="0"/>
                    <w:jc w:val="center"/>
                    <w:rPr>
                      <w:rFonts w:cs="Times New Roman"/>
                      <w:bCs/>
                      <w:color w:val="auto"/>
                      <w:sz w:val="21"/>
                      <w:szCs w:val="21"/>
                    </w:rPr>
                  </w:pPr>
                  <w:r>
                    <w:rPr>
                      <w:rFonts w:cs="Times New Roman"/>
                      <w:color w:val="auto"/>
                      <w:sz w:val="21"/>
                      <w:szCs w:val="21"/>
                    </w:rPr>
                    <w:t>0.0504</w:t>
                  </w:r>
                </w:p>
              </w:tc>
              <w:tc>
                <w:tcPr>
                  <w:tcW w:w="640" w:type="pct"/>
                  <w:vMerge w:val="restar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低氮燃烧器+1根14m高，内径0.2m的排气筒排放（DA006）</w:t>
                  </w:r>
                </w:p>
              </w:tc>
              <w:tc>
                <w:tcPr>
                  <w:tcW w:w="374"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4.64</w:t>
                  </w:r>
                </w:p>
              </w:tc>
              <w:tc>
                <w:tcPr>
                  <w:tcW w:w="635" w:type="pct"/>
                  <w:tcMar>
                    <w:left w:w="28" w:type="dxa"/>
                    <w:right w:w="28" w:type="dxa"/>
                  </w:tcMar>
                  <w:vAlign w:val="center"/>
                </w:tcPr>
                <w:p>
                  <w:pPr>
                    <w:spacing w:line="240" w:lineRule="auto"/>
                    <w:ind w:firstLine="0" w:firstLineChars="0"/>
                    <w:jc w:val="center"/>
                    <w:rPr>
                      <w:rFonts w:cs="Times New Roman"/>
                      <w:bCs/>
                      <w:color w:val="auto"/>
                      <w:sz w:val="21"/>
                      <w:szCs w:val="21"/>
                    </w:rPr>
                  </w:pPr>
                  <w:r>
                    <w:rPr>
                      <w:rFonts w:cs="Times New Roman"/>
                      <w:color w:val="auto"/>
                      <w:sz w:val="21"/>
                      <w:szCs w:val="21"/>
                    </w:rPr>
                    <w:t>0.0504</w:t>
                  </w:r>
                </w:p>
              </w:tc>
              <w:tc>
                <w:tcPr>
                  <w:tcW w:w="217" w:type="pct"/>
                  <w:tcMar>
                    <w:left w:w="28" w:type="dxa"/>
                    <w:right w:w="28"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20</w:t>
                  </w:r>
                </w:p>
              </w:tc>
              <w:tc>
                <w:tcPr>
                  <w:tcW w:w="1159" w:type="pct"/>
                  <w:vMerge w:val="restar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《锅炉大气污染物排放标准》（GB13271-2014）表2</w:t>
                  </w:r>
                </w:p>
              </w:tc>
              <w:tc>
                <w:tcPr>
                  <w:tcW w:w="197"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28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292"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二氧化硫</w:t>
                  </w:r>
                </w:p>
              </w:tc>
              <w:tc>
                <w:tcPr>
                  <w:tcW w:w="489"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18.56</w:t>
                  </w:r>
                </w:p>
              </w:tc>
              <w:tc>
                <w:tcPr>
                  <w:tcW w:w="419" w:type="pct"/>
                  <w:tcMar>
                    <w:left w:w="28" w:type="dxa"/>
                    <w:right w:w="28" w:type="dxa"/>
                  </w:tcMar>
                  <w:vAlign w:val="center"/>
                </w:tcPr>
                <w:p>
                  <w:pPr>
                    <w:spacing w:line="240" w:lineRule="auto"/>
                    <w:ind w:firstLine="0" w:firstLineChars="0"/>
                    <w:jc w:val="center"/>
                    <w:rPr>
                      <w:rFonts w:cs="Times New Roman"/>
                      <w:bCs/>
                      <w:color w:val="auto"/>
                      <w:sz w:val="21"/>
                      <w:szCs w:val="21"/>
                    </w:rPr>
                  </w:pPr>
                  <w:r>
                    <w:rPr>
                      <w:rFonts w:cs="Times New Roman"/>
                      <w:color w:val="auto"/>
                      <w:sz w:val="21"/>
                      <w:szCs w:val="21"/>
                    </w:rPr>
                    <w:t>0.2016</w:t>
                  </w:r>
                </w:p>
              </w:tc>
              <w:tc>
                <w:tcPr>
                  <w:tcW w:w="640"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374"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18.56</w:t>
                  </w:r>
                </w:p>
              </w:tc>
              <w:tc>
                <w:tcPr>
                  <w:tcW w:w="635" w:type="pct"/>
                  <w:tcMar>
                    <w:left w:w="28" w:type="dxa"/>
                    <w:right w:w="28" w:type="dxa"/>
                  </w:tcMar>
                  <w:vAlign w:val="center"/>
                </w:tcPr>
                <w:p>
                  <w:pPr>
                    <w:spacing w:line="240" w:lineRule="auto"/>
                    <w:ind w:firstLine="0" w:firstLineChars="0"/>
                    <w:jc w:val="center"/>
                    <w:rPr>
                      <w:rFonts w:cs="Times New Roman"/>
                      <w:bCs/>
                      <w:color w:val="auto"/>
                      <w:sz w:val="21"/>
                      <w:szCs w:val="21"/>
                    </w:rPr>
                  </w:pPr>
                  <w:r>
                    <w:rPr>
                      <w:rFonts w:cs="Times New Roman"/>
                      <w:color w:val="auto"/>
                      <w:sz w:val="21"/>
                      <w:szCs w:val="21"/>
                    </w:rPr>
                    <w:t>0.2016</w:t>
                  </w:r>
                </w:p>
              </w:tc>
              <w:tc>
                <w:tcPr>
                  <w:tcW w:w="217" w:type="pct"/>
                  <w:tcMar>
                    <w:left w:w="28" w:type="dxa"/>
                    <w:right w:w="28"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50</w:t>
                  </w:r>
                </w:p>
              </w:tc>
              <w:tc>
                <w:tcPr>
                  <w:tcW w:w="115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197"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28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292"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氮氧化物</w:t>
                  </w:r>
                </w:p>
              </w:tc>
              <w:tc>
                <w:tcPr>
                  <w:tcW w:w="489"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147.28</w:t>
                  </w:r>
                </w:p>
              </w:tc>
              <w:tc>
                <w:tcPr>
                  <w:tcW w:w="419" w:type="pct"/>
                  <w:tcMar>
                    <w:left w:w="28" w:type="dxa"/>
                    <w:right w:w="28" w:type="dxa"/>
                  </w:tcMar>
                  <w:vAlign w:val="center"/>
                </w:tcPr>
                <w:p>
                  <w:pPr>
                    <w:spacing w:line="240" w:lineRule="auto"/>
                    <w:ind w:firstLine="0" w:firstLineChars="0"/>
                    <w:jc w:val="center"/>
                    <w:rPr>
                      <w:rFonts w:cs="Times New Roman"/>
                      <w:bCs/>
                      <w:color w:val="auto"/>
                      <w:sz w:val="21"/>
                      <w:szCs w:val="21"/>
                    </w:rPr>
                  </w:pPr>
                  <w:r>
                    <w:rPr>
                      <w:rFonts w:cs="Times New Roman"/>
                      <w:color w:val="auto"/>
                      <w:sz w:val="21"/>
                      <w:szCs w:val="21"/>
                    </w:rPr>
                    <w:t>1.5997</w:t>
                  </w:r>
                </w:p>
              </w:tc>
              <w:tc>
                <w:tcPr>
                  <w:tcW w:w="640"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374"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147.28</w:t>
                  </w:r>
                </w:p>
              </w:tc>
              <w:tc>
                <w:tcPr>
                  <w:tcW w:w="635" w:type="pct"/>
                  <w:tcMar>
                    <w:left w:w="28" w:type="dxa"/>
                    <w:right w:w="28" w:type="dxa"/>
                  </w:tcMar>
                  <w:vAlign w:val="center"/>
                </w:tcPr>
                <w:p>
                  <w:pPr>
                    <w:spacing w:line="240" w:lineRule="auto"/>
                    <w:ind w:firstLine="0" w:firstLineChars="0"/>
                    <w:jc w:val="center"/>
                    <w:rPr>
                      <w:rFonts w:cs="Times New Roman"/>
                      <w:bCs/>
                      <w:color w:val="auto"/>
                      <w:sz w:val="21"/>
                      <w:szCs w:val="21"/>
                    </w:rPr>
                  </w:pPr>
                  <w:r>
                    <w:rPr>
                      <w:rFonts w:cs="Times New Roman"/>
                      <w:color w:val="auto"/>
                      <w:sz w:val="21"/>
                      <w:szCs w:val="21"/>
                    </w:rPr>
                    <w:t>1.5997</w:t>
                  </w:r>
                </w:p>
              </w:tc>
              <w:tc>
                <w:tcPr>
                  <w:tcW w:w="217" w:type="pct"/>
                  <w:tcMar>
                    <w:left w:w="28" w:type="dxa"/>
                    <w:right w:w="28" w:type="dxa"/>
                  </w:tcMar>
                  <w:vAlign w:val="center"/>
                </w:tcPr>
                <w:p>
                  <w:pPr>
                    <w:spacing w:line="240" w:lineRule="auto"/>
                    <w:ind w:firstLine="0" w:firstLineChars="0"/>
                    <w:jc w:val="center"/>
                    <w:rPr>
                      <w:rFonts w:cs="Times New Roman"/>
                      <w:color w:val="auto"/>
                      <w:sz w:val="21"/>
                      <w:szCs w:val="21"/>
                    </w:rPr>
                  </w:pPr>
                  <w:r>
                    <w:rPr>
                      <w:rFonts w:cs="Times New Roman"/>
                      <w:color w:val="auto"/>
                      <w:sz w:val="21"/>
                      <w:szCs w:val="21"/>
                    </w:rPr>
                    <w:t>200</w:t>
                  </w:r>
                </w:p>
              </w:tc>
              <w:tc>
                <w:tcPr>
                  <w:tcW w:w="1159" w:type="pct"/>
                  <w:vMerge w:val="continue"/>
                  <w:tcMar>
                    <w:left w:w="28" w:type="dxa"/>
                    <w:right w:w="28" w:type="dxa"/>
                  </w:tcMar>
                  <w:vAlign w:val="center"/>
                </w:tcPr>
                <w:p>
                  <w:pPr>
                    <w:snapToGrid w:val="0"/>
                    <w:spacing w:line="240" w:lineRule="auto"/>
                    <w:ind w:firstLine="0" w:firstLineChars="0"/>
                    <w:jc w:val="center"/>
                    <w:rPr>
                      <w:rFonts w:cs="Times New Roman"/>
                      <w:color w:val="auto"/>
                      <w:sz w:val="21"/>
                      <w:szCs w:val="21"/>
                    </w:rPr>
                  </w:pPr>
                </w:p>
              </w:tc>
              <w:tc>
                <w:tcPr>
                  <w:tcW w:w="197" w:type="pct"/>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达标</w:t>
                  </w:r>
                </w:p>
              </w:tc>
            </w:tr>
          </w:tbl>
          <w:p>
            <w:pPr>
              <w:ind w:firstLine="482"/>
              <w:jc w:val="center"/>
              <w:rPr>
                <w:rFonts w:cs="Times New Roman"/>
                <w:b/>
                <w:bCs/>
                <w:color w:val="auto"/>
              </w:rPr>
            </w:pPr>
            <w:r>
              <w:rPr>
                <w:rFonts w:cs="Times New Roman"/>
                <w:b/>
                <w:bCs/>
                <w:color w:val="auto"/>
              </w:rPr>
              <w:t>表4-11污染物排放情况汇总表</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82"/>
              <w:gridCol w:w="46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vAlign w:val="center"/>
                </w:tcPr>
                <w:p>
                  <w:pPr>
                    <w:spacing w:line="240" w:lineRule="auto"/>
                    <w:ind w:firstLine="0" w:firstLineChars="0"/>
                    <w:jc w:val="center"/>
                    <w:rPr>
                      <w:rFonts w:cs="Times New Roman"/>
                      <w:color w:val="auto"/>
                      <w:szCs w:val="21"/>
                    </w:rPr>
                  </w:pPr>
                  <w:r>
                    <w:rPr>
                      <w:color w:val="auto"/>
                      <w:sz w:val="21"/>
                      <w:szCs w:val="21"/>
                    </w:rPr>
                    <w:t>污染物名称</w:t>
                  </w:r>
                </w:p>
              </w:tc>
              <w:tc>
                <w:tcPr>
                  <w:tcW w:w="2500" w:type="pct"/>
                </w:tcPr>
                <w:p>
                  <w:pPr>
                    <w:spacing w:line="240" w:lineRule="auto"/>
                    <w:ind w:firstLine="0" w:firstLineChars="0"/>
                    <w:jc w:val="center"/>
                    <w:rPr>
                      <w:rFonts w:cs="Times New Roman"/>
                      <w:color w:val="auto"/>
                      <w:szCs w:val="21"/>
                    </w:rPr>
                  </w:pPr>
                  <w:r>
                    <w:rPr>
                      <w:color w:val="auto"/>
                      <w:sz w:val="21"/>
                      <w:szCs w:val="21"/>
                    </w:rPr>
                    <w:t>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vAlign w:val="center"/>
                </w:tcPr>
                <w:p>
                  <w:pPr>
                    <w:spacing w:line="240" w:lineRule="auto"/>
                    <w:ind w:firstLine="0" w:firstLineChars="0"/>
                    <w:jc w:val="center"/>
                    <w:rPr>
                      <w:rFonts w:cs="Times New Roman"/>
                      <w:color w:val="auto"/>
                      <w:szCs w:val="21"/>
                    </w:rPr>
                  </w:pPr>
                  <w:r>
                    <w:rPr>
                      <w:color w:val="auto"/>
                      <w:sz w:val="21"/>
                      <w:szCs w:val="21"/>
                    </w:rPr>
                    <w:t>颗粒物</w:t>
                  </w:r>
                </w:p>
              </w:tc>
              <w:tc>
                <w:tcPr>
                  <w:tcW w:w="2500" w:type="pct"/>
                  <w:vAlign w:val="center"/>
                </w:tcPr>
                <w:p>
                  <w:pPr>
                    <w:spacing w:line="240" w:lineRule="auto"/>
                    <w:ind w:firstLine="0" w:firstLineChars="0"/>
                    <w:jc w:val="center"/>
                    <w:rPr>
                      <w:rFonts w:cs="Times New Roman"/>
                      <w:color w:val="auto"/>
                      <w:szCs w:val="21"/>
                    </w:rPr>
                  </w:pPr>
                  <w:r>
                    <w:rPr>
                      <w:color w:val="auto"/>
                      <w:sz w:val="21"/>
                      <w:szCs w:val="21"/>
                    </w:rPr>
                    <w:t>1.02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vAlign w:val="center"/>
                </w:tcPr>
                <w:p>
                  <w:pPr>
                    <w:spacing w:line="240" w:lineRule="auto"/>
                    <w:ind w:firstLine="0" w:firstLineChars="0"/>
                    <w:jc w:val="center"/>
                    <w:rPr>
                      <w:rFonts w:cs="Times New Roman"/>
                      <w:color w:val="auto"/>
                      <w:szCs w:val="21"/>
                    </w:rPr>
                  </w:pPr>
                  <w:r>
                    <w:rPr>
                      <w:color w:val="auto"/>
                      <w:sz w:val="21"/>
                      <w:szCs w:val="21"/>
                    </w:rPr>
                    <w:t>二氧化硫</w:t>
                  </w:r>
                </w:p>
              </w:tc>
              <w:tc>
                <w:tcPr>
                  <w:tcW w:w="2500" w:type="pct"/>
                  <w:vAlign w:val="center"/>
                </w:tcPr>
                <w:p>
                  <w:pPr>
                    <w:spacing w:line="240" w:lineRule="auto"/>
                    <w:ind w:firstLine="0" w:firstLineChars="0"/>
                    <w:jc w:val="center"/>
                    <w:rPr>
                      <w:rFonts w:cs="Times New Roman"/>
                      <w:color w:val="auto"/>
                      <w:szCs w:val="21"/>
                    </w:rPr>
                  </w:pPr>
                  <w:r>
                    <w:rPr>
                      <w:color w:val="auto"/>
                      <w:sz w:val="21"/>
                      <w:szCs w:val="21"/>
                    </w:rPr>
                    <w:t>0.35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vAlign w:val="center"/>
                </w:tcPr>
                <w:p>
                  <w:pPr>
                    <w:spacing w:line="240" w:lineRule="auto"/>
                    <w:ind w:firstLine="0" w:firstLineChars="0"/>
                    <w:jc w:val="center"/>
                    <w:rPr>
                      <w:rFonts w:cs="Times New Roman"/>
                      <w:color w:val="auto"/>
                      <w:szCs w:val="21"/>
                    </w:rPr>
                  </w:pPr>
                  <w:r>
                    <w:rPr>
                      <w:color w:val="auto"/>
                      <w:sz w:val="21"/>
                      <w:szCs w:val="21"/>
                    </w:rPr>
                    <w:t>氮氧化物</w:t>
                  </w:r>
                </w:p>
              </w:tc>
              <w:tc>
                <w:tcPr>
                  <w:tcW w:w="2500" w:type="pct"/>
                  <w:vAlign w:val="center"/>
                </w:tcPr>
                <w:p>
                  <w:pPr>
                    <w:spacing w:line="240" w:lineRule="auto"/>
                    <w:ind w:firstLine="0" w:firstLineChars="0"/>
                    <w:jc w:val="center"/>
                    <w:rPr>
                      <w:rFonts w:cs="Times New Roman"/>
                      <w:color w:val="auto"/>
                      <w:szCs w:val="21"/>
                    </w:rPr>
                  </w:pPr>
                  <w:r>
                    <w:rPr>
                      <w:color w:val="auto"/>
                      <w:sz w:val="21"/>
                      <w:szCs w:val="21"/>
                    </w:rPr>
                    <w:t>4.21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vAlign w:val="center"/>
                </w:tcPr>
                <w:p>
                  <w:pPr>
                    <w:spacing w:line="240" w:lineRule="auto"/>
                    <w:ind w:firstLine="0" w:firstLineChars="0"/>
                    <w:jc w:val="center"/>
                    <w:rPr>
                      <w:rFonts w:cs="Times New Roman"/>
                      <w:color w:val="auto"/>
                      <w:szCs w:val="21"/>
                    </w:rPr>
                  </w:pPr>
                  <w:r>
                    <w:rPr>
                      <w:color w:val="auto"/>
                      <w:sz w:val="21"/>
                      <w:szCs w:val="21"/>
                    </w:rPr>
                    <w:t>氟化物</w:t>
                  </w:r>
                </w:p>
              </w:tc>
              <w:tc>
                <w:tcPr>
                  <w:tcW w:w="2500" w:type="pct"/>
                  <w:vAlign w:val="center"/>
                </w:tcPr>
                <w:p>
                  <w:pPr>
                    <w:spacing w:line="240" w:lineRule="auto"/>
                    <w:ind w:firstLine="0" w:firstLineChars="0"/>
                    <w:jc w:val="center"/>
                    <w:rPr>
                      <w:rFonts w:cs="Times New Roman"/>
                      <w:color w:val="auto"/>
                      <w:szCs w:val="21"/>
                    </w:rPr>
                  </w:pPr>
                  <w:r>
                    <w:rPr>
                      <w:color w:val="auto"/>
                      <w:sz w:val="21"/>
                      <w:szCs w:val="21"/>
                    </w:rPr>
                    <w:t>0.12</w:t>
                  </w:r>
                </w:p>
              </w:tc>
            </w:tr>
          </w:tbl>
          <w:p>
            <w:pPr>
              <w:ind w:firstLine="482"/>
              <w:rPr>
                <w:rFonts w:cs="Times New Roman"/>
                <w:b/>
                <w:bCs/>
                <w:color w:val="auto"/>
              </w:rPr>
            </w:pPr>
            <w:r>
              <w:rPr>
                <w:rFonts w:cs="Times New Roman"/>
                <w:b/>
                <w:bCs/>
                <w:color w:val="auto"/>
              </w:rPr>
              <w:t>1.2废气污染物防治措施可行性分析</w:t>
            </w:r>
          </w:p>
          <w:p>
            <w:pPr>
              <w:ind w:firstLine="482"/>
              <w:jc w:val="center"/>
              <w:rPr>
                <w:rFonts w:cs="Times New Roman"/>
                <w:color w:val="auto"/>
              </w:rPr>
            </w:pPr>
            <w:r>
              <w:rPr>
                <w:rFonts w:cs="Times New Roman"/>
                <w:b/>
                <w:bCs/>
                <w:color w:val="auto"/>
              </w:rPr>
              <w:t>表4-12废气污染防治可行技术参考表</w:t>
            </w:r>
          </w:p>
          <w:tbl>
            <w:tblPr>
              <w:tblStyle w:val="27"/>
              <w:tblW w:w="500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53"/>
              <w:gridCol w:w="1483"/>
              <w:gridCol w:w="1484"/>
              <w:gridCol w:w="1485"/>
              <w:gridCol w:w="1485"/>
              <w:gridCol w:w="148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05" w:type="dxa"/>
                  <w:gridSpan w:val="4"/>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《排污许可证申请与核发技术规范电子工业》（HJ1031-2019）</w:t>
                  </w:r>
                </w:p>
              </w:tc>
              <w:tc>
                <w:tcPr>
                  <w:tcW w:w="2970" w:type="dxa"/>
                  <w:gridSpan w:val="2"/>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本项目设计情况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53" w:type="dxa"/>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生产单元</w:t>
                  </w:r>
                </w:p>
              </w:tc>
              <w:tc>
                <w:tcPr>
                  <w:tcW w:w="1483" w:type="dxa"/>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污染物项目</w:t>
                  </w:r>
                </w:p>
              </w:tc>
              <w:tc>
                <w:tcPr>
                  <w:tcW w:w="2969" w:type="dxa"/>
                  <w:gridSpan w:val="2"/>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可行技术</w:t>
                  </w:r>
                </w:p>
              </w:tc>
              <w:tc>
                <w:tcPr>
                  <w:tcW w:w="1485" w:type="dxa"/>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本项目采取措施</w:t>
                  </w:r>
                </w:p>
              </w:tc>
              <w:tc>
                <w:tcPr>
                  <w:tcW w:w="1485" w:type="dxa"/>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53"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氟化</w:t>
                  </w:r>
                </w:p>
              </w:tc>
              <w:tc>
                <w:tcPr>
                  <w:tcW w:w="1483"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氟化物</w:t>
                  </w:r>
                </w:p>
              </w:tc>
              <w:tc>
                <w:tcPr>
                  <w:tcW w:w="1484"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有组织</w:t>
                  </w:r>
                </w:p>
              </w:tc>
              <w:tc>
                <w:tcPr>
                  <w:tcW w:w="1485"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酸性废气处理系统：</w:t>
                  </w:r>
                </w:p>
                <w:p>
                  <w:pPr>
                    <w:spacing w:line="240" w:lineRule="auto"/>
                    <w:ind w:firstLine="0" w:firstLineChars="0"/>
                    <w:jc w:val="center"/>
                    <w:rPr>
                      <w:rFonts w:cs="Times New Roman"/>
                      <w:color w:val="auto"/>
                      <w:sz w:val="21"/>
                      <w:szCs w:val="21"/>
                    </w:rPr>
                  </w:pPr>
                  <w:r>
                    <w:rPr>
                      <w:rFonts w:cs="Times New Roman"/>
                      <w:color w:val="auto"/>
                      <w:sz w:val="21"/>
                      <w:szCs w:val="21"/>
                    </w:rPr>
                    <w:t>碱液喷淋洗涤吸收法、其他</w:t>
                  </w:r>
                </w:p>
              </w:tc>
              <w:tc>
                <w:tcPr>
                  <w:tcW w:w="1485"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碱喷淋塔</w:t>
                  </w:r>
                </w:p>
              </w:tc>
              <w:tc>
                <w:tcPr>
                  <w:tcW w:w="1485"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1953" w:type="dxa"/>
                  <w:vMerge w:val="restart"/>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筛分、粉碎</w:t>
                  </w:r>
                </w:p>
              </w:tc>
              <w:tc>
                <w:tcPr>
                  <w:tcW w:w="1483" w:type="dxa"/>
                  <w:vMerge w:val="restart"/>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颗粒物</w:t>
                  </w:r>
                </w:p>
              </w:tc>
              <w:tc>
                <w:tcPr>
                  <w:tcW w:w="1484"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有组织</w:t>
                  </w:r>
                </w:p>
              </w:tc>
              <w:tc>
                <w:tcPr>
                  <w:tcW w:w="1485"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布袋除尘法</w:t>
                  </w:r>
                </w:p>
              </w:tc>
              <w:tc>
                <w:tcPr>
                  <w:tcW w:w="1485"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布袋除尘器</w:t>
                  </w:r>
                </w:p>
              </w:tc>
              <w:tc>
                <w:tcPr>
                  <w:tcW w:w="1485"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53" w:type="dxa"/>
                  <w:vMerge w:val="continue"/>
                  <w:tcBorders>
                    <w:tl2br w:val="nil"/>
                    <w:tr2bl w:val="nil"/>
                  </w:tcBorders>
                  <w:vAlign w:val="center"/>
                </w:tcPr>
                <w:p>
                  <w:pPr>
                    <w:spacing w:line="240" w:lineRule="auto"/>
                    <w:ind w:firstLine="0" w:firstLineChars="0"/>
                    <w:jc w:val="center"/>
                    <w:rPr>
                      <w:rFonts w:cs="Times New Roman"/>
                      <w:color w:val="auto"/>
                      <w:sz w:val="21"/>
                      <w:szCs w:val="21"/>
                    </w:rPr>
                  </w:pPr>
                </w:p>
              </w:tc>
              <w:tc>
                <w:tcPr>
                  <w:tcW w:w="1483" w:type="dxa"/>
                  <w:vMerge w:val="continue"/>
                  <w:tcBorders>
                    <w:tl2br w:val="nil"/>
                    <w:tr2bl w:val="nil"/>
                  </w:tcBorders>
                  <w:vAlign w:val="center"/>
                </w:tcPr>
                <w:p>
                  <w:pPr>
                    <w:spacing w:line="240" w:lineRule="auto"/>
                    <w:ind w:firstLine="0" w:firstLineChars="0"/>
                    <w:jc w:val="center"/>
                    <w:rPr>
                      <w:rFonts w:cs="Times New Roman"/>
                      <w:color w:val="auto"/>
                      <w:sz w:val="21"/>
                      <w:szCs w:val="21"/>
                    </w:rPr>
                  </w:pPr>
                </w:p>
              </w:tc>
              <w:tc>
                <w:tcPr>
                  <w:tcW w:w="1484"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无组织</w:t>
                  </w:r>
                </w:p>
              </w:tc>
              <w:tc>
                <w:tcPr>
                  <w:tcW w:w="1485"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密闭操作</w:t>
                  </w:r>
                </w:p>
              </w:tc>
              <w:tc>
                <w:tcPr>
                  <w:tcW w:w="1485"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密闭罐体、管道、生产车间</w:t>
                  </w:r>
                </w:p>
              </w:tc>
              <w:tc>
                <w:tcPr>
                  <w:tcW w:w="1485"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05" w:type="dxa"/>
                  <w:gridSpan w:val="4"/>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b/>
                      <w:bCs/>
                      <w:color w:val="auto"/>
                      <w:sz w:val="21"/>
                      <w:szCs w:val="21"/>
                    </w:rPr>
                    <w:t>《排污许可证申请与核发技术规范</w:t>
                  </w:r>
                  <w:r>
                    <w:rPr>
                      <w:rFonts w:hint="eastAsia" w:cs="Times New Roman"/>
                      <w:b/>
                      <w:bCs/>
                      <w:color w:val="auto"/>
                      <w:sz w:val="21"/>
                      <w:szCs w:val="21"/>
                      <w:lang w:val="en-US" w:eastAsia="zh-CN"/>
                    </w:rPr>
                    <w:t>锅炉</w:t>
                  </w:r>
                  <w:r>
                    <w:rPr>
                      <w:rFonts w:cs="Times New Roman"/>
                      <w:b/>
                      <w:bCs/>
                      <w:color w:val="auto"/>
                      <w:sz w:val="21"/>
                      <w:szCs w:val="21"/>
                    </w:rPr>
                    <w:t>》（HJ</w:t>
                  </w:r>
                  <w:r>
                    <w:rPr>
                      <w:rFonts w:hint="eastAsia" w:cs="Times New Roman"/>
                      <w:b/>
                      <w:bCs/>
                      <w:color w:val="auto"/>
                      <w:sz w:val="21"/>
                      <w:szCs w:val="21"/>
                      <w:lang w:val="en-US" w:eastAsia="zh-CN"/>
                    </w:rPr>
                    <w:t>953</w:t>
                  </w:r>
                  <w:r>
                    <w:rPr>
                      <w:rFonts w:cs="Times New Roman"/>
                      <w:b/>
                      <w:bCs/>
                      <w:color w:val="auto"/>
                      <w:sz w:val="21"/>
                      <w:szCs w:val="21"/>
                    </w:rPr>
                    <w:t>-2</w:t>
                  </w:r>
                  <w:r>
                    <w:rPr>
                      <w:rFonts w:hint="eastAsia" w:cs="Times New Roman"/>
                      <w:b/>
                      <w:bCs/>
                      <w:color w:val="auto"/>
                      <w:sz w:val="21"/>
                      <w:szCs w:val="21"/>
                      <w:lang w:val="en-US" w:eastAsia="zh-CN"/>
                    </w:rPr>
                    <w:t>018</w:t>
                  </w:r>
                  <w:r>
                    <w:rPr>
                      <w:rFonts w:cs="Times New Roman"/>
                      <w:b/>
                      <w:bCs/>
                      <w:color w:val="auto"/>
                      <w:sz w:val="21"/>
                      <w:szCs w:val="21"/>
                    </w:rPr>
                    <w:t>）</w:t>
                  </w:r>
                </w:p>
              </w:tc>
              <w:tc>
                <w:tcPr>
                  <w:tcW w:w="1485" w:type="dxa"/>
                  <w:tcBorders>
                    <w:tl2br w:val="nil"/>
                    <w:tr2bl w:val="nil"/>
                  </w:tcBorders>
                  <w:vAlign w:val="center"/>
                </w:tcPr>
                <w:p>
                  <w:pPr>
                    <w:spacing w:line="240" w:lineRule="auto"/>
                    <w:ind w:firstLine="0" w:firstLineChars="0"/>
                    <w:jc w:val="center"/>
                    <w:rPr>
                      <w:rFonts w:cs="Times New Roman"/>
                      <w:color w:val="auto"/>
                      <w:sz w:val="21"/>
                      <w:szCs w:val="21"/>
                    </w:rPr>
                  </w:pPr>
                </w:p>
              </w:tc>
              <w:tc>
                <w:tcPr>
                  <w:tcW w:w="1485" w:type="dxa"/>
                  <w:tcBorders>
                    <w:tl2br w:val="nil"/>
                    <w:tr2bl w:val="nil"/>
                  </w:tcBorders>
                  <w:vAlign w:val="center"/>
                </w:tcPr>
                <w:p>
                  <w:pPr>
                    <w:spacing w:line="240" w:lineRule="auto"/>
                    <w:ind w:firstLine="0" w:firstLineChars="0"/>
                    <w:jc w:val="center"/>
                    <w:rPr>
                      <w:rFonts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53" w:type="dxa"/>
                  <w:tcBorders>
                    <w:tl2br w:val="nil"/>
                    <w:tr2bl w:val="nil"/>
                  </w:tcBorders>
                  <w:vAlign w:val="center"/>
                </w:tcPr>
                <w:p>
                  <w:pPr>
                    <w:spacing w:line="240" w:lineRule="auto"/>
                    <w:ind w:firstLine="0" w:firstLineChars="0"/>
                    <w:jc w:val="center"/>
                    <w:rPr>
                      <w:rFonts w:hint="default" w:eastAsia="宋体" w:cs="Times New Roman"/>
                      <w:color w:val="auto"/>
                      <w:sz w:val="21"/>
                      <w:szCs w:val="21"/>
                      <w:lang w:val="en-US" w:eastAsia="zh-CN"/>
                    </w:rPr>
                  </w:pPr>
                  <w:r>
                    <w:rPr>
                      <w:rFonts w:hint="eastAsia" w:cs="Times New Roman"/>
                      <w:color w:val="auto"/>
                      <w:sz w:val="21"/>
                      <w:szCs w:val="21"/>
                      <w:lang w:val="en-US" w:eastAsia="zh-CN"/>
                    </w:rPr>
                    <w:t>天然气锅炉</w:t>
                  </w:r>
                </w:p>
              </w:tc>
              <w:tc>
                <w:tcPr>
                  <w:tcW w:w="1483" w:type="dxa"/>
                  <w:tcBorders>
                    <w:tl2br w:val="nil"/>
                    <w:tr2bl w:val="nil"/>
                  </w:tcBorders>
                  <w:vAlign w:val="center"/>
                </w:tcPr>
                <w:p>
                  <w:pPr>
                    <w:spacing w:line="240" w:lineRule="auto"/>
                    <w:ind w:firstLine="0" w:firstLineChars="0"/>
                    <w:jc w:val="center"/>
                    <w:rPr>
                      <w:rFonts w:hint="eastAsia" w:eastAsia="宋体" w:cs="Times New Roman"/>
                      <w:color w:val="auto"/>
                      <w:sz w:val="21"/>
                      <w:szCs w:val="21"/>
                      <w:lang w:val="en-US" w:eastAsia="zh-CN"/>
                    </w:rPr>
                  </w:pPr>
                  <w:r>
                    <w:rPr>
                      <w:rFonts w:hint="eastAsia" w:cs="Times New Roman"/>
                      <w:color w:val="auto"/>
                      <w:sz w:val="21"/>
                      <w:szCs w:val="21"/>
                      <w:lang w:val="en-US" w:eastAsia="zh-CN"/>
                    </w:rPr>
                    <w:t>氮氧化物</w:t>
                  </w:r>
                </w:p>
              </w:tc>
              <w:tc>
                <w:tcPr>
                  <w:tcW w:w="1484" w:type="dxa"/>
                  <w:tcBorders>
                    <w:tl2br w:val="nil"/>
                    <w:tr2bl w:val="nil"/>
                  </w:tcBorders>
                  <w:vAlign w:val="center"/>
                </w:tcPr>
                <w:p>
                  <w:pPr>
                    <w:spacing w:line="240" w:lineRule="auto"/>
                    <w:ind w:firstLine="0" w:firstLineChars="0"/>
                    <w:jc w:val="center"/>
                    <w:rPr>
                      <w:rFonts w:hint="eastAsia" w:eastAsia="宋体" w:cs="Times New Roman"/>
                      <w:color w:val="auto"/>
                      <w:sz w:val="21"/>
                      <w:szCs w:val="21"/>
                      <w:lang w:val="en-US" w:eastAsia="zh-CN"/>
                    </w:rPr>
                  </w:pPr>
                  <w:r>
                    <w:rPr>
                      <w:rFonts w:hint="eastAsia" w:cs="Times New Roman"/>
                      <w:color w:val="auto"/>
                      <w:sz w:val="21"/>
                      <w:szCs w:val="21"/>
                      <w:lang w:val="en-US" w:eastAsia="zh-CN"/>
                    </w:rPr>
                    <w:t>有组织</w:t>
                  </w:r>
                </w:p>
              </w:tc>
              <w:tc>
                <w:tcPr>
                  <w:tcW w:w="1485" w:type="dxa"/>
                  <w:tcBorders>
                    <w:tl2br w:val="nil"/>
                    <w:tr2bl w:val="nil"/>
                  </w:tcBorders>
                  <w:vAlign w:val="center"/>
                </w:tcPr>
                <w:p>
                  <w:pPr>
                    <w:spacing w:line="240" w:lineRule="auto"/>
                    <w:ind w:firstLine="0" w:firstLineChars="0"/>
                    <w:jc w:val="center"/>
                    <w:rPr>
                      <w:rFonts w:hint="default" w:eastAsia="宋体" w:cs="Times New Roman"/>
                      <w:color w:val="auto"/>
                      <w:sz w:val="21"/>
                      <w:szCs w:val="21"/>
                      <w:lang w:val="en-US" w:eastAsia="zh-CN"/>
                    </w:rPr>
                  </w:pPr>
                  <w:r>
                    <w:rPr>
                      <w:rFonts w:hint="eastAsia" w:cs="Times New Roman"/>
                      <w:color w:val="auto"/>
                      <w:sz w:val="21"/>
                      <w:szCs w:val="21"/>
                      <w:lang w:val="en-US" w:eastAsia="zh-CN"/>
                    </w:rPr>
                    <w:t>低氮燃烧、SCR法、低氮燃烧+SCR法、其他</w:t>
                  </w:r>
                </w:p>
              </w:tc>
              <w:tc>
                <w:tcPr>
                  <w:tcW w:w="1485" w:type="dxa"/>
                  <w:tcBorders>
                    <w:tl2br w:val="nil"/>
                    <w:tr2bl w:val="nil"/>
                  </w:tcBorders>
                  <w:vAlign w:val="center"/>
                </w:tcPr>
                <w:p>
                  <w:pPr>
                    <w:spacing w:line="240" w:lineRule="auto"/>
                    <w:ind w:firstLine="0" w:firstLineChars="0"/>
                    <w:jc w:val="center"/>
                    <w:rPr>
                      <w:rFonts w:cs="Times New Roman"/>
                      <w:color w:val="auto"/>
                      <w:sz w:val="21"/>
                      <w:szCs w:val="21"/>
                    </w:rPr>
                  </w:pPr>
                  <w:r>
                    <w:rPr>
                      <w:rFonts w:hint="eastAsia" w:cs="Times New Roman"/>
                      <w:color w:val="auto"/>
                      <w:sz w:val="21"/>
                      <w:szCs w:val="21"/>
                      <w:lang w:val="en-US" w:eastAsia="zh-CN"/>
                    </w:rPr>
                    <w:t>低氮燃烧</w:t>
                  </w:r>
                </w:p>
              </w:tc>
              <w:tc>
                <w:tcPr>
                  <w:tcW w:w="1485"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符合</w:t>
                  </w:r>
                </w:p>
              </w:tc>
            </w:tr>
          </w:tbl>
          <w:p>
            <w:pPr>
              <w:ind w:firstLine="482"/>
              <w:rPr>
                <w:rFonts w:cs="Times New Roman"/>
                <w:b/>
                <w:bCs/>
                <w:color w:val="auto"/>
                <w:szCs w:val="22"/>
              </w:rPr>
            </w:pPr>
            <w:r>
              <w:rPr>
                <w:rFonts w:cs="Times New Roman"/>
                <w:b/>
                <w:bCs/>
                <w:color w:val="auto"/>
                <w:szCs w:val="22"/>
              </w:rPr>
              <w:t>2、废水产排情况及治理措施可行性分析</w:t>
            </w:r>
          </w:p>
          <w:p>
            <w:pPr>
              <w:ind w:firstLine="482"/>
              <w:rPr>
                <w:rFonts w:cs="Times New Roman"/>
                <w:b/>
                <w:bCs/>
                <w:color w:val="auto"/>
                <w:szCs w:val="22"/>
              </w:rPr>
            </w:pPr>
            <w:r>
              <w:rPr>
                <w:rFonts w:cs="Times New Roman"/>
                <w:b/>
                <w:bCs/>
                <w:color w:val="auto"/>
                <w:szCs w:val="22"/>
              </w:rPr>
              <w:t>2.1废水产排情况</w:t>
            </w:r>
          </w:p>
          <w:p>
            <w:pPr>
              <w:ind w:firstLine="480"/>
              <w:rPr>
                <w:rFonts w:cs="Times New Roman"/>
                <w:color w:val="auto"/>
              </w:rPr>
            </w:pPr>
            <w:r>
              <w:rPr>
                <w:rFonts w:cs="Times New Roman"/>
                <w:color w:val="auto"/>
              </w:rPr>
              <w:t>（1）生活污水</w:t>
            </w:r>
          </w:p>
          <w:p>
            <w:pPr>
              <w:ind w:firstLine="480"/>
              <w:rPr>
                <w:rFonts w:cs="Times New Roman"/>
                <w:color w:val="auto"/>
              </w:rPr>
            </w:pPr>
            <w:r>
              <w:rPr>
                <w:rFonts w:cs="Times New Roman"/>
                <w:color w:val="auto"/>
              </w:rPr>
              <w:t>生活污水的产生系数按生活用水的80%计，则本项目生活污水产生量为5.12m</w:t>
            </w:r>
            <w:r>
              <w:rPr>
                <w:rFonts w:cs="Times New Roman"/>
                <w:color w:val="auto"/>
                <w:vertAlign w:val="superscript"/>
              </w:rPr>
              <w:t>3</w:t>
            </w:r>
            <w:r>
              <w:rPr>
                <w:rFonts w:cs="Times New Roman"/>
                <w:color w:val="auto"/>
              </w:rPr>
              <w:t>/d（1536m</w:t>
            </w:r>
            <w:r>
              <w:rPr>
                <w:rFonts w:cs="Times New Roman"/>
                <w:color w:val="auto"/>
                <w:vertAlign w:val="superscript"/>
              </w:rPr>
              <w:t>3</w:t>
            </w:r>
            <w:r>
              <w:rPr>
                <w:rFonts w:cs="Times New Roman"/>
                <w:color w:val="auto"/>
              </w:rPr>
              <w:t>/a），生活污水排入厂区已建的一座处理能力为50t/d的地埋式一体化污水处理设备，处理达标后</w:t>
            </w:r>
            <w:r>
              <w:rPr>
                <w:rFonts w:hint="eastAsia" w:cs="Times New Roman"/>
                <w:color w:val="auto"/>
              </w:rPr>
              <w:t>拉运至乌拉特前旗工业园区污水处理厂。</w:t>
            </w:r>
          </w:p>
          <w:p>
            <w:pPr>
              <w:ind w:firstLine="480"/>
              <w:rPr>
                <w:rFonts w:cs="Times New Roman"/>
                <w:color w:val="auto"/>
              </w:rPr>
            </w:pPr>
            <w:r>
              <w:rPr>
                <w:rFonts w:cs="Times New Roman"/>
                <w:color w:val="auto"/>
              </w:rPr>
              <w:t>（2）真空脱水机废水</w:t>
            </w:r>
          </w:p>
          <w:p>
            <w:pPr>
              <w:ind w:firstLine="480"/>
              <w:rPr>
                <w:rFonts w:cs="Times New Roman"/>
                <w:color w:val="auto"/>
              </w:rPr>
            </w:pPr>
            <w:r>
              <w:rPr>
                <w:rFonts w:cs="Times New Roman"/>
                <w:color w:val="auto"/>
              </w:rPr>
              <w:t>氟化后通过真空脱水，脱水率80%，脱去的水用泵打回调浆工序循环使用16.90m</w:t>
            </w:r>
            <w:r>
              <w:rPr>
                <w:rFonts w:cs="Times New Roman"/>
                <w:color w:val="auto"/>
                <w:vertAlign w:val="superscript"/>
              </w:rPr>
              <w:t>3</w:t>
            </w:r>
            <w:r>
              <w:rPr>
                <w:rFonts w:cs="Times New Roman"/>
                <w:color w:val="auto"/>
              </w:rPr>
              <w:t>/d（5070.11m</w:t>
            </w:r>
            <w:r>
              <w:rPr>
                <w:rFonts w:cs="Times New Roman"/>
                <w:color w:val="auto"/>
                <w:vertAlign w:val="superscript"/>
              </w:rPr>
              <w:t>3</w:t>
            </w:r>
            <w:r>
              <w:rPr>
                <w:rFonts w:cs="Times New Roman"/>
                <w:color w:val="auto"/>
              </w:rPr>
              <w:t>/a）；其余在烘干工序中以水蒸气形式排放。</w:t>
            </w:r>
          </w:p>
          <w:p>
            <w:pPr>
              <w:ind w:firstLine="480"/>
              <w:rPr>
                <w:rFonts w:cs="Times New Roman"/>
                <w:color w:val="auto"/>
              </w:rPr>
            </w:pPr>
            <w:r>
              <w:rPr>
                <w:rFonts w:cs="Times New Roman"/>
                <w:color w:val="auto"/>
              </w:rPr>
              <w:t>（3）锅炉排水</w:t>
            </w:r>
          </w:p>
          <w:p>
            <w:pPr>
              <w:ind w:firstLine="480"/>
              <w:rPr>
                <w:rFonts w:cs="Times New Roman"/>
                <w:color w:val="auto"/>
              </w:rPr>
            </w:pPr>
            <w:r>
              <w:rPr>
                <w:rFonts w:cs="Times New Roman"/>
                <w:color w:val="auto"/>
              </w:rPr>
              <w:t>天然气锅炉用水循环使用，循环水量为977.76m</w:t>
            </w:r>
            <w:r>
              <w:rPr>
                <w:rFonts w:cs="Times New Roman"/>
                <w:color w:val="auto"/>
                <w:vertAlign w:val="superscript"/>
              </w:rPr>
              <w:t>3</w:t>
            </w:r>
            <w:r>
              <w:rPr>
                <w:rFonts w:cs="Times New Roman"/>
                <w:color w:val="auto"/>
              </w:rPr>
              <w:t>/a，循环到一定程度时会产生定期排水，排水量为0.10m</w:t>
            </w:r>
            <w:r>
              <w:rPr>
                <w:rFonts w:cs="Times New Roman"/>
                <w:color w:val="auto"/>
                <w:vertAlign w:val="superscript"/>
              </w:rPr>
              <w:t>3</w:t>
            </w:r>
            <w:r>
              <w:rPr>
                <w:rFonts w:cs="Times New Roman"/>
                <w:color w:val="auto"/>
              </w:rPr>
              <w:t>/d（30.24m</w:t>
            </w:r>
            <w:r>
              <w:rPr>
                <w:rFonts w:cs="Times New Roman"/>
                <w:color w:val="auto"/>
                <w:vertAlign w:val="superscript"/>
              </w:rPr>
              <w:t>3</w:t>
            </w:r>
            <w:r>
              <w:rPr>
                <w:rFonts w:cs="Times New Roman"/>
                <w:color w:val="auto"/>
              </w:rPr>
              <w:t>/a），排入厂区已建的一座处理能力为50t/d的地埋式一体化污水处理设备，</w:t>
            </w:r>
            <w:r>
              <w:rPr>
                <w:rFonts w:hint="eastAsia" w:cs="Times New Roman"/>
                <w:color w:val="auto"/>
              </w:rPr>
              <w:t>处理达标后拉运至乌拉特前旗工业园区污水处理厂。</w:t>
            </w:r>
          </w:p>
          <w:p>
            <w:pPr>
              <w:ind w:firstLine="480"/>
              <w:rPr>
                <w:rFonts w:cs="Times New Roman"/>
                <w:color w:val="auto"/>
              </w:rPr>
            </w:pPr>
            <w:r>
              <w:rPr>
                <w:rFonts w:cs="Times New Roman"/>
                <w:color w:val="auto"/>
              </w:rPr>
              <w:t>（4）纯水制备排水</w:t>
            </w:r>
          </w:p>
          <w:p>
            <w:pPr>
              <w:ind w:firstLine="480"/>
              <w:rPr>
                <w:rFonts w:cs="Times New Roman"/>
                <w:color w:val="auto"/>
              </w:rPr>
            </w:pPr>
            <w:r>
              <w:rPr>
                <w:rFonts w:cs="Times New Roman"/>
                <w:color w:val="auto"/>
              </w:rPr>
              <w:t>纯水制备工段浓水产生量为13.51m</w:t>
            </w:r>
            <w:r>
              <w:rPr>
                <w:rFonts w:cs="Times New Roman"/>
                <w:color w:val="auto"/>
                <w:vertAlign w:val="superscript"/>
              </w:rPr>
              <w:t>3</w:t>
            </w:r>
            <w:r>
              <w:rPr>
                <w:rFonts w:cs="Times New Roman"/>
                <w:color w:val="auto"/>
              </w:rPr>
              <w:t>/d（4052.07m</w:t>
            </w:r>
            <w:r>
              <w:rPr>
                <w:rFonts w:cs="Times New Roman"/>
                <w:color w:val="auto"/>
                <w:vertAlign w:val="superscript"/>
              </w:rPr>
              <w:t>3</w:t>
            </w:r>
            <w:r>
              <w:rPr>
                <w:rFonts w:cs="Times New Roman"/>
                <w:color w:val="auto"/>
              </w:rPr>
              <w:t>/a），排入厂区已建的一座处理能力为50t/d的地埋式一体化污水处理设备，</w:t>
            </w:r>
            <w:r>
              <w:rPr>
                <w:rFonts w:hint="eastAsia" w:cs="Times New Roman"/>
                <w:color w:val="auto"/>
              </w:rPr>
              <w:t>处理达标后拉运至乌拉特前旗工业园区污水处理厂。</w:t>
            </w:r>
          </w:p>
          <w:p>
            <w:pPr>
              <w:ind w:firstLine="480"/>
              <w:rPr>
                <w:rFonts w:cs="Times New Roman"/>
                <w:color w:val="auto"/>
              </w:rPr>
            </w:pPr>
            <w:r>
              <w:rPr>
                <w:rFonts w:cs="Times New Roman"/>
                <w:color w:val="auto"/>
              </w:rPr>
              <w:t>生活污水水质及排污见表4-13。</w:t>
            </w:r>
          </w:p>
          <w:p>
            <w:pPr>
              <w:ind w:firstLine="482"/>
              <w:jc w:val="center"/>
              <w:rPr>
                <w:rFonts w:cs="Times New Roman"/>
                <w:b/>
                <w:bCs/>
                <w:color w:val="auto"/>
                <w:szCs w:val="22"/>
              </w:rPr>
            </w:pPr>
            <w:r>
              <w:rPr>
                <w:rFonts w:cs="Times New Roman"/>
                <w:b/>
                <w:bCs/>
                <w:color w:val="auto"/>
                <w:szCs w:val="22"/>
              </w:rPr>
              <w:t>表4-13生活污水水质及排污一览表</w:t>
            </w:r>
          </w:p>
          <w:tbl>
            <w:tblPr>
              <w:tblStyle w:val="26"/>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282"/>
              <w:gridCol w:w="1162"/>
              <w:gridCol w:w="1158"/>
              <w:gridCol w:w="1156"/>
              <w:gridCol w:w="1150"/>
              <w:gridCol w:w="1155"/>
              <w:gridCol w:w="1157"/>
              <w:gridCol w:w="115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70" w:type="pct"/>
                  <w:vMerge w:val="restart"/>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污水量</w:t>
                  </w:r>
                </w:p>
              </w:tc>
              <w:tc>
                <w:tcPr>
                  <w:tcW w:w="636" w:type="pct"/>
                  <w:vMerge w:val="restart"/>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污染因子</w:t>
                  </w:r>
                </w:p>
              </w:tc>
              <w:tc>
                <w:tcPr>
                  <w:tcW w:w="1267" w:type="pct"/>
                  <w:gridSpan w:val="2"/>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产生情况</w:t>
                  </w:r>
                </w:p>
              </w:tc>
              <w:tc>
                <w:tcPr>
                  <w:tcW w:w="630" w:type="pct"/>
                  <w:vMerge w:val="restart"/>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处理措施</w:t>
                  </w:r>
                </w:p>
              </w:tc>
              <w:tc>
                <w:tcPr>
                  <w:tcW w:w="1265" w:type="pct"/>
                  <w:gridSpan w:val="2"/>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排放情况</w:t>
                  </w:r>
                </w:p>
              </w:tc>
              <w:tc>
                <w:tcPr>
                  <w:tcW w:w="632" w:type="pct"/>
                  <w:vMerge w:val="restart"/>
                  <w:shd w:val="clear" w:color="auto" w:fill="auto"/>
                  <w:vAlign w:val="center"/>
                </w:tcPr>
                <w:p>
                  <w:pPr>
                    <w:widowControl/>
                    <w:spacing w:line="240" w:lineRule="auto"/>
                    <w:ind w:firstLine="0" w:firstLineChars="0"/>
                    <w:jc w:val="center"/>
                    <w:rPr>
                      <w:rFonts w:cs="Times New Roman"/>
                      <w:b/>
                      <w:bCs/>
                      <w:color w:val="auto"/>
                      <w:kern w:val="0"/>
                      <w:sz w:val="21"/>
                      <w:szCs w:val="21"/>
                    </w:rPr>
                  </w:pPr>
                  <w:r>
                    <w:rPr>
                      <w:rFonts w:cs="Times New Roman"/>
                      <w:b/>
                      <w:bCs/>
                      <w:color w:val="auto"/>
                      <w:kern w:val="0"/>
                      <w:sz w:val="21"/>
                      <w:szCs w:val="21"/>
                    </w:rPr>
                    <w:t>排放标准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70" w:type="pct"/>
                  <w:vMerge w:val="continue"/>
                  <w:vAlign w:val="center"/>
                </w:tcPr>
                <w:p>
                  <w:pPr>
                    <w:widowControl/>
                    <w:spacing w:line="240" w:lineRule="auto"/>
                    <w:ind w:firstLine="0" w:firstLineChars="0"/>
                    <w:jc w:val="left"/>
                    <w:rPr>
                      <w:rFonts w:cs="Times New Roman"/>
                      <w:b/>
                      <w:bCs/>
                      <w:color w:val="auto"/>
                      <w:kern w:val="0"/>
                      <w:sz w:val="21"/>
                      <w:szCs w:val="21"/>
                    </w:rPr>
                  </w:pPr>
                </w:p>
              </w:tc>
              <w:tc>
                <w:tcPr>
                  <w:tcW w:w="636" w:type="pct"/>
                  <w:vMerge w:val="continue"/>
                  <w:vAlign w:val="center"/>
                </w:tcPr>
                <w:p>
                  <w:pPr>
                    <w:widowControl/>
                    <w:spacing w:line="240" w:lineRule="auto"/>
                    <w:ind w:firstLine="0" w:firstLineChars="0"/>
                    <w:jc w:val="left"/>
                    <w:rPr>
                      <w:rFonts w:cs="Times New Roman"/>
                      <w:b/>
                      <w:bCs/>
                      <w:color w:val="auto"/>
                      <w:kern w:val="0"/>
                      <w:sz w:val="21"/>
                      <w:szCs w:val="21"/>
                    </w:rPr>
                  </w:pPr>
                </w:p>
              </w:tc>
              <w:tc>
                <w:tcPr>
                  <w:tcW w:w="634"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mg/L</w:t>
                  </w:r>
                </w:p>
              </w:tc>
              <w:tc>
                <w:tcPr>
                  <w:tcW w:w="633"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t/a</w:t>
                  </w:r>
                </w:p>
              </w:tc>
              <w:tc>
                <w:tcPr>
                  <w:tcW w:w="630" w:type="pct"/>
                  <w:vMerge w:val="continue"/>
                  <w:vAlign w:val="center"/>
                </w:tcPr>
                <w:p>
                  <w:pPr>
                    <w:widowControl/>
                    <w:spacing w:line="240" w:lineRule="auto"/>
                    <w:ind w:firstLine="0" w:firstLineChars="0"/>
                    <w:jc w:val="left"/>
                    <w:rPr>
                      <w:rFonts w:cs="Times New Roman"/>
                      <w:b/>
                      <w:bCs/>
                      <w:color w:val="auto"/>
                      <w:kern w:val="0"/>
                      <w:sz w:val="21"/>
                      <w:szCs w:val="21"/>
                    </w:rPr>
                  </w:pPr>
                </w:p>
              </w:tc>
              <w:tc>
                <w:tcPr>
                  <w:tcW w:w="632"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mg/L</w:t>
                  </w:r>
                </w:p>
              </w:tc>
              <w:tc>
                <w:tcPr>
                  <w:tcW w:w="633"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t/a</w:t>
                  </w:r>
                </w:p>
              </w:tc>
              <w:tc>
                <w:tcPr>
                  <w:tcW w:w="632" w:type="pct"/>
                  <w:vMerge w:val="continue"/>
                  <w:vAlign w:val="center"/>
                </w:tcPr>
                <w:p>
                  <w:pPr>
                    <w:widowControl/>
                    <w:spacing w:line="240" w:lineRule="auto"/>
                    <w:ind w:firstLine="0" w:firstLineChars="0"/>
                    <w:jc w:val="left"/>
                    <w:rPr>
                      <w:rFonts w:cs="Times New Roman"/>
                      <w:b/>
                      <w:bCs/>
                      <w:color w:val="auto"/>
                      <w:kern w:val="0"/>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70" w:type="pct"/>
                  <w:vMerge w:val="restar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生活污水、纯水制备废水、锅炉排5618.31m</w:t>
                  </w:r>
                  <w:r>
                    <w:rPr>
                      <w:rFonts w:cs="Times New Roman"/>
                      <w:color w:val="auto"/>
                      <w:kern w:val="0"/>
                      <w:sz w:val="21"/>
                      <w:szCs w:val="21"/>
                      <w:vertAlign w:val="superscript"/>
                    </w:rPr>
                    <w:t>3</w:t>
                  </w:r>
                  <w:r>
                    <w:rPr>
                      <w:rFonts w:cs="Times New Roman"/>
                      <w:color w:val="auto"/>
                      <w:kern w:val="0"/>
                      <w:sz w:val="21"/>
                      <w:szCs w:val="21"/>
                    </w:rPr>
                    <w:t>/a</w:t>
                  </w:r>
                </w:p>
              </w:tc>
              <w:tc>
                <w:tcPr>
                  <w:tcW w:w="636"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COD</w:t>
                  </w:r>
                </w:p>
              </w:tc>
              <w:tc>
                <w:tcPr>
                  <w:tcW w:w="634"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400</w:t>
                  </w:r>
                </w:p>
              </w:tc>
              <w:tc>
                <w:tcPr>
                  <w:tcW w:w="633"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2.25</w:t>
                  </w:r>
                </w:p>
              </w:tc>
              <w:tc>
                <w:tcPr>
                  <w:tcW w:w="630" w:type="pct"/>
                  <w:vMerge w:val="restar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一体化污水处理设施</w:t>
                  </w:r>
                </w:p>
              </w:tc>
              <w:tc>
                <w:tcPr>
                  <w:tcW w:w="632"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90</w:t>
                  </w:r>
                </w:p>
              </w:tc>
              <w:tc>
                <w:tcPr>
                  <w:tcW w:w="633"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0.51</w:t>
                  </w:r>
                </w:p>
              </w:tc>
              <w:tc>
                <w:tcPr>
                  <w:tcW w:w="632"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100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70" w:type="pct"/>
                  <w:vMerge w:val="continue"/>
                  <w:vAlign w:val="center"/>
                </w:tcPr>
                <w:p>
                  <w:pPr>
                    <w:widowControl/>
                    <w:spacing w:line="240" w:lineRule="auto"/>
                    <w:ind w:firstLine="0" w:firstLineChars="0"/>
                    <w:jc w:val="left"/>
                    <w:rPr>
                      <w:rFonts w:cs="Times New Roman"/>
                      <w:color w:val="auto"/>
                      <w:kern w:val="0"/>
                      <w:sz w:val="21"/>
                      <w:szCs w:val="21"/>
                    </w:rPr>
                  </w:pPr>
                </w:p>
              </w:tc>
              <w:tc>
                <w:tcPr>
                  <w:tcW w:w="636"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SS</w:t>
                  </w:r>
                </w:p>
              </w:tc>
              <w:tc>
                <w:tcPr>
                  <w:tcW w:w="634"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220</w:t>
                  </w:r>
                </w:p>
              </w:tc>
              <w:tc>
                <w:tcPr>
                  <w:tcW w:w="633"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1.24</w:t>
                  </w:r>
                </w:p>
              </w:tc>
              <w:tc>
                <w:tcPr>
                  <w:tcW w:w="630" w:type="pct"/>
                  <w:vMerge w:val="continue"/>
                  <w:vAlign w:val="center"/>
                </w:tcPr>
                <w:p>
                  <w:pPr>
                    <w:widowControl/>
                    <w:spacing w:line="240" w:lineRule="auto"/>
                    <w:ind w:firstLine="0" w:firstLineChars="0"/>
                    <w:jc w:val="left"/>
                    <w:rPr>
                      <w:rFonts w:cs="Times New Roman"/>
                      <w:color w:val="auto"/>
                      <w:kern w:val="0"/>
                      <w:sz w:val="21"/>
                      <w:szCs w:val="21"/>
                    </w:rPr>
                  </w:pPr>
                </w:p>
              </w:tc>
              <w:tc>
                <w:tcPr>
                  <w:tcW w:w="632"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80</w:t>
                  </w:r>
                </w:p>
              </w:tc>
              <w:tc>
                <w:tcPr>
                  <w:tcW w:w="633"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0.45</w:t>
                  </w:r>
                </w:p>
              </w:tc>
              <w:tc>
                <w:tcPr>
                  <w:tcW w:w="632"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100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70" w:type="pct"/>
                  <w:vMerge w:val="continue"/>
                  <w:vAlign w:val="center"/>
                </w:tcPr>
                <w:p>
                  <w:pPr>
                    <w:widowControl/>
                    <w:spacing w:line="240" w:lineRule="auto"/>
                    <w:ind w:firstLine="0" w:firstLineChars="0"/>
                    <w:jc w:val="left"/>
                    <w:rPr>
                      <w:rFonts w:cs="Times New Roman"/>
                      <w:color w:val="auto"/>
                      <w:kern w:val="0"/>
                      <w:sz w:val="21"/>
                      <w:szCs w:val="21"/>
                    </w:rPr>
                  </w:pPr>
                </w:p>
              </w:tc>
              <w:tc>
                <w:tcPr>
                  <w:tcW w:w="636"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BOD</w:t>
                  </w:r>
                  <w:r>
                    <w:rPr>
                      <w:rFonts w:cs="Times New Roman"/>
                      <w:color w:val="auto"/>
                      <w:kern w:val="0"/>
                      <w:sz w:val="21"/>
                      <w:szCs w:val="21"/>
                      <w:vertAlign w:val="subscript"/>
                    </w:rPr>
                    <w:t>5</w:t>
                  </w:r>
                </w:p>
              </w:tc>
              <w:tc>
                <w:tcPr>
                  <w:tcW w:w="634"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200</w:t>
                  </w:r>
                </w:p>
              </w:tc>
              <w:tc>
                <w:tcPr>
                  <w:tcW w:w="633"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1.12</w:t>
                  </w:r>
                </w:p>
              </w:tc>
              <w:tc>
                <w:tcPr>
                  <w:tcW w:w="630" w:type="pct"/>
                  <w:vMerge w:val="continue"/>
                  <w:vAlign w:val="center"/>
                </w:tcPr>
                <w:p>
                  <w:pPr>
                    <w:widowControl/>
                    <w:spacing w:line="240" w:lineRule="auto"/>
                    <w:ind w:firstLine="0" w:firstLineChars="0"/>
                    <w:jc w:val="left"/>
                    <w:rPr>
                      <w:rFonts w:cs="Times New Roman"/>
                      <w:color w:val="auto"/>
                      <w:kern w:val="0"/>
                      <w:sz w:val="21"/>
                      <w:szCs w:val="21"/>
                    </w:rPr>
                  </w:pPr>
                </w:p>
              </w:tc>
              <w:tc>
                <w:tcPr>
                  <w:tcW w:w="632"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40</w:t>
                  </w:r>
                </w:p>
              </w:tc>
              <w:tc>
                <w:tcPr>
                  <w:tcW w:w="633"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0.22</w:t>
                  </w:r>
                </w:p>
              </w:tc>
              <w:tc>
                <w:tcPr>
                  <w:tcW w:w="632"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70" w:type="pct"/>
                  <w:vMerge w:val="continue"/>
                  <w:vAlign w:val="center"/>
                </w:tcPr>
                <w:p>
                  <w:pPr>
                    <w:widowControl/>
                    <w:spacing w:line="240" w:lineRule="auto"/>
                    <w:ind w:firstLine="0" w:firstLineChars="0"/>
                    <w:jc w:val="left"/>
                    <w:rPr>
                      <w:rFonts w:cs="Times New Roman"/>
                      <w:color w:val="auto"/>
                      <w:kern w:val="0"/>
                      <w:sz w:val="21"/>
                      <w:szCs w:val="21"/>
                    </w:rPr>
                  </w:pPr>
                </w:p>
              </w:tc>
              <w:tc>
                <w:tcPr>
                  <w:tcW w:w="636"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NH</w:t>
                  </w:r>
                  <w:r>
                    <w:rPr>
                      <w:rFonts w:cs="Times New Roman"/>
                      <w:color w:val="auto"/>
                      <w:kern w:val="0"/>
                      <w:sz w:val="21"/>
                      <w:szCs w:val="21"/>
                      <w:vertAlign w:val="subscript"/>
                    </w:rPr>
                    <w:t>3</w:t>
                  </w:r>
                  <w:r>
                    <w:rPr>
                      <w:rFonts w:cs="Times New Roman"/>
                      <w:color w:val="auto"/>
                      <w:kern w:val="0"/>
                      <w:sz w:val="21"/>
                      <w:szCs w:val="21"/>
                    </w:rPr>
                    <w:t>-N</w:t>
                  </w:r>
                </w:p>
              </w:tc>
              <w:tc>
                <w:tcPr>
                  <w:tcW w:w="634"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30</w:t>
                  </w:r>
                </w:p>
              </w:tc>
              <w:tc>
                <w:tcPr>
                  <w:tcW w:w="633"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0.17</w:t>
                  </w:r>
                </w:p>
              </w:tc>
              <w:tc>
                <w:tcPr>
                  <w:tcW w:w="630" w:type="pct"/>
                  <w:vMerge w:val="continue"/>
                  <w:vAlign w:val="center"/>
                </w:tcPr>
                <w:p>
                  <w:pPr>
                    <w:widowControl/>
                    <w:spacing w:line="240" w:lineRule="auto"/>
                    <w:ind w:firstLine="0" w:firstLineChars="0"/>
                    <w:jc w:val="left"/>
                    <w:rPr>
                      <w:rFonts w:cs="Times New Roman"/>
                      <w:color w:val="auto"/>
                      <w:kern w:val="0"/>
                      <w:sz w:val="21"/>
                      <w:szCs w:val="21"/>
                    </w:rPr>
                  </w:pPr>
                </w:p>
              </w:tc>
              <w:tc>
                <w:tcPr>
                  <w:tcW w:w="632"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20</w:t>
                  </w:r>
                </w:p>
              </w:tc>
              <w:tc>
                <w:tcPr>
                  <w:tcW w:w="633"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0.11</w:t>
                  </w:r>
                </w:p>
              </w:tc>
              <w:tc>
                <w:tcPr>
                  <w:tcW w:w="632" w:type="pct"/>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50</w:t>
                  </w:r>
                </w:p>
              </w:tc>
            </w:tr>
          </w:tbl>
          <w:p>
            <w:pPr>
              <w:ind w:firstLine="482"/>
              <w:rPr>
                <w:rFonts w:cs="Times New Roman"/>
                <w:b/>
                <w:bCs/>
                <w:color w:val="auto"/>
              </w:rPr>
            </w:pPr>
            <w:r>
              <w:rPr>
                <w:rFonts w:cs="Times New Roman"/>
                <w:b/>
                <w:bCs/>
                <w:color w:val="auto"/>
              </w:rPr>
              <w:t>2.2废水污染物防治措施可行性分析</w:t>
            </w:r>
          </w:p>
          <w:p>
            <w:pPr>
              <w:ind w:firstLine="482"/>
              <w:jc w:val="center"/>
              <w:rPr>
                <w:rFonts w:cs="Times New Roman"/>
                <w:color w:val="auto"/>
              </w:rPr>
            </w:pPr>
            <w:r>
              <w:rPr>
                <w:rFonts w:cs="Times New Roman"/>
                <w:b/>
                <w:bCs/>
                <w:color w:val="auto"/>
              </w:rPr>
              <w:t>表4-14废水污染防治可行技术参考表</w:t>
            </w:r>
          </w:p>
          <w:tbl>
            <w:tblPr>
              <w:tblStyle w:val="2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59"/>
              <w:gridCol w:w="1562"/>
              <w:gridCol w:w="3128"/>
              <w:gridCol w:w="1564"/>
              <w:gridCol w:w="156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333" w:type="pct"/>
                  <w:gridSpan w:val="3"/>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《排污许可证申请与核发技术规范电子工业》（HJ1031-2019）</w:t>
                  </w:r>
                </w:p>
              </w:tc>
              <w:tc>
                <w:tcPr>
                  <w:tcW w:w="1667" w:type="pct"/>
                  <w:gridSpan w:val="2"/>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本项目设计情况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2" w:type="pct"/>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废水名称</w:t>
                  </w:r>
                </w:p>
              </w:tc>
              <w:tc>
                <w:tcPr>
                  <w:tcW w:w="833" w:type="pct"/>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污染物项目</w:t>
                  </w:r>
                </w:p>
              </w:tc>
              <w:tc>
                <w:tcPr>
                  <w:tcW w:w="1667" w:type="pct"/>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可行技术</w:t>
                  </w:r>
                </w:p>
              </w:tc>
              <w:tc>
                <w:tcPr>
                  <w:tcW w:w="834" w:type="pct"/>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本项目采取措施</w:t>
                  </w:r>
                </w:p>
              </w:tc>
              <w:tc>
                <w:tcPr>
                  <w:tcW w:w="833" w:type="pct"/>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2" w:type="pct"/>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生活污水</w:t>
                  </w:r>
                </w:p>
              </w:tc>
              <w:tc>
                <w:tcPr>
                  <w:tcW w:w="833" w:type="pct"/>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化学需氧量、氨氮等</w:t>
                  </w:r>
                </w:p>
              </w:tc>
              <w:tc>
                <w:tcPr>
                  <w:tcW w:w="1667" w:type="pct"/>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隔油池+化粪池</w:t>
                  </w:r>
                </w:p>
              </w:tc>
              <w:tc>
                <w:tcPr>
                  <w:tcW w:w="834" w:type="pct"/>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一体化污水处理设施</w:t>
                  </w:r>
                </w:p>
              </w:tc>
              <w:tc>
                <w:tcPr>
                  <w:tcW w:w="833" w:type="pct"/>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符合</w:t>
                  </w:r>
                </w:p>
              </w:tc>
            </w:tr>
          </w:tbl>
          <w:p>
            <w:pPr>
              <w:ind w:firstLine="482"/>
              <w:rPr>
                <w:rFonts w:cs="Times New Roman"/>
                <w:b/>
                <w:color w:val="auto"/>
              </w:rPr>
            </w:pPr>
            <w:r>
              <w:rPr>
                <w:rFonts w:cs="Times New Roman"/>
                <w:b/>
                <w:color w:val="auto"/>
              </w:rPr>
              <w:t>2.3依托污水处理设施的可行性分析</w:t>
            </w:r>
          </w:p>
          <w:p>
            <w:pPr>
              <w:ind w:firstLine="482"/>
              <w:rPr>
                <w:rFonts w:cs="Times New Roman"/>
                <w:b/>
                <w:color w:val="auto"/>
              </w:rPr>
            </w:pPr>
            <w:r>
              <w:rPr>
                <w:rFonts w:cs="Times New Roman"/>
                <w:b/>
                <w:color w:val="auto"/>
              </w:rPr>
              <w:t>2.3.1厂区地埋式一体化污水处理设备依托可行性</w:t>
            </w:r>
          </w:p>
          <w:p>
            <w:pPr>
              <w:ind w:firstLine="480"/>
              <w:rPr>
                <w:rFonts w:cs="Times New Roman"/>
                <w:bCs/>
                <w:color w:val="auto"/>
              </w:rPr>
            </w:pPr>
            <w:r>
              <w:rPr>
                <w:rFonts w:cs="Times New Roman"/>
                <w:bCs/>
                <w:color w:val="auto"/>
              </w:rPr>
              <w:t>本项目厂区内已建一座处理能力为50t/d的地埋式一体化污水处理设备，厂区现有项目生活污水、纯水制备废水、锅炉排水排放量为25m</w:t>
            </w:r>
            <w:r>
              <w:rPr>
                <w:rFonts w:cs="Times New Roman"/>
                <w:bCs/>
                <w:color w:val="auto"/>
                <w:vertAlign w:val="superscript"/>
              </w:rPr>
              <w:t>3</w:t>
            </w:r>
            <w:r>
              <w:rPr>
                <w:rFonts w:cs="Times New Roman"/>
                <w:bCs/>
                <w:color w:val="auto"/>
              </w:rPr>
              <w:t>/d，本项目生活污水排放量为18.73m</w:t>
            </w:r>
            <w:r>
              <w:rPr>
                <w:rFonts w:cs="Times New Roman"/>
                <w:bCs/>
                <w:color w:val="auto"/>
                <w:vertAlign w:val="superscript"/>
              </w:rPr>
              <w:t>3</w:t>
            </w:r>
            <w:r>
              <w:rPr>
                <w:rFonts w:cs="Times New Roman"/>
                <w:bCs/>
                <w:color w:val="auto"/>
              </w:rPr>
              <w:t>/d。因此，本项目产生的生活污水可依托厂区内已建一座处理能力为50t/d的地埋式一体化污水处理设备。</w:t>
            </w:r>
          </w:p>
          <w:p>
            <w:pPr>
              <w:ind w:firstLine="480"/>
              <w:rPr>
                <w:rFonts w:cs="Times New Roman"/>
                <w:bCs/>
                <w:color w:val="auto"/>
              </w:rPr>
            </w:pPr>
            <w:r>
              <w:rPr>
                <w:rFonts w:cs="Times New Roman"/>
                <w:bCs/>
                <w:color w:val="auto"/>
              </w:rPr>
              <w:t>2.3.2乌拉特前旗工业园区污水处理厂依托可行性</w:t>
            </w:r>
          </w:p>
          <w:p>
            <w:pPr>
              <w:ind w:firstLine="480"/>
              <w:rPr>
                <w:rFonts w:cs="Times New Roman"/>
                <w:bCs/>
                <w:color w:val="auto"/>
              </w:rPr>
            </w:pPr>
            <w:r>
              <w:rPr>
                <w:rFonts w:cs="Times New Roman"/>
                <w:bCs/>
                <w:color w:val="auto"/>
              </w:rPr>
              <w:t>目前，乌拉特前旗工业园区污水处理厂处理规模为3000m</w:t>
            </w:r>
            <w:r>
              <w:rPr>
                <w:rFonts w:cs="Times New Roman"/>
                <w:bCs/>
                <w:color w:val="auto"/>
                <w:vertAlign w:val="superscript"/>
              </w:rPr>
              <w:t>3</w:t>
            </w:r>
            <w:r>
              <w:rPr>
                <w:rFonts w:cs="Times New Roman"/>
                <w:bCs/>
                <w:color w:val="auto"/>
              </w:rPr>
              <w:t>/d，污水采用“预处理+A2/O”的处理工艺，出水达到《城镇污水处理厂污染物排放标准》（GB18918-2002）一级A标准，服务范围为整个乌拉特前旗工业园区。</w:t>
            </w:r>
          </w:p>
          <w:p>
            <w:pPr>
              <w:ind w:firstLine="480"/>
              <w:rPr>
                <w:rFonts w:cs="Times New Roman"/>
                <w:bCs/>
                <w:color w:val="auto"/>
              </w:rPr>
            </w:pPr>
            <w:r>
              <w:rPr>
                <w:rFonts w:cs="Times New Roman"/>
                <w:bCs/>
                <w:color w:val="auto"/>
              </w:rPr>
              <w:t>本项目废水排放量为18.73m</w:t>
            </w:r>
            <w:r>
              <w:rPr>
                <w:rFonts w:cs="Times New Roman"/>
                <w:bCs/>
                <w:color w:val="auto"/>
                <w:vertAlign w:val="superscript"/>
              </w:rPr>
              <w:t>3</w:t>
            </w:r>
            <w:r>
              <w:rPr>
                <w:rFonts w:cs="Times New Roman"/>
                <w:bCs/>
                <w:color w:val="auto"/>
              </w:rPr>
              <w:t>/d，项目建成后，巴彦淖尔市同晨新材料有限公司废水排放总量为43.73m</w:t>
            </w:r>
            <w:r>
              <w:rPr>
                <w:rFonts w:cs="Times New Roman"/>
                <w:bCs/>
                <w:color w:val="auto"/>
                <w:vertAlign w:val="superscript"/>
              </w:rPr>
              <w:t>3</w:t>
            </w:r>
            <w:r>
              <w:rPr>
                <w:rFonts w:cs="Times New Roman"/>
                <w:bCs/>
                <w:color w:val="auto"/>
              </w:rPr>
              <w:t>/d，废水水质执行《稀土工业污染物排放标准》（GB26451-2011）表2新建企业水污染物排放浓度限值及单位产品基准排水量中“间接排放限值”。且项目排放废水量排放量较小，仅为乌拉特前旗工业园区处理规模的1.46%，不会对园区污水处理厂产生冲击影响，接纳是可行的。</w:t>
            </w:r>
          </w:p>
          <w:p>
            <w:pPr>
              <w:ind w:firstLine="480"/>
              <w:rPr>
                <w:rFonts w:cs="Times New Roman"/>
                <w:bCs/>
                <w:color w:val="auto"/>
              </w:rPr>
            </w:pPr>
            <w:r>
              <w:rPr>
                <w:rFonts w:cs="Times New Roman"/>
                <w:bCs/>
                <w:color w:val="auto"/>
              </w:rPr>
              <w:t>因此，从进水水质与水量的符合性等方面考虑，本项目</w:t>
            </w:r>
            <w:r>
              <w:rPr>
                <w:rFonts w:hint="eastAsia" w:cs="Times New Roman"/>
                <w:bCs/>
                <w:color w:val="auto"/>
              </w:rPr>
              <w:t>废水</w:t>
            </w:r>
            <w:r>
              <w:rPr>
                <w:rFonts w:cs="Times New Roman"/>
                <w:bCs/>
                <w:color w:val="auto"/>
              </w:rPr>
              <w:t>经一体化污水处理设施</w:t>
            </w:r>
            <w:r>
              <w:rPr>
                <w:rFonts w:hint="eastAsia" w:cs="Times New Roman"/>
                <w:color w:val="auto"/>
              </w:rPr>
              <w:t>处理达标后拉运至乌拉特前旗工业园区污水处理厂</w:t>
            </w:r>
            <w:r>
              <w:rPr>
                <w:rFonts w:cs="Times New Roman"/>
                <w:bCs/>
                <w:color w:val="auto"/>
              </w:rPr>
              <w:t>进行集中处理是可行的。</w:t>
            </w:r>
          </w:p>
          <w:p>
            <w:pPr>
              <w:ind w:firstLine="482"/>
              <w:rPr>
                <w:rFonts w:cs="Times New Roman"/>
                <w:b/>
                <w:bCs/>
                <w:color w:val="auto"/>
                <w:szCs w:val="22"/>
              </w:rPr>
            </w:pPr>
            <w:r>
              <w:rPr>
                <w:rFonts w:cs="Times New Roman"/>
                <w:b/>
                <w:bCs/>
                <w:color w:val="auto"/>
                <w:szCs w:val="22"/>
              </w:rPr>
              <w:t>3、噪声环境影响分析及防治措施</w:t>
            </w:r>
          </w:p>
          <w:p>
            <w:pPr>
              <w:ind w:firstLine="482"/>
              <w:rPr>
                <w:rFonts w:cs="Times New Roman"/>
                <w:b/>
                <w:bCs/>
                <w:snapToGrid w:val="0"/>
                <w:color w:val="auto"/>
                <w:kern w:val="0"/>
              </w:rPr>
            </w:pPr>
            <w:r>
              <w:rPr>
                <w:rFonts w:cs="Times New Roman"/>
                <w:b/>
                <w:bCs/>
                <w:snapToGrid w:val="0"/>
                <w:color w:val="auto"/>
                <w:kern w:val="0"/>
              </w:rPr>
              <w:t>3.1噪声源强分析</w:t>
            </w:r>
          </w:p>
          <w:p>
            <w:pPr>
              <w:ind w:firstLine="480"/>
              <w:rPr>
                <w:rFonts w:cs="Times New Roman"/>
                <w:color w:val="auto"/>
              </w:rPr>
            </w:pPr>
            <w:bookmarkStart w:id="73" w:name="_Toc146798707"/>
            <w:r>
              <w:rPr>
                <w:rFonts w:cs="Times New Roman"/>
                <w:color w:val="auto"/>
              </w:rPr>
              <w:t>本项目运营期噪声主要来源于电辊道窑、电回转窑</w:t>
            </w:r>
            <w:r>
              <w:rPr>
                <w:rFonts w:cs="Times New Roman"/>
                <w:color w:val="auto"/>
                <w:kern w:val="0"/>
              </w:rPr>
              <w:t>、气流磨、氟化合成箱、混料包装机</w:t>
            </w:r>
            <w:r>
              <w:rPr>
                <w:rFonts w:cs="Times New Roman"/>
                <w:color w:val="auto"/>
              </w:rPr>
              <w:t>等设备产生的噪声。根据类比调查，声级值范围在75~90dB</w:t>
            </w:r>
            <w:r>
              <w:rPr>
                <w:rFonts w:hint="eastAsia" w:cs="Times New Roman"/>
                <w:color w:val="auto"/>
                <w:lang w:eastAsia="zh-CN"/>
              </w:rPr>
              <w:t>（</w:t>
            </w:r>
            <w:r>
              <w:rPr>
                <w:rFonts w:cs="Times New Roman"/>
                <w:color w:val="auto"/>
              </w:rPr>
              <w:t>A）之间。设备噪声源值见表4-15。</w:t>
            </w:r>
          </w:p>
          <w:p>
            <w:pPr>
              <w:ind w:firstLine="482"/>
              <w:jc w:val="center"/>
              <w:rPr>
                <w:rFonts w:cs="Times New Roman"/>
                <w:b/>
                <w:bCs/>
                <w:color w:val="auto"/>
              </w:rPr>
            </w:pPr>
            <w:r>
              <w:rPr>
                <w:rFonts w:cs="Times New Roman"/>
                <w:b/>
                <w:bCs/>
                <w:color w:val="auto"/>
              </w:rPr>
              <w:t>表4-15设备噪声源值表</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07"/>
              <w:gridCol w:w="1771"/>
              <w:gridCol w:w="1339"/>
              <w:gridCol w:w="1339"/>
              <w:gridCol w:w="1339"/>
              <w:gridCol w:w="1229"/>
              <w:gridCol w:w="145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1" w:type="dxa"/>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序号</w:t>
                  </w:r>
                </w:p>
              </w:tc>
              <w:tc>
                <w:tcPr>
                  <w:tcW w:w="1564" w:type="dxa"/>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名称</w:t>
                  </w:r>
                </w:p>
              </w:tc>
              <w:tc>
                <w:tcPr>
                  <w:tcW w:w="1182" w:type="dxa"/>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数量</w:t>
                  </w:r>
                </w:p>
              </w:tc>
              <w:tc>
                <w:tcPr>
                  <w:tcW w:w="1182" w:type="dxa"/>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噪声值dB(A)</w:t>
                  </w:r>
                </w:p>
              </w:tc>
              <w:tc>
                <w:tcPr>
                  <w:tcW w:w="1182" w:type="dxa"/>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防护措施</w:t>
                  </w:r>
                </w:p>
              </w:tc>
              <w:tc>
                <w:tcPr>
                  <w:tcW w:w="1085" w:type="dxa"/>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减噪数值dB(A)</w:t>
                  </w:r>
                </w:p>
              </w:tc>
              <w:tc>
                <w:tcPr>
                  <w:tcW w:w="1281" w:type="dxa"/>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采取环保措施的噪声值dB(A)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1"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w:t>
                  </w:r>
                </w:p>
              </w:tc>
              <w:tc>
                <w:tcPr>
                  <w:tcW w:w="1564"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天然气辊道窑</w:t>
                  </w:r>
                </w:p>
              </w:tc>
              <w:tc>
                <w:tcPr>
                  <w:tcW w:w="1182"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w:t>
                  </w:r>
                </w:p>
              </w:tc>
              <w:tc>
                <w:tcPr>
                  <w:tcW w:w="1182"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85</w:t>
                  </w:r>
                </w:p>
              </w:tc>
              <w:tc>
                <w:tcPr>
                  <w:tcW w:w="1182"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减振+隔声</w:t>
                  </w:r>
                </w:p>
              </w:tc>
              <w:tc>
                <w:tcPr>
                  <w:tcW w:w="1085"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25</w:t>
                  </w:r>
                </w:p>
              </w:tc>
              <w:tc>
                <w:tcPr>
                  <w:tcW w:w="1281" w:type="dxa"/>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1"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2</w:t>
                  </w:r>
                </w:p>
              </w:tc>
              <w:tc>
                <w:tcPr>
                  <w:tcW w:w="1564"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电辊道窑</w:t>
                  </w:r>
                </w:p>
              </w:tc>
              <w:tc>
                <w:tcPr>
                  <w:tcW w:w="1182"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w:t>
                  </w:r>
                </w:p>
              </w:tc>
              <w:tc>
                <w:tcPr>
                  <w:tcW w:w="1182"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85</w:t>
                  </w:r>
                </w:p>
              </w:tc>
              <w:tc>
                <w:tcPr>
                  <w:tcW w:w="1182"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减振+隔声</w:t>
                  </w:r>
                </w:p>
              </w:tc>
              <w:tc>
                <w:tcPr>
                  <w:tcW w:w="1085"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25</w:t>
                  </w:r>
                </w:p>
              </w:tc>
              <w:tc>
                <w:tcPr>
                  <w:tcW w:w="1281" w:type="dxa"/>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1"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3</w:t>
                  </w:r>
                </w:p>
              </w:tc>
              <w:tc>
                <w:tcPr>
                  <w:tcW w:w="1564"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天然气回转窑</w:t>
                  </w:r>
                </w:p>
              </w:tc>
              <w:tc>
                <w:tcPr>
                  <w:tcW w:w="1182"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w:t>
                  </w:r>
                </w:p>
              </w:tc>
              <w:tc>
                <w:tcPr>
                  <w:tcW w:w="1182"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85</w:t>
                  </w:r>
                </w:p>
              </w:tc>
              <w:tc>
                <w:tcPr>
                  <w:tcW w:w="1182"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减振+隔声</w:t>
                  </w:r>
                </w:p>
              </w:tc>
              <w:tc>
                <w:tcPr>
                  <w:tcW w:w="1085"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25</w:t>
                  </w:r>
                </w:p>
              </w:tc>
              <w:tc>
                <w:tcPr>
                  <w:tcW w:w="1281" w:type="dxa"/>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1" w:type="dxa"/>
                  <w:tcBorders>
                    <w:tl2br w:val="nil"/>
                    <w:tr2bl w:val="nil"/>
                  </w:tcBorders>
                  <w:vAlign w:val="center"/>
                </w:tcPr>
                <w:p>
                  <w:pPr>
                    <w:widowControl/>
                    <w:spacing w:line="240" w:lineRule="auto"/>
                    <w:ind w:firstLine="0" w:firstLineChars="0"/>
                    <w:jc w:val="center"/>
                    <w:textAlignment w:val="center"/>
                    <w:rPr>
                      <w:rFonts w:cs="Times New Roman"/>
                      <w:color w:val="auto"/>
                      <w:kern w:val="0"/>
                      <w:sz w:val="21"/>
                      <w:szCs w:val="21"/>
                      <w:lang w:bidi="ar"/>
                    </w:rPr>
                  </w:pPr>
                  <w:r>
                    <w:rPr>
                      <w:rFonts w:cs="Times New Roman"/>
                      <w:color w:val="auto"/>
                      <w:kern w:val="0"/>
                      <w:sz w:val="21"/>
                      <w:szCs w:val="21"/>
                      <w:lang w:bidi="ar"/>
                    </w:rPr>
                    <w:t>4</w:t>
                  </w:r>
                </w:p>
              </w:tc>
              <w:tc>
                <w:tcPr>
                  <w:tcW w:w="1564" w:type="dxa"/>
                  <w:tcBorders>
                    <w:tl2br w:val="nil"/>
                    <w:tr2bl w:val="nil"/>
                  </w:tcBorders>
                  <w:vAlign w:val="center"/>
                </w:tcPr>
                <w:p>
                  <w:pPr>
                    <w:widowControl/>
                    <w:spacing w:line="240" w:lineRule="auto"/>
                    <w:ind w:firstLine="0" w:firstLineChars="0"/>
                    <w:jc w:val="center"/>
                    <w:textAlignment w:val="center"/>
                    <w:rPr>
                      <w:rFonts w:cs="Times New Roman"/>
                      <w:color w:val="auto"/>
                      <w:sz w:val="21"/>
                      <w:szCs w:val="21"/>
                    </w:rPr>
                  </w:pPr>
                  <w:r>
                    <w:rPr>
                      <w:rFonts w:cs="Times New Roman"/>
                      <w:color w:val="auto"/>
                      <w:sz w:val="21"/>
                      <w:szCs w:val="21"/>
                    </w:rPr>
                    <w:t>混料机</w:t>
                  </w:r>
                </w:p>
              </w:tc>
              <w:tc>
                <w:tcPr>
                  <w:tcW w:w="1182"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2</w:t>
                  </w:r>
                </w:p>
              </w:tc>
              <w:tc>
                <w:tcPr>
                  <w:tcW w:w="1182"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85</w:t>
                  </w:r>
                </w:p>
              </w:tc>
              <w:tc>
                <w:tcPr>
                  <w:tcW w:w="1182" w:type="dxa"/>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减振+隔声</w:t>
                  </w:r>
                </w:p>
              </w:tc>
              <w:tc>
                <w:tcPr>
                  <w:tcW w:w="1085"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25</w:t>
                  </w:r>
                </w:p>
              </w:tc>
              <w:tc>
                <w:tcPr>
                  <w:tcW w:w="1281" w:type="dxa"/>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1" w:type="dxa"/>
                  <w:tcBorders>
                    <w:tl2br w:val="nil"/>
                    <w:tr2bl w:val="nil"/>
                  </w:tcBorders>
                  <w:vAlign w:val="center"/>
                </w:tcPr>
                <w:p>
                  <w:pPr>
                    <w:widowControl/>
                    <w:spacing w:line="240" w:lineRule="auto"/>
                    <w:ind w:firstLine="0" w:firstLineChars="0"/>
                    <w:jc w:val="center"/>
                    <w:textAlignment w:val="center"/>
                    <w:rPr>
                      <w:rFonts w:cs="Times New Roman"/>
                      <w:color w:val="auto"/>
                      <w:kern w:val="0"/>
                      <w:sz w:val="21"/>
                      <w:szCs w:val="21"/>
                      <w:lang w:bidi="ar"/>
                    </w:rPr>
                  </w:pPr>
                  <w:r>
                    <w:rPr>
                      <w:rFonts w:cs="Times New Roman"/>
                      <w:color w:val="auto"/>
                      <w:kern w:val="0"/>
                      <w:sz w:val="21"/>
                      <w:szCs w:val="21"/>
                      <w:lang w:bidi="ar"/>
                    </w:rPr>
                    <w:t>5</w:t>
                  </w:r>
                </w:p>
              </w:tc>
              <w:tc>
                <w:tcPr>
                  <w:tcW w:w="1564" w:type="dxa"/>
                  <w:tcBorders>
                    <w:tl2br w:val="nil"/>
                    <w:tr2bl w:val="nil"/>
                  </w:tcBorders>
                  <w:vAlign w:val="center"/>
                </w:tcPr>
                <w:p>
                  <w:pPr>
                    <w:widowControl/>
                    <w:spacing w:line="240" w:lineRule="auto"/>
                    <w:ind w:firstLine="0" w:firstLineChars="0"/>
                    <w:jc w:val="center"/>
                    <w:textAlignment w:val="center"/>
                    <w:rPr>
                      <w:rFonts w:cs="Times New Roman"/>
                      <w:color w:val="auto"/>
                      <w:sz w:val="21"/>
                      <w:szCs w:val="21"/>
                    </w:rPr>
                  </w:pPr>
                  <w:r>
                    <w:rPr>
                      <w:rFonts w:cs="Times New Roman"/>
                      <w:color w:val="auto"/>
                      <w:sz w:val="21"/>
                      <w:szCs w:val="21"/>
                    </w:rPr>
                    <w:t>筛分机</w:t>
                  </w:r>
                </w:p>
              </w:tc>
              <w:tc>
                <w:tcPr>
                  <w:tcW w:w="1182"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2</w:t>
                  </w:r>
                </w:p>
              </w:tc>
              <w:tc>
                <w:tcPr>
                  <w:tcW w:w="1182"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85</w:t>
                  </w:r>
                </w:p>
              </w:tc>
              <w:tc>
                <w:tcPr>
                  <w:tcW w:w="1182" w:type="dxa"/>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减振+隔声</w:t>
                  </w:r>
                </w:p>
              </w:tc>
              <w:tc>
                <w:tcPr>
                  <w:tcW w:w="1085"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25</w:t>
                  </w:r>
                </w:p>
              </w:tc>
              <w:tc>
                <w:tcPr>
                  <w:tcW w:w="1281" w:type="dxa"/>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1" w:type="dxa"/>
                  <w:tcBorders>
                    <w:tl2br w:val="nil"/>
                    <w:tr2bl w:val="nil"/>
                  </w:tcBorders>
                  <w:vAlign w:val="center"/>
                </w:tcPr>
                <w:p>
                  <w:pPr>
                    <w:widowControl/>
                    <w:spacing w:line="240" w:lineRule="auto"/>
                    <w:ind w:firstLine="0" w:firstLineChars="0"/>
                    <w:jc w:val="center"/>
                    <w:textAlignment w:val="center"/>
                    <w:rPr>
                      <w:rFonts w:cs="Times New Roman"/>
                      <w:color w:val="auto"/>
                      <w:kern w:val="0"/>
                      <w:sz w:val="21"/>
                      <w:szCs w:val="21"/>
                      <w:lang w:bidi="ar"/>
                    </w:rPr>
                  </w:pPr>
                  <w:r>
                    <w:rPr>
                      <w:rFonts w:cs="Times New Roman"/>
                      <w:color w:val="auto"/>
                      <w:kern w:val="0"/>
                      <w:sz w:val="21"/>
                      <w:szCs w:val="21"/>
                      <w:lang w:bidi="ar"/>
                    </w:rPr>
                    <w:t>6</w:t>
                  </w:r>
                </w:p>
              </w:tc>
              <w:tc>
                <w:tcPr>
                  <w:tcW w:w="1564" w:type="dxa"/>
                  <w:tcBorders>
                    <w:tl2br w:val="nil"/>
                    <w:tr2bl w:val="nil"/>
                  </w:tcBorders>
                  <w:vAlign w:val="center"/>
                </w:tcPr>
                <w:p>
                  <w:pPr>
                    <w:widowControl/>
                    <w:spacing w:line="240" w:lineRule="auto"/>
                    <w:ind w:firstLine="0" w:firstLineChars="0"/>
                    <w:jc w:val="center"/>
                    <w:textAlignment w:val="center"/>
                    <w:rPr>
                      <w:rFonts w:cs="Times New Roman"/>
                      <w:color w:val="auto"/>
                      <w:sz w:val="21"/>
                      <w:szCs w:val="21"/>
                    </w:rPr>
                  </w:pPr>
                  <w:r>
                    <w:rPr>
                      <w:rFonts w:cs="Times New Roman"/>
                      <w:color w:val="auto"/>
                      <w:sz w:val="21"/>
                      <w:szCs w:val="21"/>
                    </w:rPr>
                    <w:t>气流粉碎机</w:t>
                  </w:r>
                </w:p>
              </w:tc>
              <w:tc>
                <w:tcPr>
                  <w:tcW w:w="1182"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2</w:t>
                  </w:r>
                </w:p>
              </w:tc>
              <w:tc>
                <w:tcPr>
                  <w:tcW w:w="1182"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85</w:t>
                  </w:r>
                </w:p>
              </w:tc>
              <w:tc>
                <w:tcPr>
                  <w:tcW w:w="1182" w:type="dxa"/>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减振+隔声</w:t>
                  </w:r>
                </w:p>
              </w:tc>
              <w:tc>
                <w:tcPr>
                  <w:tcW w:w="1085"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25</w:t>
                  </w:r>
                </w:p>
              </w:tc>
              <w:tc>
                <w:tcPr>
                  <w:tcW w:w="1281" w:type="dxa"/>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1" w:type="dxa"/>
                  <w:tcBorders>
                    <w:tl2br w:val="nil"/>
                    <w:tr2bl w:val="nil"/>
                  </w:tcBorders>
                  <w:vAlign w:val="center"/>
                </w:tcPr>
                <w:p>
                  <w:pPr>
                    <w:widowControl/>
                    <w:spacing w:line="240" w:lineRule="auto"/>
                    <w:ind w:firstLine="0" w:firstLineChars="0"/>
                    <w:jc w:val="center"/>
                    <w:textAlignment w:val="center"/>
                    <w:rPr>
                      <w:rFonts w:cs="Times New Roman"/>
                      <w:color w:val="auto"/>
                      <w:kern w:val="0"/>
                      <w:sz w:val="21"/>
                      <w:szCs w:val="21"/>
                      <w:lang w:bidi="ar"/>
                    </w:rPr>
                  </w:pPr>
                  <w:r>
                    <w:rPr>
                      <w:rFonts w:cs="Times New Roman"/>
                      <w:color w:val="auto"/>
                      <w:kern w:val="0"/>
                      <w:sz w:val="21"/>
                      <w:szCs w:val="21"/>
                      <w:lang w:bidi="ar"/>
                    </w:rPr>
                    <w:t>7</w:t>
                  </w:r>
                </w:p>
              </w:tc>
              <w:tc>
                <w:tcPr>
                  <w:tcW w:w="1564" w:type="dxa"/>
                  <w:tcBorders>
                    <w:tl2br w:val="nil"/>
                    <w:tr2bl w:val="nil"/>
                  </w:tcBorders>
                  <w:vAlign w:val="center"/>
                </w:tcPr>
                <w:p>
                  <w:pPr>
                    <w:widowControl/>
                    <w:spacing w:line="240" w:lineRule="auto"/>
                    <w:ind w:firstLine="0" w:firstLineChars="0"/>
                    <w:jc w:val="center"/>
                    <w:textAlignment w:val="center"/>
                    <w:rPr>
                      <w:rFonts w:cs="Times New Roman"/>
                      <w:color w:val="auto"/>
                      <w:sz w:val="21"/>
                      <w:szCs w:val="21"/>
                    </w:rPr>
                  </w:pPr>
                  <w:r>
                    <w:rPr>
                      <w:rFonts w:cs="Times New Roman"/>
                      <w:color w:val="auto"/>
                      <w:sz w:val="21"/>
                      <w:szCs w:val="21"/>
                    </w:rPr>
                    <w:t>射流分级及</w:t>
                  </w:r>
                </w:p>
              </w:tc>
              <w:tc>
                <w:tcPr>
                  <w:tcW w:w="1182"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w:t>
                  </w:r>
                </w:p>
              </w:tc>
              <w:tc>
                <w:tcPr>
                  <w:tcW w:w="1182"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85</w:t>
                  </w:r>
                </w:p>
              </w:tc>
              <w:tc>
                <w:tcPr>
                  <w:tcW w:w="1182" w:type="dxa"/>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减振+隔声</w:t>
                  </w:r>
                </w:p>
              </w:tc>
              <w:tc>
                <w:tcPr>
                  <w:tcW w:w="1085"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25</w:t>
                  </w:r>
                </w:p>
              </w:tc>
              <w:tc>
                <w:tcPr>
                  <w:tcW w:w="1281" w:type="dxa"/>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1"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8</w:t>
                  </w:r>
                </w:p>
              </w:tc>
              <w:tc>
                <w:tcPr>
                  <w:tcW w:w="1564"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kern w:val="0"/>
                      <w:sz w:val="21"/>
                      <w:szCs w:val="21"/>
                      <w:lang w:bidi="ar"/>
                    </w:rPr>
                    <w:t>混料包装机</w:t>
                  </w:r>
                </w:p>
              </w:tc>
              <w:tc>
                <w:tcPr>
                  <w:tcW w:w="1182"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2</w:t>
                  </w:r>
                </w:p>
              </w:tc>
              <w:tc>
                <w:tcPr>
                  <w:tcW w:w="1182"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85</w:t>
                  </w:r>
                </w:p>
              </w:tc>
              <w:tc>
                <w:tcPr>
                  <w:tcW w:w="1182"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减振+隔声</w:t>
                  </w:r>
                </w:p>
              </w:tc>
              <w:tc>
                <w:tcPr>
                  <w:tcW w:w="1085"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25</w:t>
                  </w:r>
                </w:p>
              </w:tc>
              <w:tc>
                <w:tcPr>
                  <w:tcW w:w="1281" w:type="dxa"/>
                  <w:tcBorders>
                    <w:tl2br w:val="nil"/>
                    <w:tr2bl w:val="nil"/>
                  </w:tcBorders>
                </w:tcPr>
                <w:p>
                  <w:pPr>
                    <w:spacing w:line="240" w:lineRule="auto"/>
                    <w:ind w:firstLine="0" w:firstLineChars="0"/>
                    <w:jc w:val="center"/>
                    <w:rPr>
                      <w:rFonts w:cs="Times New Roman"/>
                      <w:color w:val="auto"/>
                      <w:sz w:val="21"/>
                      <w:szCs w:val="21"/>
                    </w:rPr>
                  </w:pPr>
                  <w:r>
                    <w:rPr>
                      <w:rFonts w:cs="Times New Roman"/>
                      <w:color w:val="auto"/>
                      <w:sz w:val="21"/>
                      <w:szCs w:val="21"/>
                    </w:rPr>
                    <w:t>60</w:t>
                  </w:r>
                </w:p>
              </w:tc>
            </w:tr>
          </w:tbl>
          <w:p>
            <w:pPr>
              <w:ind w:firstLine="482"/>
              <w:rPr>
                <w:rFonts w:cs="Times New Roman"/>
                <w:b/>
                <w:color w:val="auto"/>
              </w:rPr>
            </w:pPr>
            <w:r>
              <w:rPr>
                <w:rFonts w:cs="Times New Roman"/>
                <w:b/>
                <w:color w:val="auto"/>
              </w:rPr>
              <w:t>（1）预测模式</w:t>
            </w:r>
          </w:p>
          <w:p>
            <w:pPr>
              <w:ind w:firstLine="480"/>
              <w:rPr>
                <w:rFonts w:cs="Times New Roman"/>
                <w:color w:val="auto"/>
              </w:rPr>
            </w:pPr>
            <w:r>
              <w:rPr>
                <w:rFonts w:cs="Times New Roman"/>
                <w:color w:val="auto"/>
              </w:rPr>
              <w:t>根据《环境影响评价技术导则声环境》（HJ2.4－2021）中的要求，本次评价采取导则推荐模式。</w:t>
            </w:r>
          </w:p>
          <w:p>
            <w:pPr>
              <w:ind w:firstLine="480"/>
              <w:rPr>
                <w:rFonts w:cs="Times New Roman"/>
                <w:color w:val="auto"/>
              </w:rPr>
            </w:pPr>
            <w:r>
              <w:rPr>
                <w:rFonts w:cs="Times New Roman"/>
                <w:color w:val="auto"/>
              </w:rPr>
              <w:t>1）声级计算</w:t>
            </w:r>
          </w:p>
          <w:p>
            <w:pPr>
              <w:ind w:firstLine="480"/>
              <w:rPr>
                <w:rFonts w:cs="Times New Roman"/>
                <w:color w:val="auto"/>
              </w:rPr>
            </w:pPr>
            <w:r>
              <w:rPr>
                <w:rFonts w:cs="Times New Roman"/>
                <w:color w:val="auto"/>
              </w:rPr>
              <w:t>建设项目声源在预测点产生的等效声级贡献值（Leqg）计算公式：</w:t>
            </w:r>
          </w:p>
          <w:p>
            <w:pPr>
              <w:ind w:firstLine="480"/>
              <w:jc w:val="center"/>
              <w:rPr>
                <w:rFonts w:cs="Times New Roman"/>
                <w:color w:val="auto"/>
              </w:rPr>
            </w:pPr>
            <w:r>
              <w:rPr>
                <w:rFonts w:cs="Times New Roman"/>
                <w:color w:val="auto"/>
                <w:position w:val="-28"/>
              </w:rPr>
              <w:object>
                <v:shape id="_x0000_i1030" o:spt="75" type="#_x0000_t75" style="height:33.75pt;width:130.5pt;" o:ole="t" filled="f" o:preferrelative="t" stroked="f" coordsize="21600,21600">
                  <v:path/>
                  <v:fill on="f" focussize="0,0"/>
                  <v:stroke on="f" joinstyle="miter"/>
                  <v:imagedata r:id="rId42" o:title=""/>
                  <o:lock v:ext="edit" aspectratio="t"/>
                  <w10:wrap type="none"/>
                  <w10:anchorlock/>
                </v:shape>
                <o:OLEObject Type="Embed" ProgID="Equation.3" ShapeID="_x0000_i1030" DrawAspect="Content" ObjectID="_1468075730" r:id="rId41">
                  <o:LockedField>false</o:LockedField>
                </o:OLEObject>
              </w:object>
            </w:r>
          </w:p>
          <w:p>
            <w:pPr>
              <w:ind w:firstLine="480"/>
              <w:rPr>
                <w:rFonts w:cs="Times New Roman"/>
                <w:color w:val="auto"/>
              </w:rPr>
            </w:pPr>
            <w:r>
              <w:rPr>
                <w:rFonts w:cs="Times New Roman"/>
                <w:color w:val="auto"/>
              </w:rPr>
              <w:t>式中：</w:t>
            </w:r>
            <w:r>
              <w:rPr>
                <w:rFonts w:cs="Times New Roman"/>
                <w:i/>
                <w:color w:val="auto"/>
              </w:rPr>
              <w:t>L</w:t>
            </w:r>
            <w:r>
              <w:rPr>
                <w:rFonts w:cs="Times New Roman"/>
                <w:i/>
                <w:color w:val="auto"/>
                <w:vertAlign w:val="subscript"/>
              </w:rPr>
              <w:t>eqg</w:t>
            </w:r>
            <w:r>
              <w:rPr>
                <w:rFonts w:cs="Times New Roman"/>
                <w:color w:val="auto"/>
              </w:rPr>
              <w:t>—建设项目声源在预测点的等效声级贡献值，dB(A)；</w:t>
            </w:r>
          </w:p>
          <w:p>
            <w:pPr>
              <w:ind w:firstLine="480"/>
              <w:rPr>
                <w:rFonts w:cs="Times New Roman"/>
                <w:color w:val="auto"/>
              </w:rPr>
            </w:pPr>
            <w:r>
              <w:rPr>
                <w:rFonts w:cs="Times New Roman"/>
                <w:i/>
                <w:color w:val="auto"/>
              </w:rPr>
              <w:t>L</w:t>
            </w:r>
            <w:r>
              <w:rPr>
                <w:rFonts w:cs="Times New Roman"/>
                <w:i/>
                <w:color w:val="auto"/>
                <w:vertAlign w:val="subscript"/>
              </w:rPr>
              <w:t>Ai</w:t>
            </w:r>
            <w:r>
              <w:rPr>
                <w:rFonts w:cs="Times New Roman"/>
                <w:color w:val="auto"/>
              </w:rPr>
              <w:t>—i声源在预测点产生的A声级，dB(A)；</w:t>
            </w:r>
          </w:p>
          <w:p>
            <w:pPr>
              <w:ind w:firstLine="480"/>
              <w:rPr>
                <w:rFonts w:cs="Times New Roman"/>
                <w:color w:val="auto"/>
              </w:rPr>
            </w:pPr>
            <w:r>
              <w:rPr>
                <w:rFonts w:cs="Times New Roman"/>
                <w:i/>
                <w:color w:val="auto"/>
              </w:rPr>
              <w:t>T</w:t>
            </w:r>
            <w:r>
              <w:rPr>
                <w:rFonts w:cs="Times New Roman"/>
                <w:color w:val="auto"/>
              </w:rPr>
              <w:t>—预测计算的时间段，s；</w:t>
            </w:r>
          </w:p>
          <w:p>
            <w:pPr>
              <w:ind w:firstLine="480"/>
              <w:rPr>
                <w:rFonts w:cs="Times New Roman"/>
                <w:color w:val="auto"/>
              </w:rPr>
            </w:pPr>
            <w:r>
              <w:rPr>
                <w:rFonts w:cs="Times New Roman"/>
                <w:i/>
                <w:color w:val="auto"/>
              </w:rPr>
              <w:t>t</w:t>
            </w:r>
            <w:r>
              <w:rPr>
                <w:rFonts w:cs="Times New Roman"/>
                <w:i/>
                <w:color w:val="auto"/>
                <w:vertAlign w:val="subscript"/>
              </w:rPr>
              <w:t>i</w:t>
            </w:r>
            <w:r>
              <w:rPr>
                <w:rFonts w:cs="Times New Roman"/>
                <w:color w:val="auto"/>
              </w:rPr>
              <w:t>—i声源在T时段内的运行时间，s。</w:t>
            </w:r>
          </w:p>
          <w:p>
            <w:pPr>
              <w:ind w:firstLine="480"/>
              <w:rPr>
                <w:rFonts w:cs="Times New Roman"/>
                <w:color w:val="auto"/>
              </w:rPr>
            </w:pPr>
            <w:r>
              <w:rPr>
                <w:rFonts w:cs="Times New Roman"/>
                <w:color w:val="auto"/>
              </w:rPr>
              <w:t>2）预测点的预测等效声级（Leq）计算公式</w:t>
            </w:r>
          </w:p>
          <w:p>
            <w:pPr>
              <w:ind w:firstLine="480"/>
              <w:jc w:val="center"/>
              <w:rPr>
                <w:rFonts w:cs="Times New Roman"/>
                <w:color w:val="auto"/>
              </w:rPr>
            </w:pPr>
            <w:r>
              <w:rPr>
                <w:rFonts w:cs="Times New Roman"/>
                <w:color w:val="auto"/>
                <w:position w:val="-14"/>
              </w:rPr>
              <w:object>
                <v:shape id="_x0000_i1031" o:spt="75" type="#_x0000_t75" style="height:22.5pt;width:150.75pt;" o:ole="t" filled="f" o:preferrelative="t" stroked="f" coordsize="21600,21600">
                  <v:path/>
                  <v:fill on="f" focussize="0,0"/>
                  <v:stroke on="f" joinstyle="miter"/>
                  <v:imagedata r:id="rId44" o:title=""/>
                  <o:lock v:ext="edit" aspectratio="t"/>
                  <w10:wrap type="none"/>
                  <w10:anchorlock/>
                </v:shape>
                <o:OLEObject Type="Embed" ProgID="Equation.3" ShapeID="_x0000_i1031" DrawAspect="Content" ObjectID="_1468075731" r:id="rId43">
                  <o:LockedField>false</o:LockedField>
                </o:OLEObject>
              </w:object>
            </w:r>
          </w:p>
          <w:p>
            <w:pPr>
              <w:ind w:firstLine="480"/>
              <w:rPr>
                <w:rFonts w:cs="Times New Roman"/>
                <w:color w:val="auto"/>
              </w:rPr>
            </w:pPr>
            <w:r>
              <w:rPr>
                <w:rFonts w:cs="Times New Roman"/>
                <w:color w:val="auto"/>
              </w:rPr>
              <w:t>式中：</w:t>
            </w:r>
            <w:bookmarkStart w:id="74" w:name="_Toc270691827"/>
            <w:bookmarkStart w:id="75" w:name="_Toc269025278"/>
            <w:bookmarkStart w:id="76" w:name="_Toc269024991"/>
            <w:r>
              <w:rPr>
                <w:rFonts w:cs="Times New Roman"/>
                <w:i/>
                <w:color w:val="auto"/>
              </w:rPr>
              <w:t>L</w:t>
            </w:r>
            <w:r>
              <w:rPr>
                <w:rFonts w:cs="Times New Roman"/>
                <w:i/>
                <w:color w:val="auto"/>
                <w:vertAlign w:val="subscript"/>
              </w:rPr>
              <w:t>eqg</w:t>
            </w:r>
            <w:r>
              <w:rPr>
                <w:rFonts w:cs="Times New Roman"/>
                <w:color w:val="auto"/>
              </w:rPr>
              <w:t>—建设项目声源在预测点的等效声级贡献值，dB(A)；</w:t>
            </w:r>
            <w:bookmarkEnd w:id="74"/>
            <w:bookmarkEnd w:id="75"/>
            <w:bookmarkEnd w:id="76"/>
          </w:p>
          <w:p>
            <w:pPr>
              <w:ind w:firstLine="480"/>
              <w:rPr>
                <w:rFonts w:cs="Times New Roman"/>
                <w:color w:val="auto"/>
              </w:rPr>
            </w:pPr>
            <w:r>
              <w:rPr>
                <w:rFonts w:cs="Times New Roman"/>
                <w:i/>
                <w:color w:val="auto"/>
              </w:rPr>
              <w:t>L</w:t>
            </w:r>
            <w:r>
              <w:rPr>
                <w:rFonts w:cs="Times New Roman"/>
                <w:i/>
                <w:color w:val="auto"/>
                <w:vertAlign w:val="subscript"/>
              </w:rPr>
              <w:t>eqb</w:t>
            </w:r>
            <w:r>
              <w:rPr>
                <w:rFonts w:cs="Times New Roman"/>
                <w:color w:val="auto"/>
              </w:rPr>
              <w:t>—预测点的背景值，dB(A)</w:t>
            </w:r>
          </w:p>
          <w:p>
            <w:pPr>
              <w:ind w:firstLine="480"/>
              <w:rPr>
                <w:rFonts w:cs="Times New Roman"/>
                <w:color w:val="auto"/>
              </w:rPr>
            </w:pPr>
            <w:r>
              <w:rPr>
                <w:rFonts w:cs="Times New Roman"/>
                <w:color w:val="auto"/>
              </w:rPr>
              <w:t>3）户外声传播衰减计算</w:t>
            </w:r>
          </w:p>
          <w:p>
            <w:pPr>
              <w:ind w:firstLine="480"/>
              <w:rPr>
                <w:rFonts w:cs="Times New Roman"/>
                <w:color w:val="auto"/>
              </w:rPr>
            </w:pPr>
            <w:r>
              <w:rPr>
                <w:rFonts w:cs="Times New Roman"/>
                <w:color w:val="auto"/>
              </w:rPr>
              <w:t>户外声传播衰减包括几何发散（A</w:t>
            </w:r>
            <w:r>
              <w:rPr>
                <w:rFonts w:cs="Times New Roman"/>
                <w:color w:val="auto"/>
                <w:vertAlign w:val="subscript"/>
              </w:rPr>
              <w:t>dⅣ</w:t>
            </w:r>
            <w:r>
              <w:rPr>
                <w:rFonts w:cs="Times New Roman"/>
                <w:color w:val="auto"/>
              </w:rPr>
              <w:t>）、大气吸收（A</w:t>
            </w:r>
            <w:r>
              <w:rPr>
                <w:rFonts w:cs="Times New Roman"/>
                <w:color w:val="auto"/>
                <w:vertAlign w:val="subscript"/>
              </w:rPr>
              <w:t>atm</w:t>
            </w:r>
            <w:r>
              <w:rPr>
                <w:rFonts w:cs="Times New Roman"/>
                <w:color w:val="auto"/>
              </w:rPr>
              <w:t>）、地面效应（A</w:t>
            </w:r>
            <w:r>
              <w:rPr>
                <w:rFonts w:cs="Times New Roman"/>
                <w:color w:val="auto"/>
                <w:vertAlign w:val="subscript"/>
              </w:rPr>
              <w:t>gr</w:t>
            </w:r>
            <w:r>
              <w:rPr>
                <w:rFonts w:cs="Times New Roman"/>
                <w:color w:val="auto"/>
              </w:rPr>
              <w:t>）、屏障屏蔽（A</w:t>
            </w:r>
            <w:r>
              <w:rPr>
                <w:rFonts w:cs="Times New Roman"/>
                <w:color w:val="auto"/>
                <w:vertAlign w:val="subscript"/>
              </w:rPr>
              <w:t>bar</w:t>
            </w:r>
            <w:r>
              <w:rPr>
                <w:rFonts w:cs="Times New Roman"/>
                <w:color w:val="auto"/>
              </w:rPr>
              <w:t>）、其他多方面效应（A</w:t>
            </w:r>
            <w:r>
              <w:rPr>
                <w:rFonts w:cs="Times New Roman"/>
                <w:color w:val="auto"/>
                <w:vertAlign w:val="subscript"/>
              </w:rPr>
              <w:t>misc</w:t>
            </w:r>
            <w:r>
              <w:rPr>
                <w:rFonts w:cs="Times New Roman"/>
                <w:color w:val="auto"/>
              </w:rPr>
              <w:t>）引起的衰减。</w:t>
            </w:r>
          </w:p>
          <w:p>
            <w:pPr>
              <w:ind w:firstLine="480"/>
              <w:rPr>
                <w:rFonts w:cs="Times New Roman"/>
                <w:color w:val="auto"/>
              </w:rPr>
            </w:pPr>
            <w:r>
              <w:rPr>
                <w:rFonts w:cs="Times New Roman"/>
                <w:color w:val="auto"/>
              </w:rPr>
              <w:t>距声源点r处的A声级按下式计算：</w:t>
            </w:r>
          </w:p>
          <w:p>
            <w:pPr>
              <w:ind w:firstLine="480"/>
              <w:jc w:val="center"/>
              <w:rPr>
                <w:rFonts w:cs="Times New Roman"/>
                <w:color w:val="auto"/>
              </w:rPr>
            </w:pPr>
            <w:r>
              <w:rPr>
                <w:rFonts w:cs="Times New Roman"/>
                <w:color w:val="auto"/>
              </w:rPr>
              <w:drawing>
                <wp:inline distT="0" distB="0" distL="114300" distR="114300">
                  <wp:extent cx="3422015" cy="358140"/>
                  <wp:effectExtent l="0" t="0" r="6985" b="3810"/>
                  <wp:docPr id="1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3"/>
                          <pic:cNvPicPr>
                            <a:picLocks noChangeAspect="1"/>
                          </pic:cNvPicPr>
                        </pic:nvPicPr>
                        <pic:blipFill>
                          <a:blip r:embed="rId45"/>
                          <a:stretch>
                            <a:fillRect/>
                          </a:stretch>
                        </pic:blipFill>
                        <pic:spPr>
                          <a:xfrm>
                            <a:off x="0" y="0"/>
                            <a:ext cx="3422015" cy="358140"/>
                          </a:xfrm>
                          <a:prstGeom prst="rect">
                            <a:avLst/>
                          </a:prstGeom>
                          <a:noFill/>
                          <a:ln>
                            <a:noFill/>
                          </a:ln>
                        </pic:spPr>
                      </pic:pic>
                    </a:graphicData>
                  </a:graphic>
                </wp:inline>
              </w:drawing>
            </w:r>
          </w:p>
          <w:p>
            <w:pPr>
              <w:ind w:firstLine="480"/>
              <w:rPr>
                <w:rFonts w:cs="Times New Roman"/>
                <w:color w:val="auto"/>
              </w:rPr>
            </w:pPr>
            <w:r>
              <w:rPr>
                <w:rFonts w:cs="Times New Roman"/>
                <w:color w:val="auto"/>
              </w:rPr>
              <w:t>在预测中考虑反射引起的修正、屏障引起的衰减、双绕射、室内声源等效室外声源等影响和计算方法。</w:t>
            </w:r>
          </w:p>
          <w:p>
            <w:pPr>
              <w:ind w:firstLine="482"/>
              <w:rPr>
                <w:rFonts w:cs="Times New Roman"/>
                <w:b/>
                <w:color w:val="auto"/>
              </w:rPr>
            </w:pPr>
            <w:r>
              <w:rPr>
                <w:rFonts w:cs="Times New Roman"/>
                <w:b/>
                <w:color w:val="auto"/>
              </w:rPr>
              <w:t>（2）预测结果</w:t>
            </w:r>
          </w:p>
          <w:p>
            <w:pPr>
              <w:ind w:firstLine="480"/>
              <w:rPr>
                <w:rFonts w:cs="Times New Roman"/>
                <w:b/>
                <w:color w:val="auto"/>
              </w:rPr>
            </w:pPr>
            <w:r>
              <w:rPr>
                <w:rFonts w:cs="Times New Roman"/>
                <w:color w:val="auto"/>
              </w:rPr>
              <w:t>根据模式预测结果，噪声源对各预测点的影响预测结果见表4-16。</w:t>
            </w:r>
          </w:p>
          <w:p>
            <w:pPr>
              <w:ind w:firstLine="482"/>
              <w:jc w:val="center"/>
              <w:rPr>
                <w:rFonts w:cs="Times New Roman"/>
                <w:b/>
                <w:bCs/>
                <w:color w:val="auto"/>
                <w:szCs w:val="32"/>
              </w:rPr>
            </w:pPr>
            <w:r>
              <w:rPr>
                <w:rFonts w:cs="Times New Roman"/>
                <w:b/>
                <w:bCs/>
                <w:color w:val="auto"/>
                <w:szCs w:val="32"/>
              </w:rPr>
              <w:t>表4-16厂界噪声预测结果（单位：dB(A)）</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01"/>
              <w:gridCol w:w="3046"/>
              <w:gridCol w:w="2614"/>
              <w:gridCol w:w="271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158" w:type="pct"/>
                  <w:gridSpan w:val="2"/>
                  <w:vMerge w:val="restart"/>
                  <w:tcBorders>
                    <w:tl2br w:val="nil"/>
                    <w:tr2bl w:val="nil"/>
                  </w:tcBorders>
                  <w:tcMar>
                    <w:left w:w="28" w:type="dxa"/>
                    <w:right w:w="28" w:type="dxa"/>
                  </w:tcMar>
                  <w:vAlign w:val="center"/>
                </w:tcPr>
                <w:p>
                  <w:pPr>
                    <w:snapToGrid w:val="0"/>
                    <w:spacing w:line="240" w:lineRule="auto"/>
                    <w:ind w:firstLine="0" w:firstLineChars="0"/>
                    <w:jc w:val="center"/>
                    <w:rPr>
                      <w:rFonts w:cs="Times New Roman"/>
                      <w:b/>
                      <w:bCs/>
                      <w:color w:val="auto"/>
                      <w:sz w:val="21"/>
                      <w:szCs w:val="21"/>
                      <w:lang w:val="de-DE"/>
                    </w:rPr>
                  </w:pPr>
                  <w:r>
                    <w:rPr>
                      <w:rFonts w:cs="Times New Roman"/>
                      <w:b/>
                      <w:bCs/>
                      <w:color w:val="auto"/>
                      <w:sz w:val="21"/>
                      <w:szCs w:val="21"/>
                      <w:lang w:val="de-DE"/>
                    </w:rPr>
                    <w:t>预测点位</w:t>
                  </w:r>
                </w:p>
              </w:tc>
              <w:tc>
                <w:tcPr>
                  <w:tcW w:w="1394" w:type="pct"/>
                  <w:tcBorders>
                    <w:tl2br w:val="nil"/>
                    <w:tr2bl w:val="nil"/>
                  </w:tcBorders>
                  <w:tcMar>
                    <w:left w:w="28" w:type="dxa"/>
                    <w:right w:w="28" w:type="dxa"/>
                  </w:tcMar>
                  <w:vAlign w:val="center"/>
                </w:tcPr>
                <w:p>
                  <w:pPr>
                    <w:snapToGrid w:val="0"/>
                    <w:spacing w:line="240" w:lineRule="auto"/>
                    <w:ind w:firstLine="0" w:firstLineChars="0"/>
                    <w:jc w:val="center"/>
                    <w:rPr>
                      <w:rFonts w:cs="Times New Roman"/>
                      <w:b/>
                      <w:bCs/>
                      <w:color w:val="auto"/>
                      <w:sz w:val="21"/>
                      <w:szCs w:val="21"/>
                      <w:lang w:val="de-DE"/>
                    </w:rPr>
                  </w:pPr>
                  <w:r>
                    <w:rPr>
                      <w:rFonts w:cs="Times New Roman"/>
                      <w:b/>
                      <w:bCs/>
                      <w:color w:val="auto"/>
                      <w:sz w:val="21"/>
                      <w:szCs w:val="21"/>
                      <w:lang w:val="de-DE"/>
                    </w:rPr>
                    <w:t>昼间</w:t>
                  </w:r>
                </w:p>
              </w:tc>
              <w:tc>
                <w:tcPr>
                  <w:tcW w:w="1447" w:type="pct"/>
                  <w:tcBorders>
                    <w:tl2br w:val="nil"/>
                    <w:tr2bl w:val="nil"/>
                  </w:tcBorders>
                  <w:vAlign w:val="center"/>
                </w:tcPr>
                <w:p>
                  <w:pPr>
                    <w:snapToGrid w:val="0"/>
                    <w:spacing w:line="240" w:lineRule="auto"/>
                    <w:ind w:firstLine="0" w:firstLineChars="0"/>
                    <w:jc w:val="center"/>
                    <w:rPr>
                      <w:rFonts w:cs="Times New Roman"/>
                      <w:b/>
                      <w:bCs/>
                      <w:color w:val="auto"/>
                      <w:sz w:val="21"/>
                      <w:szCs w:val="21"/>
                      <w:lang w:val="de-DE"/>
                    </w:rPr>
                  </w:pPr>
                  <w:r>
                    <w:rPr>
                      <w:rFonts w:cs="Times New Roman"/>
                      <w:b/>
                      <w:bCs/>
                      <w:color w:val="auto"/>
                      <w:sz w:val="21"/>
                      <w:szCs w:val="21"/>
                      <w:lang w:val="de-DE"/>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158" w:type="pct"/>
                  <w:gridSpan w:val="2"/>
                  <w:vMerge w:val="continue"/>
                  <w:tcBorders>
                    <w:tl2br w:val="nil"/>
                    <w:tr2bl w:val="nil"/>
                  </w:tcBorders>
                  <w:tcMar>
                    <w:left w:w="28" w:type="dxa"/>
                    <w:right w:w="28" w:type="dxa"/>
                  </w:tcMar>
                  <w:vAlign w:val="center"/>
                </w:tcPr>
                <w:p>
                  <w:pPr>
                    <w:snapToGrid w:val="0"/>
                    <w:spacing w:line="240" w:lineRule="auto"/>
                    <w:ind w:firstLine="0" w:firstLineChars="0"/>
                    <w:jc w:val="center"/>
                    <w:rPr>
                      <w:rFonts w:cs="Times New Roman"/>
                      <w:b/>
                      <w:bCs/>
                      <w:color w:val="auto"/>
                      <w:sz w:val="21"/>
                      <w:szCs w:val="21"/>
                      <w:lang w:val="de-DE"/>
                    </w:rPr>
                  </w:pPr>
                </w:p>
              </w:tc>
              <w:tc>
                <w:tcPr>
                  <w:tcW w:w="1394" w:type="pct"/>
                  <w:tcBorders>
                    <w:tl2br w:val="nil"/>
                    <w:tr2bl w:val="nil"/>
                  </w:tcBorders>
                  <w:tcMar>
                    <w:left w:w="28" w:type="dxa"/>
                    <w:right w:w="28" w:type="dxa"/>
                  </w:tcMar>
                  <w:vAlign w:val="center"/>
                </w:tcPr>
                <w:p>
                  <w:pPr>
                    <w:snapToGrid w:val="0"/>
                    <w:spacing w:line="240" w:lineRule="auto"/>
                    <w:ind w:firstLine="0" w:firstLineChars="0"/>
                    <w:jc w:val="center"/>
                    <w:rPr>
                      <w:rFonts w:cs="Times New Roman"/>
                      <w:b/>
                      <w:bCs/>
                      <w:color w:val="auto"/>
                      <w:sz w:val="21"/>
                      <w:szCs w:val="21"/>
                      <w:lang w:val="de-DE"/>
                    </w:rPr>
                  </w:pPr>
                  <w:r>
                    <w:rPr>
                      <w:rFonts w:cs="Times New Roman"/>
                      <w:b/>
                      <w:bCs/>
                      <w:color w:val="auto"/>
                      <w:sz w:val="21"/>
                      <w:szCs w:val="21"/>
                      <w:lang w:val="de-DE"/>
                    </w:rPr>
                    <w:t>贡献值</w:t>
                  </w:r>
                </w:p>
              </w:tc>
              <w:tc>
                <w:tcPr>
                  <w:tcW w:w="1447" w:type="pct"/>
                  <w:tcBorders>
                    <w:tl2br w:val="nil"/>
                    <w:tr2bl w:val="nil"/>
                  </w:tcBorders>
                  <w:vAlign w:val="center"/>
                </w:tcPr>
                <w:p>
                  <w:pPr>
                    <w:snapToGrid w:val="0"/>
                    <w:spacing w:line="240" w:lineRule="auto"/>
                    <w:ind w:firstLine="0" w:firstLineChars="0"/>
                    <w:jc w:val="center"/>
                    <w:rPr>
                      <w:rFonts w:cs="Times New Roman"/>
                      <w:b/>
                      <w:bCs/>
                      <w:color w:val="auto"/>
                      <w:sz w:val="21"/>
                      <w:szCs w:val="21"/>
                      <w:lang w:val="de-DE"/>
                    </w:rPr>
                  </w:pPr>
                  <w:r>
                    <w:rPr>
                      <w:rFonts w:cs="Times New Roman"/>
                      <w:b/>
                      <w:bCs/>
                      <w:color w:val="auto"/>
                      <w:sz w:val="21"/>
                      <w:szCs w:val="21"/>
                      <w:lang w:val="de-DE"/>
                    </w:rPr>
                    <w:t>贡献值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pct"/>
                  <w:tcBorders>
                    <w:tl2br w:val="nil"/>
                    <w:tr2bl w:val="nil"/>
                  </w:tcBorders>
                  <w:tcMar>
                    <w:left w:w="28" w:type="dxa"/>
                    <w:right w:w="28" w:type="dxa"/>
                  </w:tcMar>
                  <w:vAlign w:val="center"/>
                </w:tcPr>
                <w:p>
                  <w:pPr>
                    <w:snapToGrid w:val="0"/>
                    <w:spacing w:line="240" w:lineRule="auto"/>
                    <w:ind w:firstLine="0" w:firstLineChars="0"/>
                    <w:jc w:val="center"/>
                    <w:rPr>
                      <w:rFonts w:cs="Times New Roman"/>
                      <w:color w:val="auto"/>
                      <w:sz w:val="21"/>
                      <w:szCs w:val="21"/>
                      <w:lang w:val="de-DE"/>
                    </w:rPr>
                  </w:pPr>
                  <w:r>
                    <w:rPr>
                      <w:rFonts w:cs="Times New Roman"/>
                      <w:color w:val="auto"/>
                      <w:sz w:val="21"/>
                      <w:szCs w:val="21"/>
                      <w:lang w:val="de-DE"/>
                    </w:rPr>
                    <w:t>1</w:t>
                  </w:r>
                </w:p>
              </w:tc>
              <w:tc>
                <w:tcPr>
                  <w:tcW w:w="1624" w:type="pct"/>
                  <w:tcBorders>
                    <w:tl2br w:val="nil"/>
                    <w:tr2bl w:val="nil"/>
                  </w:tcBorders>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项目东侧</w:t>
                  </w:r>
                </w:p>
              </w:tc>
              <w:tc>
                <w:tcPr>
                  <w:tcW w:w="1394" w:type="pct"/>
                  <w:tcBorders>
                    <w:tl2br w:val="nil"/>
                    <w:tr2bl w:val="nil"/>
                  </w:tcBorders>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41.6</w:t>
                  </w:r>
                </w:p>
              </w:tc>
              <w:tc>
                <w:tcPr>
                  <w:tcW w:w="1447" w:type="pct"/>
                  <w:tcBorders>
                    <w:tl2br w:val="nil"/>
                    <w:tr2bl w:val="nil"/>
                  </w:tcBorders>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41.6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pct"/>
                  <w:tcBorders>
                    <w:tl2br w:val="nil"/>
                    <w:tr2bl w:val="nil"/>
                  </w:tcBorders>
                  <w:tcMar>
                    <w:left w:w="28" w:type="dxa"/>
                    <w:right w:w="28" w:type="dxa"/>
                  </w:tcMar>
                  <w:vAlign w:val="center"/>
                </w:tcPr>
                <w:p>
                  <w:pPr>
                    <w:snapToGrid w:val="0"/>
                    <w:spacing w:line="240" w:lineRule="auto"/>
                    <w:ind w:firstLine="0" w:firstLineChars="0"/>
                    <w:jc w:val="center"/>
                    <w:rPr>
                      <w:rFonts w:cs="Times New Roman"/>
                      <w:color w:val="auto"/>
                      <w:sz w:val="21"/>
                      <w:szCs w:val="21"/>
                      <w:lang w:val="de-DE"/>
                    </w:rPr>
                  </w:pPr>
                  <w:r>
                    <w:rPr>
                      <w:rFonts w:cs="Times New Roman"/>
                      <w:color w:val="auto"/>
                      <w:sz w:val="21"/>
                      <w:szCs w:val="21"/>
                      <w:lang w:val="de-DE"/>
                    </w:rPr>
                    <w:t>2</w:t>
                  </w:r>
                </w:p>
              </w:tc>
              <w:tc>
                <w:tcPr>
                  <w:tcW w:w="1624" w:type="pct"/>
                  <w:tcBorders>
                    <w:tl2br w:val="nil"/>
                    <w:tr2bl w:val="nil"/>
                  </w:tcBorders>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项目南侧</w:t>
                  </w:r>
                </w:p>
              </w:tc>
              <w:tc>
                <w:tcPr>
                  <w:tcW w:w="1394" w:type="pct"/>
                  <w:tcBorders>
                    <w:tl2br w:val="nil"/>
                    <w:tr2bl w:val="nil"/>
                  </w:tcBorders>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43.5</w:t>
                  </w:r>
                </w:p>
              </w:tc>
              <w:tc>
                <w:tcPr>
                  <w:tcW w:w="1447" w:type="pct"/>
                  <w:tcBorders>
                    <w:tl2br w:val="nil"/>
                    <w:tr2bl w:val="nil"/>
                  </w:tcBorders>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43.5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pct"/>
                  <w:tcBorders>
                    <w:tl2br w:val="nil"/>
                    <w:tr2bl w:val="nil"/>
                  </w:tcBorders>
                  <w:tcMar>
                    <w:left w:w="28" w:type="dxa"/>
                    <w:right w:w="28" w:type="dxa"/>
                  </w:tcMar>
                  <w:vAlign w:val="center"/>
                </w:tcPr>
                <w:p>
                  <w:pPr>
                    <w:snapToGrid w:val="0"/>
                    <w:spacing w:line="240" w:lineRule="auto"/>
                    <w:ind w:firstLine="0" w:firstLineChars="0"/>
                    <w:jc w:val="center"/>
                    <w:rPr>
                      <w:rFonts w:cs="Times New Roman"/>
                      <w:color w:val="auto"/>
                      <w:sz w:val="21"/>
                      <w:szCs w:val="21"/>
                      <w:lang w:val="de-DE"/>
                    </w:rPr>
                  </w:pPr>
                  <w:r>
                    <w:rPr>
                      <w:rFonts w:cs="Times New Roman"/>
                      <w:color w:val="auto"/>
                      <w:sz w:val="21"/>
                      <w:szCs w:val="21"/>
                      <w:lang w:val="de-DE"/>
                    </w:rPr>
                    <w:t>3</w:t>
                  </w:r>
                </w:p>
              </w:tc>
              <w:tc>
                <w:tcPr>
                  <w:tcW w:w="1624" w:type="pct"/>
                  <w:tcBorders>
                    <w:tl2br w:val="nil"/>
                    <w:tr2bl w:val="nil"/>
                  </w:tcBorders>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项目西侧</w:t>
                  </w:r>
                </w:p>
              </w:tc>
              <w:tc>
                <w:tcPr>
                  <w:tcW w:w="1394" w:type="pct"/>
                  <w:tcBorders>
                    <w:tl2br w:val="nil"/>
                    <w:tr2bl w:val="nil"/>
                  </w:tcBorders>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40.7</w:t>
                  </w:r>
                </w:p>
              </w:tc>
              <w:tc>
                <w:tcPr>
                  <w:tcW w:w="1447" w:type="pct"/>
                  <w:tcBorders>
                    <w:tl2br w:val="nil"/>
                    <w:tr2bl w:val="nil"/>
                  </w:tcBorders>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40.7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34" w:type="pct"/>
                  <w:tcBorders>
                    <w:tl2br w:val="nil"/>
                    <w:tr2bl w:val="nil"/>
                  </w:tcBorders>
                  <w:tcMar>
                    <w:left w:w="28" w:type="dxa"/>
                    <w:right w:w="28" w:type="dxa"/>
                  </w:tcMar>
                  <w:vAlign w:val="center"/>
                </w:tcPr>
                <w:p>
                  <w:pPr>
                    <w:snapToGrid w:val="0"/>
                    <w:spacing w:line="240" w:lineRule="auto"/>
                    <w:ind w:firstLine="0" w:firstLineChars="0"/>
                    <w:jc w:val="center"/>
                    <w:rPr>
                      <w:rFonts w:cs="Times New Roman"/>
                      <w:color w:val="auto"/>
                      <w:sz w:val="21"/>
                      <w:szCs w:val="21"/>
                      <w:lang w:val="de-DE"/>
                    </w:rPr>
                  </w:pPr>
                  <w:r>
                    <w:rPr>
                      <w:rFonts w:cs="Times New Roman"/>
                      <w:color w:val="auto"/>
                      <w:sz w:val="21"/>
                      <w:szCs w:val="21"/>
                      <w:lang w:val="de-DE"/>
                    </w:rPr>
                    <w:t>4</w:t>
                  </w:r>
                </w:p>
              </w:tc>
              <w:tc>
                <w:tcPr>
                  <w:tcW w:w="1624" w:type="pct"/>
                  <w:tcBorders>
                    <w:tl2br w:val="nil"/>
                    <w:tr2bl w:val="nil"/>
                  </w:tcBorders>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项目北侧</w:t>
                  </w:r>
                </w:p>
              </w:tc>
              <w:tc>
                <w:tcPr>
                  <w:tcW w:w="1394" w:type="pct"/>
                  <w:tcBorders>
                    <w:tl2br w:val="nil"/>
                    <w:tr2bl w:val="nil"/>
                  </w:tcBorders>
                  <w:tcMar>
                    <w:left w:w="28" w:type="dxa"/>
                    <w:right w:w="28" w:type="dxa"/>
                  </w:tcMar>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34.1</w:t>
                  </w:r>
                </w:p>
              </w:tc>
              <w:tc>
                <w:tcPr>
                  <w:tcW w:w="1447" w:type="pct"/>
                  <w:tcBorders>
                    <w:tl2br w:val="nil"/>
                    <w:tr2bl w:val="nil"/>
                  </w:tcBorders>
                  <w:vAlign w:val="center"/>
                </w:tcPr>
                <w:p>
                  <w:pPr>
                    <w:snapToGrid w:val="0"/>
                    <w:spacing w:line="240" w:lineRule="auto"/>
                    <w:ind w:firstLine="0" w:firstLineChars="0"/>
                    <w:jc w:val="center"/>
                    <w:rPr>
                      <w:rFonts w:cs="Times New Roman"/>
                      <w:color w:val="auto"/>
                      <w:sz w:val="21"/>
                      <w:szCs w:val="21"/>
                    </w:rPr>
                  </w:pPr>
                  <w:r>
                    <w:rPr>
                      <w:rFonts w:cs="Times New Roman"/>
                      <w:color w:val="auto"/>
                      <w:sz w:val="21"/>
                      <w:szCs w:val="21"/>
                    </w:rPr>
                    <w:t>34.1</w:t>
                  </w:r>
                </w:p>
              </w:tc>
            </w:tr>
          </w:tbl>
          <w:p>
            <w:pPr>
              <w:ind w:firstLine="480"/>
              <w:rPr>
                <w:rFonts w:cs="Times New Roman"/>
                <w:color w:val="auto"/>
              </w:rPr>
            </w:pPr>
            <w:r>
              <w:rPr>
                <w:rFonts w:cs="Times New Roman"/>
                <w:color w:val="auto"/>
              </w:rPr>
              <w:t>根据预测可知，本项目厂界昼间和夜间噪声预测值均为34.1～43.5dB(A)，满足《工业企业厂界环境噪声排放标准》(GB12348-2008)3类标准要求（昼间65dB(A)，夜间55dB(A)</w:t>
            </w:r>
            <w:r>
              <w:rPr>
                <w:rFonts w:hint="eastAsia" w:cs="Times New Roman"/>
                <w:color w:val="auto"/>
                <w:lang w:eastAsia="zh-CN"/>
              </w:rPr>
              <w:t>）</w:t>
            </w:r>
            <w:r>
              <w:rPr>
                <w:rFonts w:cs="Times New Roman"/>
                <w:color w:val="auto"/>
              </w:rPr>
              <w:t>，因此本项目对周围环境影响较小。</w:t>
            </w:r>
          </w:p>
          <w:p>
            <w:pPr>
              <w:pStyle w:val="21"/>
              <w:rPr>
                <w:rFonts w:ascii="Times New Roman" w:cs="Times New Roman"/>
                <w:color w:val="auto"/>
              </w:rPr>
            </w:pPr>
            <w:r>
              <w:rPr>
                <w:rFonts w:ascii="Times New Roman" w:cs="Times New Roman"/>
                <w:color w:val="auto"/>
              </w:rPr>
              <w:t>3.2噪声环境防护措施：</w:t>
            </w:r>
          </w:p>
          <w:p>
            <w:pPr>
              <w:pStyle w:val="21"/>
              <w:rPr>
                <w:rFonts w:ascii="Times New Roman" w:cs="Times New Roman"/>
                <w:color w:val="auto"/>
              </w:rPr>
            </w:pPr>
            <w:r>
              <w:rPr>
                <w:rFonts w:ascii="Times New Roman" w:cs="Times New Roman"/>
                <w:color w:val="auto"/>
              </w:rPr>
              <w:t>（1）从噪声源头进行控制，降低源强，即在设备选购时尽量采用低噪声设备；</w:t>
            </w:r>
          </w:p>
          <w:p>
            <w:pPr>
              <w:pStyle w:val="21"/>
              <w:rPr>
                <w:rFonts w:ascii="Times New Roman" w:cs="Times New Roman"/>
                <w:color w:val="auto"/>
              </w:rPr>
            </w:pPr>
            <w:r>
              <w:rPr>
                <w:rFonts w:ascii="Times New Roman" w:cs="Times New Roman"/>
                <w:color w:val="auto"/>
              </w:rPr>
              <w:t>（2）所有设备采取基础减振措施。</w:t>
            </w:r>
          </w:p>
          <w:p>
            <w:pPr>
              <w:pStyle w:val="21"/>
              <w:rPr>
                <w:rFonts w:ascii="Times New Roman" w:cs="Times New Roman"/>
                <w:color w:val="auto"/>
              </w:rPr>
            </w:pPr>
            <w:r>
              <w:rPr>
                <w:rFonts w:ascii="Times New Roman" w:cs="Times New Roman"/>
                <w:color w:val="auto"/>
              </w:rPr>
              <w:t>（3）加强设备的维护，确保设备处于良好的运转状态，杜绝因设备不正常运转时产生的高噪声现象。</w:t>
            </w:r>
          </w:p>
          <w:p>
            <w:pPr>
              <w:pStyle w:val="21"/>
              <w:jc w:val="both"/>
              <w:rPr>
                <w:rFonts w:ascii="Times New Roman" w:cs="Times New Roman"/>
                <w:b/>
                <w:color w:val="auto"/>
              </w:rPr>
            </w:pPr>
            <w:r>
              <w:rPr>
                <w:rFonts w:ascii="Times New Roman" w:cs="Times New Roman"/>
                <w:color w:val="auto"/>
              </w:rPr>
              <w:t>本项目周边50m范围内无敏感点，运营期的设备通过基础减震、消声和墙体的隔声等降噪措施，厂界噪声能满足《工业企业厂界环境噪声排放标准》(GB12348-2008)3类标准要求（昼间65dB(A)，夜间55dB(A)</w:t>
            </w:r>
            <w:r>
              <w:rPr>
                <w:rFonts w:hint="eastAsia" w:ascii="Times New Roman" w:cs="Times New Roman"/>
                <w:color w:val="auto"/>
                <w:lang w:eastAsia="zh-CN"/>
              </w:rPr>
              <w:t>）</w:t>
            </w:r>
            <w:r>
              <w:rPr>
                <w:rFonts w:ascii="Times New Roman" w:cs="Times New Roman"/>
                <w:color w:val="auto"/>
              </w:rPr>
              <w:t>，因此，本项目运营期噪声对周围声环境影响较小</w:t>
            </w:r>
            <w:r>
              <w:rPr>
                <w:rFonts w:ascii="Times New Roman" w:cs="Times New Roman"/>
                <w:bCs/>
                <w:color w:val="auto"/>
              </w:rPr>
              <w:t>。</w:t>
            </w:r>
          </w:p>
          <w:bookmarkEnd w:id="73"/>
          <w:p>
            <w:pPr>
              <w:tabs>
                <w:tab w:val="center" w:pos="4153"/>
                <w:tab w:val="right" w:pos="8306"/>
              </w:tabs>
              <w:ind w:firstLine="482"/>
              <w:jc w:val="left"/>
              <w:outlineLvl w:val="2"/>
              <w:rPr>
                <w:rFonts w:cs="Times New Roman"/>
                <w:b/>
                <w:color w:val="auto"/>
              </w:rPr>
            </w:pPr>
            <w:r>
              <w:rPr>
                <w:rFonts w:cs="Times New Roman"/>
                <w:b/>
                <w:bCs/>
                <w:color w:val="auto"/>
              </w:rPr>
              <w:t>4</w:t>
            </w:r>
            <w:r>
              <w:rPr>
                <w:rFonts w:cs="Times New Roman"/>
                <w:b/>
                <w:color w:val="auto"/>
              </w:rPr>
              <w:t>、固体废物产生及处置情况</w:t>
            </w:r>
          </w:p>
          <w:p>
            <w:pPr>
              <w:ind w:firstLine="480"/>
              <w:rPr>
                <w:color w:val="auto"/>
              </w:rPr>
            </w:pPr>
            <w:r>
              <w:rPr>
                <w:color w:val="auto"/>
              </w:rPr>
              <w:t>（1）</w:t>
            </w:r>
            <w:bookmarkStart w:id="77" w:name="_Hlk162004013"/>
            <w:r>
              <w:rPr>
                <w:color w:val="auto"/>
              </w:rPr>
              <w:t>原料的废外包装袋</w:t>
            </w:r>
          </w:p>
          <w:bookmarkEnd w:id="77"/>
          <w:p>
            <w:pPr>
              <w:ind w:firstLine="480"/>
              <w:rPr>
                <w:color w:val="auto"/>
              </w:rPr>
            </w:pPr>
            <w:r>
              <w:rPr>
                <w:color w:val="auto"/>
              </w:rPr>
              <w:t>本项目原料的废外包装产生量约为1.7t/a，属于</w:t>
            </w:r>
            <w:bookmarkStart w:id="78" w:name="_Hlk162429046"/>
            <w:r>
              <w:rPr>
                <w:color w:val="auto"/>
              </w:rPr>
              <w:t>一般I类固体废物</w:t>
            </w:r>
            <w:bookmarkEnd w:id="78"/>
            <w:r>
              <w:rPr>
                <w:color w:val="auto"/>
              </w:rPr>
              <w:t>，暂存于一般固废暂存库内，定期外售处理。</w:t>
            </w:r>
          </w:p>
          <w:p>
            <w:pPr>
              <w:ind w:firstLine="480"/>
              <w:rPr>
                <w:rFonts w:cs="Times New Roman"/>
                <w:color w:val="auto"/>
              </w:rPr>
            </w:pPr>
            <w:r>
              <w:rPr>
                <w:rFonts w:cs="Times New Roman"/>
                <w:color w:val="auto"/>
              </w:rPr>
              <w:t>（2）布袋除尘器除尘灰</w:t>
            </w:r>
          </w:p>
          <w:p>
            <w:pPr>
              <w:ind w:firstLine="480"/>
              <w:rPr>
                <w:color w:val="auto"/>
              </w:rPr>
            </w:pPr>
            <w:r>
              <w:rPr>
                <w:color w:val="auto"/>
              </w:rPr>
              <w:t>本项目布袋除尘器收集的除尘灰共15.66t/a，全部返回混料包装机内，作为产品出售，不在厂区暂存。</w:t>
            </w:r>
          </w:p>
          <w:p>
            <w:pPr>
              <w:ind w:firstLine="480"/>
              <w:rPr>
                <w:color w:val="auto"/>
              </w:rPr>
            </w:pPr>
            <w:r>
              <w:rPr>
                <w:color w:val="auto"/>
              </w:rPr>
              <w:t>（3）废离子交换树脂</w:t>
            </w:r>
          </w:p>
          <w:p>
            <w:pPr>
              <w:ind w:firstLine="480"/>
              <w:rPr>
                <w:color w:val="auto"/>
              </w:rPr>
            </w:pPr>
            <w:r>
              <w:rPr>
                <w:color w:val="auto"/>
              </w:rPr>
              <w:t>产生于纯水制备工序，产生量约为0.5t/a，</w:t>
            </w:r>
            <w:bookmarkStart w:id="79" w:name="_Hlk162429116"/>
            <w:r>
              <w:rPr>
                <w:color w:val="auto"/>
              </w:rPr>
              <w:t>属于一般固体废物，</w:t>
            </w:r>
            <w:bookmarkEnd w:id="79"/>
            <w:r>
              <w:rPr>
                <w:color w:val="auto"/>
              </w:rPr>
              <w:t>产生后由厂家直接回收利用，不在厂区内暂存。</w:t>
            </w:r>
          </w:p>
          <w:p>
            <w:pPr>
              <w:ind w:firstLine="480"/>
              <w:rPr>
                <w:color w:val="auto"/>
              </w:rPr>
            </w:pPr>
            <w:r>
              <w:rPr>
                <w:color w:val="auto"/>
              </w:rPr>
              <w:t>（4）生活垃圾</w:t>
            </w:r>
          </w:p>
          <w:p>
            <w:pPr>
              <w:ind w:firstLine="480"/>
              <w:rPr>
                <w:color w:val="auto"/>
              </w:rPr>
            </w:pPr>
            <w:r>
              <w:rPr>
                <w:color w:val="auto"/>
              </w:rPr>
              <w:t>本项目工作人员80人，产生量按0.5kg/人·d计，则生活垃圾产生量约为40kg/d（12t/a），经垃圾桶收集后，由当地环卫部门定期清运。</w:t>
            </w:r>
          </w:p>
          <w:p>
            <w:pPr>
              <w:tabs>
                <w:tab w:val="center" w:pos="4153"/>
                <w:tab w:val="right" w:pos="8306"/>
              </w:tabs>
              <w:ind w:firstLine="480"/>
              <w:jc w:val="left"/>
              <w:outlineLvl w:val="2"/>
              <w:rPr>
                <w:rFonts w:cs="Times New Roman"/>
                <w:b/>
                <w:bCs/>
                <w:color w:val="auto"/>
              </w:rPr>
            </w:pPr>
            <w:r>
              <w:rPr>
                <w:rFonts w:cs="Times New Roman"/>
                <w:color w:val="auto"/>
              </w:rPr>
              <w:t>生产固废产生及处理措施见表4-17。</w:t>
            </w:r>
          </w:p>
          <w:p>
            <w:pPr>
              <w:tabs>
                <w:tab w:val="center" w:pos="4153"/>
                <w:tab w:val="right" w:pos="8306"/>
              </w:tabs>
              <w:ind w:firstLine="0" w:firstLineChars="0"/>
              <w:jc w:val="center"/>
              <w:outlineLvl w:val="2"/>
              <w:rPr>
                <w:rFonts w:cs="Times New Roman"/>
                <w:b/>
                <w:bCs/>
                <w:color w:val="auto"/>
              </w:rPr>
            </w:pPr>
            <w:r>
              <w:rPr>
                <w:rFonts w:cs="Times New Roman"/>
                <w:b/>
                <w:bCs/>
                <w:color w:val="auto"/>
              </w:rPr>
              <w:t>表4-17固废产生及处理措施一览表</w:t>
            </w:r>
          </w:p>
          <w:tbl>
            <w:tblPr>
              <w:tblStyle w:val="2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87"/>
              <w:gridCol w:w="1614"/>
              <w:gridCol w:w="1629"/>
              <w:gridCol w:w="1118"/>
              <w:gridCol w:w="1248"/>
              <w:gridCol w:w="287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3" w:type="dxa"/>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序号</w:t>
                  </w:r>
                </w:p>
              </w:tc>
              <w:tc>
                <w:tcPr>
                  <w:tcW w:w="1425" w:type="dxa"/>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固废名称</w:t>
                  </w:r>
                </w:p>
              </w:tc>
              <w:tc>
                <w:tcPr>
                  <w:tcW w:w="1438" w:type="dxa"/>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属性</w:t>
                  </w:r>
                </w:p>
              </w:tc>
              <w:tc>
                <w:tcPr>
                  <w:tcW w:w="987" w:type="dxa"/>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形态</w:t>
                  </w:r>
                </w:p>
              </w:tc>
              <w:tc>
                <w:tcPr>
                  <w:tcW w:w="1102" w:type="dxa"/>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产生量</w:t>
                  </w:r>
                </w:p>
              </w:tc>
              <w:tc>
                <w:tcPr>
                  <w:tcW w:w="2542" w:type="dxa"/>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处理措施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3"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w:t>
                  </w:r>
                </w:p>
              </w:tc>
              <w:tc>
                <w:tcPr>
                  <w:tcW w:w="1425"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原料的废外包装袋</w:t>
                  </w:r>
                </w:p>
              </w:tc>
              <w:tc>
                <w:tcPr>
                  <w:tcW w:w="1438"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一般I类固体废物</w:t>
                  </w:r>
                </w:p>
              </w:tc>
              <w:tc>
                <w:tcPr>
                  <w:tcW w:w="987"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固体</w:t>
                  </w:r>
                </w:p>
              </w:tc>
              <w:tc>
                <w:tcPr>
                  <w:tcW w:w="1102"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1.7t/a</w:t>
                  </w:r>
                </w:p>
              </w:tc>
              <w:tc>
                <w:tcPr>
                  <w:tcW w:w="2542"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暂存于一般固废暂存库内，定期外售处理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3"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2</w:t>
                  </w:r>
                </w:p>
              </w:tc>
              <w:tc>
                <w:tcPr>
                  <w:tcW w:w="1425"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布袋除尘器除尘灰</w:t>
                  </w:r>
                </w:p>
              </w:tc>
              <w:tc>
                <w:tcPr>
                  <w:tcW w:w="1438"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w:t>
                  </w:r>
                </w:p>
              </w:tc>
              <w:tc>
                <w:tcPr>
                  <w:tcW w:w="987"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固体</w:t>
                  </w:r>
                </w:p>
              </w:tc>
              <w:tc>
                <w:tcPr>
                  <w:tcW w:w="1102"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bCs/>
                      <w:color w:val="auto"/>
                      <w:sz w:val="21"/>
                      <w:szCs w:val="21"/>
                    </w:rPr>
                    <w:t>15.66t</w:t>
                  </w:r>
                  <w:r>
                    <w:rPr>
                      <w:rFonts w:cs="Times New Roman"/>
                      <w:color w:val="auto"/>
                      <w:sz w:val="21"/>
                      <w:szCs w:val="21"/>
                    </w:rPr>
                    <w:t>/a</w:t>
                  </w:r>
                </w:p>
              </w:tc>
              <w:tc>
                <w:tcPr>
                  <w:tcW w:w="2542"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全部返回混料包装机内，作为产品出售，不在厂区内暂存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3"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3</w:t>
                  </w:r>
                </w:p>
              </w:tc>
              <w:tc>
                <w:tcPr>
                  <w:tcW w:w="1425"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废离子交换树脂</w:t>
                  </w:r>
                </w:p>
              </w:tc>
              <w:tc>
                <w:tcPr>
                  <w:tcW w:w="1438"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一般固体废物</w:t>
                  </w:r>
                </w:p>
              </w:tc>
              <w:tc>
                <w:tcPr>
                  <w:tcW w:w="987"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固体</w:t>
                  </w:r>
                </w:p>
              </w:tc>
              <w:tc>
                <w:tcPr>
                  <w:tcW w:w="1102" w:type="dxa"/>
                  <w:tcBorders>
                    <w:tl2br w:val="nil"/>
                    <w:tr2bl w:val="nil"/>
                  </w:tcBorders>
                  <w:vAlign w:val="center"/>
                </w:tcPr>
                <w:p>
                  <w:pPr>
                    <w:spacing w:line="240" w:lineRule="auto"/>
                    <w:ind w:firstLine="0" w:firstLineChars="0"/>
                    <w:jc w:val="center"/>
                    <w:rPr>
                      <w:rFonts w:cs="Times New Roman"/>
                      <w:bCs/>
                      <w:color w:val="auto"/>
                      <w:sz w:val="21"/>
                      <w:szCs w:val="21"/>
                    </w:rPr>
                  </w:pPr>
                  <w:r>
                    <w:rPr>
                      <w:rFonts w:cs="Times New Roman"/>
                      <w:bCs/>
                      <w:color w:val="auto"/>
                      <w:sz w:val="21"/>
                      <w:szCs w:val="21"/>
                    </w:rPr>
                    <w:t>0.5t/a</w:t>
                  </w:r>
                </w:p>
              </w:tc>
              <w:tc>
                <w:tcPr>
                  <w:tcW w:w="2542"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由厂家直接回收利用，不在厂区内暂存。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3"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4</w:t>
                  </w:r>
                </w:p>
              </w:tc>
              <w:tc>
                <w:tcPr>
                  <w:tcW w:w="1425"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生活垃圾</w:t>
                  </w:r>
                </w:p>
              </w:tc>
              <w:tc>
                <w:tcPr>
                  <w:tcW w:w="1438"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w:t>
                  </w:r>
                </w:p>
              </w:tc>
              <w:tc>
                <w:tcPr>
                  <w:tcW w:w="987"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固体</w:t>
                  </w:r>
                </w:p>
              </w:tc>
              <w:tc>
                <w:tcPr>
                  <w:tcW w:w="1102"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12t/a</w:t>
                  </w:r>
                </w:p>
              </w:tc>
              <w:tc>
                <w:tcPr>
                  <w:tcW w:w="2542"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经过垃圾箱收集后，由环卫部门定期清运</w:t>
                  </w:r>
                </w:p>
              </w:tc>
            </w:tr>
          </w:tbl>
          <w:p>
            <w:pPr>
              <w:ind w:firstLine="482"/>
              <w:jc w:val="left"/>
              <w:rPr>
                <w:rFonts w:cs="Times New Roman"/>
                <w:b/>
                <w:bCs/>
                <w:color w:val="auto"/>
              </w:rPr>
            </w:pPr>
            <w:bookmarkStart w:id="80" w:name="_Toc309848672"/>
            <w:bookmarkStart w:id="81" w:name="_Toc294126805"/>
            <w:bookmarkStart w:id="82" w:name="_Toc324927482"/>
            <w:bookmarkStart w:id="83" w:name="_Toc334631474"/>
            <w:r>
              <w:rPr>
                <w:rFonts w:cs="Times New Roman"/>
                <w:b/>
                <w:bCs/>
                <w:color w:val="auto"/>
              </w:rPr>
              <w:t>5、环境影响风险分析与评价</w:t>
            </w:r>
          </w:p>
          <w:p>
            <w:pPr>
              <w:ind w:firstLine="480"/>
              <w:rPr>
                <w:rFonts w:cs="Times New Roman"/>
                <w:bCs/>
                <w:color w:val="auto"/>
              </w:rPr>
            </w:pPr>
            <w:r>
              <w:rPr>
                <w:rFonts w:cs="Times New Roman"/>
                <w:bCs/>
                <w:color w:val="auto"/>
              </w:rPr>
              <w:t>本项目涉及的危险物质有天然气和氢氟酸。</w:t>
            </w:r>
          </w:p>
          <w:p>
            <w:pPr>
              <w:ind w:firstLine="482"/>
              <w:rPr>
                <w:rFonts w:cs="Times New Roman"/>
                <w:b/>
                <w:bCs/>
                <w:color w:val="auto"/>
                <w:szCs w:val="32"/>
              </w:rPr>
            </w:pPr>
            <w:r>
              <w:rPr>
                <w:rFonts w:cs="Times New Roman"/>
                <w:b/>
                <w:bCs/>
                <w:color w:val="auto"/>
                <w:szCs w:val="32"/>
              </w:rPr>
              <w:t>5.1物质风险识别</w:t>
            </w:r>
          </w:p>
          <w:p>
            <w:pPr>
              <w:ind w:firstLine="480"/>
              <w:rPr>
                <w:rFonts w:cs="Times New Roman"/>
                <w:color w:val="auto"/>
                <w:szCs w:val="32"/>
              </w:rPr>
            </w:pPr>
            <w:r>
              <w:rPr>
                <w:rFonts w:cs="Times New Roman"/>
                <w:color w:val="auto"/>
                <w:szCs w:val="32"/>
              </w:rPr>
              <w:t>本项目生产过程、贮运系统中涉及有毒、易燃及腐蚀性的化学品，主要为天然气</w:t>
            </w:r>
            <w:r>
              <w:rPr>
                <w:rFonts w:cs="Times New Roman"/>
                <w:bCs/>
                <w:color w:val="auto"/>
              </w:rPr>
              <w:t>和氢氟酸</w:t>
            </w:r>
            <w:r>
              <w:rPr>
                <w:rFonts w:cs="Times New Roman"/>
                <w:color w:val="auto"/>
                <w:szCs w:val="32"/>
              </w:rPr>
              <w:t>，存在潜在的危险性。</w:t>
            </w:r>
          </w:p>
          <w:p>
            <w:pPr>
              <w:ind w:firstLine="480"/>
              <w:rPr>
                <w:rFonts w:cs="Times New Roman"/>
                <w:color w:val="auto"/>
              </w:rPr>
            </w:pPr>
            <w:r>
              <w:rPr>
                <w:rFonts w:cs="Times New Roman"/>
                <w:color w:val="auto"/>
              </w:rPr>
              <w:t>对本项目天然气和氟化氢进行辨识分析，特性表见下表。</w:t>
            </w:r>
          </w:p>
          <w:p>
            <w:pPr>
              <w:ind w:firstLine="482"/>
              <w:jc w:val="center"/>
              <w:rPr>
                <w:rFonts w:cs="Times New Roman"/>
                <w:b/>
                <w:bCs/>
                <w:color w:val="auto"/>
              </w:rPr>
            </w:pPr>
            <w:r>
              <w:rPr>
                <w:rFonts w:cs="Times New Roman"/>
                <w:b/>
                <w:bCs/>
                <w:color w:val="auto"/>
              </w:rPr>
              <w:t>表</w:t>
            </w:r>
            <w:r>
              <w:rPr>
                <w:rFonts w:cs="Times New Roman"/>
                <w:b/>
                <w:bCs/>
                <w:color w:val="auto"/>
                <w:szCs w:val="32"/>
              </w:rPr>
              <w:t>4-18</w:t>
            </w:r>
            <w:r>
              <w:rPr>
                <w:rFonts w:cs="Times New Roman"/>
                <w:b/>
                <w:bCs/>
                <w:color w:val="auto"/>
              </w:rPr>
              <w:t>主要原辅料理化性质及毒理作用</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05"/>
              <w:gridCol w:w="3056"/>
              <w:gridCol w:w="551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711" w:type="dxa"/>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名称</w:t>
                  </w:r>
                </w:p>
              </w:tc>
              <w:tc>
                <w:tcPr>
                  <w:tcW w:w="2698" w:type="dxa"/>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理化特性</w:t>
                  </w:r>
                </w:p>
              </w:tc>
              <w:tc>
                <w:tcPr>
                  <w:tcW w:w="4868" w:type="dxa"/>
                  <w:tcBorders>
                    <w:tl2br w:val="nil"/>
                    <w:tr2bl w:val="nil"/>
                  </w:tcBorders>
                  <w:vAlign w:val="center"/>
                </w:tcPr>
                <w:p>
                  <w:pPr>
                    <w:spacing w:line="240" w:lineRule="auto"/>
                    <w:ind w:firstLine="0" w:firstLineChars="0"/>
                    <w:jc w:val="center"/>
                    <w:rPr>
                      <w:rFonts w:cs="Times New Roman"/>
                      <w:b/>
                      <w:bCs/>
                      <w:color w:val="auto"/>
                      <w:sz w:val="21"/>
                      <w:szCs w:val="21"/>
                    </w:rPr>
                  </w:pPr>
                  <w:r>
                    <w:rPr>
                      <w:rFonts w:cs="Times New Roman"/>
                      <w:b/>
                      <w:bCs/>
                      <w:color w:val="auto"/>
                      <w:sz w:val="21"/>
                      <w:szCs w:val="21"/>
                    </w:rPr>
                    <w:t>毒性毒理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1" w:type="dxa"/>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天然气</w:t>
                  </w:r>
                </w:p>
              </w:tc>
              <w:tc>
                <w:tcPr>
                  <w:tcW w:w="2698" w:type="dxa"/>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天然气是无色无臭气体，沸点</w:t>
                  </w:r>
                  <w:r>
                    <w:rPr>
                      <w:rFonts w:cs="Times New Roman"/>
                      <w:color w:val="auto"/>
                      <w:sz w:val="21"/>
                      <w:szCs w:val="21"/>
                    </w:rPr>
                    <w:t>-161.5</w:t>
                  </w:r>
                  <w:r>
                    <w:rPr>
                      <w:rFonts w:cs="Times New Roman"/>
                      <w:bCs/>
                      <w:color w:val="auto"/>
                      <w:sz w:val="21"/>
                      <w:szCs w:val="21"/>
                    </w:rPr>
                    <w:t>，</w:t>
                  </w:r>
                  <w:r>
                    <w:rPr>
                      <w:rFonts w:cs="Times New Roman"/>
                      <w:color w:val="auto"/>
                      <w:sz w:val="21"/>
                      <w:szCs w:val="21"/>
                    </w:rPr>
                    <w:t>相对密度(水=1)0.415</w:t>
                  </w:r>
                  <w:r>
                    <w:rPr>
                      <w:rFonts w:cs="Times New Roman"/>
                      <w:bCs/>
                      <w:color w:val="auto"/>
                      <w:sz w:val="21"/>
                      <w:szCs w:val="21"/>
                    </w:rPr>
                    <w:t>，</w:t>
                  </w:r>
                  <w:r>
                    <w:rPr>
                      <w:rFonts w:cs="Times New Roman"/>
                      <w:color w:val="auto"/>
                      <w:sz w:val="21"/>
                      <w:szCs w:val="21"/>
                    </w:rPr>
                    <w:t>相对密度(空气=1)0.55</w:t>
                  </w:r>
                  <w:r>
                    <w:rPr>
                      <w:rFonts w:cs="Times New Roman"/>
                      <w:bCs/>
                      <w:color w:val="auto"/>
                      <w:sz w:val="21"/>
                      <w:szCs w:val="21"/>
                    </w:rPr>
                    <w:t>。</w:t>
                  </w:r>
                  <w:r>
                    <w:rPr>
                      <w:rFonts w:cs="Times New Roman"/>
                      <w:color w:val="auto"/>
                      <w:sz w:val="21"/>
                      <w:szCs w:val="21"/>
                    </w:rPr>
                    <w:t>微溶于水，溶于乙醇、乙醚。</w:t>
                  </w:r>
                </w:p>
              </w:tc>
              <w:tc>
                <w:tcPr>
                  <w:tcW w:w="4868" w:type="dxa"/>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color w:val="auto"/>
                      <w:sz w:val="21"/>
                      <w:szCs w:val="21"/>
                    </w:rPr>
                    <w:t>天然气属于易燃易爆气体，遇热源、明火着火、爆炸危险。与五氟化溴、氯气、次氯酸、三氟化氮、液氧、二氟化溴、强氧化剂接触剧烈反应。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1" w:type="dxa"/>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氢氟酸</w:t>
                  </w:r>
                </w:p>
              </w:tc>
              <w:tc>
                <w:tcPr>
                  <w:tcW w:w="2698" w:type="dxa"/>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氢氟酸是氟化氢气体的水溶液，清澈，无色、发烟的腐蚀性液体，有剧烈刺激性气味。熔点-83.3℃，沸点19.54，闪点112.2℃，密度1.15g/cm³。易溶于水、乙醇，微溶于乙醚。</w:t>
                  </w:r>
                </w:p>
              </w:tc>
              <w:tc>
                <w:tcPr>
                  <w:tcW w:w="4868" w:type="dxa"/>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因为氢原子和氟原子间结合的能力相对较强，使得氢氟酸在水中不能完全电离，所以理论上低浓度的氢氟酸是一种弱酸。密度：1.15g/mL；闪点：112.2℃。</w:t>
                  </w:r>
                </w:p>
              </w:tc>
            </w:tr>
          </w:tbl>
          <w:p>
            <w:pPr>
              <w:tabs>
                <w:tab w:val="left" w:pos="987"/>
                <w:tab w:val="left" w:pos="1144"/>
              </w:tabs>
              <w:snapToGrid w:val="0"/>
              <w:ind w:firstLine="482"/>
              <w:rPr>
                <w:rFonts w:cs="Times New Roman"/>
                <w:b/>
                <w:bCs/>
                <w:color w:val="auto"/>
              </w:rPr>
            </w:pPr>
            <w:r>
              <w:rPr>
                <w:rFonts w:cs="Times New Roman"/>
                <w:b/>
                <w:bCs/>
                <w:color w:val="auto"/>
              </w:rPr>
              <w:t>5.2风险潜势</w:t>
            </w:r>
          </w:p>
          <w:p>
            <w:pPr>
              <w:tabs>
                <w:tab w:val="center" w:pos="4153"/>
                <w:tab w:val="right" w:pos="8306"/>
              </w:tabs>
              <w:snapToGrid w:val="0"/>
              <w:ind w:firstLine="480"/>
              <w:rPr>
                <w:rFonts w:cs="Times New Roman"/>
                <w:color w:val="auto"/>
              </w:rPr>
            </w:pPr>
            <w:r>
              <w:rPr>
                <w:rFonts w:cs="Times New Roman"/>
                <w:color w:val="auto"/>
              </w:rPr>
              <w:t>（1）危险物质数量与临界量比值（Q）</w:t>
            </w:r>
          </w:p>
          <w:p>
            <w:pPr>
              <w:adjustRightInd w:val="0"/>
              <w:snapToGrid w:val="0"/>
              <w:ind w:firstLine="480"/>
              <w:rPr>
                <w:rFonts w:cs="Times New Roman"/>
                <w:color w:val="auto"/>
              </w:rPr>
            </w:pPr>
            <w:r>
              <w:rPr>
                <w:rFonts w:cs="Times New Roman"/>
                <w:color w:val="auto"/>
              </w:rPr>
              <w:t>根据《建设项目环境风险评价技术导则》（HJ/T169-2018）中附录C的相关要求，Q值的判定需计算所涉及的每种危险物质在厂界内的最大存在总量与其在附录B中对应临界量的比值Q，并计算加和，则按照下式计算物质总量与临界量的比值：</w:t>
            </w:r>
          </w:p>
          <w:p>
            <w:pPr>
              <w:adjustRightInd w:val="0"/>
              <w:snapToGrid w:val="0"/>
              <w:ind w:firstLine="480"/>
              <w:rPr>
                <w:rFonts w:cs="Times New Roman"/>
                <w:color w:val="auto"/>
              </w:rPr>
            </w:pPr>
          </w:p>
          <w:p>
            <w:pPr>
              <w:adjustRightInd w:val="0"/>
              <w:snapToGrid w:val="0"/>
              <w:ind w:firstLine="480"/>
              <w:rPr>
                <w:rFonts w:cs="Times New Roman"/>
                <w:color w:val="auto"/>
              </w:rPr>
            </w:pPr>
            <w:r>
              <w:rPr>
                <w:rFonts w:cs="Times New Roman"/>
                <w:color w:val="auto"/>
              </w:rPr>
              <w:pict>
                <v:shape id="对象 1330" o:spid="_x0000_s2050" o:spt="75" type="#_x0000_t75" style="position:absolute;left:0pt;margin-left:155.9pt;margin-top:13.5pt;height:34pt;width:102pt;z-index:-251657216;mso-width-relative:page;mso-height-relative:page;" filled="f" o:preferrelative="t" stroked="f" coordsize="21600,21600">
                  <v:path/>
                  <v:fill on="f" focussize="0,0"/>
                  <v:stroke on="f" joinstyle="miter"/>
                  <v:imagedata r:id="rId46" o:title=""/>
                  <o:lock v:ext="edit" aspectratio="t"/>
                </v:shape>
              </w:pict>
            </w:r>
          </w:p>
          <w:p>
            <w:pPr>
              <w:adjustRightInd w:val="0"/>
              <w:snapToGrid w:val="0"/>
              <w:ind w:firstLine="480"/>
              <w:rPr>
                <w:rFonts w:cs="Times New Roman"/>
                <w:color w:val="auto"/>
              </w:rPr>
            </w:pPr>
          </w:p>
          <w:p>
            <w:pPr>
              <w:adjustRightInd w:val="0"/>
              <w:snapToGrid w:val="0"/>
              <w:ind w:firstLine="480"/>
              <w:rPr>
                <w:rFonts w:cs="Times New Roman"/>
                <w:color w:val="auto"/>
              </w:rPr>
            </w:pPr>
            <w:r>
              <w:rPr>
                <w:rFonts w:cs="Times New Roman"/>
                <w:color w:val="auto"/>
              </w:rPr>
              <w:t>式中：q1、q2、···、qn——每种危险物质最大存在量，t；</w:t>
            </w:r>
          </w:p>
          <w:p>
            <w:pPr>
              <w:adjustRightInd w:val="0"/>
              <w:snapToGrid w:val="0"/>
              <w:ind w:firstLine="480"/>
              <w:rPr>
                <w:rFonts w:cs="Times New Roman"/>
                <w:color w:val="auto"/>
              </w:rPr>
            </w:pPr>
            <w:r>
              <w:rPr>
                <w:rFonts w:cs="Times New Roman"/>
                <w:color w:val="auto"/>
              </w:rPr>
              <w:t>Q1、Q2、···、Qn——每种危险物质的临界量，t。</w:t>
            </w:r>
          </w:p>
          <w:p>
            <w:pPr>
              <w:adjustRightInd w:val="0"/>
              <w:snapToGrid w:val="0"/>
              <w:ind w:firstLine="480"/>
              <w:rPr>
                <w:rFonts w:cs="Times New Roman"/>
                <w:color w:val="auto"/>
              </w:rPr>
            </w:pPr>
            <w:r>
              <w:rPr>
                <w:rFonts w:cs="Times New Roman"/>
                <w:color w:val="auto"/>
              </w:rPr>
              <w:t>当Q＜1时，该项目环境风险潜势为Ⅰ。</w:t>
            </w:r>
          </w:p>
          <w:p>
            <w:pPr>
              <w:adjustRightInd w:val="0"/>
              <w:snapToGrid w:val="0"/>
              <w:ind w:firstLine="480"/>
              <w:rPr>
                <w:rFonts w:cs="Times New Roman"/>
                <w:color w:val="auto"/>
              </w:rPr>
            </w:pPr>
            <w:r>
              <w:rPr>
                <w:rFonts w:cs="Times New Roman"/>
                <w:color w:val="auto"/>
              </w:rPr>
              <w:t>当Q≥1时，将Q值划分为：（1）1≤Q＜10；（2）10≤Q＜100；（3）Q≥100；</w:t>
            </w:r>
          </w:p>
          <w:p>
            <w:pPr>
              <w:adjustRightInd w:val="0"/>
              <w:snapToGrid w:val="0"/>
              <w:ind w:firstLine="480"/>
              <w:rPr>
                <w:rFonts w:cs="Times New Roman"/>
                <w:color w:val="auto"/>
              </w:rPr>
            </w:pPr>
            <w:r>
              <w:rPr>
                <w:rFonts w:cs="Times New Roman"/>
                <w:color w:val="auto"/>
              </w:rPr>
              <w:t>本项目正常运行后主要风险为天然气输送管道内存储的天然气及原料氢氟酸，根据《建设项目环境风险评价技术导则》（HJ169-2018）得知，氢氟酸的临界量为1.0t，天然气管道在线量（1h）为0.22t/a，天然气按甲烷计，临界量为10t，Q=0.26/10=0.026，Q&lt;1。</w:t>
            </w:r>
          </w:p>
          <w:p>
            <w:pPr>
              <w:ind w:firstLine="482"/>
              <w:jc w:val="center"/>
              <w:rPr>
                <w:rFonts w:cs="Times New Roman"/>
                <w:b/>
                <w:bCs/>
                <w:color w:val="auto"/>
              </w:rPr>
            </w:pPr>
            <w:r>
              <w:rPr>
                <w:rFonts w:cs="Times New Roman"/>
                <w:b/>
                <w:bCs/>
                <w:color w:val="auto"/>
              </w:rPr>
              <w:t>表4-19评价工作等级划分建设项目Q值确定表</w:t>
            </w:r>
          </w:p>
          <w:tbl>
            <w:tblPr>
              <w:tblStyle w:val="26"/>
              <w:tblW w:w="4996" w:type="pct"/>
              <w:tblInd w:w="0" w:type="dxa"/>
              <w:tblLayout w:type="autofit"/>
              <w:tblCellMar>
                <w:top w:w="0" w:type="dxa"/>
                <w:left w:w="108" w:type="dxa"/>
                <w:bottom w:w="0" w:type="dxa"/>
                <w:right w:w="108" w:type="dxa"/>
              </w:tblCellMar>
            </w:tblPr>
            <w:tblGrid>
              <w:gridCol w:w="901"/>
              <w:gridCol w:w="1334"/>
              <w:gridCol w:w="1780"/>
              <w:gridCol w:w="1784"/>
              <w:gridCol w:w="1701"/>
              <w:gridCol w:w="1868"/>
            </w:tblGrid>
            <w:tr>
              <w:tblPrEx>
                <w:tblCellMar>
                  <w:top w:w="0" w:type="dxa"/>
                  <w:left w:w="108" w:type="dxa"/>
                  <w:bottom w:w="0" w:type="dxa"/>
                  <w:right w:w="108" w:type="dxa"/>
                </w:tblCellMar>
              </w:tblPrEx>
              <w:trPr>
                <w:trHeight w:val="340" w:hRule="atLeast"/>
              </w:trPr>
              <w:tc>
                <w:tcPr>
                  <w:tcW w:w="48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cs="Times New Roman"/>
                      <w:b/>
                      <w:bCs/>
                      <w:color w:val="auto"/>
                      <w:sz w:val="21"/>
                      <w:szCs w:val="21"/>
                    </w:rPr>
                  </w:pPr>
                  <w:r>
                    <w:rPr>
                      <w:rFonts w:cs="Times New Roman"/>
                      <w:b/>
                      <w:bCs/>
                      <w:color w:val="auto"/>
                      <w:kern w:val="0"/>
                      <w:sz w:val="21"/>
                      <w:szCs w:val="21"/>
                      <w:lang w:bidi="ar"/>
                    </w:rPr>
                    <w:t>序号</w:t>
                  </w:r>
                </w:p>
              </w:tc>
              <w:tc>
                <w:tcPr>
                  <w:tcW w:w="712"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cs="Times New Roman"/>
                      <w:b/>
                      <w:bCs/>
                      <w:color w:val="auto"/>
                      <w:sz w:val="21"/>
                      <w:szCs w:val="21"/>
                    </w:rPr>
                  </w:pPr>
                  <w:r>
                    <w:rPr>
                      <w:rFonts w:cs="Times New Roman"/>
                      <w:b/>
                      <w:bCs/>
                      <w:color w:val="auto"/>
                      <w:kern w:val="0"/>
                      <w:sz w:val="21"/>
                      <w:szCs w:val="21"/>
                      <w:lang w:bidi="ar"/>
                    </w:rPr>
                    <w:t>危险物质</w:t>
                  </w:r>
                </w:p>
              </w:tc>
              <w:tc>
                <w:tcPr>
                  <w:tcW w:w="950" w:type="pct"/>
                  <w:tcBorders>
                    <w:top w:val="single" w:color="000000" w:sz="4" w:space="0"/>
                    <w:left w:val="single" w:color="000000" w:sz="4" w:space="0"/>
                    <w:bottom w:val="single" w:color="000000" w:sz="4" w:space="0"/>
                    <w:right w:val="single" w:color="000000" w:sz="4" w:space="0"/>
                  </w:tcBorders>
                  <w:shd w:val="clear" w:color="auto" w:fill="auto"/>
                  <w:vAlign w:val="bottom"/>
                </w:tcPr>
                <w:p>
                  <w:pPr>
                    <w:widowControl/>
                    <w:adjustRightInd w:val="0"/>
                    <w:snapToGrid w:val="0"/>
                    <w:spacing w:line="240" w:lineRule="auto"/>
                    <w:ind w:firstLine="0" w:firstLineChars="0"/>
                    <w:jc w:val="center"/>
                    <w:textAlignment w:val="center"/>
                    <w:rPr>
                      <w:rFonts w:cs="Times New Roman"/>
                      <w:b/>
                      <w:bCs/>
                      <w:color w:val="auto"/>
                      <w:kern w:val="0"/>
                      <w:sz w:val="21"/>
                      <w:szCs w:val="21"/>
                      <w:lang w:bidi="ar"/>
                    </w:rPr>
                  </w:pPr>
                  <w:r>
                    <w:rPr>
                      <w:rFonts w:cs="Times New Roman"/>
                      <w:b/>
                      <w:bCs/>
                      <w:color w:val="auto"/>
                      <w:kern w:val="0"/>
                      <w:sz w:val="21"/>
                      <w:szCs w:val="21"/>
                      <w:lang w:bidi="ar"/>
                    </w:rPr>
                    <w:t>CAS号</w:t>
                  </w:r>
                </w:p>
              </w:tc>
              <w:tc>
                <w:tcPr>
                  <w:tcW w:w="952" w:type="pct"/>
                  <w:tcBorders>
                    <w:top w:val="single" w:color="000000" w:sz="4" w:space="0"/>
                    <w:left w:val="single" w:color="000000" w:sz="4" w:space="0"/>
                    <w:bottom w:val="single" w:color="000000" w:sz="4" w:space="0"/>
                    <w:right w:val="single" w:color="000000" w:sz="4" w:space="0"/>
                  </w:tcBorders>
                  <w:shd w:val="clear" w:color="auto" w:fill="auto"/>
                  <w:vAlign w:val="bottom"/>
                </w:tcPr>
                <w:p>
                  <w:pPr>
                    <w:widowControl/>
                    <w:adjustRightInd w:val="0"/>
                    <w:snapToGrid w:val="0"/>
                    <w:spacing w:line="240" w:lineRule="auto"/>
                    <w:ind w:firstLine="0" w:firstLineChars="0"/>
                    <w:jc w:val="center"/>
                    <w:textAlignment w:val="bottom"/>
                    <w:rPr>
                      <w:rFonts w:cs="Times New Roman"/>
                      <w:b/>
                      <w:bCs/>
                      <w:color w:val="auto"/>
                      <w:sz w:val="21"/>
                      <w:szCs w:val="21"/>
                    </w:rPr>
                  </w:pPr>
                  <w:r>
                    <w:rPr>
                      <w:rFonts w:cs="Times New Roman"/>
                      <w:b/>
                      <w:bCs/>
                      <w:color w:val="auto"/>
                      <w:kern w:val="0"/>
                      <w:sz w:val="21"/>
                      <w:szCs w:val="21"/>
                      <w:lang w:bidi="ar"/>
                    </w:rPr>
                    <w:t>最大在线量（t）</w:t>
                  </w:r>
                </w:p>
              </w:tc>
              <w:tc>
                <w:tcPr>
                  <w:tcW w:w="90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cs="Times New Roman"/>
                      <w:b/>
                      <w:bCs/>
                      <w:color w:val="auto"/>
                      <w:sz w:val="21"/>
                      <w:szCs w:val="21"/>
                    </w:rPr>
                  </w:pPr>
                  <w:r>
                    <w:rPr>
                      <w:rFonts w:cs="Times New Roman"/>
                      <w:b/>
                      <w:bCs/>
                      <w:color w:val="auto"/>
                      <w:kern w:val="0"/>
                      <w:sz w:val="21"/>
                      <w:szCs w:val="21"/>
                      <w:lang w:bidi="ar"/>
                    </w:rPr>
                    <w:t>临界量（t）</w:t>
                  </w:r>
                </w:p>
              </w:tc>
              <w:tc>
                <w:tcPr>
                  <w:tcW w:w="99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cs="Times New Roman"/>
                      <w:b/>
                      <w:bCs/>
                      <w:color w:val="auto"/>
                      <w:sz w:val="21"/>
                      <w:szCs w:val="21"/>
                    </w:rPr>
                  </w:pPr>
                  <w:r>
                    <w:rPr>
                      <w:rFonts w:cs="Times New Roman"/>
                      <w:b/>
                      <w:bCs/>
                      <w:color w:val="auto"/>
                      <w:kern w:val="0"/>
                      <w:sz w:val="21"/>
                      <w:szCs w:val="21"/>
                      <w:lang w:bidi="ar"/>
                    </w:rPr>
                    <w:t>Q</w:t>
                  </w:r>
                </w:p>
              </w:tc>
            </w:tr>
            <w:tr>
              <w:tblPrEx>
                <w:tblCellMar>
                  <w:top w:w="0" w:type="dxa"/>
                  <w:left w:w="108" w:type="dxa"/>
                  <w:bottom w:w="0" w:type="dxa"/>
                  <w:right w:w="108" w:type="dxa"/>
                </w:tblCellMar>
              </w:tblPrEx>
              <w:trPr>
                <w:trHeight w:val="340" w:hRule="atLeast"/>
              </w:trPr>
              <w:tc>
                <w:tcPr>
                  <w:tcW w:w="48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cs="Times New Roman"/>
                      <w:color w:val="auto"/>
                      <w:sz w:val="21"/>
                      <w:szCs w:val="21"/>
                    </w:rPr>
                  </w:pPr>
                  <w:r>
                    <w:rPr>
                      <w:rFonts w:cs="Times New Roman"/>
                      <w:color w:val="auto"/>
                      <w:kern w:val="0"/>
                      <w:sz w:val="21"/>
                      <w:szCs w:val="21"/>
                      <w:lang w:bidi="ar"/>
                    </w:rPr>
                    <w:t>1</w:t>
                  </w:r>
                </w:p>
              </w:tc>
              <w:tc>
                <w:tcPr>
                  <w:tcW w:w="712"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cs="Times New Roman"/>
                      <w:color w:val="auto"/>
                      <w:sz w:val="21"/>
                      <w:szCs w:val="21"/>
                    </w:rPr>
                  </w:pPr>
                  <w:r>
                    <w:rPr>
                      <w:rFonts w:cs="Times New Roman"/>
                      <w:color w:val="auto"/>
                      <w:kern w:val="0"/>
                      <w:sz w:val="21"/>
                      <w:szCs w:val="21"/>
                      <w:lang w:bidi="ar"/>
                    </w:rPr>
                    <w:t>天然气（甲烷）</w:t>
                  </w:r>
                </w:p>
              </w:tc>
              <w:tc>
                <w:tcPr>
                  <w:tcW w:w="950"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cs="Times New Roman"/>
                      <w:color w:val="auto"/>
                      <w:kern w:val="0"/>
                      <w:sz w:val="21"/>
                      <w:szCs w:val="21"/>
                      <w:lang w:bidi="ar"/>
                    </w:rPr>
                  </w:pPr>
                  <w:r>
                    <w:rPr>
                      <w:rFonts w:cs="Times New Roman"/>
                      <w:color w:val="auto"/>
                      <w:sz w:val="21"/>
                      <w:szCs w:val="21"/>
                    </w:rPr>
                    <w:t>74-82-8</w:t>
                  </w:r>
                </w:p>
              </w:tc>
              <w:tc>
                <w:tcPr>
                  <w:tcW w:w="952"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cs="Times New Roman"/>
                      <w:color w:val="auto"/>
                      <w:sz w:val="21"/>
                      <w:szCs w:val="21"/>
                    </w:rPr>
                  </w:pPr>
                  <w:r>
                    <w:rPr>
                      <w:rFonts w:cs="Times New Roman"/>
                      <w:color w:val="auto"/>
                      <w:kern w:val="0"/>
                      <w:sz w:val="21"/>
                      <w:szCs w:val="21"/>
                      <w:lang w:bidi="ar"/>
                    </w:rPr>
                    <w:t>0.22</w:t>
                  </w:r>
                </w:p>
              </w:tc>
              <w:tc>
                <w:tcPr>
                  <w:tcW w:w="90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cs="Times New Roman"/>
                      <w:color w:val="auto"/>
                      <w:sz w:val="21"/>
                      <w:szCs w:val="21"/>
                    </w:rPr>
                  </w:pPr>
                  <w:r>
                    <w:rPr>
                      <w:rFonts w:cs="Times New Roman"/>
                      <w:color w:val="auto"/>
                      <w:kern w:val="0"/>
                      <w:sz w:val="21"/>
                      <w:szCs w:val="21"/>
                      <w:lang w:bidi="ar"/>
                    </w:rPr>
                    <w:t>10</w:t>
                  </w:r>
                </w:p>
              </w:tc>
              <w:tc>
                <w:tcPr>
                  <w:tcW w:w="99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cs="Times New Roman"/>
                      <w:color w:val="auto"/>
                      <w:kern w:val="0"/>
                      <w:sz w:val="21"/>
                      <w:szCs w:val="21"/>
                      <w:lang w:bidi="ar"/>
                    </w:rPr>
                  </w:pPr>
                  <w:r>
                    <w:rPr>
                      <w:rFonts w:cs="Times New Roman"/>
                      <w:color w:val="auto"/>
                      <w:kern w:val="0"/>
                      <w:sz w:val="21"/>
                      <w:szCs w:val="21"/>
                      <w:lang w:bidi="ar"/>
                    </w:rPr>
                    <w:t>0.022</w:t>
                  </w:r>
                </w:p>
              </w:tc>
            </w:tr>
            <w:tr>
              <w:tblPrEx>
                <w:tblCellMar>
                  <w:top w:w="0" w:type="dxa"/>
                  <w:left w:w="108" w:type="dxa"/>
                  <w:bottom w:w="0" w:type="dxa"/>
                  <w:right w:w="108" w:type="dxa"/>
                </w:tblCellMar>
              </w:tblPrEx>
              <w:trPr>
                <w:trHeight w:val="340" w:hRule="atLeast"/>
              </w:trPr>
              <w:tc>
                <w:tcPr>
                  <w:tcW w:w="48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cs="Times New Roman"/>
                      <w:color w:val="auto"/>
                      <w:sz w:val="21"/>
                      <w:szCs w:val="21"/>
                    </w:rPr>
                  </w:pPr>
                  <w:r>
                    <w:rPr>
                      <w:rFonts w:cs="Times New Roman"/>
                      <w:color w:val="auto"/>
                      <w:kern w:val="0"/>
                      <w:sz w:val="21"/>
                      <w:szCs w:val="21"/>
                      <w:lang w:bidi="ar"/>
                    </w:rPr>
                    <w:t>2</w:t>
                  </w:r>
                </w:p>
              </w:tc>
              <w:tc>
                <w:tcPr>
                  <w:tcW w:w="712"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cs="Times New Roman"/>
                      <w:color w:val="auto"/>
                      <w:sz w:val="21"/>
                      <w:szCs w:val="21"/>
                    </w:rPr>
                  </w:pPr>
                  <w:r>
                    <w:rPr>
                      <w:rFonts w:cs="Times New Roman"/>
                      <w:color w:val="auto"/>
                      <w:kern w:val="0"/>
                      <w:sz w:val="21"/>
                      <w:szCs w:val="21"/>
                      <w:lang w:bidi="ar"/>
                    </w:rPr>
                    <w:t>氢氟酸</w:t>
                  </w:r>
                </w:p>
              </w:tc>
              <w:tc>
                <w:tcPr>
                  <w:tcW w:w="950"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cs="Times New Roman"/>
                      <w:color w:val="auto"/>
                      <w:kern w:val="0"/>
                      <w:sz w:val="21"/>
                      <w:szCs w:val="21"/>
                      <w:lang w:bidi="ar"/>
                    </w:rPr>
                  </w:pPr>
                  <w:r>
                    <w:rPr>
                      <w:rFonts w:cs="Times New Roman"/>
                      <w:color w:val="auto"/>
                      <w:kern w:val="0"/>
                      <w:sz w:val="21"/>
                      <w:szCs w:val="21"/>
                      <w:lang w:bidi="ar"/>
                    </w:rPr>
                    <w:t>7664-39-3</w:t>
                  </w:r>
                </w:p>
              </w:tc>
              <w:tc>
                <w:tcPr>
                  <w:tcW w:w="952"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cs="Times New Roman"/>
                      <w:color w:val="auto"/>
                      <w:sz w:val="21"/>
                      <w:szCs w:val="21"/>
                    </w:rPr>
                  </w:pPr>
                  <w:r>
                    <w:rPr>
                      <w:rFonts w:cs="Times New Roman"/>
                      <w:color w:val="auto"/>
                      <w:kern w:val="0"/>
                      <w:sz w:val="21"/>
                      <w:szCs w:val="21"/>
                      <w:lang w:bidi="ar"/>
                    </w:rPr>
                    <w:t>0.9</w:t>
                  </w:r>
                </w:p>
              </w:tc>
              <w:tc>
                <w:tcPr>
                  <w:tcW w:w="90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cs="Times New Roman"/>
                      <w:color w:val="auto"/>
                      <w:sz w:val="21"/>
                      <w:szCs w:val="21"/>
                    </w:rPr>
                  </w:pPr>
                  <w:r>
                    <w:rPr>
                      <w:rFonts w:cs="Times New Roman"/>
                      <w:color w:val="auto"/>
                      <w:kern w:val="0"/>
                      <w:sz w:val="21"/>
                      <w:szCs w:val="21"/>
                      <w:lang w:bidi="ar"/>
                    </w:rPr>
                    <w:t>1</w:t>
                  </w:r>
                </w:p>
              </w:tc>
              <w:tc>
                <w:tcPr>
                  <w:tcW w:w="99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cs="Times New Roman"/>
                      <w:color w:val="auto"/>
                      <w:kern w:val="0"/>
                      <w:sz w:val="21"/>
                      <w:szCs w:val="21"/>
                      <w:lang w:bidi="ar"/>
                    </w:rPr>
                  </w:pPr>
                  <w:r>
                    <w:rPr>
                      <w:rFonts w:cs="Times New Roman"/>
                      <w:color w:val="auto"/>
                      <w:kern w:val="0"/>
                      <w:sz w:val="21"/>
                      <w:szCs w:val="21"/>
                      <w:lang w:bidi="ar"/>
                    </w:rPr>
                    <w:t>0.9</w:t>
                  </w:r>
                </w:p>
              </w:tc>
            </w:tr>
            <w:tr>
              <w:tblPrEx>
                <w:tblCellMar>
                  <w:top w:w="0" w:type="dxa"/>
                  <w:left w:w="108" w:type="dxa"/>
                  <w:bottom w:w="0" w:type="dxa"/>
                  <w:right w:w="108" w:type="dxa"/>
                </w:tblCellMar>
              </w:tblPrEx>
              <w:trPr>
                <w:trHeight w:val="340" w:hRule="atLeast"/>
              </w:trPr>
              <w:tc>
                <w:tcPr>
                  <w:tcW w:w="4003" w:type="pct"/>
                  <w:gridSpan w:val="5"/>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cs="Times New Roman"/>
                      <w:color w:val="auto"/>
                      <w:kern w:val="0"/>
                      <w:sz w:val="21"/>
                      <w:szCs w:val="21"/>
                      <w:lang w:bidi="ar"/>
                    </w:rPr>
                  </w:pPr>
                  <w:r>
                    <w:rPr>
                      <w:rFonts w:cs="Times New Roman"/>
                      <w:color w:val="auto"/>
                      <w:kern w:val="0"/>
                      <w:sz w:val="21"/>
                      <w:szCs w:val="21"/>
                      <w:lang w:bidi="ar"/>
                    </w:rPr>
                    <w:t>合计</w:t>
                  </w:r>
                </w:p>
              </w:tc>
              <w:tc>
                <w:tcPr>
                  <w:tcW w:w="99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cs="Times New Roman"/>
                      <w:color w:val="auto"/>
                      <w:kern w:val="0"/>
                      <w:sz w:val="21"/>
                      <w:szCs w:val="21"/>
                      <w:lang w:bidi="ar"/>
                    </w:rPr>
                  </w:pPr>
                  <w:r>
                    <w:rPr>
                      <w:rFonts w:cs="Times New Roman"/>
                      <w:color w:val="auto"/>
                      <w:sz w:val="21"/>
                      <w:szCs w:val="21"/>
                    </w:rPr>
                    <w:t>0.922</w:t>
                  </w:r>
                </w:p>
              </w:tc>
            </w:tr>
          </w:tbl>
          <w:p>
            <w:pPr>
              <w:ind w:firstLine="210" w:firstLineChars="100"/>
              <w:rPr>
                <w:rFonts w:cs="Times New Roman"/>
                <w:color w:val="auto"/>
                <w:sz w:val="21"/>
                <w:szCs w:val="21"/>
                <w:shd w:val="clear" w:color="auto" w:fill="FFFFFF"/>
              </w:rPr>
            </w:pPr>
            <w:r>
              <w:rPr>
                <w:rFonts w:cs="Times New Roman"/>
                <w:color w:val="auto"/>
                <w:sz w:val="21"/>
                <w:szCs w:val="21"/>
              </w:rPr>
              <w:t>天然气密度为0.6092</w:t>
            </w:r>
            <w:r>
              <w:rPr>
                <w:rFonts w:cs="Times New Roman"/>
                <w:color w:val="auto"/>
                <w:sz w:val="21"/>
                <w:szCs w:val="21"/>
                <w:shd w:val="clear" w:color="auto" w:fill="FFFFFF"/>
              </w:rPr>
              <w:t>kg/m</w:t>
            </w:r>
            <w:r>
              <w:rPr>
                <w:rFonts w:cs="Times New Roman"/>
                <w:color w:val="auto"/>
                <w:sz w:val="21"/>
                <w:szCs w:val="21"/>
                <w:shd w:val="clear" w:color="auto" w:fill="FFFFFF"/>
                <w:vertAlign w:val="superscript"/>
              </w:rPr>
              <w:t>3</w:t>
            </w:r>
            <w:r>
              <w:rPr>
                <w:rFonts w:cs="Times New Roman"/>
                <w:color w:val="auto"/>
                <w:sz w:val="21"/>
                <w:szCs w:val="21"/>
                <w:shd w:val="clear" w:color="auto" w:fill="FFFFFF"/>
              </w:rPr>
              <w:t>，每小时用天然气量为368.22m</w:t>
            </w:r>
            <w:r>
              <w:rPr>
                <w:rFonts w:cs="Times New Roman"/>
                <w:color w:val="auto"/>
                <w:sz w:val="21"/>
                <w:szCs w:val="21"/>
                <w:shd w:val="clear" w:color="auto" w:fill="FFFFFF"/>
                <w:vertAlign w:val="superscript"/>
              </w:rPr>
              <w:t>3</w:t>
            </w:r>
            <w:r>
              <w:rPr>
                <w:rFonts w:cs="Times New Roman"/>
                <w:color w:val="auto"/>
                <w:sz w:val="21"/>
                <w:szCs w:val="21"/>
                <w:shd w:val="clear" w:color="auto" w:fill="FFFFFF"/>
              </w:rPr>
              <w:t>，则每小时用量为0.22t。</w:t>
            </w:r>
          </w:p>
          <w:p>
            <w:pPr>
              <w:ind w:firstLine="210" w:firstLineChars="100"/>
              <w:rPr>
                <w:rFonts w:cs="Times New Roman"/>
                <w:color w:val="auto"/>
                <w:sz w:val="21"/>
                <w:szCs w:val="21"/>
              </w:rPr>
            </w:pPr>
            <w:r>
              <w:rPr>
                <w:rFonts w:cs="Times New Roman"/>
                <w:color w:val="auto"/>
                <w:sz w:val="21"/>
                <w:szCs w:val="21"/>
              </w:rPr>
              <w:t>氢氟酸桶装为1t，暂存按照90%计，则为9t。</w:t>
            </w:r>
          </w:p>
          <w:p>
            <w:pPr>
              <w:tabs>
                <w:tab w:val="left" w:pos="1494"/>
              </w:tabs>
              <w:ind w:firstLine="480"/>
              <w:rPr>
                <w:rFonts w:cs="Times New Roman"/>
                <w:color w:val="auto"/>
                <w:szCs w:val="22"/>
              </w:rPr>
            </w:pPr>
            <w:r>
              <w:rPr>
                <w:rFonts w:cs="Times New Roman"/>
                <w:color w:val="auto"/>
                <w:szCs w:val="22"/>
              </w:rPr>
              <w:t>本项目Q值为0.922，属于</w:t>
            </w:r>
            <w:r>
              <w:rPr>
                <w:rFonts w:cs="Times New Roman"/>
                <w:i/>
                <w:color w:val="auto"/>
                <w:szCs w:val="22"/>
              </w:rPr>
              <w:t>Q</w:t>
            </w:r>
            <w:r>
              <w:rPr>
                <w:rFonts w:cs="Times New Roman"/>
                <w:color w:val="auto"/>
                <w:szCs w:val="22"/>
              </w:rPr>
              <w:t>＜1。</w:t>
            </w:r>
          </w:p>
          <w:p>
            <w:pPr>
              <w:ind w:firstLine="480"/>
              <w:rPr>
                <w:rFonts w:cs="Times New Roman"/>
                <w:color w:val="auto"/>
              </w:rPr>
            </w:pPr>
            <w:r>
              <w:rPr>
                <w:rFonts w:cs="Times New Roman"/>
                <w:color w:val="auto"/>
              </w:rPr>
              <w:t>根据《建设项目环境风险评价技术导则》（HJ169－2018）评价工作等级，确定本项目风险潜势为I，本项目环境风险评价等级为简单分析。</w:t>
            </w:r>
          </w:p>
          <w:p>
            <w:pPr>
              <w:ind w:firstLine="482"/>
              <w:jc w:val="center"/>
              <w:rPr>
                <w:rFonts w:cs="Times New Roman"/>
                <w:b/>
                <w:bCs/>
                <w:color w:val="auto"/>
              </w:rPr>
            </w:pPr>
            <w:r>
              <w:rPr>
                <w:rFonts w:cs="Times New Roman"/>
                <w:b/>
                <w:bCs/>
                <w:color w:val="auto"/>
              </w:rPr>
              <w:t>表4-20评价工作等级划分</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49"/>
              <w:gridCol w:w="1759"/>
              <w:gridCol w:w="2049"/>
              <w:gridCol w:w="1759"/>
              <w:gridCol w:w="17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3"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环境风险潜势</w:t>
                  </w:r>
                </w:p>
              </w:tc>
              <w:tc>
                <w:tcPr>
                  <w:tcW w:w="938"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Ⅳ、Ⅳ+</w:t>
                  </w:r>
                </w:p>
              </w:tc>
              <w:tc>
                <w:tcPr>
                  <w:tcW w:w="1093"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Ⅲ</w:t>
                  </w:r>
                </w:p>
              </w:tc>
              <w:tc>
                <w:tcPr>
                  <w:tcW w:w="938"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Ⅱ</w:t>
                  </w:r>
                </w:p>
              </w:tc>
              <w:tc>
                <w:tcPr>
                  <w:tcW w:w="938"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3"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评价工作等级</w:t>
                  </w:r>
                </w:p>
              </w:tc>
              <w:tc>
                <w:tcPr>
                  <w:tcW w:w="938"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一级</w:t>
                  </w:r>
                </w:p>
              </w:tc>
              <w:tc>
                <w:tcPr>
                  <w:tcW w:w="1093"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二级</w:t>
                  </w:r>
                </w:p>
              </w:tc>
              <w:tc>
                <w:tcPr>
                  <w:tcW w:w="938"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三级</w:t>
                  </w:r>
                </w:p>
              </w:tc>
              <w:tc>
                <w:tcPr>
                  <w:tcW w:w="938"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简单分析</w:t>
                  </w:r>
                </w:p>
              </w:tc>
            </w:tr>
          </w:tbl>
          <w:p>
            <w:pPr>
              <w:tabs>
                <w:tab w:val="left" w:pos="987"/>
                <w:tab w:val="left" w:pos="1144"/>
              </w:tabs>
              <w:ind w:firstLine="482"/>
              <w:rPr>
                <w:rFonts w:cs="Times New Roman"/>
                <w:b/>
                <w:bCs/>
                <w:color w:val="auto"/>
              </w:rPr>
            </w:pPr>
            <w:bookmarkStart w:id="84" w:name="_Toc148757976"/>
            <w:bookmarkStart w:id="85" w:name="_Toc281669650"/>
            <w:bookmarkStart w:id="86" w:name="_Toc355646742"/>
            <w:bookmarkStart w:id="87" w:name="_Toc283217307"/>
            <w:bookmarkStart w:id="88" w:name="_Toc324664395"/>
            <w:bookmarkStart w:id="89" w:name="_Toc350861879"/>
            <w:bookmarkStart w:id="90" w:name="_Toc490832633"/>
            <w:bookmarkStart w:id="91" w:name="_Toc174159895"/>
            <w:bookmarkStart w:id="92" w:name="_Toc350861564"/>
            <w:bookmarkStart w:id="93" w:name="_Toc356459549"/>
            <w:bookmarkStart w:id="94" w:name="_Toc148781182"/>
            <w:bookmarkStart w:id="95" w:name="_Toc350862472"/>
            <w:bookmarkStart w:id="96" w:name="_Toc288482627"/>
            <w:r>
              <w:rPr>
                <w:rFonts w:cs="Times New Roman"/>
                <w:b/>
                <w:bCs/>
                <w:color w:val="auto"/>
              </w:rPr>
              <w:t>5.4事故风险源分析</w:t>
            </w:r>
            <w:bookmarkEnd w:id="84"/>
            <w:bookmarkEnd w:id="85"/>
            <w:bookmarkEnd w:id="86"/>
            <w:bookmarkEnd w:id="87"/>
            <w:bookmarkEnd w:id="88"/>
            <w:bookmarkEnd w:id="89"/>
            <w:bookmarkEnd w:id="90"/>
            <w:bookmarkEnd w:id="91"/>
            <w:bookmarkEnd w:id="92"/>
            <w:bookmarkEnd w:id="93"/>
            <w:bookmarkEnd w:id="94"/>
            <w:bookmarkEnd w:id="95"/>
            <w:bookmarkEnd w:id="96"/>
          </w:p>
          <w:p>
            <w:pPr>
              <w:ind w:firstLine="480"/>
              <w:rPr>
                <w:rFonts w:cs="Times New Roman"/>
                <w:color w:val="auto"/>
              </w:rPr>
            </w:pPr>
            <w:r>
              <w:rPr>
                <w:rFonts w:cs="Times New Roman"/>
                <w:color w:val="auto"/>
              </w:rPr>
              <w:t>本项目涉及的主要物质为天然气和</w:t>
            </w:r>
            <w:r>
              <w:rPr>
                <w:rFonts w:cs="Times New Roman"/>
                <w:color w:val="auto"/>
                <w:kern w:val="0"/>
                <w:lang w:bidi="ar"/>
              </w:rPr>
              <w:t>氢氟酸</w:t>
            </w:r>
            <w:r>
              <w:rPr>
                <w:rFonts w:cs="Times New Roman"/>
                <w:color w:val="auto"/>
              </w:rPr>
              <w:t>，属于重大危险源，在运输、储存和使用三个过程中存在潜在的危险性：</w:t>
            </w:r>
          </w:p>
          <w:p>
            <w:pPr>
              <w:tabs>
                <w:tab w:val="left" w:pos="987"/>
                <w:tab w:val="left" w:pos="1144"/>
              </w:tabs>
              <w:ind w:firstLine="482"/>
              <w:rPr>
                <w:rFonts w:cs="Times New Roman"/>
                <w:b/>
                <w:bCs/>
                <w:color w:val="auto"/>
              </w:rPr>
            </w:pPr>
            <w:bookmarkStart w:id="97" w:name="_Toc355646743"/>
            <w:r>
              <w:rPr>
                <w:rFonts w:cs="Times New Roman"/>
                <w:b/>
                <w:bCs/>
                <w:color w:val="auto"/>
              </w:rPr>
              <w:t>5.4.1运输过程</w:t>
            </w:r>
          </w:p>
          <w:p>
            <w:pPr>
              <w:ind w:firstLine="480"/>
              <w:rPr>
                <w:rFonts w:cs="Times New Roman"/>
                <w:color w:val="auto"/>
              </w:rPr>
            </w:pPr>
            <w:r>
              <w:rPr>
                <w:rFonts w:cs="Times New Roman"/>
                <w:color w:val="auto"/>
              </w:rPr>
              <w:t>运输过程中，危险物从生产厂家到本厂的运输过程中发生交通事故的概率；遭遇意外事件，自然灾害的可能性；运输路线的布置安排是否合理，是否有经过居民生活区的可能性；危险货物是否按法规要求办理好承办托运手续和单证，管理是否规范、到位等都可能影响氟化氢的意外泄露的可能性。</w:t>
            </w:r>
          </w:p>
          <w:p>
            <w:pPr>
              <w:tabs>
                <w:tab w:val="left" w:pos="987"/>
                <w:tab w:val="left" w:pos="1144"/>
              </w:tabs>
              <w:ind w:firstLine="482"/>
              <w:rPr>
                <w:rFonts w:cs="Times New Roman"/>
                <w:b/>
                <w:bCs/>
                <w:color w:val="auto"/>
              </w:rPr>
            </w:pPr>
            <w:r>
              <w:rPr>
                <w:rFonts w:cs="Times New Roman"/>
                <w:b/>
                <w:bCs/>
                <w:color w:val="auto"/>
              </w:rPr>
              <w:t>5.4.2装卸过程</w:t>
            </w:r>
            <w:bookmarkEnd w:id="97"/>
          </w:p>
          <w:p>
            <w:pPr>
              <w:ind w:firstLine="480"/>
              <w:rPr>
                <w:rFonts w:cs="Times New Roman"/>
                <w:color w:val="auto"/>
              </w:rPr>
            </w:pPr>
            <w:r>
              <w:rPr>
                <w:rFonts w:cs="Times New Roman"/>
                <w:color w:val="auto"/>
              </w:rPr>
              <w:t>在物料的装卸过程中存在操作不当、阀门出现损坏导致物料泄漏的危险性。</w:t>
            </w:r>
          </w:p>
          <w:p>
            <w:pPr>
              <w:tabs>
                <w:tab w:val="left" w:pos="987"/>
                <w:tab w:val="left" w:pos="1144"/>
              </w:tabs>
              <w:ind w:firstLine="482"/>
              <w:rPr>
                <w:rFonts w:cs="Times New Roman"/>
                <w:b/>
                <w:bCs/>
                <w:color w:val="auto"/>
              </w:rPr>
            </w:pPr>
            <w:bookmarkStart w:id="98" w:name="_Toc355646744"/>
            <w:r>
              <w:rPr>
                <w:rFonts w:cs="Times New Roman"/>
                <w:b/>
                <w:bCs/>
                <w:color w:val="auto"/>
              </w:rPr>
              <w:t>5.4.3储存过程</w:t>
            </w:r>
          </w:p>
          <w:p>
            <w:pPr>
              <w:ind w:firstLine="480"/>
              <w:rPr>
                <w:rFonts w:cs="Times New Roman"/>
                <w:color w:val="auto"/>
              </w:rPr>
            </w:pPr>
            <w:r>
              <w:rPr>
                <w:rFonts w:cs="Times New Roman"/>
                <w:color w:val="auto"/>
              </w:rPr>
              <w:t>在储存过程中，氟化氢气罐和氟化氢吸收罐有可能发生破损，导致储罐发生泄漏；另外管道、阀门长期使用，维护不当，也会发生损坏引发物料的泄漏。</w:t>
            </w:r>
          </w:p>
          <w:p>
            <w:pPr>
              <w:tabs>
                <w:tab w:val="left" w:pos="987"/>
                <w:tab w:val="left" w:pos="1144"/>
              </w:tabs>
              <w:ind w:firstLine="482"/>
              <w:rPr>
                <w:rFonts w:cs="Times New Roman"/>
                <w:b/>
                <w:bCs/>
                <w:color w:val="auto"/>
              </w:rPr>
            </w:pPr>
            <w:r>
              <w:rPr>
                <w:rFonts w:cs="Times New Roman"/>
                <w:b/>
                <w:bCs/>
                <w:color w:val="auto"/>
              </w:rPr>
              <w:t>5.4.4生产过程</w:t>
            </w:r>
            <w:bookmarkEnd w:id="98"/>
          </w:p>
          <w:p>
            <w:pPr>
              <w:ind w:firstLine="480"/>
              <w:rPr>
                <w:rFonts w:cs="Times New Roman"/>
                <w:color w:val="auto"/>
              </w:rPr>
            </w:pPr>
            <w:r>
              <w:rPr>
                <w:rFonts w:cs="Times New Roman"/>
                <w:color w:val="auto"/>
              </w:rPr>
              <w:t>在生产过程中，氟化氢通过气罐减压汽化后沿管道进入氟化合成箱参与反应，系统在密闭状态下运行，一般情况下是安全的，但在一些不可预料的情况下（如地震、雷击、储罐材质缺陷等）有可能发生破损，导致储罐发生泄漏；另外输气管道、阀门长期使用，维护不当，也会发生损坏引发物料的泄漏。</w:t>
            </w:r>
          </w:p>
          <w:p>
            <w:pPr>
              <w:ind w:firstLine="480"/>
              <w:rPr>
                <w:rFonts w:cs="Times New Roman"/>
                <w:color w:val="auto"/>
              </w:rPr>
            </w:pPr>
            <w:r>
              <w:rPr>
                <w:rFonts w:cs="Times New Roman"/>
                <w:color w:val="auto"/>
              </w:rPr>
              <w:t>综上分析，本项目主要的危险源是氟化合成生产区域和运输罐车；存在的最大风险是生产区域氟化氢气罐的泄漏；装卸过程中由于操作不当或阀门、连接管道等出现损坏而引发的泄漏只是小面积的和可控制的。本项目可能涉及的风险类型及其危害性见下表。</w:t>
            </w:r>
          </w:p>
          <w:p>
            <w:pPr>
              <w:ind w:firstLine="482"/>
              <w:jc w:val="center"/>
              <w:rPr>
                <w:rFonts w:cs="Times New Roman"/>
                <w:b/>
                <w:bCs/>
                <w:color w:val="auto"/>
              </w:rPr>
            </w:pPr>
            <w:r>
              <w:rPr>
                <w:rFonts w:cs="Times New Roman"/>
                <w:b/>
                <w:bCs/>
                <w:color w:val="auto"/>
              </w:rPr>
              <w:t>表4-21项目涉及的主要风险类型及其危害性</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64"/>
              <w:gridCol w:w="2031"/>
              <w:gridCol w:w="3149"/>
              <w:gridCol w:w="293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pct"/>
                  <w:tcBorders>
                    <w:tl2br w:val="nil"/>
                    <w:tr2bl w:val="nil"/>
                  </w:tcBorders>
                  <w:vAlign w:val="center"/>
                </w:tcPr>
                <w:p>
                  <w:pPr>
                    <w:snapToGrid w:val="0"/>
                    <w:spacing w:line="240" w:lineRule="auto"/>
                    <w:ind w:firstLine="0" w:firstLineChars="0"/>
                    <w:jc w:val="center"/>
                    <w:rPr>
                      <w:rFonts w:cs="Times New Roman"/>
                      <w:b/>
                      <w:color w:val="auto"/>
                      <w:sz w:val="21"/>
                      <w:szCs w:val="21"/>
                    </w:rPr>
                  </w:pPr>
                  <w:r>
                    <w:rPr>
                      <w:rFonts w:cs="Times New Roman"/>
                      <w:b/>
                      <w:color w:val="auto"/>
                      <w:sz w:val="21"/>
                      <w:szCs w:val="21"/>
                    </w:rPr>
                    <w:t>工艺过程</w:t>
                  </w:r>
                </w:p>
              </w:tc>
              <w:tc>
                <w:tcPr>
                  <w:tcW w:w="1083" w:type="pct"/>
                  <w:tcBorders>
                    <w:tl2br w:val="nil"/>
                    <w:tr2bl w:val="nil"/>
                  </w:tcBorders>
                  <w:vAlign w:val="center"/>
                </w:tcPr>
                <w:p>
                  <w:pPr>
                    <w:snapToGrid w:val="0"/>
                    <w:spacing w:line="240" w:lineRule="auto"/>
                    <w:ind w:firstLine="0" w:firstLineChars="0"/>
                    <w:jc w:val="center"/>
                    <w:rPr>
                      <w:rFonts w:cs="Times New Roman"/>
                      <w:b/>
                      <w:color w:val="auto"/>
                      <w:sz w:val="21"/>
                      <w:szCs w:val="21"/>
                    </w:rPr>
                  </w:pPr>
                  <w:r>
                    <w:rPr>
                      <w:rFonts w:cs="Times New Roman"/>
                      <w:b/>
                      <w:color w:val="auto"/>
                      <w:sz w:val="21"/>
                      <w:szCs w:val="21"/>
                    </w:rPr>
                    <w:t>风险类型</w:t>
                  </w:r>
                </w:p>
              </w:tc>
              <w:tc>
                <w:tcPr>
                  <w:tcW w:w="1679" w:type="pct"/>
                  <w:tcBorders>
                    <w:tl2br w:val="nil"/>
                    <w:tr2bl w:val="nil"/>
                  </w:tcBorders>
                  <w:vAlign w:val="center"/>
                </w:tcPr>
                <w:p>
                  <w:pPr>
                    <w:snapToGrid w:val="0"/>
                    <w:spacing w:line="240" w:lineRule="auto"/>
                    <w:ind w:firstLine="0" w:firstLineChars="0"/>
                    <w:jc w:val="center"/>
                    <w:rPr>
                      <w:rFonts w:cs="Times New Roman"/>
                      <w:b/>
                      <w:color w:val="auto"/>
                      <w:sz w:val="21"/>
                      <w:szCs w:val="21"/>
                    </w:rPr>
                  </w:pPr>
                  <w:r>
                    <w:rPr>
                      <w:rFonts w:cs="Times New Roman"/>
                      <w:b/>
                      <w:color w:val="auto"/>
                      <w:sz w:val="21"/>
                      <w:szCs w:val="21"/>
                    </w:rPr>
                    <w:t>原因解析</w:t>
                  </w:r>
                </w:p>
              </w:tc>
              <w:tc>
                <w:tcPr>
                  <w:tcW w:w="1563" w:type="pct"/>
                  <w:tcBorders>
                    <w:tl2br w:val="nil"/>
                    <w:tr2bl w:val="nil"/>
                  </w:tcBorders>
                  <w:vAlign w:val="center"/>
                </w:tcPr>
                <w:p>
                  <w:pPr>
                    <w:snapToGrid w:val="0"/>
                    <w:spacing w:line="240" w:lineRule="auto"/>
                    <w:ind w:firstLine="0" w:firstLineChars="0"/>
                    <w:jc w:val="center"/>
                    <w:rPr>
                      <w:rFonts w:cs="Times New Roman"/>
                      <w:b/>
                      <w:color w:val="auto"/>
                      <w:sz w:val="21"/>
                      <w:szCs w:val="21"/>
                    </w:rPr>
                  </w:pPr>
                  <w:r>
                    <w:rPr>
                      <w:rFonts w:cs="Times New Roman"/>
                      <w:b/>
                      <w:color w:val="auto"/>
                      <w:sz w:val="21"/>
                      <w:szCs w:val="21"/>
                    </w:rPr>
                    <w:t>危害性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装卸过程</w:t>
                  </w:r>
                </w:p>
              </w:tc>
              <w:tc>
                <w:tcPr>
                  <w:tcW w:w="1083"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装卸过程发生泄漏</w:t>
                  </w:r>
                </w:p>
              </w:tc>
              <w:tc>
                <w:tcPr>
                  <w:tcW w:w="1679"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操作人员失误；阀门损坏；连接管道破损</w:t>
                  </w:r>
                </w:p>
              </w:tc>
              <w:tc>
                <w:tcPr>
                  <w:tcW w:w="1563" w:type="pct"/>
                  <w:vMerge w:val="restar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⑴影响现场操作人员身体健康⑵影响大气环境</w:t>
                  </w:r>
                </w:p>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⑶影响周围土壤和水环境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生产过程</w:t>
                  </w:r>
                </w:p>
              </w:tc>
              <w:tc>
                <w:tcPr>
                  <w:tcW w:w="1083" w:type="pct"/>
                  <w:vMerge w:val="restar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天然气和氢氟酸发生泄漏</w:t>
                  </w:r>
                </w:p>
              </w:tc>
              <w:tc>
                <w:tcPr>
                  <w:tcW w:w="1679" w:type="pct"/>
                  <w:vMerge w:val="restar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管道破损及氢氟酸包装桶发生破损</w:t>
                  </w:r>
                </w:p>
              </w:tc>
              <w:tc>
                <w:tcPr>
                  <w:tcW w:w="1563" w:type="pct"/>
                  <w:vMerge w:val="continue"/>
                  <w:tcBorders>
                    <w:tl2br w:val="nil"/>
                    <w:tr2bl w:val="nil"/>
                  </w:tcBorders>
                  <w:vAlign w:val="center"/>
                </w:tcPr>
                <w:p>
                  <w:pPr>
                    <w:pStyle w:val="22"/>
                    <w:spacing w:before="0" w:beforeAutospacing="0" w:after="0" w:afterAutospacing="0" w:line="240" w:lineRule="auto"/>
                    <w:ind w:firstLine="420"/>
                    <w:rPr>
                      <w:rFonts w:ascii="Times New Roman" w:hAnsi="Times New Roman"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储存过程</w:t>
                  </w:r>
                </w:p>
              </w:tc>
              <w:tc>
                <w:tcPr>
                  <w:tcW w:w="1083" w:type="pct"/>
                  <w:vMerge w:val="continue"/>
                  <w:tcBorders>
                    <w:tl2br w:val="nil"/>
                    <w:tr2bl w:val="nil"/>
                  </w:tcBorders>
                  <w:vAlign w:val="center"/>
                </w:tcPr>
                <w:p>
                  <w:pPr>
                    <w:snapToGrid w:val="0"/>
                    <w:spacing w:line="240" w:lineRule="auto"/>
                    <w:ind w:firstLine="0" w:firstLineChars="0"/>
                    <w:jc w:val="center"/>
                    <w:rPr>
                      <w:rFonts w:cs="Times New Roman"/>
                      <w:bCs/>
                      <w:color w:val="auto"/>
                      <w:sz w:val="21"/>
                      <w:szCs w:val="21"/>
                    </w:rPr>
                  </w:pPr>
                </w:p>
              </w:tc>
              <w:tc>
                <w:tcPr>
                  <w:tcW w:w="1679" w:type="pct"/>
                  <w:vMerge w:val="continue"/>
                  <w:tcBorders>
                    <w:tl2br w:val="nil"/>
                    <w:tr2bl w:val="nil"/>
                  </w:tcBorders>
                  <w:vAlign w:val="center"/>
                </w:tcPr>
                <w:p>
                  <w:pPr>
                    <w:snapToGrid w:val="0"/>
                    <w:spacing w:line="240" w:lineRule="auto"/>
                    <w:ind w:firstLine="0" w:firstLineChars="0"/>
                    <w:jc w:val="center"/>
                    <w:rPr>
                      <w:rFonts w:cs="Times New Roman"/>
                      <w:bCs/>
                      <w:color w:val="auto"/>
                      <w:sz w:val="21"/>
                      <w:szCs w:val="21"/>
                    </w:rPr>
                  </w:pPr>
                </w:p>
              </w:tc>
              <w:tc>
                <w:tcPr>
                  <w:tcW w:w="1563" w:type="pct"/>
                  <w:vMerge w:val="continue"/>
                  <w:tcBorders>
                    <w:tl2br w:val="nil"/>
                    <w:tr2bl w:val="nil"/>
                  </w:tcBorders>
                  <w:vAlign w:val="center"/>
                </w:tcPr>
                <w:p>
                  <w:pPr>
                    <w:pStyle w:val="22"/>
                    <w:spacing w:before="0" w:beforeAutospacing="0" w:after="0" w:afterAutospacing="0" w:line="240" w:lineRule="auto"/>
                    <w:ind w:firstLine="420"/>
                    <w:jc w:val="center"/>
                    <w:rPr>
                      <w:rFonts w:ascii="Times New Roman" w:hAnsi="Times New Roman"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运输过程</w:t>
                  </w:r>
                </w:p>
              </w:tc>
              <w:tc>
                <w:tcPr>
                  <w:tcW w:w="1083"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罐车泄漏</w:t>
                  </w:r>
                </w:p>
              </w:tc>
              <w:tc>
                <w:tcPr>
                  <w:tcW w:w="1679"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撞车或翻车导致罐体破损</w:t>
                  </w:r>
                </w:p>
              </w:tc>
              <w:tc>
                <w:tcPr>
                  <w:tcW w:w="1563" w:type="pct"/>
                  <w:vMerge w:val="continue"/>
                  <w:tcBorders>
                    <w:tl2br w:val="nil"/>
                    <w:tr2bl w:val="nil"/>
                  </w:tcBorders>
                  <w:vAlign w:val="center"/>
                </w:tcPr>
                <w:p>
                  <w:pPr>
                    <w:pStyle w:val="22"/>
                    <w:spacing w:before="0" w:beforeAutospacing="0" w:after="0" w:afterAutospacing="0" w:line="240" w:lineRule="auto"/>
                    <w:ind w:firstLine="420"/>
                    <w:jc w:val="center"/>
                    <w:rPr>
                      <w:rFonts w:ascii="Times New Roman" w:hAnsi="Times New Roman" w:cs="Times New Roman"/>
                      <w:color w:val="auto"/>
                      <w:sz w:val="21"/>
                      <w:szCs w:val="21"/>
                    </w:rPr>
                  </w:pPr>
                </w:p>
              </w:tc>
            </w:tr>
          </w:tbl>
          <w:p>
            <w:pPr>
              <w:tabs>
                <w:tab w:val="left" w:pos="987"/>
                <w:tab w:val="left" w:pos="1144"/>
              </w:tabs>
              <w:ind w:firstLine="482"/>
              <w:rPr>
                <w:rFonts w:cs="Times New Roman"/>
                <w:b/>
                <w:bCs/>
                <w:color w:val="auto"/>
              </w:rPr>
            </w:pPr>
            <w:r>
              <w:rPr>
                <w:rFonts w:cs="Times New Roman"/>
                <w:b/>
                <w:bCs/>
                <w:color w:val="auto"/>
              </w:rPr>
              <w:t>5.5泄漏对环境的影响</w:t>
            </w:r>
          </w:p>
          <w:p>
            <w:pPr>
              <w:ind w:firstLine="482"/>
              <w:rPr>
                <w:rFonts w:cs="Times New Roman"/>
                <w:b/>
                <w:bCs/>
                <w:color w:val="auto"/>
              </w:rPr>
            </w:pPr>
            <w:r>
              <w:rPr>
                <w:rFonts w:cs="Times New Roman"/>
                <w:b/>
                <w:bCs/>
                <w:color w:val="auto"/>
              </w:rPr>
              <w:t>5.5.1大气环境危害后果</w:t>
            </w:r>
          </w:p>
          <w:p>
            <w:pPr>
              <w:ind w:firstLine="480"/>
              <w:rPr>
                <w:rFonts w:cs="Times New Roman"/>
                <w:color w:val="auto"/>
              </w:rPr>
            </w:pPr>
            <w:r>
              <w:rPr>
                <w:rFonts w:cs="Times New Roman"/>
                <w:color w:val="auto"/>
              </w:rPr>
              <w:t>氢氟酸易挥发，泄露后会产生大量的氟化氢气体，气体进入空气中，将导致周边一定范围内环境空气质量严重下降，人在氟化氢400～430mg/m</w:t>
            </w:r>
            <w:r>
              <w:rPr>
                <w:rFonts w:cs="Times New Roman"/>
                <w:color w:val="auto"/>
                <w:vertAlign w:val="superscript"/>
              </w:rPr>
              <w:t>3</w:t>
            </w:r>
            <w:r>
              <w:rPr>
                <w:rFonts w:cs="Times New Roman"/>
                <w:color w:val="auto"/>
              </w:rPr>
              <w:t>浓度下，可引起急性中毒致死；100mg/m</w:t>
            </w:r>
            <w:r>
              <w:rPr>
                <w:rFonts w:cs="Times New Roman"/>
                <w:color w:val="auto"/>
                <w:vertAlign w:val="superscript"/>
              </w:rPr>
              <w:t>3</w:t>
            </w:r>
            <w:r>
              <w:rPr>
                <w:rFonts w:cs="Times New Roman"/>
                <w:color w:val="auto"/>
              </w:rPr>
              <w:t>浓度下，能耐受1分多钟，50mg/m</w:t>
            </w:r>
            <w:r>
              <w:rPr>
                <w:rFonts w:cs="Times New Roman"/>
                <w:color w:val="auto"/>
                <w:vertAlign w:val="superscript"/>
              </w:rPr>
              <w:t>3</w:t>
            </w:r>
            <w:r>
              <w:rPr>
                <w:rFonts w:cs="Times New Roman"/>
                <w:color w:val="auto"/>
              </w:rPr>
              <w:t>下感到皮肤刺痛、黏膜刺激，26mg/m</w:t>
            </w:r>
            <w:r>
              <w:rPr>
                <w:rFonts w:cs="Times New Roman"/>
                <w:color w:val="auto"/>
                <w:vertAlign w:val="superscript"/>
              </w:rPr>
              <w:t>3</w:t>
            </w:r>
            <w:r>
              <w:rPr>
                <w:rFonts w:cs="Times New Roman"/>
                <w:color w:val="auto"/>
              </w:rPr>
              <w:t>下能耐受数分钟。高浓度氟污染可引起皮肤灼伤、皮炎、呼吸道炎症，低浓度氟则能造成人体牙齿和骨骼的氟中毒，导致出现牙质缺损、脱落或腰腿疼、关节畸形、钙化等。近年的研究还发现，氟化物对人体的毒作用不仅局限于骨和齿，还能引起物质代谢紊乱，甚至间接导致一系列更为严重的后果。目前，人体中的氟化物对生命健康的影响机理和确切结果等许多研究仍在进展中，但体内氟化物过量对健康有害则是定论。</w:t>
            </w:r>
          </w:p>
          <w:p>
            <w:pPr>
              <w:ind w:firstLine="480"/>
              <w:rPr>
                <w:rFonts w:cs="Times New Roman"/>
                <w:color w:val="auto"/>
              </w:rPr>
            </w:pPr>
            <w:r>
              <w:rPr>
                <w:rFonts w:cs="Times New Roman"/>
                <w:color w:val="auto"/>
              </w:rPr>
              <w:t>氟化氢逸散到厂房外，如遇到降雨将导致周边土壤和地下水污染。</w:t>
            </w:r>
          </w:p>
          <w:p>
            <w:pPr>
              <w:ind w:firstLine="482"/>
              <w:rPr>
                <w:rFonts w:cs="Times New Roman"/>
                <w:b/>
                <w:bCs/>
                <w:color w:val="auto"/>
              </w:rPr>
            </w:pPr>
            <w:r>
              <w:rPr>
                <w:rFonts w:cs="Times New Roman"/>
                <w:b/>
                <w:bCs/>
                <w:color w:val="auto"/>
              </w:rPr>
              <w:t>5.5.2地表水环境危害后果：</w:t>
            </w:r>
          </w:p>
          <w:p>
            <w:pPr>
              <w:ind w:firstLine="480"/>
              <w:rPr>
                <w:rFonts w:cs="Times New Roman"/>
                <w:color w:val="auto"/>
              </w:rPr>
            </w:pPr>
            <w:r>
              <w:rPr>
                <w:rFonts w:cs="Times New Roman"/>
                <w:color w:val="auto"/>
              </w:rPr>
              <w:t>本项目运营期氟化合成箱内未反应的氟化氢气体由氟化氢吸收罐内的水吸收，形成氢氟酸，由氟化氢销售厂家回收，不外排，因此，事故状态下泄漏的废水不会对地表水环境产生影响</w:t>
            </w:r>
            <w:r>
              <w:rPr>
                <w:rFonts w:cs="Times New Roman"/>
                <w:bCs/>
                <w:color w:val="auto"/>
                <w:spacing w:val="6"/>
              </w:rPr>
              <w:t>。</w:t>
            </w:r>
          </w:p>
          <w:p>
            <w:pPr>
              <w:ind w:firstLine="482"/>
              <w:rPr>
                <w:rFonts w:cs="Times New Roman"/>
                <w:b/>
                <w:bCs/>
                <w:color w:val="auto"/>
              </w:rPr>
            </w:pPr>
            <w:r>
              <w:rPr>
                <w:rFonts w:cs="Times New Roman"/>
                <w:b/>
                <w:bCs/>
                <w:color w:val="auto"/>
              </w:rPr>
              <w:t>5.5.3地下水环境危害后果：</w:t>
            </w:r>
          </w:p>
          <w:p>
            <w:pPr>
              <w:ind w:firstLine="480"/>
              <w:rPr>
                <w:rFonts w:cs="Times New Roman"/>
                <w:color w:val="auto"/>
              </w:rPr>
            </w:pPr>
            <w:r>
              <w:rPr>
                <w:rFonts w:cs="Times New Roman"/>
                <w:color w:val="auto"/>
              </w:rPr>
              <w:t>本项目厂区一般固废暂存库、生产车间、原料储存库、产品储存库的地面均进行防渗处理。物料、废水、氢氟酸等泄露后不会对地下水环境造成影响。</w:t>
            </w:r>
          </w:p>
          <w:p>
            <w:pPr>
              <w:tabs>
                <w:tab w:val="left" w:pos="567"/>
                <w:tab w:val="left" w:pos="987"/>
                <w:tab w:val="left" w:pos="1144"/>
              </w:tabs>
              <w:ind w:firstLine="482"/>
              <w:rPr>
                <w:rFonts w:cs="Times New Roman"/>
                <w:b/>
                <w:bCs/>
                <w:color w:val="auto"/>
              </w:rPr>
            </w:pPr>
            <w:r>
              <w:rPr>
                <w:rFonts w:cs="Times New Roman"/>
                <w:b/>
                <w:bCs/>
                <w:color w:val="auto"/>
              </w:rPr>
              <w:t>5.6事故预防措施</w:t>
            </w:r>
          </w:p>
          <w:p>
            <w:pPr>
              <w:ind w:firstLine="480"/>
              <w:rPr>
                <w:rFonts w:cs="Times New Roman"/>
                <w:color w:val="auto"/>
              </w:rPr>
            </w:pPr>
            <w:r>
              <w:rPr>
                <w:rFonts w:cs="Times New Roman"/>
                <w:color w:val="auto"/>
              </w:rPr>
              <w:t>为防止事故发生，做好事故预防工作，评价提出以下要求：</w:t>
            </w:r>
          </w:p>
          <w:p>
            <w:pPr>
              <w:ind w:firstLine="480"/>
              <w:rPr>
                <w:rFonts w:cs="Times New Roman"/>
                <w:color w:val="auto"/>
              </w:rPr>
            </w:pPr>
            <w:r>
              <w:rPr>
                <w:rFonts w:cs="Times New Roman"/>
                <w:color w:val="auto"/>
              </w:rPr>
              <w:t>（1）对有毒有害物料氟化氢物料的运输应采用安全性能优良的化学品专用运输槽车，同时车上要配备必要的防毒器具和消防器材，预防事故的发生。</w:t>
            </w:r>
          </w:p>
          <w:p>
            <w:pPr>
              <w:ind w:firstLine="480"/>
              <w:rPr>
                <w:rFonts w:cs="Times New Roman"/>
                <w:color w:val="auto"/>
              </w:rPr>
            </w:pPr>
            <w:r>
              <w:rPr>
                <w:rFonts w:cs="Times New Roman"/>
                <w:color w:val="auto"/>
              </w:rPr>
              <w:t>（2）应选择合理的运输路线，尽量避开居民生活区；为了保证安全运输，要认真做好危险货物运输风险分析，按法规要求办好承办托运手续和单证，做好运输过程中各种外界条件的控制和防范措施。</w:t>
            </w:r>
          </w:p>
          <w:p>
            <w:pPr>
              <w:ind w:firstLine="480"/>
              <w:rPr>
                <w:rFonts w:cs="Times New Roman"/>
                <w:color w:val="auto"/>
              </w:rPr>
            </w:pPr>
            <w:r>
              <w:rPr>
                <w:rFonts w:cs="Times New Roman"/>
                <w:color w:val="auto"/>
              </w:rPr>
              <w:t>（3）</w:t>
            </w:r>
            <w:r>
              <w:rPr>
                <w:rFonts w:hint="eastAsia" w:cs="Times New Roman"/>
                <w:color w:val="auto"/>
                <w:lang w:eastAsia="zh-CN"/>
              </w:rPr>
              <w:t>氢氟酸桶</w:t>
            </w:r>
            <w:r>
              <w:rPr>
                <w:rFonts w:cs="Times New Roman"/>
                <w:color w:val="auto"/>
              </w:rPr>
              <w:t>要严格按照安全生产操作规程进行操作。</w:t>
            </w:r>
          </w:p>
          <w:p>
            <w:pPr>
              <w:ind w:firstLine="480"/>
              <w:rPr>
                <w:rFonts w:cs="Times New Roman"/>
                <w:color w:val="auto"/>
              </w:rPr>
            </w:pPr>
            <w:r>
              <w:rPr>
                <w:rFonts w:cs="Times New Roman"/>
                <w:color w:val="auto"/>
              </w:rPr>
              <w:t>（4）氟化合成区域设置安全防护设施，如防护栏，非操作人员严禁进入。</w:t>
            </w:r>
          </w:p>
          <w:p>
            <w:pPr>
              <w:rPr>
                <w:color w:val="auto"/>
              </w:rPr>
            </w:pPr>
            <w:r>
              <w:rPr>
                <w:rFonts w:cs="Times New Roman"/>
                <w:color w:val="auto"/>
              </w:rPr>
              <w:t>（5）</w:t>
            </w:r>
            <w:r>
              <w:rPr>
                <w:rFonts w:hint="eastAsia" w:cs="Times New Roman"/>
                <w:color w:val="auto"/>
              </w:rPr>
              <w:t>氢氟酸采用桶装，设置1个1t规格大小的桶，并设置150mm</w:t>
            </w:r>
            <w:r>
              <w:rPr>
                <w:rFonts w:cs="Times New Roman"/>
                <w:color w:val="auto"/>
              </w:rPr>
              <w:t>围堰</w:t>
            </w:r>
            <w:r>
              <w:rPr>
                <w:rFonts w:hint="eastAsia" w:cs="Times New Roman"/>
                <w:color w:val="auto"/>
              </w:rPr>
              <w:t>，设置1个容积为10m</w:t>
            </w:r>
            <w:r>
              <w:rPr>
                <w:rFonts w:hint="eastAsia" w:cs="Times New Roman"/>
                <w:color w:val="auto"/>
                <w:vertAlign w:val="superscript"/>
              </w:rPr>
              <w:t>3</w:t>
            </w:r>
            <w:r>
              <w:rPr>
                <w:rFonts w:hint="eastAsia" w:cs="Times New Roman"/>
                <w:color w:val="auto"/>
              </w:rPr>
              <w:t>的事故罐，用于事故状态下氢氟酸泄漏收集，并在事故罐顶部设置集气装置，将挥发的废气引至喷淋塔处理；氢氟酸原料储存区域按照重点防渗、防腐要求，要求为等效黏土防渗层Mb≥6m，K≤1×10</w:t>
            </w:r>
            <w:r>
              <w:rPr>
                <w:rFonts w:hint="eastAsia" w:cs="Times New Roman"/>
                <w:color w:val="auto"/>
                <w:vertAlign w:val="superscript"/>
              </w:rPr>
              <w:t>-7</w:t>
            </w:r>
            <w:r>
              <w:rPr>
                <w:rFonts w:hint="eastAsia" w:cs="Times New Roman"/>
                <w:color w:val="auto"/>
              </w:rPr>
              <w:t>cm/s</w:t>
            </w:r>
            <w:r>
              <w:rPr>
                <w:rFonts w:hint="eastAsia" w:cs="Times New Roman"/>
                <w:color w:val="auto"/>
                <w:lang w:eastAsia="zh-CN"/>
              </w:rPr>
              <w:t>。</w:t>
            </w:r>
          </w:p>
          <w:p>
            <w:pPr>
              <w:tabs>
                <w:tab w:val="left" w:pos="987"/>
                <w:tab w:val="left" w:pos="1144"/>
              </w:tabs>
              <w:ind w:firstLine="482"/>
              <w:rPr>
                <w:rFonts w:cs="Times New Roman"/>
                <w:b/>
                <w:bCs/>
                <w:color w:val="auto"/>
              </w:rPr>
            </w:pPr>
            <w:r>
              <w:rPr>
                <w:rFonts w:cs="Times New Roman"/>
                <w:b/>
                <w:bCs/>
                <w:color w:val="auto"/>
              </w:rPr>
              <w:t>5.7管理方面风险措施</w:t>
            </w:r>
          </w:p>
          <w:p>
            <w:pPr>
              <w:ind w:firstLine="480"/>
              <w:rPr>
                <w:rFonts w:cs="Times New Roman"/>
                <w:color w:val="auto"/>
              </w:rPr>
            </w:pPr>
            <w:r>
              <w:rPr>
                <w:rFonts w:cs="Times New Roman"/>
                <w:color w:val="auto"/>
              </w:rPr>
              <w:t>（1）设置专门的应急领导小组，由企业负责人任组长，定期组织车间负责人进行环境风险检查，将生产中的事故隐患作为检查重点。</w:t>
            </w:r>
          </w:p>
          <w:p>
            <w:pPr>
              <w:ind w:firstLine="480"/>
              <w:rPr>
                <w:rFonts w:cs="Times New Roman"/>
                <w:color w:val="auto"/>
              </w:rPr>
            </w:pPr>
            <w:r>
              <w:rPr>
                <w:rFonts w:cs="Times New Roman"/>
                <w:color w:val="auto"/>
              </w:rPr>
              <w:t>（2）应急领导小组应建立一整套完整的风险事故防范管理制度和赏罚制度，以规范各生产部门的操作规程，确保风险事故防范管理制度的全过程、全方位落实，减少事故的发生概率和危害程度。</w:t>
            </w:r>
          </w:p>
          <w:p>
            <w:pPr>
              <w:ind w:firstLine="480"/>
              <w:rPr>
                <w:rFonts w:cs="Times New Roman"/>
                <w:color w:val="auto"/>
              </w:rPr>
            </w:pPr>
            <w:r>
              <w:rPr>
                <w:rFonts w:cs="Times New Roman"/>
                <w:color w:val="auto"/>
              </w:rPr>
              <w:t>（3）环境管理机构设有专人负责，建立健全各项环境管理制度，完全将环境管理纳入日常管理行为中，上岗人员都经过严格培训，并制定环境管理实施计划。</w:t>
            </w:r>
          </w:p>
          <w:p>
            <w:pPr>
              <w:ind w:firstLine="480"/>
              <w:rPr>
                <w:rFonts w:cs="Times New Roman"/>
                <w:color w:val="auto"/>
              </w:rPr>
            </w:pPr>
            <w:r>
              <w:rPr>
                <w:rFonts w:cs="Times New Roman"/>
                <w:color w:val="auto"/>
              </w:rPr>
              <w:t>（4）建立安全检查和生产装置运行管理制度。</w:t>
            </w:r>
          </w:p>
          <w:p>
            <w:pPr>
              <w:ind w:firstLine="480"/>
              <w:rPr>
                <w:rFonts w:cs="Times New Roman"/>
                <w:color w:val="auto"/>
              </w:rPr>
            </w:pPr>
            <w:r>
              <w:rPr>
                <w:rFonts w:cs="Times New Roman"/>
                <w:color w:val="auto"/>
              </w:rPr>
              <w:t>（5）加强对职工的风险事故安全教育，增强职工的风险意识，减少风险发生的概率。</w:t>
            </w:r>
          </w:p>
          <w:p>
            <w:pPr>
              <w:ind w:firstLine="480"/>
              <w:rPr>
                <w:rFonts w:cs="Times New Roman"/>
                <w:color w:val="auto"/>
              </w:rPr>
            </w:pPr>
            <w:r>
              <w:rPr>
                <w:rFonts w:cs="Times New Roman"/>
                <w:color w:val="auto"/>
              </w:rPr>
              <w:t>（6）定期对设备及管路进行检验和维修保养，保证设备完好状态，防止泄漏。</w:t>
            </w:r>
          </w:p>
          <w:p>
            <w:pPr>
              <w:ind w:firstLine="480"/>
              <w:rPr>
                <w:rFonts w:cs="Times New Roman"/>
                <w:color w:val="auto"/>
              </w:rPr>
            </w:pPr>
            <w:r>
              <w:rPr>
                <w:rFonts w:cs="Times New Roman"/>
                <w:color w:val="auto"/>
              </w:rPr>
              <w:t>（7）制定全厂风险事故应急预案，宣贯到全体员工，并进行必要的演练，以保证应急预案有效可行，在风险事故发生时，能够及时采取有效措施将损失减至最小。</w:t>
            </w:r>
          </w:p>
          <w:p>
            <w:pPr>
              <w:tabs>
                <w:tab w:val="left" w:pos="987"/>
                <w:tab w:val="left" w:pos="1144"/>
              </w:tabs>
              <w:ind w:firstLine="482"/>
              <w:rPr>
                <w:rFonts w:cs="Times New Roman"/>
                <w:b/>
                <w:bCs/>
                <w:color w:val="auto"/>
              </w:rPr>
            </w:pPr>
            <w:bookmarkStart w:id="99" w:name="_Toc350861579"/>
            <w:bookmarkStart w:id="100" w:name="_Toc355646760"/>
            <w:bookmarkStart w:id="101" w:name="_Toc487630587"/>
            <w:bookmarkStart w:id="102" w:name="_Toc350862487"/>
            <w:bookmarkStart w:id="103" w:name="_Toc350861894"/>
            <w:bookmarkStart w:id="104" w:name="_Toc288482641"/>
            <w:r>
              <w:rPr>
                <w:rFonts w:cs="Times New Roman"/>
                <w:b/>
                <w:bCs/>
                <w:color w:val="auto"/>
              </w:rPr>
              <w:t>5.8应急预案</w:t>
            </w:r>
            <w:bookmarkEnd w:id="99"/>
            <w:bookmarkEnd w:id="100"/>
            <w:bookmarkEnd w:id="101"/>
            <w:bookmarkEnd w:id="102"/>
            <w:bookmarkEnd w:id="103"/>
            <w:bookmarkEnd w:id="104"/>
          </w:p>
          <w:p>
            <w:pPr>
              <w:tabs>
                <w:tab w:val="center" w:pos="4153"/>
                <w:tab w:val="right" w:pos="8306"/>
              </w:tabs>
              <w:ind w:firstLine="480"/>
              <w:rPr>
                <w:rFonts w:cs="Times New Roman"/>
                <w:color w:val="auto"/>
              </w:rPr>
            </w:pPr>
            <w:r>
              <w:rPr>
                <w:rFonts w:cs="Times New Roman"/>
                <w:color w:val="auto"/>
              </w:rPr>
              <w:t>企业应根据具体生产情况，制定《突发环境事故应急预案》，并在日后生产管理中贯彻实施。应急预案主要内容应根据《建设项目环境风险评价技术导则》（HJ169-2018）详细编制，经过修订完善后，由企业最高管理者批准发布实施。</w:t>
            </w:r>
          </w:p>
          <w:p>
            <w:pPr>
              <w:ind w:firstLine="482"/>
              <w:jc w:val="center"/>
              <w:rPr>
                <w:rFonts w:cs="Times New Roman"/>
                <w:b/>
                <w:bCs/>
                <w:color w:val="auto"/>
              </w:rPr>
            </w:pPr>
            <w:r>
              <w:rPr>
                <w:rFonts w:cs="Times New Roman"/>
                <w:b/>
                <w:bCs/>
                <w:color w:val="auto"/>
              </w:rPr>
              <w:t>表4-22应急预案措施</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18"/>
              <w:gridCol w:w="3625"/>
              <w:gridCol w:w="493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tcBorders>
                    <w:tl2br w:val="nil"/>
                    <w:tr2bl w:val="nil"/>
                  </w:tcBorders>
                  <w:vAlign w:val="center"/>
                </w:tcPr>
                <w:p>
                  <w:pPr>
                    <w:snapToGrid w:val="0"/>
                    <w:spacing w:line="240" w:lineRule="auto"/>
                    <w:ind w:firstLine="0" w:firstLineChars="0"/>
                    <w:jc w:val="center"/>
                    <w:rPr>
                      <w:rFonts w:cs="Times New Roman"/>
                      <w:b/>
                      <w:color w:val="auto"/>
                      <w:sz w:val="21"/>
                      <w:szCs w:val="21"/>
                    </w:rPr>
                  </w:pPr>
                  <w:r>
                    <w:rPr>
                      <w:rFonts w:cs="Times New Roman"/>
                      <w:b/>
                      <w:color w:val="auto"/>
                      <w:sz w:val="21"/>
                      <w:szCs w:val="21"/>
                    </w:rPr>
                    <w:t>序号</w:t>
                  </w:r>
                </w:p>
              </w:tc>
              <w:tc>
                <w:tcPr>
                  <w:tcW w:w="3301" w:type="dxa"/>
                  <w:tcBorders>
                    <w:tl2br w:val="nil"/>
                    <w:tr2bl w:val="nil"/>
                  </w:tcBorders>
                  <w:vAlign w:val="center"/>
                </w:tcPr>
                <w:p>
                  <w:pPr>
                    <w:snapToGrid w:val="0"/>
                    <w:spacing w:line="240" w:lineRule="auto"/>
                    <w:ind w:firstLine="0" w:firstLineChars="0"/>
                    <w:jc w:val="center"/>
                    <w:rPr>
                      <w:rFonts w:cs="Times New Roman"/>
                      <w:b/>
                      <w:color w:val="auto"/>
                      <w:sz w:val="21"/>
                      <w:szCs w:val="21"/>
                    </w:rPr>
                  </w:pPr>
                  <w:r>
                    <w:rPr>
                      <w:rFonts w:cs="Times New Roman"/>
                      <w:b/>
                      <w:color w:val="auto"/>
                      <w:sz w:val="21"/>
                      <w:szCs w:val="21"/>
                    </w:rPr>
                    <w:t>项目</w:t>
                  </w:r>
                </w:p>
              </w:tc>
              <w:tc>
                <w:tcPr>
                  <w:tcW w:w="4490" w:type="dxa"/>
                  <w:tcBorders>
                    <w:tl2br w:val="nil"/>
                    <w:tr2bl w:val="nil"/>
                  </w:tcBorders>
                  <w:vAlign w:val="center"/>
                </w:tcPr>
                <w:p>
                  <w:pPr>
                    <w:snapToGrid w:val="0"/>
                    <w:spacing w:line="240" w:lineRule="auto"/>
                    <w:ind w:firstLine="0" w:firstLineChars="0"/>
                    <w:jc w:val="center"/>
                    <w:rPr>
                      <w:rFonts w:cs="Times New Roman"/>
                      <w:b/>
                      <w:color w:val="auto"/>
                      <w:sz w:val="21"/>
                      <w:szCs w:val="21"/>
                    </w:rPr>
                  </w:pPr>
                  <w:r>
                    <w:rPr>
                      <w:rFonts w:cs="Times New Roman"/>
                      <w:b/>
                      <w:color w:val="auto"/>
                      <w:sz w:val="21"/>
                      <w:szCs w:val="21"/>
                    </w:rPr>
                    <w:t>内容及要求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1</w:t>
                  </w:r>
                </w:p>
              </w:tc>
              <w:tc>
                <w:tcPr>
                  <w:tcW w:w="3301" w:type="dxa"/>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应急计划区</w:t>
                  </w:r>
                </w:p>
              </w:tc>
              <w:tc>
                <w:tcPr>
                  <w:tcW w:w="4490" w:type="dxa"/>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危险目标、装置区、环境保护目标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2</w:t>
                  </w:r>
                </w:p>
              </w:tc>
              <w:tc>
                <w:tcPr>
                  <w:tcW w:w="3301" w:type="dxa"/>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应急组织机构、人员</w:t>
                  </w:r>
                </w:p>
              </w:tc>
              <w:tc>
                <w:tcPr>
                  <w:tcW w:w="4490" w:type="dxa"/>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工厂、地区应急组织机构、人员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3</w:t>
                  </w:r>
                </w:p>
              </w:tc>
              <w:tc>
                <w:tcPr>
                  <w:tcW w:w="3301" w:type="dxa"/>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预案分级影响条件</w:t>
                  </w:r>
                </w:p>
              </w:tc>
              <w:tc>
                <w:tcPr>
                  <w:tcW w:w="4490" w:type="dxa"/>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规定预案的级别和分级影响程序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4</w:t>
                  </w:r>
                </w:p>
              </w:tc>
              <w:tc>
                <w:tcPr>
                  <w:tcW w:w="3301" w:type="dxa"/>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应急救援保障</w:t>
                  </w:r>
                </w:p>
              </w:tc>
              <w:tc>
                <w:tcPr>
                  <w:tcW w:w="4490" w:type="dxa"/>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应急设施，设备与器材等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5</w:t>
                  </w:r>
                </w:p>
              </w:tc>
              <w:tc>
                <w:tcPr>
                  <w:tcW w:w="3301" w:type="dxa"/>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报警、通讯联络方式</w:t>
                  </w:r>
                </w:p>
              </w:tc>
              <w:tc>
                <w:tcPr>
                  <w:tcW w:w="4490" w:type="dxa"/>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规定应急状态下的报警通信方式、通知方式和交通保障、管制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6</w:t>
                  </w:r>
                </w:p>
              </w:tc>
              <w:tc>
                <w:tcPr>
                  <w:tcW w:w="3301" w:type="dxa"/>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应急环境监测、抢救、救援及控制措施</w:t>
                  </w:r>
                </w:p>
              </w:tc>
              <w:tc>
                <w:tcPr>
                  <w:tcW w:w="4490" w:type="dxa"/>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由专业队伍负责对事故现场进行侦察监测，对事故性质、参数后果进行评估，为指挥部门提供决策依据。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7</w:t>
                  </w:r>
                </w:p>
              </w:tc>
              <w:tc>
                <w:tcPr>
                  <w:tcW w:w="3301" w:type="dxa"/>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应急监测、防护措施、清除泄漏措施和器材</w:t>
                  </w:r>
                </w:p>
              </w:tc>
              <w:tc>
                <w:tcPr>
                  <w:tcW w:w="4490" w:type="dxa"/>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事故现场、邻近区域、控制防火区域、控制清除污染措施及相关设施。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8</w:t>
                  </w:r>
                </w:p>
              </w:tc>
              <w:tc>
                <w:tcPr>
                  <w:tcW w:w="3301" w:type="dxa"/>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人员紧急撤离、疏散，应急剂量控制、撤离组织计划</w:t>
                  </w:r>
                </w:p>
              </w:tc>
              <w:tc>
                <w:tcPr>
                  <w:tcW w:w="4490" w:type="dxa"/>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事故现场、工厂邻近区、受事故影响的区域人员及公众对毒物应急剂量控制规定，撤离组织计划及救护，医疗救护与公众健康。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9</w:t>
                  </w:r>
                </w:p>
              </w:tc>
              <w:tc>
                <w:tcPr>
                  <w:tcW w:w="3301" w:type="dxa"/>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事故应急救援关闭程序与恢复措施</w:t>
                  </w:r>
                </w:p>
              </w:tc>
              <w:tc>
                <w:tcPr>
                  <w:tcW w:w="4490" w:type="dxa"/>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规定应急状态终止程序</w:t>
                  </w:r>
                </w:p>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事故现场善后处理，恢复措施</w:t>
                  </w:r>
                </w:p>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邻近区域解除事故警戒及善后恢复措施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10</w:t>
                  </w:r>
                </w:p>
              </w:tc>
              <w:tc>
                <w:tcPr>
                  <w:tcW w:w="3301" w:type="dxa"/>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应急培训计划</w:t>
                  </w:r>
                </w:p>
              </w:tc>
              <w:tc>
                <w:tcPr>
                  <w:tcW w:w="4490" w:type="dxa"/>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应急计划制定后，平时安排人员培训与演练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11</w:t>
                  </w:r>
                </w:p>
              </w:tc>
              <w:tc>
                <w:tcPr>
                  <w:tcW w:w="3301" w:type="dxa"/>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公众教育和信息</w:t>
                  </w:r>
                </w:p>
              </w:tc>
              <w:tc>
                <w:tcPr>
                  <w:tcW w:w="4490" w:type="dxa"/>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对工厂邻近地区开展公众教育，培训和发布有关信息</w:t>
                  </w:r>
                </w:p>
              </w:tc>
            </w:tr>
          </w:tbl>
          <w:p>
            <w:pPr>
              <w:tabs>
                <w:tab w:val="left" w:pos="987"/>
                <w:tab w:val="left" w:pos="1144"/>
              </w:tabs>
              <w:ind w:firstLine="482"/>
              <w:rPr>
                <w:rFonts w:cs="Times New Roman"/>
                <w:b/>
                <w:bCs/>
                <w:color w:val="auto"/>
              </w:rPr>
            </w:pPr>
            <w:r>
              <w:rPr>
                <w:rFonts w:cs="Times New Roman"/>
                <w:b/>
                <w:bCs/>
                <w:color w:val="auto"/>
              </w:rPr>
              <w:t>5.9风险评价结论</w:t>
            </w:r>
          </w:p>
          <w:p>
            <w:pPr>
              <w:ind w:firstLine="480"/>
              <w:rPr>
                <w:rFonts w:cs="Times New Roman"/>
                <w:color w:val="auto"/>
              </w:rPr>
            </w:pPr>
            <w:r>
              <w:rPr>
                <w:rFonts w:cs="Times New Roman"/>
                <w:color w:val="auto"/>
              </w:rPr>
              <w:t>本工程风险类型为：有毒有害物质泄漏污染环境风险事故。</w:t>
            </w:r>
          </w:p>
          <w:p>
            <w:pPr>
              <w:ind w:firstLine="480"/>
              <w:rPr>
                <w:rFonts w:cs="Times New Roman"/>
                <w:color w:val="auto"/>
              </w:rPr>
            </w:pPr>
            <w:r>
              <w:rPr>
                <w:rFonts w:cs="Times New Roman"/>
                <w:bCs/>
                <w:color w:val="auto"/>
              </w:rPr>
              <w:t>氢氟酸</w:t>
            </w:r>
            <w:r>
              <w:rPr>
                <w:rFonts w:cs="Times New Roman"/>
                <w:color w:val="auto"/>
              </w:rPr>
              <w:t>等危险化学品原辅材料及产品的贮运，须采取安全包装及专门设备，采用特殊危险物品车辆运输，悬挂危险品类别标志，配备相应的安全防护和消防设施设备，保持良好车况，严禁超载。当跨沟越河过桥时，须减速慢行，安全为第一位的。危险化学品运输车辆一旦遇到险情或发生事故，应采取相应的防泄漏等安全消防措施，在最短时间内报警，通知厂内风险应急救援部门与有关公安消防等机关，启动应急机制，采取堵漏、倒罐等措施，引导或告知周围环境敏感往上风向紧急疏散等，有效地控制事故的发生和发展。</w:t>
            </w:r>
          </w:p>
          <w:p>
            <w:pPr>
              <w:ind w:firstLine="480"/>
              <w:rPr>
                <w:rFonts w:cs="Times New Roman"/>
                <w:color w:val="auto"/>
              </w:rPr>
            </w:pPr>
            <w:r>
              <w:rPr>
                <w:rFonts w:cs="Times New Roman"/>
                <w:color w:val="auto"/>
              </w:rPr>
              <w:t>本工程在切实落实评价中提出的事故防范与减缓、应急措施与提高风险管理水平的前提下，氟化氢泄漏的概率、损失以及环境污染影响可降至最低限度，降至可接受水平的范围之内，达到安全、平稳与持续健康生产与发展的目的。</w:t>
            </w:r>
          </w:p>
          <w:p>
            <w:pPr>
              <w:ind w:firstLine="480"/>
              <w:rPr>
                <w:rFonts w:cs="Times New Roman"/>
                <w:color w:val="auto"/>
              </w:rPr>
            </w:pPr>
            <w:r>
              <w:rPr>
                <w:rFonts w:cs="Times New Roman"/>
                <w:color w:val="auto"/>
              </w:rPr>
              <w:t>综上所述，项目的环境风险程度是可以接受的。</w:t>
            </w:r>
          </w:p>
          <w:p>
            <w:pPr>
              <w:ind w:firstLine="482"/>
              <w:rPr>
                <w:rFonts w:cs="Times New Roman"/>
                <w:b/>
                <w:bCs/>
                <w:color w:val="auto"/>
              </w:rPr>
            </w:pPr>
            <w:r>
              <w:rPr>
                <w:rFonts w:cs="Times New Roman"/>
                <w:b/>
                <w:bCs/>
                <w:color w:val="auto"/>
              </w:rPr>
              <w:t>6、环境监测</w:t>
            </w:r>
            <w:bookmarkEnd w:id="80"/>
            <w:bookmarkEnd w:id="81"/>
            <w:r>
              <w:rPr>
                <w:rFonts w:cs="Times New Roman"/>
                <w:b/>
                <w:bCs/>
                <w:color w:val="auto"/>
              </w:rPr>
              <w:t>计划</w:t>
            </w:r>
            <w:bookmarkEnd w:id="82"/>
            <w:bookmarkEnd w:id="83"/>
          </w:p>
          <w:p>
            <w:pPr>
              <w:ind w:firstLine="480"/>
              <w:rPr>
                <w:rFonts w:cs="Times New Roman"/>
                <w:color w:val="auto"/>
              </w:rPr>
            </w:pPr>
            <w:r>
              <w:rPr>
                <w:rFonts w:cs="Times New Roman"/>
                <w:color w:val="auto"/>
              </w:rPr>
              <w:t>根据《排污单位自行监测技术指南总则》（HJ819-2017）、《排污许可证申请与核发技术规范电子工业》（HJ1031-2019）和要求，本项目具体监测计划如下：</w:t>
            </w:r>
          </w:p>
          <w:p>
            <w:pPr>
              <w:ind w:firstLine="482"/>
              <w:jc w:val="center"/>
              <w:rPr>
                <w:rFonts w:cs="Times New Roman"/>
                <w:b/>
                <w:bCs/>
                <w:color w:val="auto"/>
              </w:rPr>
            </w:pPr>
            <w:r>
              <w:rPr>
                <w:rFonts w:cs="Times New Roman"/>
                <w:b/>
                <w:bCs/>
                <w:color w:val="auto"/>
              </w:rPr>
              <w:t>表4-23竣工验收工作内容一览表</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526"/>
              <w:gridCol w:w="1530"/>
              <w:gridCol w:w="1524"/>
              <w:gridCol w:w="1296"/>
              <w:gridCol w:w="349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814" w:type="pct"/>
                  <w:tcBorders>
                    <w:tl2br w:val="nil"/>
                    <w:tr2bl w:val="nil"/>
                  </w:tcBorders>
                  <w:tcMar>
                    <w:left w:w="0" w:type="dxa"/>
                    <w:right w:w="0" w:type="dxa"/>
                  </w:tcMar>
                  <w:vAlign w:val="center"/>
                </w:tcPr>
                <w:p>
                  <w:pPr>
                    <w:snapToGrid w:val="0"/>
                    <w:spacing w:line="240" w:lineRule="auto"/>
                    <w:ind w:firstLine="0" w:firstLineChars="0"/>
                    <w:jc w:val="center"/>
                    <w:rPr>
                      <w:rFonts w:cs="Times New Roman"/>
                      <w:b/>
                      <w:color w:val="auto"/>
                      <w:sz w:val="21"/>
                      <w:szCs w:val="21"/>
                    </w:rPr>
                  </w:pPr>
                  <w:r>
                    <w:rPr>
                      <w:rFonts w:cs="Times New Roman"/>
                      <w:b/>
                      <w:color w:val="auto"/>
                      <w:sz w:val="21"/>
                      <w:szCs w:val="21"/>
                    </w:rPr>
                    <w:t>要素</w:t>
                  </w:r>
                </w:p>
              </w:tc>
              <w:tc>
                <w:tcPr>
                  <w:tcW w:w="816" w:type="pct"/>
                  <w:tcBorders>
                    <w:tl2br w:val="nil"/>
                    <w:tr2bl w:val="nil"/>
                  </w:tcBorders>
                  <w:tcMar>
                    <w:left w:w="0" w:type="dxa"/>
                    <w:right w:w="0" w:type="dxa"/>
                  </w:tcMar>
                  <w:vAlign w:val="center"/>
                </w:tcPr>
                <w:p>
                  <w:pPr>
                    <w:snapToGrid w:val="0"/>
                    <w:spacing w:line="240" w:lineRule="auto"/>
                    <w:ind w:firstLine="0" w:firstLineChars="0"/>
                    <w:jc w:val="center"/>
                    <w:rPr>
                      <w:rFonts w:cs="Times New Roman"/>
                      <w:b/>
                      <w:color w:val="auto"/>
                      <w:sz w:val="21"/>
                      <w:szCs w:val="21"/>
                    </w:rPr>
                  </w:pPr>
                  <w:r>
                    <w:rPr>
                      <w:rFonts w:cs="Times New Roman"/>
                      <w:b/>
                      <w:color w:val="auto"/>
                      <w:sz w:val="21"/>
                      <w:szCs w:val="21"/>
                    </w:rPr>
                    <w:t>监测点位</w:t>
                  </w:r>
                </w:p>
              </w:tc>
              <w:tc>
                <w:tcPr>
                  <w:tcW w:w="813" w:type="pct"/>
                  <w:tcBorders>
                    <w:tl2br w:val="nil"/>
                    <w:tr2bl w:val="nil"/>
                  </w:tcBorders>
                  <w:tcMar>
                    <w:left w:w="0" w:type="dxa"/>
                    <w:right w:w="0" w:type="dxa"/>
                  </w:tcMar>
                  <w:vAlign w:val="center"/>
                </w:tcPr>
                <w:p>
                  <w:pPr>
                    <w:snapToGrid w:val="0"/>
                    <w:spacing w:line="240" w:lineRule="auto"/>
                    <w:ind w:firstLine="0" w:firstLineChars="0"/>
                    <w:jc w:val="center"/>
                    <w:rPr>
                      <w:rFonts w:cs="Times New Roman"/>
                      <w:b/>
                      <w:color w:val="auto"/>
                      <w:sz w:val="21"/>
                      <w:szCs w:val="21"/>
                    </w:rPr>
                  </w:pPr>
                  <w:r>
                    <w:rPr>
                      <w:rFonts w:cs="Times New Roman"/>
                      <w:b/>
                      <w:color w:val="auto"/>
                      <w:sz w:val="21"/>
                      <w:szCs w:val="21"/>
                    </w:rPr>
                    <w:t>监测项目</w:t>
                  </w:r>
                </w:p>
              </w:tc>
              <w:tc>
                <w:tcPr>
                  <w:tcW w:w="691" w:type="pct"/>
                  <w:tcBorders>
                    <w:tl2br w:val="nil"/>
                    <w:tr2bl w:val="nil"/>
                  </w:tcBorders>
                  <w:tcMar>
                    <w:left w:w="0" w:type="dxa"/>
                    <w:right w:w="0" w:type="dxa"/>
                  </w:tcMar>
                  <w:vAlign w:val="center"/>
                </w:tcPr>
                <w:p>
                  <w:pPr>
                    <w:snapToGrid w:val="0"/>
                    <w:spacing w:line="240" w:lineRule="auto"/>
                    <w:ind w:firstLine="0" w:firstLineChars="0"/>
                    <w:jc w:val="center"/>
                    <w:rPr>
                      <w:rFonts w:cs="Times New Roman"/>
                      <w:b/>
                      <w:color w:val="auto"/>
                      <w:sz w:val="21"/>
                      <w:szCs w:val="21"/>
                    </w:rPr>
                  </w:pPr>
                  <w:r>
                    <w:rPr>
                      <w:rFonts w:cs="Times New Roman"/>
                      <w:b/>
                      <w:color w:val="auto"/>
                      <w:sz w:val="21"/>
                      <w:szCs w:val="21"/>
                    </w:rPr>
                    <w:t>监测频次</w:t>
                  </w:r>
                </w:p>
              </w:tc>
              <w:tc>
                <w:tcPr>
                  <w:tcW w:w="1866" w:type="pct"/>
                  <w:tcBorders>
                    <w:tl2br w:val="nil"/>
                    <w:tr2bl w:val="nil"/>
                  </w:tcBorders>
                  <w:tcMar>
                    <w:left w:w="0" w:type="dxa"/>
                    <w:right w:w="0" w:type="dxa"/>
                  </w:tcMar>
                  <w:vAlign w:val="center"/>
                </w:tcPr>
                <w:p>
                  <w:pPr>
                    <w:snapToGrid w:val="0"/>
                    <w:spacing w:line="240" w:lineRule="auto"/>
                    <w:ind w:firstLine="0" w:firstLineChars="0"/>
                    <w:jc w:val="center"/>
                    <w:rPr>
                      <w:rFonts w:cs="Times New Roman"/>
                      <w:b/>
                      <w:color w:val="auto"/>
                      <w:sz w:val="21"/>
                      <w:szCs w:val="21"/>
                    </w:rPr>
                  </w:pPr>
                  <w:r>
                    <w:rPr>
                      <w:rFonts w:cs="Times New Roman"/>
                      <w:b/>
                      <w:color w:val="auto"/>
                      <w:sz w:val="21"/>
                      <w:szCs w:val="21"/>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814" w:type="pct"/>
                  <w:vMerge w:val="restart"/>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废气</w:t>
                  </w:r>
                </w:p>
              </w:tc>
              <w:tc>
                <w:tcPr>
                  <w:tcW w:w="816" w:type="pct"/>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氟化、闪蒸干燥（DA001、DA004）</w:t>
                  </w:r>
                </w:p>
              </w:tc>
              <w:tc>
                <w:tcPr>
                  <w:tcW w:w="813" w:type="pct"/>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颗粒物、二氧化硫、氮氧化物、氟化物</w:t>
                  </w:r>
                </w:p>
              </w:tc>
              <w:tc>
                <w:tcPr>
                  <w:tcW w:w="691" w:type="pct"/>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r>
                    <w:rPr>
                      <w:rFonts w:cs="Times New Roman"/>
                      <w:color w:val="auto"/>
                      <w:kern w:val="0"/>
                      <w:sz w:val="21"/>
                      <w:szCs w:val="21"/>
                      <w:lang w:bidi="ar"/>
                    </w:rPr>
                    <w:t>1次/年</w:t>
                  </w:r>
                </w:p>
              </w:tc>
              <w:tc>
                <w:tcPr>
                  <w:tcW w:w="1866" w:type="pct"/>
                  <w:vMerge w:val="restart"/>
                  <w:tcBorders>
                    <w:tl2br w:val="nil"/>
                    <w:tr2bl w:val="nil"/>
                  </w:tcBorders>
                  <w:tcMar>
                    <w:left w:w="0" w:type="dxa"/>
                    <w:right w:w="0" w:type="dxa"/>
                  </w:tcMar>
                  <w:vAlign w:val="center"/>
                </w:tcPr>
                <w:p>
                  <w:pPr>
                    <w:snapToGrid w:val="0"/>
                    <w:spacing w:line="240" w:lineRule="auto"/>
                    <w:ind w:firstLine="420"/>
                    <w:jc w:val="center"/>
                    <w:rPr>
                      <w:rFonts w:cs="Times New Roman"/>
                      <w:bCs/>
                      <w:color w:val="auto"/>
                      <w:sz w:val="21"/>
                      <w:szCs w:val="21"/>
                    </w:rPr>
                  </w:pPr>
                  <w:r>
                    <w:rPr>
                      <w:rFonts w:cs="Times New Roman"/>
                      <w:bCs/>
                      <w:color w:val="auto"/>
                      <w:sz w:val="21"/>
                      <w:szCs w:val="21"/>
                    </w:rPr>
                    <w:t>《稀土工业污染物排放标准》（GB26451-2011）中表5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814" w:type="pct"/>
                  <w:vMerge w:val="continue"/>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p>
              </w:tc>
              <w:tc>
                <w:tcPr>
                  <w:tcW w:w="816" w:type="pct"/>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电辊道窑、天然气辊道窑废气排气筒（DA002）</w:t>
                  </w:r>
                </w:p>
              </w:tc>
              <w:tc>
                <w:tcPr>
                  <w:tcW w:w="813" w:type="pct"/>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颗粒物、二氧化硫、氮氧化物、氟化物</w:t>
                  </w:r>
                </w:p>
              </w:tc>
              <w:tc>
                <w:tcPr>
                  <w:tcW w:w="691" w:type="pct"/>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r>
                    <w:rPr>
                      <w:rFonts w:cs="Times New Roman"/>
                      <w:color w:val="auto"/>
                      <w:kern w:val="0"/>
                      <w:sz w:val="21"/>
                      <w:szCs w:val="21"/>
                      <w:lang w:bidi="ar"/>
                    </w:rPr>
                    <w:t>1次/年</w:t>
                  </w:r>
                </w:p>
              </w:tc>
              <w:tc>
                <w:tcPr>
                  <w:tcW w:w="1866" w:type="pct"/>
                  <w:vMerge w:val="continue"/>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814" w:type="pct"/>
                  <w:vMerge w:val="continue"/>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p>
              </w:tc>
              <w:tc>
                <w:tcPr>
                  <w:tcW w:w="816" w:type="pct"/>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后加工阶段、喷雾干燥（DA003）</w:t>
                  </w:r>
                </w:p>
              </w:tc>
              <w:tc>
                <w:tcPr>
                  <w:tcW w:w="813" w:type="pct"/>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颗粒物、二氧化硫、氮氧化物</w:t>
                  </w:r>
                </w:p>
              </w:tc>
              <w:tc>
                <w:tcPr>
                  <w:tcW w:w="691" w:type="pct"/>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r>
                    <w:rPr>
                      <w:rFonts w:cs="Times New Roman"/>
                      <w:color w:val="auto"/>
                      <w:kern w:val="0"/>
                      <w:sz w:val="21"/>
                      <w:szCs w:val="21"/>
                      <w:lang w:bidi="ar"/>
                    </w:rPr>
                    <w:t>1次/年</w:t>
                  </w:r>
                </w:p>
              </w:tc>
              <w:tc>
                <w:tcPr>
                  <w:tcW w:w="1866" w:type="pct"/>
                  <w:vMerge w:val="continue"/>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814" w:type="pct"/>
                  <w:vMerge w:val="continue"/>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p>
              </w:tc>
              <w:tc>
                <w:tcPr>
                  <w:tcW w:w="816" w:type="pct"/>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天然气回转窑废气排气筒（DA005）</w:t>
                  </w:r>
                </w:p>
              </w:tc>
              <w:tc>
                <w:tcPr>
                  <w:tcW w:w="813" w:type="pct"/>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颗粒物、二氧化硫、氮氧化物、氟化物</w:t>
                  </w:r>
                </w:p>
              </w:tc>
              <w:tc>
                <w:tcPr>
                  <w:tcW w:w="691" w:type="pct"/>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r>
                    <w:rPr>
                      <w:rFonts w:cs="Times New Roman"/>
                      <w:color w:val="auto"/>
                      <w:kern w:val="0"/>
                      <w:sz w:val="21"/>
                      <w:szCs w:val="21"/>
                      <w:lang w:bidi="ar"/>
                    </w:rPr>
                    <w:t>1次/年</w:t>
                  </w:r>
                </w:p>
              </w:tc>
              <w:tc>
                <w:tcPr>
                  <w:tcW w:w="1866" w:type="pct"/>
                  <w:vMerge w:val="continue"/>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814" w:type="pct"/>
                  <w:vMerge w:val="continue"/>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p>
              </w:tc>
              <w:tc>
                <w:tcPr>
                  <w:tcW w:w="816" w:type="pct"/>
                  <w:vMerge w:val="restart"/>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天然气锅炉排气筒（DA006）</w:t>
                  </w:r>
                </w:p>
              </w:tc>
              <w:tc>
                <w:tcPr>
                  <w:tcW w:w="813" w:type="pct"/>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颗粒物</w:t>
                  </w:r>
                </w:p>
              </w:tc>
              <w:tc>
                <w:tcPr>
                  <w:tcW w:w="691" w:type="pct"/>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r>
                    <w:rPr>
                      <w:rFonts w:cs="Times New Roman"/>
                      <w:color w:val="auto"/>
                      <w:kern w:val="0"/>
                      <w:sz w:val="21"/>
                      <w:szCs w:val="21"/>
                      <w:lang w:bidi="ar"/>
                    </w:rPr>
                    <w:t>1次/年</w:t>
                  </w:r>
                </w:p>
              </w:tc>
              <w:tc>
                <w:tcPr>
                  <w:tcW w:w="1866" w:type="pct"/>
                  <w:vMerge w:val="restart"/>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《锅炉大气污染物排放标准》（GB13217-2014）中表2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814" w:type="pct"/>
                  <w:vMerge w:val="continue"/>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p>
              </w:tc>
              <w:tc>
                <w:tcPr>
                  <w:tcW w:w="816" w:type="pct"/>
                  <w:vMerge w:val="continue"/>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p>
              </w:tc>
              <w:tc>
                <w:tcPr>
                  <w:tcW w:w="813" w:type="pct"/>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二氧化硫</w:t>
                  </w:r>
                </w:p>
              </w:tc>
              <w:tc>
                <w:tcPr>
                  <w:tcW w:w="691" w:type="pct"/>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r>
                    <w:rPr>
                      <w:rFonts w:cs="Times New Roman"/>
                      <w:color w:val="auto"/>
                      <w:kern w:val="0"/>
                      <w:sz w:val="21"/>
                      <w:szCs w:val="21"/>
                      <w:lang w:bidi="ar"/>
                    </w:rPr>
                    <w:t>1次/年</w:t>
                  </w:r>
                </w:p>
              </w:tc>
              <w:tc>
                <w:tcPr>
                  <w:tcW w:w="1866" w:type="pct"/>
                  <w:vMerge w:val="continue"/>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814" w:type="pct"/>
                  <w:vMerge w:val="continue"/>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p>
              </w:tc>
              <w:tc>
                <w:tcPr>
                  <w:tcW w:w="816" w:type="pct"/>
                  <w:vMerge w:val="continue"/>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p>
              </w:tc>
              <w:tc>
                <w:tcPr>
                  <w:tcW w:w="813" w:type="pct"/>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林格曼黑度</w:t>
                  </w:r>
                </w:p>
              </w:tc>
              <w:tc>
                <w:tcPr>
                  <w:tcW w:w="691" w:type="pct"/>
                  <w:tcBorders>
                    <w:tl2br w:val="nil"/>
                    <w:tr2bl w:val="nil"/>
                  </w:tcBorders>
                  <w:tcMar>
                    <w:left w:w="0" w:type="dxa"/>
                    <w:right w:w="0" w:type="dxa"/>
                  </w:tcMar>
                  <w:vAlign w:val="center"/>
                </w:tcPr>
                <w:p>
                  <w:pPr>
                    <w:snapToGrid w:val="0"/>
                    <w:spacing w:line="240" w:lineRule="auto"/>
                    <w:ind w:firstLine="0" w:firstLineChars="0"/>
                    <w:jc w:val="center"/>
                    <w:rPr>
                      <w:rFonts w:cs="Times New Roman"/>
                      <w:color w:val="auto"/>
                      <w:kern w:val="0"/>
                      <w:sz w:val="21"/>
                      <w:szCs w:val="21"/>
                      <w:lang w:bidi="ar"/>
                    </w:rPr>
                  </w:pPr>
                  <w:r>
                    <w:rPr>
                      <w:rFonts w:cs="Times New Roman"/>
                      <w:color w:val="auto"/>
                      <w:kern w:val="0"/>
                      <w:sz w:val="21"/>
                      <w:szCs w:val="21"/>
                      <w:lang w:bidi="ar"/>
                    </w:rPr>
                    <w:t>1次/年</w:t>
                  </w:r>
                </w:p>
              </w:tc>
              <w:tc>
                <w:tcPr>
                  <w:tcW w:w="1866" w:type="pct"/>
                  <w:vMerge w:val="continue"/>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814" w:type="pct"/>
                  <w:vMerge w:val="continue"/>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p>
              </w:tc>
              <w:tc>
                <w:tcPr>
                  <w:tcW w:w="816" w:type="pct"/>
                  <w:vMerge w:val="continue"/>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p>
              </w:tc>
              <w:tc>
                <w:tcPr>
                  <w:tcW w:w="813" w:type="pct"/>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氮氧化物</w:t>
                  </w:r>
                </w:p>
              </w:tc>
              <w:tc>
                <w:tcPr>
                  <w:tcW w:w="691" w:type="pct"/>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r>
                    <w:rPr>
                      <w:rFonts w:cs="Times New Roman"/>
                      <w:color w:val="auto"/>
                      <w:kern w:val="0"/>
                      <w:sz w:val="21"/>
                      <w:szCs w:val="21"/>
                      <w:lang w:bidi="ar"/>
                    </w:rPr>
                    <w:t>1次/月</w:t>
                  </w:r>
                </w:p>
              </w:tc>
              <w:tc>
                <w:tcPr>
                  <w:tcW w:w="1866" w:type="pct"/>
                  <w:vMerge w:val="continue"/>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814" w:type="pct"/>
                  <w:vMerge w:val="continue"/>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p>
              </w:tc>
              <w:tc>
                <w:tcPr>
                  <w:tcW w:w="816" w:type="pct"/>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厂界四周</w:t>
                  </w:r>
                </w:p>
              </w:tc>
              <w:tc>
                <w:tcPr>
                  <w:tcW w:w="813" w:type="pct"/>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颗粒物、氟化物</w:t>
                  </w:r>
                </w:p>
              </w:tc>
              <w:tc>
                <w:tcPr>
                  <w:tcW w:w="691" w:type="pct"/>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每年1次</w:t>
                  </w:r>
                </w:p>
              </w:tc>
              <w:tc>
                <w:tcPr>
                  <w:tcW w:w="1866" w:type="pct"/>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《稀土工业污染物排放标准》（GB26451-2011）中表6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814" w:type="pct"/>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噪声</w:t>
                  </w:r>
                </w:p>
              </w:tc>
              <w:tc>
                <w:tcPr>
                  <w:tcW w:w="816" w:type="pct"/>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厂界四周</w:t>
                  </w:r>
                </w:p>
              </w:tc>
              <w:tc>
                <w:tcPr>
                  <w:tcW w:w="813" w:type="pct"/>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等效连续A声级</w:t>
                  </w:r>
                </w:p>
              </w:tc>
              <w:tc>
                <w:tcPr>
                  <w:tcW w:w="691" w:type="pct"/>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每季度一次</w:t>
                  </w:r>
                </w:p>
              </w:tc>
              <w:tc>
                <w:tcPr>
                  <w:tcW w:w="1866" w:type="pct"/>
                  <w:tcBorders>
                    <w:tl2br w:val="nil"/>
                    <w:tr2bl w:val="nil"/>
                  </w:tcBorders>
                  <w:tcMar>
                    <w:left w:w="0" w:type="dxa"/>
                    <w:right w:w="0" w:type="dxa"/>
                  </w:tcMar>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《工业企业厂界环境噪声排放标准》(GB12348-2008)3类标准</w:t>
                  </w:r>
                </w:p>
              </w:tc>
            </w:tr>
          </w:tbl>
          <w:p>
            <w:pPr>
              <w:ind w:firstLine="508" w:firstLineChars="211"/>
              <w:rPr>
                <w:rFonts w:cs="Times New Roman"/>
                <w:b/>
                <w:bCs/>
                <w:color w:val="auto"/>
                <w:szCs w:val="22"/>
              </w:rPr>
            </w:pPr>
            <w:r>
              <w:rPr>
                <w:rFonts w:cs="Times New Roman"/>
                <w:b/>
                <w:bCs/>
                <w:color w:val="auto"/>
                <w:szCs w:val="22"/>
              </w:rPr>
              <w:t>7、环保措施投资</w:t>
            </w:r>
          </w:p>
          <w:p>
            <w:pPr>
              <w:ind w:firstLine="480"/>
              <w:rPr>
                <w:rFonts w:cs="Times New Roman"/>
                <w:color w:val="auto"/>
              </w:rPr>
            </w:pPr>
            <w:r>
              <w:rPr>
                <w:rFonts w:cs="Times New Roman"/>
                <w:color w:val="auto"/>
              </w:rPr>
              <w:t>本项目总投资3500万元，环保投资为</w:t>
            </w:r>
            <w:r>
              <w:rPr>
                <w:rFonts w:hint="eastAsia" w:cs="Times New Roman"/>
                <w:color w:val="auto"/>
                <w:lang w:val="en-US" w:eastAsia="zh-CN"/>
              </w:rPr>
              <w:t>60</w:t>
            </w:r>
            <w:r>
              <w:rPr>
                <w:rFonts w:cs="Times New Roman"/>
                <w:color w:val="auto"/>
              </w:rPr>
              <w:t>万元，环保投资比例为</w:t>
            </w:r>
            <w:r>
              <w:rPr>
                <w:rFonts w:hint="eastAsia" w:cs="Times New Roman"/>
                <w:color w:val="auto"/>
                <w:lang w:val="en-US" w:eastAsia="zh-CN"/>
              </w:rPr>
              <w:t>1.72</w:t>
            </w:r>
            <w:r>
              <w:rPr>
                <w:rFonts w:cs="Times New Roman"/>
                <w:color w:val="auto"/>
              </w:rPr>
              <w:t>%。环保投资一览表见表4-24。</w:t>
            </w:r>
          </w:p>
          <w:p>
            <w:pPr>
              <w:widowControl/>
              <w:ind w:firstLine="482"/>
              <w:jc w:val="center"/>
              <w:rPr>
                <w:rFonts w:cs="Times New Roman"/>
                <w:b/>
                <w:bCs/>
                <w:color w:val="auto"/>
              </w:rPr>
            </w:pPr>
            <w:r>
              <w:rPr>
                <w:rFonts w:cs="Times New Roman"/>
                <w:b/>
                <w:bCs/>
                <w:color w:val="auto"/>
              </w:rPr>
              <w:t>表4-24环保投资表</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101"/>
              <w:gridCol w:w="1101"/>
              <w:gridCol w:w="2280"/>
              <w:gridCol w:w="2018"/>
              <w:gridCol w:w="934"/>
              <w:gridCol w:w="910"/>
              <w:gridCol w:w="103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87" w:type="pct"/>
                  <w:tcBorders>
                    <w:tl2br w:val="nil"/>
                    <w:tr2bl w:val="nil"/>
                  </w:tcBorders>
                  <w:vAlign w:val="center"/>
                </w:tcPr>
                <w:p>
                  <w:pPr>
                    <w:snapToGrid w:val="0"/>
                    <w:spacing w:line="240" w:lineRule="auto"/>
                    <w:ind w:firstLine="0" w:firstLineChars="0"/>
                    <w:jc w:val="center"/>
                    <w:rPr>
                      <w:rFonts w:cs="Times New Roman"/>
                      <w:b/>
                      <w:color w:val="auto"/>
                      <w:sz w:val="21"/>
                      <w:szCs w:val="21"/>
                    </w:rPr>
                  </w:pPr>
                  <w:r>
                    <w:rPr>
                      <w:rFonts w:cs="Times New Roman"/>
                      <w:b/>
                      <w:color w:val="auto"/>
                      <w:sz w:val="21"/>
                      <w:szCs w:val="21"/>
                    </w:rPr>
                    <w:t>序号</w:t>
                  </w:r>
                </w:p>
              </w:tc>
              <w:tc>
                <w:tcPr>
                  <w:tcW w:w="587" w:type="pct"/>
                  <w:tcBorders>
                    <w:tl2br w:val="nil"/>
                    <w:tr2bl w:val="nil"/>
                  </w:tcBorders>
                  <w:vAlign w:val="center"/>
                </w:tcPr>
                <w:p>
                  <w:pPr>
                    <w:snapToGrid w:val="0"/>
                    <w:spacing w:line="240" w:lineRule="auto"/>
                    <w:ind w:firstLine="0" w:firstLineChars="0"/>
                    <w:jc w:val="center"/>
                    <w:rPr>
                      <w:rFonts w:cs="Times New Roman"/>
                      <w:b/>
                      <w:color w:val="auto"/>
                      <w:sz w:val="21"/>
                      <w:szCs w:val="21"/>
                    </w:rPr>
                  </w:pPr>
                  <w:r>
                    <w:rPr>
                      <w:rFonts w:cs="Times New Roman"/>
                      <w:b/>
                      <w:color w:val="auto"/>
                      <w:sz w:val="21"/>
                      <w:szCs w:val="21"/>
                    </w:rPr>
                    <w:t>类别</w:t>
                  </w:r>
                </w:p>
              </w:tc>
              <w:tc>
                <w:tcPr>
                  <w:tcW w:w="1216" w:type="pct"/>
                  <w:tcBorders>
                    <w:tl2br w:val="nil"/>
                    <w:tr2bl w:val="nil"/>
                  </w:tcBorders>
                  <w:vAlign w:val="center"/>
                </w:tcPr>
                <w:p>
                  <w:pPr>
                    <w:snapToGrid w:val="0"/>
                    <w:spacing w:line="240" w:lineRule="auto"/>
                    <w:ind w:firstLine="0" w:firstLineChars="0"/>
                    <w:jc w:val="center"/>
                    <w:rPr>
                      <w:rFonts w:cs="Times New Roman"/>
                      <w:b/>
                      <w:color w:val="auto"/>
                      <w:sz w:val="21"/>
                      <w:szCs w:val="21"/>
                    </w:rPr>
                  </w:pPr>
                  <w:r>
                    <w:rPr>
                      <w:rFonts w:cs="Times New Roman"/>
                      <w:b/>
                      <w:color w:val="auto"/>
                      <w:sz w:val="21"/>
                      <w:szCs w:val="21"/>
                    </w:rPr>
                    <w:t>污染源</w:t>
                  </w:r>
                </w:p>
              </w:tc>
              <w:tc>
                <w:tcPr>
                  <w:tcW w:w="1076" w:type="pct"/>
                  <w:tcBorders>
                    <w:tl2br w:val="nil"/>
                    <w:tr2bl w:val="nil"/>
                  </w:tcBorders>
                  <w:vAlign w:val="center"/>
                </w:tcPr>
                <w:p>
                  <w:pPr>
                    <w:snapToGrid w:val="0"/>
                    <w:spacing w:line="240" w:lineRule="auto"/>
                    <w:ind w:firstLine="0" w:firstLineChars="0"/>
                    <w:jc w:val="center"/>
                    <w:rPr>
                      <w:rFonts w:cs="Times New Roman"/>
                      <w:b/>
                      <w:color w:val="auto"/>
                      <w:sz w:val="21"/>
                      <w:szCs w:val="21"/>
                    </w:rPr>
                  </w:pPr>
                  <w:r>
                    <w:rPr>
                      <w:rFonts w:cs="Times New Roman"/>
                      <w:b/>
                      <w:color w:val="auto"/>
                      <w:sz w:val="21"/>
                      <w:szCs w:val="21"/>
                    </w:rPr>
                    <w:t>环保设备名称</w:t>
                  </w:r>
                </w:p>
              </w:tc>
              <w:tc>
                <w:tcPr>
                  <w:tcW w:w="498" w:type="pct"/>
                  <w:tcBorders>
                    <w:tl2br w:val="nil"/>
                    <w:tr2bl w:val="nil"/>
                  </w:tcBorders>
                  <w:vAlign w:val="center"/>
                </w:tcPr>
                <w:p>
                  <w:pPr>
                    <w:snapToGrid w:val="0"/>
                    <w:spacing w:line="240" w:lineRule="auto"/>
                    <w:ind w:firstLine="0" w:firstLineChars="0"/>
                    <w:jc w:val="center"/>
                    <w:rPr>
                      <w:rFonts w:cs="Times New Roman"/>
                      <w:b/>
                      <w:color w:val="auto"/>
                      <w:sz w:val="21"/>
                      <w:szCs w:val="21"/>
                    </w:rPr>
                  </w:pPr>
                  <w:r>
                    <w:rPr>
                      <w:rFonts w:cs="Times New Roman"/>
                      <w:b/>
                      <w:color w:val="auto"/>
                      <w:sz w:val="21"/>
                      <w:szCs w:val="21"/>
                    </w:rPr>
                    <w:t>单位</w:t>
                  </w:r>
                </w:p>
              </w:tc>
              <w:tc>
                <w:tcPr>
                  <w:tcW w:w="483" w:type="pct"/>
                  <w:tcBorders>
                    <w:tl2br w:val="nil"/>
                    <w:tr2bl w:val="nil"/>
                  </w:tcBorders>
                  <w:vAlign w:val="center"/>
                </w:tcPr>
                <w:p>
                  <w:pPr>
                    <w:snapToGrid w:val="0"/>
                    <w:spacing w:line="240" w:lineRule="auto"/>
                    <w:ind w:firstLine="0" w:firstLineChars="0"/>
                    <w:jc w:val="center"/>
                    <w:rPr>
                      <w:rFonts w:cs="Times New Roman"/>
                      <w:b/>
                      <w:color w:val="auto"/>
                      <w:sz w:val="21"/>
                      <w:szCs w:val="21"/>
                    </w:rPr>
                  </w:pPr>
                  <w:r>
                    <w:rPr>
                      <w:rFonts w:cs="Times New Roman"/>
                      <w:b/>
                      <w:color w:val="auto"/>
                      <w:sz w:val="21"/>
                      <w:szCs w:val="21"/>
                    </w:rPr>
                    <w:t>数量</w:t>
                  </w:r>
                </w:p>
              </w:tc>
              <w:tc>
                <w:tcPr>
                  <w:tcW w:w="550" w:type="pct"/>
                  <w:tcBorders>
                    <w:tl2br w:val="nil"/>
                    <w:tr2bl w:val="nil"/>
                  </w:tcBorders>
                  <w:vAlign w:val="center"/>
                </w:tcPr>
                <w:p>
                  <w:pPr>
                    <w:snapToGrid w:val="0"/>
                    <w:spacing w:line="240" w:lineRule="auto"/>
                    <w:ind w:firstLine="0" w:firstLineChars="0"/>
                    <w:jc w:val="center"/>
                    <w:rPr>
                      <w:rFonts w:cs="Times New Roman"/>
                      <w:b/>
                      <w:color w:val="auto"/>
                      <w:sz w:val="21"/>
                      <w:szCs w:val="21"/>
                    </w:rPr>
                  </w:pPr>
                  <w:r>
                    <w:rPr>
                      <w:rFonts w:cs="Times New Roman"/>
                      <w:b/>
                      <w:color w:val="auto"/>
                      <w:sz w:val="21"/>
                      <w:szCs w:val="21"/>
                    </w:rPr>
                    <w:t>投资（万元）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87" w:type="pct"/>
                  <w:vMerge w:val="restar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1</w:t>
                  </w:r>
                </w:p>
              </w:tc>
              <w:tc>
                <w:tcPr>
                  <w:tcW w:w="587" w:type="pct"/>
                  <w:vMerge w:val="restar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废气</w:t>
                  </w:r>
                </w:p>
              </w:tc>
              <w:tc>
                <w:tcPr>
                  <w:tcW w:w="1216"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氟化、闪蒸干燥</w:t>
                  </w:r>
                </w:p>
              </w:tc>
              <w:tc>
                <w:tcPr>
                  <w:tcW w:w="1076"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集气罩+碱喷淋塔</w:t>
                  </w:r>
                </w:p>
              </w:tc>
              <w:tc>
                <w:tcPr>
                  <w:tcW w:w="498"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台</w:t>
                  </w:r>
                </w:p>
              </w:tc>
              <w:tc>
                <w:tcPr>
                  <w:tcW w:w="483"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2（一期二期各1台）</w:t>
                  </w:r>
                </w:p>
              </w:tc>
              <w:tc>
                <w:tcPr>
                  <w:tcW w:w="550"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87" w:type="pct"/>
                  <w:vMerge w:val="continue"/>
                  <w:tcBorders>
                    <w:tl2br w:val="nil"/>
                    <w:tr2bl w:val="nil"/>
                  </w:tcBorders>
                  <w:vAlign w:val="center"/>
                </w:tcPr>
                <w:p>
                  <w:pPr>
                    <w:snapToGrid w:val="0"/>
                    <w:spacing w:line="240" w:lineRule="auto"/>
                    <w:ind w:firstLine="0" w:firstLineChars="0"/>
                    <w:jc w:val="center"/>
                    <w:rPr>
                      <w:rFonts w:cs="Times New Roman"/>
                      <w:bCs/>
                      <w:color w:val="auto"/>
                      <w:sz w:val="21"/>
                      <w:szCs w:val="21"/>
                    </w:rPr>
                  </w:pPr>
                </w:p>
              </w:tc>
              <w:tc>
                <w:tcPr>
                  <w:tcW w:w="587" w:type="pct"/>
                  <w:vMerge w:val="continue"/>
                  <w:tcBorders>
                    <w:tl2br w:val="nil"/>
                    <w:tr2bl w:val="nil"/>
                  </w:tcBorders>
                  <w:vAlign w:val="center"/>
                </w:tcPr>
                <w:p>
                  <w:pPr>
                    <w:snapToGrid w:val="0"/>
                    <w:spacing w:line="240" w:lineRule="auto"/>
                    <w:ind w:firstLine="0" w:firstLineChars="0"/>
                    <w:jc w:val="center"/>
                    <w:rPr>
                      <w:rFonts w:cs="Times New Roman"/>
                      <w:bCs/>
                      <w:color w:val="auto"/>
                      <w:sz w:val="21"/>
                      <w:szCs w:val="21"/>
                    </w:rPr>
                  </w:pPr>
                </w:p>
              </w:tc>
              <w:tc>
                <w:tcPr>
                  <w:tcW w:w="1216"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天然气辊道窑、电辊道窑</w:t>
                  </w:r>
                </w:p>
              </w:tc>
              <w:tc>
                <w:tcPr>
                  <w:tcW w:w="1076"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集气罩+碱喷淋塔</w:t>
                  </w:r>
                </w:p>
              </w:tc>
              <w:tc>
                <w:tcPr>
                  <w:tcW w:w="498"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台</w:t>
                  </w:r>
                </w:p>
              </w:tc>
              <w:tc>
                <w:tcPr>
                  <w:tcW w:w="483"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1</w:t>
                  </w:r>
                </w:p>
              </w:tc>
              <w:tc>
                <w:tcPr>
                  <w:tcW w:w="550"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87" w:type="pct"/>
                  <w:vMerge w:val="continue"/>
                  <w:tcBorders>
                    <w:tl2br w:val="nil"/>
                    <w:tr2bl w:val="nil"/>
                  </w:tcBorders>
                  <w:vAlign w:val="center"/>
                </w:tcPr>
                <w:p>
                  <w:pPr>
                    <w:snapToGrid w:val="0"/>
                    <w:spacing w:line="240" w:lineRule="auto"/>
                    <w:ind w:firstLine="0" w:firstLineChars="0"/>
                    <w:jc w:val="center"/>
                    <w:rPr>
                      <w:rFonts w:cs="Times New Roman"/>
                      <w:bCs/>
                      <w:color w:val="auto"/>
                      <w:sz w:val="21"/>
                      <w:szCs w:val="21"/>
                    </w:rPr>
                  </w:pPr>
                </w:p>
              </w:tc>
              <w:tc>
                <w:tcPr>
                  <w:tcW w:w="587" w:type="pct"/>
                  <w:vMerge w:val="continue"/>
                  <w:tcBorders>
                    <w:tl2br w:val="nil"/>
                    <w:tr2bl w:val="nil"/>
                  </w:tcBorders>
                  <w:vAlign w:val="center"/>
                </w:tcPr>
                <w:p>
                  <w:pPr>
                    <w:snapToGrid w:val="0"/>
                    <w:spacing w:line="240" w:lineRule="auto"/>
                    <w:ind w:firstLine="0" w:firstLineChars="0"/>
                    <w:jc w:val="center"/>
                    <w:rPr>
                      <w:rFonts w:cs="Times New Roman"/>
                      <w:bCs/>
                      <w:color w:val="auto"/>
                      <w:sz w:val="21"/>
                      <w:szCs w:val="21"/>
                    </w:rPr>
                  </w:pPr>
                </w:p>
              </w:tc>
              <w:tc>
                <w:tcPr>
                  <w:tcW w:w="1216"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后加工阶段、喷雾干燥</w:t>
                  </w:r>
                </w:p>
              </w:tc>
              <w:tc>
                <w:tcPr>
                  <w:tcW w:w="1076"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集气罩+布袋除尘器</w:t>
                  </w:r>
                </w:p>
              </w:tc>
              <w:tc>
                <w:tcPr>
                  <w:tcW w:w="498"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台</w:t>
                  </w:r>
                </w:p>
              </w:tc>
              <w:tc>
                <w:tcPr>
                  <w:tcW w:w="483"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1</w:t>
                  </w:r>
                </w:p>
              </w:tc>
              <w:tc>
                <w:tcPr>
                  <w:tcW w:w="550"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87" w:type="pct"/>
                  <w:vMerge w:val="continue"/>
                  <w:tcBorders>
                    <w:tl2br w:val="nil"/>
                    <w:tr2bl w:val="nil"/>
                  </w:tcBorders>
                  <w:vAlign w:val="center"/>
                </w:tcPr>
                <w:p>
                  <w:pPr>
                    <w:snapToGrid w:val="0"/>
                    <w:spacing w:line="240" w:lineRule="auto"/>
                    <w:ind w:firstLine="0" w:firstLineChars="0"/>
                    <w:jc w:val="center"/>
                    <w:rPr>
                      <w:rFonts w:cs="Times New Roman"/>
                      <w:bCs/>
                      <w:color w:val="auto"/>
                      <w:sz w:val="21"/>
                      <w:szCs w:val="21"/>
                    </w:rPr>
                  </w:pPr>
                </w:p>
              </w:tc>
              <w:tc>
                <w:tcPr>
                  <w:tcW w:w="587" w:type="pct"/>
                  <w:vMerge w:val="continue"/>
                  <w:tcBorders>
                    <w:tl2br w:val="nil"/>
                    <w:tr2bl w:val="nil"/>
                  </w:tcBorders>
                  <w:vAlign w:val="center"/>
                </w:tcPr>
                <w:p>
                  <w:pPr>
                    <w:snapToGrid w:val="0"/>
                    <w:spacing w:line="240" w:lineRule="auto"/>
                    <w:ind w:firstLine="0" w:firstLineChars="0"/>
                    <w:jc w:val="center"/>
                    <w:rPr>
                      <w:rFonts w:cs="Times New Roman"/>
                      <w:bCs/>
                      <w:color w:val="auto"/>
                      <w:sz w:val="21"/>
                      <w:szCs w:val="21"/>
                    </w:rPr>
                  </w:pPr>
                </w:p>
              </w:tc>
              <w:tc>
                <w:tcPr>
                  <w:tcW w:w="1216"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天然气回转窑</w:t>
                  </w:r>
                </w:p>
              </w:tc>
              <w:tc>
                <w:tcPr>
                  <w:tcW w:w="1076"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集气罩+碱喷淋塔</w:t>
                  </w:r>
                </w:p>
              </w:tc>
              <w:tc>
                <w:tcPr>
                  <w:tcW w:w="498"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台</w:t>
                  </w:r>
                </w:p>
              </w:tc>
              <w:tc>
                <w:tcPr>
                  <w:tcW w:w="483"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1</w:t>
                  </w:r>
                </w:p>
              </w:tc>
              <w:tc>
                <w:tcPr>
                  <w:tcW w:w="550"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87" w:type="pct"/>
                  <w:vMerge w:val="continue"/>
                  <w:tcBorders>
                    <w:tl2br w:val="nil"/>
                    <w:tr2bl w:val="nil"/>
                  </w:tcBorders>
                  <w:vAlign w:val="center"/>
                </w:tcPr>
                <w:p>
                  <w:pPr>
                    <w:snapToGrid w:val="0"/>
                    <w:spacing w:line="240" w:lineRule="auto"/>
                    <w:ind w:firstLine="0" w:firstLineChars="0"/>
                    <w:jc w:val="center"/>
                    <w:rPr>
                      <w:rFonts w:cs="Times New Roman"/>
                      <w:bCs/>
                      <w:color w:val="auto"/>
                      <w:sz w:val="21"/>
                      <w:szCs w:val="21"/>
                    </w:rPr>
                  </w:pPr>
                </w:p>
              </w:tc>
              <w:tc>
                <w:tcPr>
                  <w:tcW w:w="587" w:type="pct"/>
                  <w:vMerge w:val="continue"/>
                  <w:tcBorders>
                    <w:tl2br w:val="nil"/>
                    <w:tr2bl w:val="nil"/>
                  </w:tcBorders>
                  <w:vAlign w:val="center"/>
                </w:tcPr>
                <w:p>
                  <w:pPr>
                    <w:snapToGrid w:val="0"/>
                    <w:spacing w:line="240" w:lineRule="auto"/>
                    <w:ind w:firstLine="0" w:firstLineChars="0"/>
                    <w:jc w:val="center"/>
                    <w:rPr>
                      <w:rFonts w:cs="Times New Roman"/>
                      <w:bCs/>
                      <w:color w:val="auto"/>
                      <w:sz w:val="21"/>
                      <w:szCs w:val="21"/>
                    </w:rPr>
                  </w:pPr>
                </w:p>
              </w:tc>
              <w:tc>
                <w:tcPr>
                  <w:tcW w:w="1216"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天然气锅炉</w:t>
                  </w:r>
                </w:p>
              </w:tc>
              <w:tc>
                <w:tcPr>
                  <w:tcW w:w="1076"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color w:val="auto"/>
                      <w:sz w:val="21"/>
                      <w:szCs w:val="21"/>
                    </w:rPr>
                    <w:t>低氮燃烧器</w:t>
                  </w:r>
                </w:p>
              </w:tc>
              <w:tc>
                <w:tcPr>
                  <w:tcW w:w="498"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台</w:t>
                  </w:r>
                </w:p>
              </w:tc>
              <w:tc>
                <w:tcPr>
                  <w:tcW w:w="483"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2</w:t>
                  </w:r>
                </w:p>
              </w:tc>
              <w:tc>
                <w:tcPr>
                  <w:tcW w:w="550"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87"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2</w:t>
                  </w:r>
                </w:p>
              </w:tc>
              <w:tc>
                <w:tcPr>
                  <w:tcW w:w="587"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噪声</w:t>
                  </w:r>
                </w:p>
              </w:tc>
              <w:tc>
                <w:tcPr>
                  <w:tcW w:w="1216"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生产设备</w:t>
                  </w:r>
                </w:p>
              </w:tc>
              <w:tc>
                <w:tcPr>
                  <w:tcW w:w="1076"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减振、隔声、加强设备维护</w:t>
                  </w:r>
                </w:p>
              </w:tc>
              <w:tc>
                <w:tcPr>
                  <w:tcW w:w="498"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w:t>
                  </w:r>
                </w:p>
              </w:tc>
              <w:tc>
                <w:tcPr>
                  <w:tcW w:w="483"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w:t>
                  </w:r>
                </w:p>
              </w:tc>
              <w:tc>
                <w:tcPr>
                  <w:tcW w:w="550"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87" w:type="pct"/>
                  <w:tcBorders>
                    <w:tl2br w:val="nil"/>
                    <w:tr2bl w:val="nil"/>
                  </w:tcBorders>
                  <w:vAlign w:val="center"/>
                </w:tcPr>
                <w:p>
                  <w:pPr>
                    <w:snapToGrid w:val="0"/>
                    <w:spacing w:line="240" w:lineRule="auto"/>
                    <w:ind w:firstLine="0" w:firstLineChars="0"/>
                    <w:jc w:val="center"/>
                    <w:rPr>
                      <w:rFonts w:hint="eastAsia" w:eastAsia="宋体" w:cs="Times New Roman"/>
                      <w:bCs/>
                      <w:color w:val="auto"/>
                      <w:sz w:val="21"/>
                      <w:szCs w:val="21"/>
                      <w:lang w:val="en-US" w:eastAsia="zh-CN"/>
                    </w:rPr>
                  </w:pPr>
                  <w:r>
                    <w:rPr>
                      <w:rFonts w:hint="eastAsia" w:cs="Times New Roman"/>
                      <w:bCs/>
                      <w:color w:val="auto"/>
                      <w:sz w:val="21"/>
                      <w:szCs w:val="21"/>
                      <w:lang w:val="en-US" w:eastAsia="zh-CN"/>
                    </w:rPr>
                    <w:t>3</w:t>
                  </w:r>
                </w:p>
              </w:tc>
              <w:tc>
                <w:tcPr>
                  <w:tcW w:w="587" w:type="pct"/>
                  <w:tcBorders>
                    <w:tl2br w:val="nil"/>
                    <w:tr2bl w:val="nil"/>
                  </w:tcBorders>
                  <w:vAlign w:val="center"/>
                </w:tcPr>
                <w:p>
                  <w:pPr>
                    <w:snapToGrid w:val="0"/>
                    <w:spacing w:line="240" w:lineRule="auto"/>
                    <w:ind w:firstLine="0" w:firstLineChars="0"/>
                    <w:jc w:val="center"/>
                    <w:rPr>
                      <w:rFonts w:hint="eastAsia" w:eastAsia="宋体" w:cs="Times New Roman"/>
                      <w:bCs/>
                      <w:color w:val="auto"/>
                      <w:sz w:val="21"/>
                      <w:szCs w:val="21"/>
                      <w:lang w:val="en-US" w:eastAsia="zh-CN"/>
                    </w:rPr>
                  </w:pPr>
                  <w:r>
                    <w:rPr>
                      <w:rFonts w:hint="eastAsia" w:cs="Times New Roman"/>
                      <w:bCs/>
                      <w:color w:val="auto"/>
                      <w:sz w:val="21"/>
                      <w:szCs w:val="21"/>
                      <w:lang w:val="en-US" w:eastAsia="zh-CN"/>
                    </w:rPr>
                    <w:t>防渗</w:t>
                  </w:r>
                </w:p>
              </w:tc>
              <w:tc>
                <w:tcPr>
                  <w:tcW w:w="3273" w:type="pct"/>
                  <w:gridSpan w:val="4"/>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hint="eastAsia" w:cs="Times New Roman"/>
                      <w:bCs/>
                      <w:color w:val="auto"/>
                      <w:sz w:val="21"/>
                      <w:szCs w:val="21"/>
                    </w:rPr>
                    <w:t>氢氟酸采用桶装，设置1个1t规格大小的桶，并设置150mm围堰，设置1个容积为10m</w:t>
                  </w:r>
                  <w:r>
                    <w:rPr>
                      <w:rFonts w:hint="eastAsia" w:cs="Times New Roman"/>
                      <w:bCs/>
                      <w:color w:val="auto"/>
                      <w:sz w:val="21"/>
                      <w:szCs w:val="21"/>
                      <w:vertAlign w:val="superscript"/>
                    </w:rPr>
                    <w:t>3</w:t>
                  </w:r>
                  <w:r>
                    <w:rPr>
                      <w:rFonts w:hint="eastAsia" w:cs="Times New Roman"/>
                      <w:bCs/>
                      <w:color w:val="auto"/>
                      <w:sz w:val="21"/>
                      <w:szCs w:val="21"/>
                    </w:rPr>
                    <w:t>的事故罐，用于事故状态下氢氟酸泄漏收集，并在事故罐顶部设置集气装置，将挥发的废气引至喷淋塔处理；氢氟酸原料储存区域按照重点防渗、防腐要求，要求为等效黏土防渗层Mb≥6m，K≤1×10</w:t>
                  </w:r>
                  <w:r>
                    <w:rPr>
                      <w:rFonts w:hint="eastAsia" w:cs="Times New Roman"/>
                      <w:bCs/>
                      <w:color w:val="auto"/>
                      <w:sz w:val="21"/>
                      <w:szCs w:val="21"/>
                      <w:vertAlign w:val="superscript"/>
                    </w:rPr>
                    <w:t>-</w:t>
                  </w:r>
                  <w:bookmarkStart w:id="105" w:name="_GoBack"/>
                  <w:bookmarkEnd w:id="105"/>
                  <w:r>
                    <w:rPr>
                      <w:rFonts w:hint="eastAsia" w:cs="Times New Roman"/>
                      <w:bCs/>
                      <w:color w:val="auto"/>
                      <w:sz w:val="21"/>
                      <w:szCs w:val="21"/>
                      <w:vertAlign w:val="superscript"/>
                    </w:rPr>
                    <w:t>7</w:t>
                  </w:r>
                  <w:r>
                    <w:rPr>
                      <w:rFonts w:hint="eastAsia" w:cs="Times New Roman"/>
                      <w:bCs/>
                      <w:color w:val="auto"/>
                      <w:sz w:val="21"/>
                      <w:szCs w:val="21"/>
                    </w:rPr>
                    <w:t>cm/s。</w:t>
                  </w:r>
                </w:p>
              </w:tc>
              <w:tc>
                <w:tcPr>
                  <w:tcW w:w="550" w:type="pct"/>
                  <w:tcBorders>
                    <w:tl2br w:val="nil"/>
                    <w:tr2bl w:val="nil"/>
                  </w:tcBorders>
                  <w:vAlign w:val="center"/>
                </w:tcPr>
                <w:p>
                  <w:pPr>
                    <w:snapToGrid w:val="0"/>
                    <w:spacing w:line="240" w:lineRule="auto"/>
                    <w:ind w:firstLine="0" w:firstLineChars="0"/>
                    <w:jc w:val="center"/>
                    <w:rPr>
                      <w:rFonts w:hint="eastAsia" w:eastAsia="宋体" w:cs="Times New Roman"/>
                      <w:bCs/>
                      <w:color w:val="auto"/>
                      <w:sz w:val="21"/>
                      <w:szCs w:val="21"/>
                      <w:lang w:val="en-US" w:eastAsia="zh-CN"/>
                    </w:rPr>
                  </w:pPr>
                  <w:r>
                    <w:rPr>
                      <w:rFonts w:hint="eastAsia" w:cs="Times New Roman"/>
                      <w:bCs/>
                      <w:color w:val="auto"/>
                      <w:sz w:val="21"/>
                      <w:szCs w:val="21"/>
                      <w:lang w:val="en-US" w:eastAsia="zh-CN"/>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449" w:type="pct"/>
                  <w:gridSpan w:val="6"/>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合计</w:t>
                  </w:r>
                </w:p>
              </w:tc>
              <w:tc>
                <w:tcPr>
                  <w:tcW w:w="550" w:type="pct"/>
                  <w:tcBorders>
                    <w:tl2br w:val="nil"/>
                    <w:tr2bl w:val="nil"/>
                  </w:tcBorders>
                  <w:vAlign w:val="center"/>
                </w:tcPr>
                <w:p>
                  <w:pPr>
                    <w:snapToGrid w:val="0"/>
                    <w:spacing w:line="240" w:lineRule="auto"/>
                    <w:ind w:firstLine="0" w:firstLineChars="0"/>
                    <w:jc w:val="center"/>
                    <w:rPr>
                      <w:rFonts w:hint="default" w:eastAsia="宋体" w:cs="Times New Roman"/>
                      <w:bCs/>
                      <w:color w:val="auto"/>
                      <w:sz w:val="21"/>
                      <w:szCs w:val="21"/>
                      <w:lang w:val="en-US" w:eastAsia="zh-CN"/>
                    </w:rPr>
                  </w:pPr>
                  <w:r>
                    <w:rPr>
                      <w:rFonts w:hint="eastAsia" w:cs="Times New Roman"/>
                      <w:bCs/>
                      <w:color w:val="auto"/>
                      <w:sz w:val="21"/>
                      <w:szCs w:val="21"/>
                      <w:lang w:val="en-US" w:eastAsia="zh-CN"/>
                    </w:rPr>
                    <w:t>60</w:t>
                  </w:r>
                </w:p>
              </w:tc>
            </w:tr>
          </w:tbl>
          <w:p>
            <w:pPr>
              <w:ind w:firstLine="482"/>
              <w:rPr>
                <w:rFonts w:cs="Times New Roman"/>
                <w:b/>
                <w:bCs/>
                <w:color w:val="auto"/>
                <w:szCs w:val="22"/>
              </w:rPr>
            </w:pPr>
            <w:r>
              <w:rPr>
                <w:rFonts w:cs="Times New Roman"/>
                <w:b/>
                <w:bCs/>
                <w:color w:val="auto"/>
                <w:szCs w:val="22"/>
              </w:rPr>
              <w:t>8、“三同时”验收一览表</w:t>
            </w:r>
          </w:p>
          <w:p>
            <w:pPr>
              <w:ind w:firstLine="480"/>
              <w:rPr>
                <w:rFonts w:cs="Times New Roman"/>
                <w:color w:val="auto"/>
                <w:szCs w:val="22"/>
              </w:rPr>
            </w:pPr>
            <w:r>
              <w:rPr>
                <w:rFonts w:cs="Times New Roman"/>
                <w:color w:val="auto"/>
                <w:szCs w:val="22"/>
              </w:rPr>
              <w:t>本项目竣工环保验收见表4-25。</w:t>
            </w:r>
          </w:p>
          <w:p>
            <w:pPr>
              <w:ind w:firstLine="0" w:firstLineChars="0"/>
              <w:jc w:val="center"/>
              <w:rPr>
                <w:rFonts w:cs="Times New Roman"/>
                <w:b/>
                <w:bCs/>
                <w:color w:val="auto"/>
                <w:szCs w:val="22"/>
              </w:rPr>
            </w:pPr>
            <w:r>
              <w:rPr>
                <w:rFonts w:cs="Times New Roman"/>
                <w:b/>
                <w:bCs/>
                <w:color w:val="auto"/>
                <w:szCs w:val="22"/>
              </w:rPr>
              <w:t>表4-25环境保护“三同时”验收一览表</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772"/>
              <w:gridCol w:w="933"/>
              <w:gridCol w:w="1088"/>
              <w:gridCol w:w="1243"/>
              <w:gridCol w:w="1088"/>
              <w:gridCol w:w="932"/>
              <w:gridCol w:w="1086"/>
              <w:gridCol w:w="223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2"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类别</w:t>
                  </w:r>
                </w:p>
              </w:tc>
              <w:tc>
                <w:tcPr>
                  <w:tcW w:w="498"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污染源</w:t>
                  </w:r>
                </w:p>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名称</w:t>
                  </w:r>
                </w:p>
              </w:tc>
              <w:tc>
                <w:tcPr>
                  <w:tcW w:w="580"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监测点位</w:t>
                  </w:r>
                </w:p>
              </w:tc>
              <w:tc>
                <w:tcPr>
                  <w:tcW w:w="663"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污染物</w:t>
                  </w:r>
                </w:p>
              </w:tc>
              <w:tc>
                <w:tcPr>
                  <w:tcW w:w="580"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监测频次</w:t>
                  </w:r>
                </w:p>
              </w:tc>
              <w:tc>
                <w:tcPr>
                  <w:tcW w:w="497"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环保设施</w:t>
                  </w:r>
                </w:p>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名称</w:t>
                  </w:r>
                </w:p>
              </w:tc>
              <w:tc>
                <w:tcPr>
                  <w:tcW w:w="579"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预期效果</w:t>
                  </w:r>
                </w:p>
              </w:tc>
              <w:tc>
                <w:tcPr>
                  <w:tcW w:w="1191"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验收标准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2" w:type="pct"/>
                  <w:vMerge w:val="restar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废气</w:t>
                  </w:r>
                </w:p>
              </w:tc>
              <w:tc>
                <w:tcPr>
                  <w:tcW w:w="498"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氟化、闪蒸干燥（一期）</w:t>
                  </w:r>
                </w:p>
              </w:tc>
              <w:tc>
                <w:tcPr>
                  <w:tcW w:w="580"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排气筒（P1）</w:t>
                  </w:r>
                </w:p>
              </w:tc>
              <w:tc>
                <w:tcPr>
                  <w:tcW w:w="663"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颗粒物、二氧化硫、氮氧化物、氟化物</w:t>
                  </w:r>
                </w:p>
              </w:tc>
              <w:tc>
                <w:tcPr>
                  <w:tcW w:w="580" w:type="pct"/>
                  <w:vMerge w:val="restar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color w:val="auto"/>
                      <w:kern w:val="0"/>
                      <w:sz w:val="21"/>
                      <w:szCs w:val="21"/>
                    </w:rPr>
                    <w:t>2天，3次/天，每次3个样2天</w:t>
                  </w:r>
                </w:p>
              </w:tc>
              <w:tc>
                <w:tcPr>
                  <w:tcW w:w="497"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碱喷淋塔</w:t>
                  </w:r>
                </w:p>
              </w:tc>
              <w:tc>
                <w:tcPr>
                  <w:tcW w:w="579"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达标排放</w:t>
                  </w:r>
                </w:p>
              </w:tc>
              <w:tc>
                <w:tcPr>
                  <w:tcW w:w="1191" w:type="pct"/>
                  <w:vMerge w:val="restar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《稀土工业污染物排放标准》（GB26451-2011）中表5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2" w:type="pct"/>
                  <w:vMerge w:val="continue"/>
                  <w:tcBorders>
                    <w:tl2br w:val="nil"/>
                    <w:tr2bl w:val="nil"/>
                  </w:tcBorders>
                  <w:vAlign w:val="center"/>
                </w:tcPr>
                <w:p>
                  <w:pPr>
                    <w:snapToGrid w:val="0"/>
                    <w:spacing w:line="240" w:lineRule="auto"/>
                    <w:ind w:firstLine="0" w:firstLineChars="0"/>
                    <w:jc w:val="center"/>
                    <w:rPr>
                      <w:rFonts w:cs="Times New Roman"/>
                      <w:bCs/>
                      <w:color w:val="auto"/>
                      <w:sz w:val="21"/>
                      <w:szCs w:val="21"/>
                    </w:rPr>
                  </w:pPr>
                </w:p>
              </w:tc>
              <w:tc>
                <w:tcPr>
                  <w:tcW w:w="498"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天然气辊道窑、电辊道窑（一期）</w:t>
                  </w:r>
                </w:p>
              </w:tc>
              <w:tc>
                <w:tcPr>
                  <w:tcW w:w="580"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排气筒（P2）</w:t>
                  </w:r>
                </w:p>
              </w:tc>
              <w:tc>
                <w:tcPr>
                  <w:tcW w:w="663"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颗粒物、二氧化硫、氮氧化物、氟化物</w:t>
                  </w:r>
                </w:p>
              </w:tc>
              <w:tc>
                <w:tcPr>
                  <w:tcW w:w="580" w:type="pct"/>
                  <w:vMerge w:val="continue"/>
                  <w:tcBorders>
                    <w:tl2br w:val="nil"/>
                    <w:tr2bl w:val="nil"/>
                  </w:tcBorders>
                  <w:vAlign w:val="center"/>
                </w:tcPr>
                <w:p>
                  <w:pPr>
                    <w:snapToGrid w:val="0"/>
                    <w:spacing w:line="240" w:lineRule="auto"/>
                    <w:ind w:firstLine="420"/>
                    <w:jc w:val="center"/>
                    <w:rPr>
                      <w:rFonts w:cs="Times New Roman"/>
                      <w:bCs/>
                      <w:color w:val="auto"/>
                      <w:sz w:val="21"/>
                      <w:szCs w:val="21"/>
                    </w:rPr>
                  </w:pPr>
                </w:p>
              </w:tc>
              <w:tc>
                <w:tcPr>
                  <w:tcW w:w="497"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碱喷淋塔</w:t>
                  </w:r>
                </w:p>
              </w:tc>
              <w:tc>
                <w:tcPr>
                  <w:tcW w:w="579"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达标排放</w:t>
                  </w:r>
                </w:p>
              </w:tc>
              <w:tc>
                <w:tcPr>
                  <w:tcW w:w="1191" w:type="pct"/>
                  <w:vMerge w:val="continue"/>
                  <w:tcBorders>
                    <w:tl2br w:val="nil"/>
                    <w:tr2bl w:val="nil"/>
                  </w:tcBorders>
                  <w:vAlign w:val="center"/>
                </w:tcPr>
                <w:p>
                  <w:pPr>
                    <w:snapToGrid w:val="0"/>
                    <w:spacing w:line="240" w:lineRule="auto"/>
                    <w:ind w:firstLine="0" w:firstLineChars="0"/>
                    <w:jc w:val="center"/>
                    <w:rPr>
                      <w:rFonts w:cs="Times New Roman"/>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2" w:type="pct"/>
                  <w:vMerge w:val="continue"/>
                  <w:tcBorders>
                    <w:tl2br w:val="nil"/>
                    <w:tr2bl w:val="nil"/>
                  </w:tcBorders>
                  <w:vAlign w:val="center"/>
                </w:tcPr>
                <w:p>
                  <w:pPr>
                    <w:snapToGrid w:val="0"/>
                    <w:spacing w:line="240" w:lineRule="auto"/>
                    <w:ind w:firstLine="0" w:firstLineChars="0"/>
                    <w:jc w:val="center"/>
                    <w:rPr>
                      <w:rFonts w:cs="Times New Roman"/>
                      <w:bCs/>
                      <w:color w:val="auto"/>
                      <w:sz w:val="21"/>
                      <w:szCs w:val="21"/>
                    </w:rPr>
                  </w:pPr>
                </w:p>
              </w:tc>
              <w:tc>
                <w:tcPr>
                  <w:tcW w:w="498"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后加工阶段、喷雾干燥（一期、二期共用）</w:t>
                  </w:r>
                </w:p>
              </w:tc>
              <w:tc>
                <w:tcPr>
                  <w:tcW w:w="580"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排气筒（P3）</w:t>
                  </w:r>
                </w:p>
              </w:tc>
              <w:tc>
                <w:tcPr>
                  <w:tcW w:w="663"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颗粒物、二氧化硫、氮氧化物</w:t>
                  </w:r>
                </w:p>
              </w:tc>
              <w:tc>
                <w:tcPr>
                  <w:tcW w:w="580" w:type="pct"/>
                  <w:vMerge w:val="continue"/>
                  <w:tcBorders>
                    <w:tl2br w:val="nil"/>
                    <w:tr2bl w:val="nil"/>
                  </w:tcBorders>
                  <w:vAlign w:val="center"/>
                </w:tcPr>
                <w:p>
                  <w:pPr>
                    <w:snapToGrid w:val="0"/>
                    <w:spacing w:line="240" w:lineRule="auto"/>
                    <w:ind w:firstLine="420"/>
                    <w:jc w:val="center"/>
                    <w:rPr>
                      <w:rFonts w:cs="Times New Roman"/>
                      <w:bCs/>
                      <w:color w:val="auto"/>
                      <w:sz w:val="21"/>
                      <w:szCs w:val="21"/>
                    </w:rPr>
                  </w:pPr>
                </w:p>
              </w:tc>
              <w:tc>
                <w:tcPr>
                  <w:tcW w:w="497"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布袋除尘器</w:t>
                  </w:r>
                </w:p>
              </w:tc>
              <w:tc>
                <w:tcPr>
                  <w:tcW w:w="579"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达标排放</w:t>
                  </w:r>
                </w:p>
              </w:tc>
              <w:tc>
                <w:tcPr>
                  <w:tcW w:w="1191" w:type="pct"/>
                  <w:vMerge w:val="continue"/>
                  <w:tcBorders>
                    <w:tl2br w:val="nil"/>
                    <w:tr2bl w:val="nil"/>
                  </w:tcBorders>
                  <w:vAlign w:val="center"/>
                </w:tcPr>
                <w:p>
                  <w:pPr>
                    <w:snapToGrid w:val="0"/>
                    <w:spacing w:line="240" w:lineRule="auto"/>
                    <w:ind w:firstLine="0" w:firstLineChars="0"/>
                    <w:jc w:val="center"/>
                    <w:rPr>
                      <w:rFonts w:cs="Times New Roman"/>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2" w:type="pct"/>
                  <w:vMerge w:val="continue"/>
                  <w:tcBorders>
                    <w:tl2br w:val="nil"/>
                    <w:tr2bl w:val="nil"/>
                  </w:tcBorders>
                  <w:vAlign w:val="center"/>
                </w:tcPr>
                <w:p>
                  <w:pPr>
                    <w:snapToGrid w:val="0"/>
                    <w:spacing w:line="240" w:lineRule="auto"/>
                    <w:ind w:firstLine="0" w:firstLineChars="0"/>
                    <w:jc w:val="center"/>
                    <w:rPr>
                      <w:rFonts w:cs="Times New Roman"/>
                      <w:bCs/>
                      <w:color w:val="auto"/>
                      <w:sz w:val="21"/>
                      <w:szCs w:val="21"/>
                    </w:rPr>
                  </w:pPr>
                </w:p>
              </w:tc>
              <w:tc>
                <w:tcPr>
                  <w:tcW w:w="498"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氟化、闪蒸干燥（二期）</w:t>
                  </w:r>
                </w:p>
              </w:tc>
              <w:tc>
                <w:tcPr>
                  <w:tcW w:w="580"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排气筒（P4）</w:t>
                  </w:r>
                </w:p>
              </w:tc>
              <w:tc>
                <w:tcPr>
                  <w:tcW w:w="663"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颗粒物、二氧化硫、氮氧化物、氟化物</w:t>
                  </w:r>
                </w:p>
              </w:tc>
              <w:tc>
                <w:tcPr>
                  <w:tcW w:w="580" w:type="pct"/>
                  <w:vMerge w:val="continue"/>
                  <w:tcBorders>
                    <w:tl2br w:val="nil"/>
                    <w:tr2bl w:val="nil"/>
                  </w:tcBorders>
                  <w:vAlign w:val="center"/>
                </w:tcPr>
                <w:p>
                  <w:pPr>
                    <w:snapToGrid w:val="0"/>
                    <w:spacing w:line="240" w:lineRule="auto"/>
                    <w:ind w:firstLine="420"/>
                    <w:jc w:val="center"/>
                    <w:rPr>
                      <w:rFonts w:cs="Times New Roman"/>
                      <w:bCs/>
                      <w:color w:val="auto"/>
                      <w:sz w:val="21"/>
                      <w:szCs w:val="21"/>
                    </w:rPr>
                  </w:pPr>
                </w:p>
              </w:tc>
              <w:tc>
                <w:tcPr>
                  <w:tcW w:w="497"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碱喷淋塔</w:t>
                  </w:r>
                </w:p>
              </w:tc>
              <w:tc>
                <w:tcPr>
                  <w:tcW w:w="579"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达标排放</w:t>
                  </w:r>
                </w:p>
              </w:tc>
              <w:tc>
                <w:tcPr>
                  <w:tcW w:w="1191" w:type="pct"/>
                  <w:vMerge w:val="continue"/>
                  <w:tcBorders>
                    <w:tl2br w:val="nil"/>
                    <w:tr2bl w:val="nil"/>
                  </w:tcBorders>
                  <w:vAlign w:val="center"/>
                </w:tcPr>
                <w:p>
                  <w:pPr>
                    <w:snapToGrid w:val="0"/>
                    <w:spacing w:line="240" w:lineRule="auto"/>
                    <w:ind w:firstLine="0" w:firstLineChars="0"/>
                    <w:jc w:val="center"/>
                    <w:rPr>
                      <w:rFonts w:cs="Times New Roman"/>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2" w:type="pct"/>
                  <w:vMerge w:val="continue"/>
                  <w:tcBorders>
                    <w:tl2br w:val="nil"/>
                    <w:tr2bl w:val="nil"/>
                  </w:tcBorders>
                  <w:vAlign w:val="center"/>
                </w:tcPr>
                <w:p>
                  <w:pPr>
                    <w:snapToGrid w:val="0"/>
                    <w:spacing w:line="240" w:lineRule="auto"/>
                    <w:ind w:firstLine="0" w:firstLineChars="0"/>
                    <w:jc w:val="center"/>
                    <w:rPr>
                      <w:rFonts w:cs="Times New Roman"/>
                      <w:bCs/>
                      <w:color w:val="auto"/>
                      <w:sz w:val="21"/>
                      <w:szCs w:val="21"/>
                    </w:rPr>
                  </w:pPr>
                </w:p>
              </w:tc>
              <w:tc>
                <w:tcPr>
                  <w:tcW w:w="498"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天然气回转窑（二期）</w:t>
                  </w:r>
                </w:p>
              </w:tc>
              <w:tc>
                <w:tcPr>
                  <w:tcW w:w="580"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排气筒（P5）</w:t>
                  </w:r>
                </w:p>
              </w:tc>
              <w:tc>
                <w:tcPr>
                  <w:tcW w:w="663"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颗粒物、二氧化硫、氮氧化物、氟化物</w:t>
                  </w:r>
                </w:p>
              </w:tc>
              <w:tc>
                <w:tcPr>
                  <w:tcW w:w="580" w:type="pct"/>
                  <w:vMerge w:val="continue"/>
                  <w:tcBorders>
                    <w:tl2br w:val="nil"/>
                    <w:tr2bl w:val="nil"/>
                  </w:tcBorders>
                  <w:vAlign w:val="center"/>
                </w:tcPr>
                <w:p>
                  <w:pPr>
                    <w:snapToGrid w:val="0"/>
                    <w:spacing w:line="240" w:lineRule="auto"/>
                    <w:ind w:firstLine="420"/>
                    <w:jc w:val="center"/>
                    <w:rPr>
                      <w:rFonts w:cs="Times New Roman"/>
                      <w:bCs/>
                      <w:color w:val="auto"/>
                      <w:sz w:val="21"/>
                      <w:szCs w:val="21"/>
                    </w:rPr>
                  </w:pPr>
                </w:p>
              </w:tc>
              <w:tc>
                <w:tcPr>
                  <w:tcW w:w="497"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碱喷淋塔</w:t>
                  </w:r>
                </w:p>
              </w:tc>
              <w:tc>
                <w:tcPr>
                  <w:tcW w:w="579"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达标排放</w:t>
                  </w:r>
                </w:p>
              </w:tc>
              <w:tc>
                <w:tcPr>
                  <w:tcW w:w="1191" w:type="pct"/>
                  <w:vMerge w:val="continue"/>
                  <w:tcBorders>
                    <w:tl2br w:val="nil"/>
                    <w:tr2bl w:val="nil"/>
                  </w:tcBorders>
                  <w:vAlign w:val="center"/>
                </w:tcPr>
                <w:p>
                  <w:pPr>
                    <w:snapToGrid w:val="0"/>
                    <w:spacing w:line="240" w:lineRule="auto"/>
                    <w:ind w:firstLine="0" w:firstLineChars="0"/>
                    <w:jc w:val="center"/>
                    <w:rPr>
                      <w:rFonts w:cs="Times New Roman"/>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2" w:type="pct"/>
                  <w:vMerge w:val="continue"/>
                  <w:tcBorders>
                    <w:tl2br w:val="nil"/>
                    <w:tr2bl w:val="nil"/>
                  </w:tcBorders>
                  <w:vAlign w:val="center"/>
                </w:tcPr>
                <w:p>
                  <w:pPr>
                    <w:snapToGrid w:val="0"/>
                    <w:spacing w:line="240" w:lineRule="auto"/>
                    <w:ind w:firstLine="0" w:firstLineChars="0"/>
                    <w:jc w:val="center"/>
                    <w:rPr>
                      <w:rFonts w:cs="Times New Roman"/>
                      <w:bCs/>
                      <w:color w:val="auto"/>
                      <w:sz w:val="21"/>
                      <w:szCs w:val="21"/>
                    </w:rPr>
                  </w:pPr>
                </w:p>
              </w:tc>
              <w:tc>
                <w:tcPr>
                  <w:tcW w:w="498"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天然气锅炉（一期、二期）</w:t>
                  </w:r>
                </w:p>
              </w:tc>
              <w:tc>
                <w:tcPr>
                  <w:tcW w:w="580"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排气筒（P6）</w:t>
                  </w:r>
                </w:p>
              </w:tc>
              <w:tc>
                <w:tcPr>
                  <w:tcW w:w="663"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颗粒物、二氧化硫、氮氧化物</w:t>
                  </w:r>
                </w:p>
              </w:tc>
              <w:tc>
                <w:tcPr>
                  <w:tcW w:w="580" w:type="pct"/>
                  <w:vMerge w:val="continue"/>
                  <w:tcBorders>
                    <w:tl2br w:val="nil"/>
                    <w:tr2bl w:val="nil"/>
                  </w:tcBorders>
                  <w:vAlign w:val="center"/>
                </w:tcPr>
                <w:p>
                  <w:pPr>
                    <w:snapToGrid w:val="0"/>
                    <w:spacing w:line="240" w:lineRule="auto"/>
                    <w:ind w:firstLine="0" w:firstLineChars="0"/>
                    <w:jc w:val="center"/>
                    <w:rPr>
                      <w:rFonts w:cs="Times New Roman"/>
                      <w:bCs/>
                      <w:color w:val="auto"/>
                      <w:sz w:val="21"/>
                      <w:szCs w:val="21"/>
                    </w:rPr>
                  </w:pPr>
                </w:p>
              </w:tc>
              <w:tc>
                <w:tcPr>
                  <w:tcW w:w="497"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w:t>
                  </w:r>
                </w:p>
              </w:tc>
              <w:tc>
                <w:tcPr>
                  <w:tcW w:w="579"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达标排放</w:t>
                  </w:r>
                </w:p>
              </w:tc>
              <w:tc>
                <w:tcPr>
                  <w:tcW w:w="1191"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《锅炉大气污染物排放标准》（GB13217-2014）中表2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2" w:type="pct"/>
                  <w:vMerge w:val="continue"/>
                  <w:tcBorders>
                    <w:tl2br w:val="nil"/>
                    <w:tr2bl w:val="nil"/>
                  </w:tcBorders>
                  <w:vAlign w:val="center"/>
                </w:tcPr>
                <w:p>
                  <w:pPr>
                    <w:snapToGrid w:val="0"/>
                    <w:spacing w:line="240" w:lineRule="auto"/>
                    <w:ind w:firstLine="0" w:firstLineChars="0"/>
                    <w:jc w:val="center"/>
                    <w:rPr>
                      <w:rFonts w:cs="Times New Roman"/>
                      <w:bCs/>
                      <w:color w:val="auto"/>
                      <w:sz w:val="21"/>
                      <w:szCs w:val="21"/>
                    </w:rPr>
                  </w:pPr>
                </w:p>
              </w:tc>
              <w:tc>
                <w:tcPr>
                  <w:tcW w:w="498"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厂界无组织</w:t>
                  </w:r>
                </w:p>
              </w:tc>
              <w:tc>
                <w:tcPr>
                  <w:tcW w:w="580"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厂区外上风向1个点位、下风向3个点位</w:t>
                  </w:r>
                </w:p>
              </w:tc>
              <w:tc>
                <w:tcPr>
                  <w:tcW w:w="663"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颗粒物、氟化物</w:t>
                  </w:r>
                </w:p>
              </w:tc>
              <w:tc>
                <w:tcPr>
                  <w:tcW w:w="580"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color w:val="auto"/>
                      <w:sz w:val="21"/>
                      <w:szCs w:val="21"/>
                    </w:rPr>
                    <w:t>4次/天，2天</w:t>
                  </w:r>
                </w:p>
              </w:tc>
              <w:tc>
                <w:tcPr>
                  <w:tcW w:w="497"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封闭生产厂房</w:t>
                  </w:r>
                </w:p>
              </w:tc>
              <w:tc>
                <w:tcPr>
                  <w:tcW w:w="579"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达标排放</w:t>
                  </w:r>
                </w:p>
              </w:tc>
              <w:tc>
                <w:tcPr>
                  <w:tcW w:w="1191"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《稀土工业污染物排放标准》（GB26451-2011）中表6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2"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废水</w:t>
                  </w:r>
                </w:p>
              </w:tc>
              <w:tc>
                <w:tcPr>
                  <w:tcW w:w="498" w:type="pct"/>
                  <w:tcBorders>
                    <w:tl2br w:val="nil"/>
                    <w:tr2bl w:val="nil"/>
                  </w:tcBorders>
                  <w:vAlign w:val="center"/>
                </w:tcPr>
                <w:p>
                  <w:pPr>
                    <w:snapToGrid w:val="0"/>
                    <w:spacing w:line="240" w:lineRule="auto"/>
                    <w:ind w:firstLine="0" w:firstLineChars="0"/>
                    <w:rPr>
                      <w:rFonts w:cs="Times New Roman"/>
                      <w:bCs/>
                      <w:color w:val="auto"/>
                      <w:sz w:val="21"/>
                      <w:szCs w:val="21"/>
                    </w:rPr>
                  </w:pPr>
                  <w:r>
                    <w:rPr>
                      <w:rFonts w:cs="Times New Roman"/>
                      <w:bCs/>
                      <w:color w:val="auto"/>
                      <w:sz w:val="21"/>
                      <w:szCs w:val="21"/>
                    </w:rPr>
                    <w:t>生活污水、纯水制备废水、锅炉排水</w:t>
                  </w:r>
                </w:p>
              </w:tc>
              <w:tc>
                <w:tcPr>
                  <w:tcW w:w="580"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w:t>
                  </w:r>
                </w:p>
              </w:tc>
              <w:tc>
                <w:tcPr>
                  <w:tcW w:w="663" w:type="pct"/>
                  <w:tcBorders>
                    <w:tl2br w:val="nil"/>
                    <w:tr2bl w:val="nil"/>
                  </w:tcBorders>
                  <w:vAlign w:val="center"/>
                </w:tcPr>
                <w:p>
                  <w:pPr>
                    <w:snapToGrid w:val="0"/>
                    <w:spacing w:line="240" w:lineRule="auto"/>
                    <w:ind w:firstLine="0" w:firstLineChars="0"/>
                    <w:rPr>
                      <w:rFonts w:cs="Times New Roman"/>
                      <w:bCs/>
                      <w:color w:val="auto"/>
                      <w:sz w:val="21"/>
                      <w:szCs w:val="21"/>
                    </w:rPr>
                  </w:pPr>
                  <w:r>
                    <w:rPr>
                      <w:rFonts w:cs="Times New Roman"/>
                      <w:bCs/>
                      <w:color w:val="auto"/>
                      <w:sz w:val="21"/>
                      <w:szCs w:val="21"/>
                    </w:rPr>
                    <w:t>COD、BOD5、SS、NH3-N</w:t>
                  </w:r>
                </w:p>
              </w:tc>
              <w:tc>
                <w:tcPr>
                  <w:tcW w:w="580" w:type="pct"/>
                  <w:tcBorders>
                    <w:tl2br w:val="nil"/>
                    <w:tr2bl w:val="nil"/>
                  </w:tcBorders>
                  <w:vAlign w:val="center"/>
                </w:tcPr>
                <w:p>
                  <w:pPr>
                    <w:snapToGrid w:val="0"/>
                    <w:spacing w:line="240" w:lineRule="auto"/>
                    <w:ind w:firstLine="0" w:firstLineChars="0"/>
                    <w:rPr>
                      <w:rFonts w:cs="Times New Roman"/>
                      <w:bCs/>
                      <w:color w:val="auto"/>
                      <w:sz w:val="21"/>
                      <w:szCs w:val="21"/>
                    </w:rPr>
                  </w:pPr>
                  <w:r>
                    <w:rPr>
                      <w:rFonts w:cs="Times New Roman"/>
                      <w:bCs/>
                      <w:color w:val="auto"/>
                      <w:sz w:val="21"/>
                      <w:szCs w:val="21"/>
                    </w:rPr>
                    <w:t>4次/天，</w:t>
                  </w:r>
                </w:p>
                <w:p>
                  <w:pPr>
                    <w:snapToGrid w:val="0"/>
                    <w:spacing w:line="240" w:lineRule="auto"/>
                    <w:ind w:firstLine="0" w:firstLineChars="0"/>
                    <w:rPr>
                      <w:rFonts w:cs="Times New Roman"/>
                      <w:bCs/>
                      <w:color w:val="auto"/>
                      <w:sz w:val="21"/>
                      <w:szCs w:val="21"/>
                    </w:rPr>
                  </w:pPr>
                  <w:r>
                    <w:rPr>
                      <w:rFonts w:cs="Times New Roman"/>
                      <w:bCs/>
                      <w:color w:val="auto"/>
                      <w:sz w:val="21"/>
                      <w:szCs w:val="21"/>
                    </w:rPr>
                    <w:t>连续2天</w:t>
                  </w:r>
                </w:p>
              </w:tc>
              <w:tc>
                <w:tcPr>
                  <w:tcW w:w="497" w:type="pct"/>
                  <w:tcBorders>
                    <w:tl2br w:val="nil"/>
                    <w:tr2bl w:val="nil"/>
                  </w:tcBorders>
                  <w:vAlign w:val="center"/>
                </w:tcPr>
                <w:p>
                  <w:pPr>
                    <w:snapToGrid w:val="0"/>
                    <w:spacing w:line="240" w:lineRule="auto"/>
                    <w:ind w:firstLine="0" w:firstLineChars="0"/>
                    <w:rPr>
                      <w:rFonts w:cs="Times New Roman"/>
                      <w:bCs/>
                      <w:color w:val="auto"/>
                      <w:sz w:val="21"/>
                      <w:szCs w:val="21"/>
                    </w:rPr>
                  </w:pPr>
                  <w:r>
                    <w:rPr>
                      <w:rFonts w:cs="Times New Roman"/>
                      <w:bCs/>
                      <w:color w:val="auto"/>
                      <w:sz w:val="21"/>
                      <w:szCs w:val="21"/>
                    </w:rPr>
                    <w:t>一体化污水处理</w:t>
                  </w:r>
                </w:p>
              </w:tc>
              <w:tc>
                <w:tcPr>
                  <w:tcW w:w="579" w:type="pct"/>
                  <w:tcBorders>
                    <w:tl2br w:val="nil"/>
                    <w:tr2bl w:val="nil"/>
                  </w:tcBorders>
                  <w:vAlign w:val="center"/>
                </w:tcPr>
                <w:p>
                  <w:pPr>
                    <w:snapToGrid w:val="0"/>
                    <w:spacing w:line="240" w:lineRule="auto"/>
                    <w:ind w:firstLine="0" w:firstLineChars="0"/>
                    <w:rPr>
                      <w:rFonts w:cs="Times New Roman"/>
                      <w:bCs/>
                      <w:color w:val="auto"/>
                      <w:sz w:val="21"/>
                      <w:szCs w:val="21"/>
                    </w:rPr>
                  </w:pPr>
                  <w:r>
                    <w:rPr>
                      <w:rFonts w:cs="Times New Roman"/>
                      <w:bCs/>
                      <w:color w:val="auto"/>
                      <w:sz w:val="21"/>
                      <w:szCs w:val="21"/>
                    </w:rPr>
                    <w:t>达标排放</w:t>
                  </w:r>
                </w:p>
              </w:tc>
              <w:tc>
                <w:tcPr>
                  <w:tcW w:w="1191"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《稀土工业污染物排放标准》（GB26451-2011）表2新建企业水污染物排放浓度限值及单位产品基准排水量中“间接排放限值”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2"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噪声</w:t>
                  </w:r>
                </w:p>
              </w:tc>
              <w:tc>
                <w:tcPr>
                  <w:tcW w:w="498"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生产设备</w:t>
                  </w:r>
                </w:p>
              </w:tc>
              <w:tc>
                <w:tcPr>
                  <w:tcW w:w="580"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厂界四周</w:t>
                  </w:r>
                </w:p>
              </w:tc>
              <w:tc>
                <w:tcPr>
                  <w:tcW w:w="663"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噪声</w:t>
                  </w:r>
                </w:p>
              </w:tc>
              <w:tc>
                <w:tcPr>
                  <w:tcW w:w="580"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color w:val="auto"/>
                      <w:sz w:val="21"/>
                      <w:szCs w:val="21"/>
                    </w:rPr>
                    <w:t>昼夜间各1次/天，2天</w:t>
                  </w:r>
                </w:p>
              </w:tc>
              <w:tc>
                <w:tcPr>
                  <w:tcW w:w="497"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基础减震+厂房封闭</w:t>
                  </w:r>
                </w:p>
              </w:tc>
              <w:tc>
                <w:tcPr>
                  <w:tcW w:w="579"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厂界达标</w:t>
                  </w:r>
                </w:p>
              </w:tc>
              <w:tc>
                <w:tcPr>
                  <w:tcW w:w="1191"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《工业企业厂界环境噪声排放标准》（GB12348-2008）3类标准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2" w:type="pct"/>
                  <w:vMerge w:val="restar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固废</w:t>
                  </w:r>
                </w:p>
              </w:tc>
              <w:tc>
                <w:tcPr>
                  <w:tcW w:w="498"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原料</w:t>
                  </w:r>
                </w:p>
              </w:tc>
              <w:tc>
                <w:tcPr>
                  <w:tcW w:w="580"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w:t>
                  </w:r>
                </w:p>
              </w:tc>
              <w:tc>
                <w:tcPr>
                  <w:tcW w:w="663"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废外包装袋</w:t>
                  </w:r>
                </w:p>
              </w:tc>
              <w:tc>
                <w:tcPr>
                  <w:tcW w:w="580" w:type="pct"/>
                  <w:vMerge w:val="restar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w:t>
                  </w:r>
                </w:p>
              </w:tc>
              <w:tc>
                <w:tcPr>
                  <w:tcW w:w="497"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一般固废暂存库</w:t>
                  </w:r>
                </w:p>
              </w:tc>
              <w:tc>
                <w:tcPr>
                  <w:tcW w:w="579"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定期外售处理</w:t>
                  </w:r>
                </w:p>
              </w:tc>
              <w:tc>
                <w:tcPr>
                  <w:tcW w:w="1191"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执行《一般工业固体废物贮存和填埋污染控制标准》（GB18599-2020）的相关要求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2" w:type="pct"/>
                  <w:vMerge w:val="continue"/>
                  <w:tcBorders>
                    <w:tl2br w:val="nil"/>
                    <w:tr2bl w:val="nil"/>
                  </w:tcBorders>
                  <w:vAlign w:val="center"/>
                </w:tcPr>
                <w:p>
                  <w:pPr>
                    <w:snapToGrid w:val="0"/>
                    <w:spacing w:line="240" w:lineRule="auto"/>
                    <w:ind w:firstLine="0" w:firstLineChars="0"/>
                    <w:jc w:val="center"/>
                    <w:rPr>
                      <w:rFonts w:cs="Times New Roman"/>
                      <w:bCs/>
                      <w:color w:val="auto"/>
                      <w:sz w:val="21"/>
                      <w:szCs w:val="21"/>
                    </w:rPr>
                  </w:pPr>
                </w:p>
              </w:tc>
              <w:tc>
                <w:tcPr>
                  <w:tcW w:w="498"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布袋除尘器</w:t>
                  </w:r>
                </w:p>
              </w:tc>
              <w:tc>
                <w:tcPr>
                  <w:tcW w:w="580" w:type="pct"/>
                  <w:tcBorders>
                    <w:tl2br w:val="nil"/>
                    <w:tr2bl w:val="nil"/>
                  </w:tcBorders>
                  <w:vAlign w:val="center"/>
                </w:tcPr>
                <w:p>
                  <w:pPr>
                    <w:snapToGrid w:val="0"/>
                    <w:spacing w:line="240" w:lineRule="auto"/>
                    <w:ind w:firstLine="0" w:firstLineChars="0"/>
                    <w:jc w:val="center"/>
                    <w:textAlignment w:val="bottom"/>
                    <w:rPr>
                      <w:rFonts w:cs="Times New Roman"/>
                      <w:bCs/>
                      <w:color w:val="auto"/>
                      <w:sz w:val="21"/>
                      <w:szCs w:val="21"/>
                    </w:rPr>
                  </w:pPr>
                  <w:r>
                    <w:rPr>
                      <w:rFonts w:cs="Times New Roman"/>
                      <w:bCs/>
                      <w:color w:val="auto"/>
                      <w:sz w:val="21"/>
                      <w:szCs w:val="21"/>
                    </w:rPr>
                    <w:t>--</w:t>
                  </w:r>
                </w:p>
              </w:tc>
              <w:tc>
                <w:tcPr>
                  <w:tcW w:w="663" w:type="pct"/>
                  <w:tcBorders>
                    <w:tl2br w:val="nil"/>
                    <w:tr2bl w:val="nil"/>
                  </w:tcBorders>
                  <w:vAlign w:val="center"/>
                </w:tcPr>
                <w:p>
                  <w:pPr>
                    <w:snapToGrid w:val="0"/>
                    <w:spacing w:line="240" w:lineRule="auto"/>
                    <w:ind w:firstLine="0" w:firstLineChars="0"/>
                    <w:jc w:val="center"/>
                    <w:textAlignment w:val="bottom"/>
                    <w:rPr>
                      <w:rFonts w:cs="Times New Roman"/>
                      <w:bCs/>
                      <w:color w:val="auto"/>
                      <w:sz w:val="21"/>
                      <w:szCs w:val="21"/>
                    </w:rPr>
                  </w:pPr>
                  <w:r>
                    <w:rPr>
                      <w:rFonts w:cs="Times New Roman"/>
                      <w:bCs/>
                      <w:color w:val="auto"/>
                      <w:sz w:val="21"/>
                      <w:szCs w:val="21"/>
                    </w:rPr>
                    <w:t>除尘灰</w:t>
                  </w:r>
                </w:p>
              </w:tc>
              <w:tc>
                <w:tcPr>
                  <w:tcW w:w="580" w:type="pct"/>
                  <w:vMerge w:val="continue"/>
                  <w:tcBorders>
                    <w:tl2br w:val="nil"/>
                    <w:tr2bl w:val="nil"/>
                  </w:tcBorders>
                  <w:vAlign w:val="center"/>
                </w:tcPr>
                <w:p>
                  <w:pPr>
                    <w:snapToGrid w:val="0"/>
                    <w:spacing w:line="240" w:lineRule="auto"/>
                    <w:ind w:firstLine="0" w:firstLineChars="0"/>
                    <w:jc w:val="center"/>
                    <w:rPr>
                      <w:rFonts w:cs="Times New Roman"/>
                      <w:bCs/>
                      <w:color w:val="auto"/>
                      <w:sz w:val="21"/>
                      <w:szCs w:val="21"/>
                    </w:rPr>
                  </w:pPr>
                </w:p>
              </w:tc>
              <w:tc>
                <w:tcPr>
                  <w:tcW w:w="497"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w:t>
                  </w:r>
                </w:p>
              </w:tc>
              <w:tc>
                <w:tcPr>
                  <w:tcW w:w="579"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全部返回混料包装机内，作为产品出售，不在厂区暂存</w:t>
                  </w:r>
                </w:p>
              </w:tc>
              <w:tc>
                <w:tcPr>
                  <w:tcW w:w="1191"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2" w:type="pct"/>
                  <w:vMerge w:val="continue"/>
                  <w:tcBorders>
                    <w:tl2br w:val="nil"/>
                    <w:tr2bl w:val="nil"/>
                  </w:tcBorders>
                  <w:vAlign w:val="center"/>
                </w:tcPr>
                <w:p>
                  <w:pPr>
                    <w:snapToGrid w:val="0"/>
                    <w:spacing w:line="240" w:lineRule="auto"/>
                    <w:ind w:firstLine="0" w:firstLineChars="0"/>
                    <w:jc w:val="center"/>
                    <w:rPr>
                      <w:rFonts w:cs="Times New Roman"/>
                      <w:bCs/>
                      <w:color w:val="auto"/>
                      <w:sz w:val="21"/>
                      <w:szCs w:val="21"/>
                    </w:rPr>
                  </w:pPr>
                </w:p>
              </w:tc>
              <w:tc>
                <w:tcPr>
                  <w:tcW w:w="498"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纯水制备</w:t>
                  </w:r>
                </w:p>
              </w:tc>
              <w:tc>
                <w:tcPr>
                  <w:tcW w:w="580" w:type="pct"/>
                  <w:tcBorders>
                    <w:tl2br w:val="nil"/>
                    <w:tr2bl w:val="nil"/>
                  </w:tcBorders>
                  <w:vAlign w:val="center"/>
                </w:tcPr>
                <w:p>
                  <w:pPr>
                    <w:snapToGrid w:val="0"/>
                    <w:spacing w:line="240" w:lineRule="auto"/>
                    <w:ind w:firstLine="0" w:firstLineChars="0"/>
                    <w:jc w:val="center"/>
                    <w:textAlignment w:val="bottom"/>
                    <w:rPr>
                      <w:rFonts w:cs="Times New Roman"/>
                      <w:bCs/>
                      <w:color w:val="auto"/>
                      <w:sz w:val="21"/>
                      <w:szCs w:val="21"/>
                    </w:rPr>
                  </w:pPr>
                  <w:r>
                    <w:rPr>
                      <w:rFonts w:cs="Times New Roman"/>
                      <w:bCs/>
                      <w:color w:val="auto"/>
                      <w:sz w:val="21"/>
                      <w:szCs w:val="21"/>
                    </w:rPr>
                    <w:t>--</w:t>
                  </w:r>
                </w:p>
              </w:tc>
              <w:tc>
                <w:tcPr>
                  <w:tcW w:w="663" w:type="pct"/>
                  <w:tcBorders>
                    <w:tl2br w:val="nil"/>
                    <w:tr2bl w:val="nil"/>
                  </w:tcBorders>
                  <w:vAlign w:val="center"/>
                </w:tcPr>
                <w:p>
                  <w:pPr>
                    <w:snapToGrid w:val="0"/>
                    <w:spacing w:line="240" w:lineRule="auto"/>
                    <w:ind w:firstLine="0" w:firstLineChars="0"/>
                    <w:jc w:val="center"/>
                    <w:textAlignment w:val="bottom"/>
                    <w:rPr>
                      <w:rFonts w:cs="Times New Roman"/>
                      <w:bCs/>
                      <w:color w:val="auto"/>
                      <w:sz w:val="21"/>
                      <w:szCs w:val="21"/>
                    </w:rPr>
                  </w:pPr>
                  <w:r>
                    <w:rPr>
                      <w:rFonts w:cs="Times New Roman"/>
                      <w:bCs/>
                      <w:color w:val="auto"/>
                      <w:sz w:val="21"/>
                      <w:szCs w:val="21"/>
                    </w:rPr>
                    <w:t>废离子交换树脂</w:t>
                  </w:r>
                </w:p>
              </w:tc>
              <w:tc>
                <w:tcPr>
                  <w:tcW w:w="580" w:type="pct"/>
                  <w:vMerge w:val="continue"/>
                  <w:tcBorders>
                    <w:tl2br w:val="nil"/>
                    <w:tr2bl w:val="nil"/>
                  </w:tcBorders>
                  <w:vAlign w:val="center"/>
                </w:tcPr>
                <w:p>
                  <w:pPr>
                    <w:snapToGrid w:val="0"/>
                    <w:spacing w:line="240" w:lineRule="auto"/>
                    <w:ind w:firstLine="0" w:firstLineChars="0"/>
                    <w:jc w:val="center"/>
                    <w:rPr>
                      <w:rFonts w:cs="Times New Roman"/>
                      <w:bCs/>
                      <w:color w:val="auto"/>
                      <w:sz w:val="21"/>
                      <w:szCs w:val="21"/>
                    </w:rPr>
                  </w:pPr>
                </w:p>
              </w:tc>
              <w:tc>
                <w:tcPr>
                  <w:tcW w:w="497"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w:t>
                  </w:r>
                </w:p>
              </w:tc>
              <w:tc>
                <w:tcPr>
                  <w:tcW w:w="579"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由厂家直接回收利用，不在厂区内暂存</w:t>
                  </w:r>
                </w:p>
              </w:tc>
              <w:tc>
                <w:tcPr>
                  <w:tcW w:w="1191"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2" w:type="pct"/>
                  <w:vMerge w:val="continue"/>
                  <w:tcBorders>
                    <w:tl2br w:val="nil"/>
                    <w:tr2bl w:val="nil"/>
                  </w:tcBorders>
                  <w:vAlign w:val="center"/>
                </w:tcPr>
                <w:p>
                  <w:pPr>
                    <w:snapToGrid w:val="0"/>
                    <w:spacing w:line="240" w:lineRule="auto"/>
                    <w:ind w:firstLine="0" w:firstLineChars="0"/>
                    <w:jc w:val="center"/>
                    <w:rPr>
                      <w:rFonts w:cs="Times New Roman"/>
                      <w:bCs/>
                      <w:color w:val="auto"/>
                      <w:sz w:val="21"/>
                      <w:szCs w:val="21"/>
                    </w:rPr>
                  </w:pPr>
                </w:p>
              </w:tc>
              <w:tc>
                <w:tcPr>
                  <w:tcW w:w="498"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工作人员</w:t>
                  </w:r>
                </w:p>
              </w:tc>
              <w:tc>
                <w:tcPr>
                  <w:tcW w:w="580"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w:t>
                  </w:r>
                </w:p>
              </w:tc>
              <w:tc>
                <w:tcPr>
                  <w:tcW w:w="663"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生活垃圾</w:t>
                  </w:r>
                </w:p>
              </w:tc>
              <w:tc>
                <w:tcPr>
                  <w:tcW w:w="580" w:type="pct"/>
                  <w:vMerge w:val="continue"/>
                  <w:tcBorders>
                    <w:tl2br w:val="nil"/>
                    <w:tr2bl w:val="nil"/>
                  </w:tcBorders>
                  <w:vAlign w:val="center"/>
                </w:tcPr>
                <w:p>
                  <w:pPr>
                    <w:snapToGrid w:val="0"/>
                    <w:spacing w:line="240" w:lineRule="auto"/>
                    <w:ind w:firstLine="0" w:firstLineChars="0"/>
                    <w:jc w:val="center"/>
                    <w:rPr>
                      <w:rFonts w:cs="Times New Roman"/>
                      <w:bCs/>
                      <w:color w:val="auto"/>
                      <w:sz w:val="21"/>
                      <w:szCs w:val="21"/>
                    </w:rPr>
                  </w:pPr>
                </w:p>
              </w:tc>
              <w:tc>
                <w:tcPr>
                  <w:tcW w:w="497"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垃圾桶</w:t>
                  </w:r>
                </w:p>
              </w:tc>
              <w:tc>
                <w:tcPr>
                  <w:tcW w:w="579"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由当地环卫部门定期清运</w:t>
                  </w:r>
                </w:p>
              </w:tc>
              <w:tc>
                <w:tcPr>
                  <w:tcW w:w="1191" w:type="pct"/>
                  <w:tcBorders>
                    <w:tl2br w:val="nil"/>
                    <w:tr2bl w:val="nil"/>
                  </w:tcBorders>
                  <w:vAlign w:val="center"/>
                </w:tcPr>
                <w:p>
                  <w:pPr>
                    <w:snapToGrid w:val="0"/>
                    <w:spacing w:line="240" w:lineRule="auto"/>
                    <w:ind w:firstLine="0" w:firstLineChars="0"/>
                    <w:jc w:val="center"/>
                    <w:rPr>
                      <w:rFonts w:cs="Times New Roman"/>
                      <w:bCs/>
                      <w:color w:val="auto"/>
                      <w:sz w:val="21"/>
                      <w:szCs w:val="21"/>
                    </w:rPr>
                  </w:pPr>
                  <w:r>
                    <w:rPr>
                      <w:rFonts w:cs="Times New Roman"/>
                      <w:bCs/>
                      <w:color w:val="auto"/>
                      <w:sz w:val="21"/>
                      <w:szCs w:val="21"/>
                    </w:rPr>
                    <w:t>--</w:t>
                  </w:r>
                </w:p>
              </w:tc>
            </w:tr>
          </w:tbl>
          <w:p>
            <w:pPr>
              <w:ind w:firstLine="480"/>
              <w:jc w:val="center"/>
              <w:rPr>
                <w:rFonts w:cs="Times New Roman"/>
                <w:color w:val="auto"/>
              </w:rPr>
            </w:pPr>
          </w:p>
        </w:tc>
      </w:tr>
    </w:tbl>
    <w:p>
      <w:pPr>
        <w:pStyle w:val="3"/>
        <w:ind w:firstLine="562"/>
        <w:rPr>
          <w:rFonts w:eastAsia="宋体" w:cs="Times New Roman"/>
          <w:color w:val="auto"/>
        </w:rPr>
        <w:sectPr>
          <w:pgSz w:w="11906" w:h="16838"/>
          <w:pgMar w:top="1440" w:right="1800" w:bottom="1440" w:left="1800" w:header="851" w:footer="992" w:gutter="0"/>
          <w:cols w:space="425" w:num="1"/>
          <w:docGrid w:type="lines" w:linePitch="312" w:charSpace="0"/>
        </w:sectPr>
      </w:pPr>
    </w:p>
    <w:p>
      <w:pPr>
        <w:pStyle w:val="3"/>
        <w:ind w:firstLine="562"/>
        <w:rPr>
          <w:rFonts w:eastAsia="宋体" w:cs="Times New Roman"/>
          <w:color w:val="auto"/>
        </w:rPr>
      </w:pPr>
      <w:r>
        <w:rPr>
          <w:rFonts w:eastAsia="宋体" w:cs="Times New Roman"/>
          <w:color w:val="auto"/>
        </w:rPr>
        <w:t>五、环境保护措施监督检查清单</w:t>
      </w:r>
    </w:p>
    <w:tbl>
      <w:tblPr>
        <w:tblStyle w:val="27"/>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1"/>
        <w:gridCol w:w="937"/>
        <w:gridCol w:w="1689"/>
        <w:gridCol w:w="1526"/>
        <w:gridCol w:w="1558"/>
        <w:gridCol w:w="23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50" w:type="dxa"/>
            <w:gridSpan w:val="2"/>
            <w:tcBorders>
              <w:tl2br w:val="nil"/>
              <w:tr2bl w:val="nil"/>
            </w:tcBorders>
            <w:vAlign w:val="center"/>
          </w:tcPr>
          <w:p>
            <w:pPr>
              <w:snapToGrid w:val="0"/>
              <w:spacing w:line="240" w:lineRule="auto"/>
              <w:ind w:firstLine="0" w:firstLineChars="0"/>
              <w:jc w:val="center"/>
              <w:rPr>
                <w:rFonts w:cs="Times New Roman"/>
                <w:b/>
                <w:bCs/>
                <w:color w:val="auto"/>
              </w:rPr>
            </w:pPr>
            <w:r>
              <w:rPr>
                <w:rFonts w:cs="Times New Roman"/>
                <w:b/>
                <w:bCs/>
                <w:color w:val="auto"/>
              </w:rPr>
              <w:t>要素</w:t>
            </w:r>
          </w:p>
          <w:p>
            <w:pPr>
              <w:spacing w:line="240" w:lineRule="auto"/>
              <w:ind w:firstLine="0" w:firstLineChars="0"/>
              <w:jc w:val="center"/>
              <w:rPr>
                <w:rFonts w:cs="Times New Roman"/>
                <w:b/>
                <w:bCs/>
                <w:color w:val="auto"/>
              </w:rPr>
            </w:pPr>
            <w:r>
              <w:rPr>
                <w:rFonts w:cs="Times New Roman"/>
                <w:b/>
                <w:bCs/>
                <w:color w:val="auto"/>
              </w:rPr>
              <w:t>内容</w:t>
            </w:r>
          </w:p>
        </w:tc>
        <w:tc>
          <w:tcPr>
            <w:tcW w:w="1734" w:type="dxa"/>
            <w:tcBorders>
              <w:tl2br w:val="nil"/>
              <w:tr2bl w:val="nil"/>
            </w:tcBorders>
            <w:vAlign w:val="center"/>
          </w:tcPr>
          <w:p>
            <w:pPr>
              <w:spacing w:line="240" w:lineRule="auto"/>
              <w:ind w:firstLine="0" w:firstLineChars="0"/>
              <w:jc w:val="center"/>
              <w:rPr>
                <w:rFonts w:cs="Times New Roman"/>
                <w:b/>
                <w:bCs/>
                <w:color w:val="auto"/>
              </w:rPr>
            </w:pPr>
            <w:r>
              <w:rPr>
                <w:rFonts w:cs="Times New Roman"/>
                <w:b/>
                <w:bCs/>
                <w:color w:val="auto"/>
              </w:rPr>
              <w:t>排放口（编号、名称）/污染源</w:t>
            </w:r>
          </w:p>
        </w:tc>
        <w:tc>
          <w:tcPr>
            <w:tcW w:w="1656" w:type="dxa"/>
            <w:tcBorders>
              <w:tl2br w:val="nil"/>
              <w:tr2bl w:val="nil"/>
            </w:tcBorders>
            <w:vAlign w:val="center"/>
          </w:tcPr>
          <w:p>
            <w:pPr>
              <w:spacing w:line="240" w:lineRule="auto"/>
              <w:ind w:firstLine="0" w:firstLineChars="0"/>
              <w:jc w:val="center"/>
              <w:rPr>
                <w:rFonts w:cs="Times New Roman"/>
                <w:b/>
                <w:bCs/>
                <w:color w:val="auto"/>
              </w:rPr>
            </w:pPr>
            <w:r>
              <w:rPr>
                <w:rFonts w:cs="Times New Roman"/>
                <w:b/>
                <w:bCs/>
                <w:color w:val="auto"/>
              </w:rPr>
              <w:t>污染物项目</w:t>
            </w:r>
          </w:p>
        </w:tc>
        <w:tc>
          <w:tcPr>
            <w:tcW w:w="1681" w:type="dxa"/>
            <w:tcBorders>
              <w:tl2br w:val="nil"/>
              <w:tr2bl w:val="nil"/>
            </w:tcBorders>
            <w:vAlign w:val="center"/>
          </w:tcPr>
          <w:p>
            <w:pPr>
              <w:spacing w:line="240" w:lineRule="auto"/>
              <w:ind w:firstLine="0" w:firstLineChars="0"/>
              <w:jc w:val="center"/>
              <w:rPr>
                <w:rFonts w:cs="Times New Roman"/>
                <w:b/>
                <w:bCs/>
                <w:color w:val="auto"/>
              </w:rPr>
            </w:pPr>
            <w:r>
              <w:rPr>
                <w:rFonts w:cs="Times New Roman"/>
                <w:b/>
                <w:bCs/>
                <w:color w:val="auto"/>
              </w:rPr>
              <w:t>环境保护措施</w:t>
            </w:r>
          </w:p>
        </w:tc>
        <w:tc>
          <w:tcPr>
            <w:tcW w:w="2350" w:type="dxa"/>
            <w:tcBorders>
              <w:tl2br w:val="nil"/>
              <w:tr2bl w:val="nil"/>
            </w:tcBorders>
            <w:vAlign w:val="center"/>
          </w:tcPr>
          <w:p>
            <w:pPr>
              <w:spacing w:line="240" w:lineRule="auto"/>
              <w:ind w:firstLine="0" w:firstLineChars="0"/>
              <w:jc w:val="center"/>
              <w:rPr>
                <w:rFonts w:cs="Times New Roman"/>
                <w:b/>
                <w:bCs/>
                <w:color w:val="auto"/>
              </w:rPr>
            </w:pPr>
            <w:r>
              <w:rPr>
                <w:rFonts w:cs="Times New Roman"/>
                <w:b/>
                <w:bCs/>
                <w:color w:val="auto"/>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98" w:type="dxa"/>
            <w:vMerge w:val="restart"/>
            <w:tcBorders>
              <w:tl2br w:val="nil"/>
              <w:tr2bl w:val="nil"/>
            </w:tcBorders>
            <w:vAlign w:val="center"/>
          </w:tcPr>
          <w:p>
            <w:pPr>
              <w:spacing w:line="240" w:lineRule="auto"/>
              <w:ind w:firstLine="0" w:firstLineChars="0"/>
              <w:rPr>
                <w:rFonts w:cs="Times New Roman"/>
                <w:b/>
                <w:bCs/>
                <w:color w:val="auto"/>
              </w:rPr>
            </w:pPr>
            <w:r>
              <w:rPr>
                <w:rFonts w:cs="Times New Roman"/>
                <w:b/>
                <w:bCs/>
                <w:color w:val="auto"/>
              </w:rPr>
              <w:t>大气环境</w:t>
            </w:r>
          </w:p>
        </w:tc>
        <w:tc>
          <w:tcPr>
            <w:tcW w:w="552" w:type="dxa"/>
            <w:vMerge w:val="restart"/>
            <w:tcBorders>
              <w:tl2br w:val="nil"/>
              <w:tr2bl w:val="nil"/>
            </w:tcBorders>
            <w:vAlign w:val="center"/>
          </w:tcPr>
          <w:p>
            <w:pPr>
              <w:spacing w:line="240" w:lineRule="auto"/>
              <w:ind w:firstLine="482"/>
              <w:jc w:val="center"/>
              <w:rPr>
                <w:rFonts w:cs="Times New Roman"/>
                <w:b/>
                <w:bCs/>
                <w:color w:val="auto"/>
              </w:rPr>
            </w:pPr>
            <w:r>
              <w:rPr>
                <w:rFonts w:cs="Times New Roman"/>
                <w:b/>
                <w:bCs/>
                <w:color w:val="auto"/>
              </w:rPr>
              <w:t>一一期工程</w:t>
            </w:r>
          </w:p>
        </w:tc>
        <w:tc>
          <w:tcPr>
            <w:tcW w:w="1734" w:type="dxa"/>
            <w:tcBorders>
              <w:tl2br w:val="nil"/>
              <w:tr2bl w:val="nil"/>
            </w:tcBorders>
            <w:vAlign w:val="center"/>
          </w:tcPr>
          <w:p>
            <w:pPr>
              <w:snapToGrid w:val="0"/>
              <w:spacing w:line="240" w:lineRule="auto"/>
              <w:ind w:firstLine="0" w:firstLineChars="0"/>
              <w:jc w:val="center"/>
              <w:rPr>
                <w:rFonts w:cs="Times New Roman"/>
                <w:bCs/>
                <w:color w:val="auto"/>
              </w:rPr>
            </w:pPr>
            <w:r>
              <w:rPr>
                <w:rFonts w:cs="Times New Roman"/>
                <w:bCs/>
                <w:color w:val="auto"/>
              </w:rPr>
              <w:t>氟化、闪蒸干燥</w:t>
            </w:r>
          </w:p>
          <w:p>
            <w:pPr>
              <w:spacing w:line="240" w:lineRule="auto"/>
              <w:ind w:firstLine="0" w:firstLineChars="0"/>
              <w:jc w:val="center"/>
              <w:rPr>
                <w:rFonts w:cs="Times New Roman"/>
                <w:bCs/>
                <w:color w:val="auto"/>
              </w:rPr>
            </w:pPr>
            <w:r>
              <w:rPr>
                <w:rFonts w:cs="Times New Roman"/>
                <w:bCs/>
                <w:color w:val="auto"/>
              </w:rPr>
              <w:t>（DA001）</w:t>
            </w:r>
          </w:p>
        </w:tc>
        <w:tc>
          <w:tcPr>
            <w:tcW w:w="1656" w:type="dxa"/>
            <w:tcBorders>
              <w:tl2br w:val="nil"/>
              <w:tr2bl w:val="nil"/>
            </w:tcBorders>
            <w:vAlign w:val="center"/>
          </w:tcPr>
          <w:p>
            <w:pPr>
              <w:spacing w:line="240" w:lineRule="auto"/>
              <w:ind w:firstLine="0" w:firstLineChars="0"/>
              <w:jc w:val="center"/>
              <w:rPr>
                <w:rFonts w:cs="Times New Roman"/>
                <w:color w:val="auto"/>
              </w:rPr>
            </w:pPr>
            <w:r>
              <w:rPr>
                <w:rFonts w:cs="Times New Roman"/>
                <w:color w:val="auto"/>
              </w:rPr>
              <w:t>颗粒物、二氧化硫、氮氧化物、氟化物</w:t>
            </w:r>
          </w:p>
        </w:tc>
        <w:tc>
          <w:tcPr>
            <w:tcW w:w="1681" w:type="dxa"/>
            <w:tcBorders>
              <w:tl2br w:val="nil"/>
              <w:tr2bl w:val="nil"/>
            </w:tcBorders>
            <w:vAlign w:val="center"/>
          </w:tcPr>
          <w:p>
            <w:pPr>
              <w:pStyle w:val="11"/>
              <w:spacing w:after="0" w:line="240" w:lineRule="auto"/>
              <w:ind w:firstLine="0" w:firstLineChars="0"/>
              <w:jc w:val="center"/>
              <w:rPr>
                <w:rFonts w:cs="Times New Roman"/>
                <w:bCs/>
                <w:color w:val="auto"/>
                <w:sz w:val="24"/>
                <w:szCs w:val="24"/>
              </w:rPr>
            </w:pPr>
            <w:r>
              <w:rPr>
                <w:rFonts w:cs="Times New Roman"/>
                <w:bCs/>
                <w:color w:val="auto"/>
                <w:sz w:val="24"/>
                <w:szCs w:val="24"/>
              </w:rPr>
              <w:t>碱喷淋塔+15m排气筒</w:t>
            </w:r>
          </w:p>
        </w:tc>
        <w:tc>
          <w:tcPr>
            <w:tcW w:w="2350" w:type="dxa"/>
            <w:vMerge w:val="restart"/>
            <w:tcBorders>
              <w:tl2br w:val="nil"/>
              <w:tr2bl w:val="nil"/>
            </w:tcBorders>
            <w:vAlign w:val="center"/>
          </w:tcPr>
          <w:p>
            <w:pPr>
              <w:spacing w:line="240" w:lineRule="auto"/>
              <w:ind w:firstLine="0" w:firstLineChars="0"/>
              <w:rPr>
                <w:rFonts w:cs="Times New Roman"/>
                <w:color w:val="auto"/>
              </w:rPr>
            </w:pPr>
            <w:r>
              <w:rPr>
                <w:rFonts w:cs="Times New Roman"/>
                <w:color w:val="auto"/>
              </w:rPr>
              <w:t>《稀土工业污染物排放标准》（GB26451-2011）</w:t>
            </w:r>
          </w:p>
          <w:p>
            <w:pPr>
              <w:spacing w:line="240" w:lineRule="auto"/>
              <w:ind w:firstLine="480"/>
              <w:rPr>
                <w:rFonts w:cs="Times New Roman"/>
                <w:color w:val="auto"/>
              </w:rPr>
            </w:pPr>
            <w:r>
              <w:rPr>
                <w:rFonts w:cs="Times New Roman"/>
                <w:color w:val="auto"/>
              </w:rPr>
              <w:t>中表5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98" w:type="dxa"/>
            <w:vMerge w:val="continue"/>
            <w:tcBorders>
              <w:tl2br w:val="nil"/>
              <w:tr2bl w:val="nil"/>
            </w:tcBorders>
            <w:vAlign w:val="center"/>
          </w:tcPr>
          <w:p>
            <w:pPr>
              <w:spacing w:line="240" w:lineRule="auto"/>
              <w:ind w:firstLine="0" w:firstLineChars="0"/>
              <w:jc w:val="center"/>
              <w:rPr>
                <w:rFonts w:cs="Times New Roman"/>
                <w:b/>
                <w:bCs/>
                <w:color w:val="auto"/>
              </w:rPr>
            </w:pPr>
          </w:p>
        </w:tc>
        <w:tc>
          <w:tcPr>
            <w:tcW w:w="552" w:type="dxa"/>
            <w:vMerge w:val="continue"/>
            <w:tcBorders>
              <w:tl2br w:val="nil"/>
              <w:tr2bl w:val="nil"/>
            </w:tcBorders>
            <w:vAlign w:val="center"/>
          </w:tcPr>
          <w:p>
            <w:pPr>
              <w:spacing w:line="240" w:lineRule="auto"/>
              <w:ind w:firstLine="0" w:firstLineChars="0"/>
              <w:jc w:val="center"/>
              <w:rPr>
                <w:rFonts w:cs="Times New Roman"/>
                <w:b/>
                <w:bCs/>
                <w:color w:val="auto"/>
              </w:rPr>
            </w:pPr>
          </w:p>
        </w:tc>
        <w:tc>
          <w:tcPr>
            <w:tcW w:w="1734" w:type="dxa"/>
            <w:tcBorders>
              <w:tl2br w:val="nil"/>
              <w:tr2bl w:val="nil"/>
            </w:tcBorders>
            <w:vAlign w:val="center"/>
          </w:tcPr>
          <w:p>
            <w:pPr>
              <w:spacing w:line="240" w:lineRule="auto"/>
              <w:ind w:firstLine="0" w:firstLineChars="0"/>
              <w:jc w:val="center"/>
              <w:rPr>
                <w:rFonts w:cs="Times New Roman"/>
                <w:bCs/>
                <w:color w:val="auto"/>
              </w:rPr>
            </w:pPr>
            <w:r>
              <w:rPr>
                <w:rFonts w:cs="Times New Roman"/>
                <w:bCs/>
                <w:color w:val="auto"/>
              </w:rPr>
              <w:t>天然气辊道窑、电辊道窑（DA002）</w:t>
            </w:r>
          </w:p>
        </w:tc>
        <w:tc>
          <w:tcPr>
            <w:tcW w:w="1656" w:type="dxa"/>
            <w:tcBorders>
              <w:tl2br w:val="nil"/>
              <w:tr2bl w:val="nil"/>
            </w:tcBorders>
            <w:vAlign w:val="center"/>
          </w:tcPr>
          <w:p>
            <w:pPr>
              <w:spacing w:line="240" w:lineRule="auto"/>
              <w:ind w:firstLine="0" w:firstLineChars="0"/>
              <w:jc w:val="center"/>
              <w:rPr>
                <w:rFonts w:cs="Times New Roman"/>
                <w:color w:val="auto"/>
              </w:rPr>
            </w:pPr>
            <w:r>
              <w:rPr>
                <w:rFonts w:cs="Times New Roman"/>
                <w:color w:val="auto"/>
              </w:rPr>
              <w:t>颗粒物、二氧化硫、氮氧化物、氟化物</w:t>
            </w:r>
          </w:p>
        </w:tc>
        <w:tc>
          <w:tcPr>
            <w:tcW w:w="1681" w:type="dxa"/>
            <w:tcBorders>
              <w:tl2br w:val="nil"/>
              <w:tr2bl w:val="nil"/>
            </w:tcBorders>
            <w:vAlign w:val="center"/>
          </w:tcPr>
          <w:p>
            <w:pPr>
              <w:pStyle w:val="11"/>
              <w:spacing w:after="0" w:line="240" w:lineRule="auto"/>
              <w:ind w:firstLine="0" w:firstLineChars="0"/>
              <w:jc w:val="center"/>
              <w:rPr>
                <w:rFonts w:cs="Times New Roman"/>
                <w:bCs/>
                <w:color w:val="auto"/>
                <w:sz w:val="24"/>
                <w:szCs w:val="24"/>
              </w:rPr>
            </w:pPr>
            <w:r>
              <w:rPr>
                <w:rFonts w:cs="Times New Roman"/>
                <w:bCs/>
                <w:color w:val="auto"/>
                <w:sz w:val="24"/>
                <w:szCs w:val="24"/>
              </w:rPr>
              <w:t>碱喷淋塔+15m排气筒</w:t>
            </w:r>
          </w:p>
        </w:tc>
        <w:tc>
          <w:tcPr>
            <w:tcW w:w="2350" w:type="dxa"/>
            <w:vMerge w:val="continue"/>
            <w:tcBorders>
              <w:tl2br w:val="nil"/>
              <w:tr2bl w:val="nil"/>
            </w:tcBorders>
            <w:vAlign w:val="center"/>
          </w:tcPr>
          <w:p>
            <w:pPr>
              <w:spacing w:line="240" w:lineRule="auto"/>
              <w:ind w:firstLine="480"/>
              <w:jc w:val="center"/>
              <w:rPr>
                <w:rFonts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98" w:type="dxa"/>
            <w:vMerge w:val="continue"/>
            <w:tcBorders>
              <w:tl2br w:val="nil"/>
              <w:tr2bl w:val="nil"/>
            </w:tcBorders>
            <w:vAlign w:val="center"/>
          </w:tcPr>
          <w:p>
            <w:pPr>
              <w:spacing w:line="240" w:lineRule="auto"/>
              <w:ind w:firstLine="0" w:firstLineChars="0"/>
              <w:jc w:val="center"/>
              <w:rPr>
                <w:rFonts w:cs="Times New Roman"/>
                <w:b/>
                <w:bCs/>
                <w:color w:val="auto"/>
              </w:rPr>
            </w:pPr>
          </w:p>
        </w:tc>
        <w:tc>
          <w:tcPr>
            <w:tcW w:w="552" w:type="dxa"/>
            <w:vMerge w:val="continue"/>
            <w:tcBorders>
              <w:tl2br w:val="nil"/>
              <w:tr2bl w:val="nil"/>
            </w:tcBorders>
            <w:vAlign w:val="center"/>
          </w:tcPr>
          <w:p>
            <w:pPr>
              <w:spacing w:line="240" w:lineRule="auto"/>
              <w:ind w:firstLine="0" w:firstLineChars="0"/>
              <w:jc w:val="center"/>
              <w:rPr>
                <w:rFonts w:cs="Times New Roman"/>
                <w:b/>
                <w:bCs/>
                <w:color w:val="auto"/>
              </w:rPr>
            </w:pPr>
          </w:p>
        </w:tc>
        <w:tc>
          <w:tcPr>
            <w:tcW w:w="1734" w:type="dxa"/>
            <w:tcBorders>
              <w:tl2br w:val="nil"/>
              <w:tr2bl w:val="nil"/>
            </w:tcBorders>
            <w:vAlign w:val="center"/>
          </w:tcPr>
          <w:p>
            <w:pPr>
              <w:tabs>
                <w:tab w:val="left" w:pos="9373"/>
              </w:tabs>
              <w:spacing w:line="240" w:lineRule="auto"/>
              <w:ind w:firstLine="0" w:firstLineChars="0"/>
              <w:jc w:val="center"/>
              <w:rPr>
                <w:rFonts w:cs="Times New Roman"/>
                <w:bCs/>
                <w:color w:val="auto"/>
              </w:rPr>
            </w:pPr>
            <w:r>
              <w:rPr>
                <w:rFonts w:cs="Times New Roman"/>
                <w:bCs/>
                <w:color w:val="auto"/>
              </w:rPr>
              <w:t>后加工阶段、喷雾干燥（DA003）</w:t>
            </w:r>
          </w:p>
        </w:tc>
        <w:tc>
          <w:tcPr>
            <w:tcW w:w="1656" w:type="dxa"/>
            <w:tcBorders>
              <w:tl2br w:val="nil"/>
              <w:tr2bl w:val="nil"/>
            </w:tcBorders>
            <w:vAlign w:val="center"/>
          </w:tcPr>
          <w:p>
            <w:pPr>
              <w:spacing w:line="240" w:lineRule="auto"/>
              <w:ind w:firstLine="0" w:firstLineChars="0"/>
              <w:jc w:val="center"/>
              <w:rPr>
                <w:rFonts w:cs="Times New Roman"/>
                <w:color w:val="auto"/>
              </w:rPr>
            </w:pPr>
            <w:r>
              <w:rPr>
                <w:rFonts w:cs="Times New Roman"/>
                <w:color w:val="auto"/>
              </w:rPr>
              <w:t>颗粒物、二氧化硫、氮氧化物</w:t>
            </w:r>
          </w:p>
        </w:tc>
        <w:tc>
          <w:tcPr>
            <w:tcW w:w="1681" w:type="dxa"/>
            <w:tcBorders>
              <w:tl2br w:val="nil"/>
              <w:tr2bl w:val="nil"/>
            </w:tcBorders>
            <w:vAlign w:val="center"/>
          </w:tcPr>
          <w:p>
            <w:pPr>
              <w:spacing w:line="240" w:lineRule="auto"/>
              <w:ind w:firstLine="0" w:firstLineChars="0"/>
              <w:jc w:val="center"/>
              <w:rPr>
                <w:rFonts w:cs="Times New Roman"/>
                <w:bCs/>
                <w:i/>
                <w:iCs/>
                <w:color w:val="auto"/>
              </w:rPr>
            </w:pPr>
            <w:r>
              <w:rPr>
                <w:rFonts w:cs="Times New Roman"/>
                <w:bCs/>
                <w:color w:val="auto"/>
              </w:rPr>
              <w:t>布袋除尘器+15m排气筒</w:t>
            </w:r>
          </w:p>
        </w:tc>
        <w:tc>
          <w:tcPr>
            <w:tcW w:w="2350" w:type="dxa"/>
            <w:vMerge w:val="continue"/>
            <w:tcBorders>
              <w:tl2br w:val="nil"/>
              <w:tr2bl w:val="nil"/>
            </w:tcBorders>
            <w:vAlign w:val="center"/>
          </w:tcPr>
          <w:p>
            <w:pPr>
              <w:spacing w:line="240" w:lineRule="auto"/>
              <w:ind w:firstLine="480"/>
              <w:jc w:val="center"/>
              <w:rPr>
                <w:rFonts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98" w:type="dxa"/>
            <w:vMerge w:val="continue"/>
            <w:tcBorders>
              <w:tl2br w:val="nil"/>
              <w:tr2bl w:val="nil"/>
            </w:tcBorders>
            <w:vAlign w:val="center"/>
          </w:tcPr>
          <w:p>
            <w:pPr>
              <w:spacing w:line="240" w:lineRule="auto"/>
              <w:ind w:firstLine="0" w:firstLineChars="0"/>
              <w:jc w:val="center"/>
              <w:rPr>
                <w:rFonts w:cs="Times New Roman"/>
                <w:b/>
                <w:bCs/>
                <w:color w:val="auto"/>
              </w:rPr>
            </w:pPr>
          </w:p>
        </w:tc>
        <w:tc>
          <w:tcPr>
            <w:tcW w:w="552" w:type="dxa"/>
            <w:vMerge w:val="restart"/>
            <w:tcBorders>
              <w:tl2br w:val="nil"/>
              <w:tr2bl w:val="nil"/>
            </w:tcBorders>
            <w:vAlign w:val="center"/>
          </w:tcPr>
          <w:p>
            <w:pPr>
              <w:spacing w:line="240" w:lineRule="auto"/>
              <w:ind w:firstLine="482"/>
              <w:jc w:val="center"/>
              <w:rPr>
                <w:rFonts w:cs="Times New Roman"/>
                <w:b/>
                <w:bCs/>
                <w:color w:val="auto"/>
              </w:rPr>
            </w:pPr>
            <w:r>
              <w:rPr>
                <w:rFonts w:cs="Times New Roman"/>
                <w:b/>
                <w:bCs/>
                <w:color w:val="auto"/>
              </w:rPr>
              <w:t>二二期工程</w:t>
            </w:r>
          </w:p>
        </w:tc>
        <w:tc>
          <w:tcPr>
            <w:tcW w:w="1734" w:type="dxa"/>
            <w:tcBorders>
              <w:tl2br w:val="nil"/>
              <w:tr2bl w:val="nil"/>
            </w:tcBorders>
            <w:vAlign w:val="center"/>
          </w:tcPr>
          <w:p>
            <w:pPr>
              <w:snapToGrid w:val="0"/>
              <w:spacing w:line="240" w:lineRule="auto"/>
              <w:ind w:firstLine="0" w:firstLineChars="0"/>
              <w:jc w:val="center"/>
              <w:rPr>
                <w:rFonts w:cs="Times New Roman"/>
                <w:bCs/>
                <w:color w:val="auto"/>
              </w:rPr>
            </w:pPr>
            <w:r>
              <w:rPr>
                <w:rFonts w:cs="Times New Roman"/>
                <w:bCs/>
                <w:color w:val="auto"/>
              </w:rPr>
              <w:t>氟化、闪蒸干燥</w:t>
            </w:r>
          </w:p>
          <w:p>
            <w:pPr>
              <w:snapToGrid w:val="0"/>
              <w:spacing w:line="240" w:lineRule="auto"/>
              <w:ind w:firstLine="0" w:firstLineChars="0"/>
              <w:jc w:val="center"/>
              <w:rPr>
                <w:rFonts w:cs="Times New Roman"/>
                <w:color w:val="auto"/>
              </w:rPr>
            </w:pPr>
            <w:r>
              <w:rPr>
                <w:rFonts w:cs="Times New Roman"/>
                <w:bCs/>
                <w:color w:val="auto"/>
              </w:rPr>
              <w:t>（DA004）</w:t>
            </w:r>
          </w:p>
        </w:tc>
        <w:tc>
          <w:tcPr>
            <w:tcW w:w="1656" w:type="dxa"/>
            <w:tcBorders>
              <w:tl2br w:val="nil"/>
              <w:tr2bl w:val="nil"/>
            </w:tcBorders>
            <w:vAlign w:val="center"/>
          </w:tcPr>
          <w:p>
            <w:pPr>
              <w:spacing w:line="240" w:lineRule="auto"/>
              <w:ind w:firstLine="0" w:firstLineChars="0"/>
              <w:jc w:val="center"/>
              <w:rPr>
                <w:rFonts w:cs="Times New Roman"/>
                <w:color w:val="auto"/>
              </w:rPr>
            </w:pPr>
            <w:r>
              <w:rPr>
                <w:rFonts w:cs="Times New Roman"/>
                <w:color w:val="auto"/>
              </w:rPr>
              <w:t>颗粒物、二氧化硫、氮氧化物、氟化物</w:t>
            </w:r>
          </w:p>
        </w:tc>
        <w:tc>
          <w:tcPr>
            <w:tcW w:w="1681" w:type="dxa"/>
            <w:tcBorders>
              <w:tl2br w:val="nil"/>
              <w:tr2bl w:val="nil"/>
            </w:tcBorders>
            <w:vAlign w:val="center"/>
          </w:tcPr>
          <w:p>
            <w:pPr>
              <w:snapToGrid w:val="0"/>
              <w:spacing w:line="240" w:lineRule="auto"/>
              <w:ind w:firstLine="0" w:firstLineChars="0"/>
              <w:jc w:val="center"/>
              <w:rPr>
                <w:rFonts w:cs="Times New Roman"/>
                <w:bCs/>
                <w:color w:val="auto"/>
              </w:rPr>
            </w:pPr>
            <w:r>
              <w:rPr>
                <w:rFonts w:cs="Times New Roman"/>
                <w:bCs/>
                <w:color w:val="auto"/>
              </w:rPr>
              <w:t>碱喷淋塔+15m排气筒</w:t>
            </w:r>
          </w:p>
        </w:tc>
        <w:tc>
          <w:tcPr>
            <w:tcW w:w="2350" w:type="dxa"/>
            <w:vMerge w:val="continue"/>
            <w:tcBorders>
              <w:tl2br w:val="nil"/>
              <w:tr2bl w:val="nil"/>
            </w:tcBorders>
            <w:vAlign w:val="center"/>
          </w:tcPr>
          <w:p>
            <w:pPr>
              <w:spacing w:line="240" w:lineRule="auto"/>
              <w:ind w:firstLine="480"/>
              <w:jc w:val="center"/>
              <w:rPr>
                <w:rFonts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98" w:type="dxa"/>
            <w:vMerge w:val="continue"/>
            <w:tcBorders>
              <w:tl2br w:val="nil"/>
              <w:tr2bl w:val="nil"/>
            </w:tcBorders>
            <w:vAlign w:val="center"/>
          </w:tcPr>
          <w:p>
            <w:pPr>
              <w:spacing w:line="240" w:lineRule="auto"/>
              <w:ind w:firstLine="0" w:firstLineChars="0"/>
              <w:jc w:val="center"/>
              <w:rPr>
                <w:rFonts w:cs="Times New Roman"/>
                <w:b/>
                <w:bCs/>
                <w:color w:val="auto"/>
              </w:rPr>
            </w:pPr>
          </w:p>
        </w:tc>
        <w:tc>
          <w:tcPr>
            <w:tcW w:w="552" w:type="dxa"/>
            <w:vMerge w:val="continue"/>
            <w:tcBorders>
              <w:tl2br w:val="nil"/>
              <w:tr2bl w:val="nil"/>
            </w:tcBorders>
            <w:vAlign w:val="center"/>
          </w:tcPr>
          <w:p>
            <w:pPr>
              <w:spacing w:line="240" w:lineRule="auto"/>
              <w:ind w:firstLine="0" w:firstLineChars="0"/>
              <w:jc w:val="center"/>
              <w:rPr>
                <w:rFonts w:cs="Times New Roman"/>
                <w:b/>
                <w:bCs/>
                <w:color w:val="auto"/>
              </w:rPr>
            </w:pPr>
          </w:p>
        </w:tc>
        <w:tc>
          <w:tcPr>
            <w:tcW w:w="1734" w:type="dxa"/>
            <w:tcBorders>
              <w:tl2br w:val="nil"/>
              <w:tr2bl w:val="nil"/>
            </w:tcBorders>
            <w:vAlign w:val="center"/>
          </w:tcPr>
          <w:p>
            <w:pPr>
              <w:snapToGrid w:val="0"/>
              <w:spacing w:line="240" w:lineRule="auto"/>
              <w:ind w:firstLine="0" w:firstLineChars="0"/>
              <w:jc w:val="center"/>
              <w:rPr>
                <w:rFonts w:cs="Times New Roman"/>
                <w:color w:val="auto"/>
              </w:rPr>
            </w:pPr>
            <w:r>
              <w:rPr>
                <w:rFonts w:cs="Times New Roman"/>
                <w:color w:val="auto"/>
              </w:rPr>
              <w:t>天然气回转窑废气排气筒（</w:t>
            </w:r>
            <w:r>
              <w:rPr>
                <w:rFonts w:cs="Times New Roman"/>
                <w:bCs/>
                <w:color w:val="auto"/>
              </w:rPr>
              <w:t>DA005</w:t>
            </w:r>
            <w:r>
              <w:rPr>
                <w:rFonts w:cs="Times New Roman"/>
                <w:color w:val="auto"/>
              </w:rPr>
              <w:t>）</w:t>
            </w:r>
          </w:p>
        </w:tc>
        <w:tc>
          <w:tcPr>
            <w:tcW w:w="1656" w:type="dxa"/>
            <w:tcBorders>
              <w:tl2br w:val="nil"/>
              <w:tr2bl w:val="nil"/>
            </w:tcBorders>
            <w:vAlign w:val="center"/>
          </w:tcPr>
          <w:p>
            <w:pPr>
              <w:spacing w:line="240" w:lineRule="auto"/>
              <w:ind w:firstLine="0" w:firstLineChars="0"/>
              <w:jc w:val="center"/>
              <w:rPr>
                <w:rFonts w:cs="Times New Roman"/>
                <w:color w:val="auto"/>
              </w:rPr>
            </w:pPr>
            <w:r>
              <w:rPr>
                <w:rFonts w:cs="Times New Roman"/>
                <w:color w:val="auto"/>
              </w:rPr>
              <w:t>颗粒物、二氧化硫、氮氧化物、氟化物</w:t>
            </w:r>
          </w:p>
        </w:tc>
        <w:tc>
          <w:tcPr>
            <w:tcW w:w="1681" w:type="dxa"/>
            <w:tcBorders>
              <w:tl2br w:val="nil"/>
              <w:tr2bl w:val="nil"/>
            </w:tcBorders>
            <w:vAlign w:val="center"/>
          </w:tcPr>
          <w:p>
            <w:pPr>
              <w:snapToGrid w:val="0"/>
              <w:spacing w:line="240" w:lineRule="auto"/>
              <w:ind w:firstLine="0" w:firstLineChars="0"/>
              <w:jc w:val="center"/>
              <w:rPr>
                <w:rFonts w:cs="Times New Roman"/>
                <w:bCs/>
                <w:color w:val="auto"/>
              </w:rPr>
            </w:pPr>
            <w:r>
              <w:rPr>
                <w:rFonts w:cs="Times New Roman"/>
                <w:bCs/>
                <w:color w:val="auto"/>
              </w:rPr>
              <w:t>碱喷淋塔+15m排气筒</w:t>
            </w:r>
          </w:p>
        </w:tc>
        <w:tc>
          <w:tcPr>
            <w:tcW w:w="2350" w:type="dxa"/>
            <w:vMerge w:val="continue"/>
            <w:tcBorders>
              <w:tl2br w:val="nil"/>
              <w:tr2bl w:val="nil"/>
            </w:tcBorders>
            <w:vAlign w:val="center"/>
          </w:tcPr>
          <w:p>
            <w:pPr>
              <w:spacing w:line="240" w:lineRule="auto"/>
              <w:ind w:firstLine="0" w:firstLineChars="0"/>
              <w:jc w:val="center"/>
              <w:rPr>
                <w:rFonts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98" w:type="dxa"/>
            <w:vMerge w:val="continue"/>
            <w:tcBorders>
              <w:tl2br w:val="nil"/>
              <w:tr2bl w:val="nil"/>
            </w:tcBorders>
            <w:vAlign w:val="center"/>
          </w:tcPr>
          <w:p>
            <w:pPr>
              <w:spacing w:line="240" w:lineRule="auto"/>
              <w:ind w:firstLine="0" w:firstLineChars="0"/>
              <w:jc w:val="center"/>
              <w:rPr>
                <w:rFonts w:cs="Times New Roman"/>
                <w:b/>
                <w:bCs/>
                <w:color w:val="auto"/>
              </w:rPr>
            </w:pPr>
          </w:p>
        </w:tc>
        <w:tc>
          <w:tcPr>
            <w:tcW w:w="552" w:type="dxa"/>
            <w:tcBorders>
              <w:tl2br w:val="nil"/>
              <w:tr2bl w:val="nil"/>
            </w:tcBorders>
            <w:vAlign w:val="center"/>
          </w:tcPr>
          <w:p>
            <w:pPr>
              <w:spacing w:line="240" w:lineRule="auto"/>
              <w:ind w:firstLine="0" w:firstLineChars="0"/>
              <w:jc w:val="center"/>
              <w:rPr>
                <w:rFonts w:cs="Times New Roman"/>
                <w:b/>
                <w:bCs/>
                <w:color w:val="auto"/>
              </w:rPr>
            </w:pPr>
            <w:r>
              <w:rPr>
                <w:rFonts w:cs="Times New Roman"/>
                <w:b/>
                <w:bCs/>
                <w:color w:val="auto"/>
              </w:rPr>
              <w:t>/</w:t>
            </w:r>
          </w:p>
        </w:tc>
        <w:tc>
          <w:tcPr>
            <w:tcW w:w="1734" w:type="dxa"/>
            <w:tcBorders>
              <w:tl2br w:val="nil"/>
              <w:tr2bl w:val="nil"/>
            </w:tcBorders>
            <w:vAlign w:val="center"/>
          </w:tcPr>
          <w:p>
            <w:pPr>
              <w:snapToGrid w:val="0"/>
              <w:spacing w:line="240" w:lineRule="auto"/>
              <w:ind w:firstLine="0" w:firstLineChars="0"/>
              <w:jc w:val="center"/>
              <w:rPr>
                <w:rFonts w:cs="Times New Roman"/>
                <w:color w:val="auto"/>
              </w:rPr>
            </w:pPr>
            <w:r>
              <w:rPr>
                <w:rFonts w:cs="Times New Roman"/>
                <w:color w:val="auto"/>
              </w:rPr>
              <w:t>天然气锅炉排气筒（</w:t>
            </w:r>
            <w:r>
              <w:rPr>
                <w:rFonts w:cs="Times New Roman"/>
                <w:bCs/>
                <w:color w:val="auto"/>
              </w:rPr>
              <w:t>DA006</w:t>
            </w:r>
            <w:r>
              <w:rPr>
                <w:rFonts w:cs="Times New Roman"/>
                <w:color w:val="auto"/>
              </w:rPr>
              <w:t>）</w:t>
            </w:r>
          </w:p>
        </w:tc>
        <w:tc>
          <w:tcPr>
            <w:tcW w:w="1656" w:type="dxa"/>
            <w:tcBorders>
              <w:tl2br w:val="nil"/>
              <w:tr2bl w:val="nil"/>
            </w:tcBorders>
            <w:vAlign w:val="center"/>
          </w:tcPr>
          <w:p>
            <w:pPr>
              <w:spacing w:line="240" w:lineRule="auto"/>
              <w:ind w:firstLine="0" w:firstLineChars="0"/>
              <w:jc w:val="center"/>
              <w:rPr>
                <w:rFonts w:cs="Times New Roman"/>
                <w:color w:val="auto"/>
              </w:rPr>
            </w:pPr>
            <w:r>
              <w:rPr>
                <w:rFonts w:cs="Times New Roman"/>
                <w:color w:val="auto"/>
              </w:rPr>
              <w:t>颗粒物、二氧化硫、氮氧化物</w:t>
            </w:r>
          </w:p>
        </w:tc>
        <w:tc>
          <w:tcPr>
            <w:tcW w:w="1681" w:type="dxa"/>
            <w:tcBorders>
              <w:tl2br w:val="nil"/>
              <w:tr2bl w:val="nil"/>
            </w:tcBorders>
            <w:vAlign w:val="center"/>
          </w:tcPr>
          <w:p>
            <w:pPr>
              <w:snapToGrid w:val="0"/>
              <w:spacing w:line="240" w:lineRule="auto"/>
              <w:ind w:firstLine="0" w:firstLineChars="0"/>
              <w:jc w:val="center"/>
              <w:rPr>
                <w:rFonts w:cs="Times New Roman"/>
                <w:bCs/>
                <w:color w:val="auto"/>
              </w:rPr>
            </w:pPr>
            <w:r>
              <w:rPr>
                <w:rFonts w:cs="Times New Roman"/>
                <w:bCs/>
                <w:color w:val="auto"/>
              </w:rPr>
              <w:t>低氮燃烧+14m高的排气筒</w:t>
            </w:r>
          </w:p>
        </w:tc>
        <w:tc>
          <w:tcPr>
            <w:tcW w:w="2350" w:type="dxa"/>
            <w:tcBorders>
              <w:tl2br w:val="nil"/>
              <w:tr2bl w:val="nil"/>
            </w:tcBorders>
            <w:vAlign w:val="center"/>
          </w:tcPr>
          <w:p>
            <w:pPr>
              <w:spacing w:line="240" w:lineRule="auto"/>
              <w:ind w:firstLine="0" w:firstLineChars="0"/>
              <w:jc w:val="center"/>
              <w:rPr>
                <w:rFonts w:cs="Times New Roman"/>
                <w:color w:val="auto"/>
              </w:rPr>
            </w:pPr>
            <w:r>
              <w:rPr>
                <w:rFonts w:cs="Times New Roman"/>
                <w:color w:val="auto"/>
              </w:rPr>
              <w:t>《锅炉大气污染物排放标准》（GB13271-2014）中表2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50" w:type="dxa"/>
            <w:gridSpan w:val="2"/>
            <w:vMerge w:val="restart"/>
            <w:tcBorders>
              <w:tl2br w:val="nil"/>
              <w:tr2bl w:val="nil"/>
            </w:tcBorders>
            <w:vAlign w:val="center"/>
          </w:tcPr>
          <w:p>
            <w:pPr>
              <w:spacing w:line="240" w:lineRule="auto"/>
              <w:ind w:firstLine="0" w:firstLineChars="0"/>
              <w:jc w:val="center"/>
              <w:rPr>
                <w:rFonts w:cs="Times New Roman"/>
                <w:b/>
                <w:bCs/>
                <w:color w:val="auto"/>
              </w:rPr>
            </w:pPr>
            <w:r>
              <w:rPr>
                <w:rFonts w:cs="Times New Roman"/>
                <w:b/>
                <w:bCs/>
                <w:color w:val="auto"/>
              </w:rPr>
              <w:t>地表水环境</w:t>
            </w:r>
          </w:p>
        </w:tc>
        <w:tc>
          <w:tcPr>
            <w:tcW w:w="1734" w:type="dxa"/>
            <w:tcBorders>
              <w:tl2br w:val="nil"/>
              <w:tr2bl w:val="nil"/>
            </w:tcBorders>
            <w:vAlign w:val="center"/>
          </w:tcPr>
          <w:p>
            <w:pPr>
              <w:spacing w:line="240" w:lineRule="auto"/>
              <w:ind w:firstLine="0" w:firstLineChars="0"/>
              <w:jc w:val="center"/>
              <w:rPr>
                <w:rFonts w:cs="Times New Roman"/>
                <w:color w:val="auto"/>
              </w:rPr>
            </w:pPr>
            <w:r>
              <w:rPr>
                <w:rFonts w:cs="Times New Roman"/>
                <w:color w:val="auto"/>
              </w:rPr>
              <w:t>员工生活</w:t>
            </w:r>
          </w:p>
        </w:tc>
        <w:tc>
          <w:tcPr>
            <w:tcW w:w="1656" w:type="dxa"/>
            <w:tcBorders>
              <w:tl2br w:val="nil"/>
              <w:tr2bl w:val="nil"/>
            </w:tcBorders>
            <w:vAlign w:val="center"/>
          </w:tcPr>
          <w:p>
            <w:pPr>
              <w:spacing w:line="240" w:lineRule="auto"/>
              <w:ind w:firstLine="0" w:firstLineChars="0"/>
              <w:jc w:val="center"/>
              <w:rPr>
                <w:rFonts w:cs="Times New Roman"/>
                <w:color w:val="auto"/>
              </w:rPr>
            </w:pPr>
            <w:r>
              <w:rPr>
                <w:rFonts w:cs="Times New Roman"/>
                <w:color w:val="auto"/>
              </w:rPr>
              <w:t>生活污水</w:t>
            </w:r>
          </w:p>
        </w:tc>
        <w:tc>
          <w:tcPr>
            <w:tcW w:w="1681" w:type="dxa"/>
            <w:vMerge w:val="restart"/>
            <w:tcBorders>
              <w:tl2br w:val="nil"/>
              <w:tr2bl w:val="nil"/>
            </w:tcBorders>
            <w:vAlign w:val="center"/>
          </w:tcPr>
          <w:p>
            <w:pPr>
              <w:spacing w:line="240" w:lineRule="auto"/>
              <w:ind w:firstLine="0" w:firstLineChars="0"/>
              <w:jc w:val="center"/>
              <w:rPr>
                <w:rFonts w:cs="Times New Roman"/>
                <w:color w:val="auto"/>
              </w:rPr>
            </w:pPr>
            <w:r>
              <w:rPr>
                <w:rFonts w:cs="Times New Roman"/>
                <w:color w:val="auto"/>
              </w:rPr>
              <w:t>排入厂区已建的一座处理能力为50t/d的地埋式一体化污水处理设备，</w:t>
            </w:r>
            <w:r>
              <w:rPr>
                <w:rFonts w:hint="eastAsia" w:cs="Times New Roman"/>
                <w:color w:val="auto"/>
              </w:rPr>
              <w:t>处理达标后拉运至乌拉特前旗工业园区污水处理厂。</w:t>
            </w:r>
          </w:p>
        </w:tc>
        <w:tc>
          <w:tcPr>
            <w:tcW w:w="2350" w:type="dxa"/>
            <w:vMerge w:val="restart"/>
            <w:tcBorders>
              <w:tl2br w:val="nil"/>
              <w:tr2bl w:val="nil"/>
            </w:tcBorders>
            <w:vAlign w:val="center"/>
          </w:tcPr>
          <w:p>
            <w:pPr>
              <w:spacing w:line="240" w:lineRule="auto"/>
              <w:ind w:firstLine="0" w:firstLineChars="0"/>
              <w:jc w:val="center"/>
              <w:rPr>
                <w:rFonts w:cs="Times New Roman"/>
                <w:color w:val="auto"/>
              </w:rPr>
            </w:pPr>
            <w:r>
              <w:rPr>
                <w:rFonts w:cs="Times New Roman"/>
                <w:color w:val="auto"/>
              </w:rPr>
              <w:t>《稀土工业污染物排放标准》（GB26451-2011）表2新建企业水污染物排放浓度限值及单位产品基准排水量中“间接排放限值”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50" w:type="dxa"/>
            <w:gridSpan w:val="2"/>
            <w:vMerge w:val="continue"/>
            <w:tcBorders>
              <w:tl2br w:val="nil"/>
              <w:tr2bl w:val="nil"/>
            </w:tcBorders>
            <w:vAlign w:val="center"/>
          </w:tcPr>
          <w:p>
            <w:pPr>
              <w:spacing w:line="240" w:lineRule="auto"/>
              <w:ind w:firstLine="0" w:firstLineChars="0"/>
              <w:jc w:val="center"/>
              <w:rPr>
                <w:rFonts w:cs="Times New Roman"/>
                <w:b/>
                <w:bCs/>
                <w:color w:val="auto"/>
              </w:rPr>
            </w:pPr>
          </w:p>
        </w:tc>
        <w:tc>
          <w:tcPr>
            <w:tcW w:w="1734" w:type="dxa"/>
            <w:tcBorders>
              <w:tl2br w:val="nil"/>
              <w:tr2bl w:val="nil"/>
            </w:tcBorders>
            <w:vAlign w:val="center"/>
          </w:tcPr>
          <w:p>
            <w:pPr>
              <w:pStyle w:val="11"/>
              <w:spacing w:after="0" w:line="240" w:lineRule="auto"/>
              <w:ind w:firstLine="0" w:firstLineChars="0"/>
              <w:jc w:val="center"/>
              <w:rPr>
                <w:rFonts w:cs="Times New Roman"/>
                <w:color w:val="auto"/>
                <w:sz w:val="24"/>
                <w:szCs w:val="24"/>
              </w:rPr>
            </w:pPr>
            <w:r>
              <w:rPr>
                <w:rFonts w:cs="Times New Roman"/>
                <w:color w:val="auto"/>
                <w:sz w:val="24"/>
                <w:szCs w:val="24"/>
              </w:rPr>
              <w:t>纯水制备</w:t>
            </w:r>
          </w:p>
        </w:tc>
        <w:tc>
          <w:tcPr>
            <w:tcW w:w="1656" w:type="dxa"/>
            <w:tcBorders>
              <w:tl2br w:val="nil"/>
              <w:tr2bl w:val="nil"/>
            </w:tcBorders>
            <w:vAlign w:val="center"/>
          </w:tcPr>
          <w:p>
            <w:pPr>
              <w:spacing w:line="240" w:lineRule="auto"/>
              <w:ind w:firstLine="0" w:firstLineChars="0"/>
              <w:jc w:val="center"/>
              <w:rPr>
                <w:rFonts w:cs="Times New Roman"/>
                <w:color w:val="auto"/>
              </w:rPr>
            </w:pPr>
            <w:r>
              <w:rPr>
                <w:rFonts w:cs="Times New Roman"/>
                <w:color w:val="auto"/>
              </w:rPr>
              <w:t>含盐废水</w:t>
            </w:r>
          </w:p>
        </w:tc>
        <w:tc>
          <w:tcPr>
            <w:tcW w:w="1681" w:type="dxa"/>
            <w:vMerge w:val="continue"/>
            <w:tcBorders>
              <w:tl2br w:val="nil"/>
              <w:tr2bl w:val="nil"/>
            </w:tcBorders>
            <w:vAlign w:val="center"/>
          </w:tcPr>
          <w:p>
            <w:pPr>
              <w:spacing w:line="240" w:lineRule="auto"/>
              <w:ind w:firstLine="0" w:firstLineChars="0"/>
              <w:jc w:val="center"/>
              <w:rPr>
                <w:rFonts w:cs="Times New Roman"/>
                <w:color w:val="auto"/>
              </w:rPr>
            </w:pPr>
          </w:p>
        </w:tc>
        <w:tc>
          <w:tcPr>
            <w:tcW w:w="2350" w:type="dxa"/>
            <w:vMerge w:val="continue"/>
            <w:tcBorders>
              <w:tl2br w:val="nil"/>
              <w:tr2bl w:val="nil"/>
            </w:tcBorders>
            <w:vAlign w:val="center"/>
          </w:tcPr>
          <w:p>
            <w:pPr>
              <w:spacing w:line="240" w:lineRule="auto"/>
              <w:ind w:firstLine="0" w:firstLineChars="0"/>
              <w:jc w:val="center"/>
              <w:rPr>
                <w:rFonts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50" w:type="dxa"/>
            <w:gridSpan w:val="2"/>
            <w:vMerge w:val="continue"/>
            <w:tcBorders>
              <w:tl2br w:val="nil"/>
              <w:tr2bl w:val="nil"/>
            </w:tcBorders>
            <w:vAlign w:val="center"/>
          </w:tcPr>
          <w:p>
            <w:pPr>
              <w:spacing w:line="240" w:lineRule="auto"/>
              <w:ind w:firstLine="0" w:firstLineChars="0"/>
              <w:jc w:val="center"/>
              <w:rPr>
                <w:rFonts w:cs="Times New Roman"/>
                <w:b/>
                <w:bCs/>
                <w:color w:val="auto"/>
              </w:rPr>
            </w:pPr>
          </w:p>
        </w:tc>
        <w:tc>
          <w:tcPr>
            <w:tcW w:w="1734" w:type="dxa"/>
            <w:tcBorders>
              <w:tl2br w:val="nil"/>
              <w:tr2bl w:val="nil"/>
            </w:tcBorders>
            <w:vAlign w:val="center"/>
          </w:tcPr>
          <w:p>
            <w:pPr>
              <w:pStyle w:val="11"/>
              <w:spacing w:after="0" w:line="240" w:lineRule="auto"/>
              <w:ind w:firstLine="0" w:firstLineChars="0"/>
              <w:jc w:val="center"/>
              <w:rPr>
                <w:rFonts w:cs="Times New Roman"/>
                <w:color w:val="auto"/>
                <w:sz w:val="24"/>
                <w:szCs w:val="24"/>
              </w:rPr>
            </w:pPr>
            <w:r>
              <w:rPr>
                <w:rFonts w:cs="Times New Roman"/>
                <w:color w:val="auto"/>
                <w:sz w:val="24"/>
                <w:szCs w:val="24"/>
              </w:rPr>
              <w:t>锅炉排水</w:t>
            </w:r>
          </w:p>
        </w:tc>
        <w:tc>
          <w:tcPr>
            <w:tcW w:w="1656" w:type="dxa"/>
            <w:tcBorders>
              <w:tl2br w:val="nil"/>
              <w:tr2bl w:val="nil"/>
            </w:tcBorders>
            <w:vAlign w:val="center"/>
          </w:tcPr>
          <w:p>
            <w:pPr>
              <w:spacing w:line="240" w:lineRule="auto"/>
              <w:ind w:firstLine="0" w:firstLineChars="0"/>
              <w:jc w:val="center"/>
              <w:rPr>
                <w:rFonts w:cs="Times New Roman"/>
                <w:color w:val="auto"/>
              </w:rPr>
            </w:pPr>
            <w:r>
              <w:rPr>
                <w:rFonts w:cs="Times New Roman"/>
                <w:color w:val="auto"/>
              </w:rPr>
              <w:t>锅炉排水</w:t>
            </w:r>
          </w:p>
        </w:tc>
        <w:tc>
          <w:tcPr>
            <w:tcW w:w="1681" w:type="dxa"/>
            <w:vMerge w:val="continue"/>
            <w:tcBorders>
              <w:tl2br w:val="nil"/>
              <w:tr2bl w:val="nil"/>
            </w:tcBorders>
            <w:vAlign w:val="center"/>
          </w:tcPr>
          <w:p>
            <w:pPr>
              <w:spacing w:line="240" w:lineRule="auto"/>
              <w:ind w:firstLine="0" w:firstLineChars="0"/>
              <w:jc w:val="center"/>
              <w:rPr>
                <w:rFonts w:cs="Times New Roman"/>
                <w:color w:val="auto"/>
              </w:rPr>
            </w:pPr>
          </w:p>
        </w:tc>
        <w:tc>
          <w:tcPr>
            <w:tcW w:w="2350" w:type="dxa"/>
            <w:vMerge w:val="continue"/>
            <w:tcBorders>
              <w:tl2br w:val="nil"/>
              <w:tr2bl w:val="nil"/>
            </w:tcBorders>
            <w:vAlign w:val="center"/>
          </w:tcPr>
          <w:p>
            <w:pPr>
              <w:spacing w:line="240" w:lineRule="auto"/>
              <w:ind w:firstLine="0" w:firstLineChars="0"/>
              <w:jc w:val="center"/>
              <w:rPr>
                <w:rFonts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50" w:type="dxa"/>
            <w:gridSpan w:val="2"/>
            <w:tcBorders>
              <w:tl2br w:val="nil"/>
              <w:tr2bl w:val="nil"/>
            </w:tcBorders>
            <w:vAlign w:val="center"/>
          </w:tcPr>
          <w:p>
            <w:pPr>
              <w:spacing w:line="240" w:lineRule="auto"/>
              <w:ind w:firstLine="0" w:firstLineChars="0"/>
              <w:jc w:val="center"/>
              <w:rPr>
                <w:rFonts w:cs="Times New Roman"/>
                <w:b/>
                <w:bCs/>
                <w:color w:val="auto"/>
              </w:rPr>
            </w:pPr>
            <w:r>
              <w:rPr>
                <w:rFonts w:cs="Times New Roman"/>
                <w:b/>
                <w:bCs/>
                <w:color w:val="auto"/>
              </w:rPr>
              <w:t>声环境</w:t>
            </w:r>
          </w:p>
        </w:tc>
        <w:tc>
          <w:tcPr>
            <w:tcW w:w="1734" w:type="dxa"/>
            <w:tcBorders>
              <w:tl2br w:val="nil"/>
              <w:tr2bl w:val="nil"/>
            </w:tcBorders>
            <w:vAlign w:val="center"/>
          </w:tcPr>
          <w:p>
            <w:pPr>
              <w:spacing w:line="240" w:lineRule="auto"/>
              <w:ind w:firstLine="0" w:firstLineChars="0"/>
              <w:jc w:val="center"/>
              <w:rPr>
                <w:rFonts w:cs="Times New Roman"/>
                <w:color w:val="auto"/>
              </w:rPr>
            </w:pPr>
            <w:r>
              <w:rPr>
                <w:rFonts w:cs="Times New Roman"/>
                <w:color w:val="auto"/>
              </w:rPr>
              <w:t>电生产设备</w:t>
            </w:r>
          </w:p>
        </w:tc>
        <w:tc>
          <w:tcPr>
            <w:tcW w:w="1656" w:type="dxa"/>
            <w:tcBorders>
              <w:tl2br w:val="nil"/>
              <w:tr2bl w:val="nil"/>
            </w:tcBorders>
            <w:vAlign w:val="center"/>
          </w:tcPr>
          <w:p>
            <w:pPr>
              <w:spacing w:line="240" w:lineRule="auto"/>
              <w:ind w:firstLine="0" w:firstLineChars="0"/>
              <w:jc w:val="center"/>
              <w:rPr>
                <w:rFonts w:cs="Times New Roman"/>
                <w:color w:val="auto"/>
              </w:rPr>
            </w:pPr>
            <w:r>
              <w:rPr>
                <w:rFonts w:cs="Times New Roman"/>
                <w:color w:val="auto"/>
              </w:rPr>
              <w:t>噪声</w:t>
            </w:r>
          </w:p>
        </w:tc>
        <w:tc>
          <w:tcPr>
            <w:tcW w:w="1681" w:type="dxa"/>
            <w:tcBorders>
              <w:tl2br w:val="nil"/>
              <w:tr2bl w:val="nil"/>
            </w:tcBorders>
            <w:vAlign w:val="center"/>
          </w:tcPr>
          <w:p>
            <w:pPr>
              <w:spacing w:line="240" w:lineRule="auto"/>
              <w:ind w:firstLine="0" w:firstLineChars="0"/>
              <w:jc w:val="center"/>
              <w:rPr>
                <w:rFonts w:cs="Times New Roman"/>
                <w:color w:val="auto"/>
              </w:rPr>
            </w:pPr>
            <w:r>
              <w:rPr>
                <w:rFonts w:cs="Times New Roman"/>
                <w:color w:val="auto"/>
              </w:rPr>
              <w:t>基础减振措施、隔声</w:t>
            </w:r>
          </w:p>
        </w:tc>
        <w:tc>
          <w:tcPr>
            <w:tcW w:w="2350" w:type="dxa"/>
            <w:tcBorders>
              <w:tl2br w:val="nil"/>
              <w:tr2bl w:val="nil"/>
            </w:tcBorders>
            <w:vAlign w:val="center"/>
          </w:tcPr>
          <w:p>
            <w:pPr>
              <w:spacing w:line="240" w:lineRule="auto"/>
              <w:ind w:firstLine="0" w:firstLineChars="0"/>
              <w:jc w:val="center"/>
              <w:rPr>
                <w:rFonts w:cs="Times New Roman"/>
                <w:color w:val="auto"/>
              </w:rPr>
            </w:pPr>
            <w:r>
              <w:rPr>
                <w:rFonts w:cs="Times New Roman"/>
                <w:color w:val="auto"/>
              </w:rPr>
              <w:t>执行《工业企业厂界环境噪声排放标准》（GB12348—2008）3类标准值要求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50" w:type="dxa"/>
            <w:gridSpan w:val="2"/>
            <w:tcBorders>
              <w:tl2br w:val="nil"/>
              <w:tr2bl w:val="nil"/>
            </w:tcBorders>
            <w:vAlign w:val="center"/>
          </w:tcPr>
          <w:p>
            <w:pPr>
              <w:spacing w:line="240" w:lineRule="auto"/>
              <w:ind w:firstLine="0" w:firstLineChars="0"/>
              <w:jc w:val="center"/>
              <w:rPr>
                <w:rFonts w:cs="Times New Roman"/>
                <w:b/>
                <w:bCs/>
                <w:color w:val="auto"/>
              </w:rPr>
            </w:pPr>
            <w:r>
              <w:rPr>
                <w:rFonts w:cs="Times New Roman"/>
                <w:b/>
                <w:bCs/>
                <w:color w:val="auto"/>
              </w:rPr>
              <w:t>电磁辐射</w:t>
            </w:r>
          </w:p>
        </w:tc>
        <w:tc>
          <w:tcPr>
            <w:tcW w:w="1734" w:type="dxa"/>
            <w:tcBorders>
              <w:tl2br w:val="nil"/>
              <w:tr2bl w:val="nil"/>
            </w:tcBorders>
            <w:vAlign w:val="center"/>
          </w:tcPr>
          <w:p>
            <w:pPr>
              <w:spacing w:line="240" w:lineRule="auto"/>
              <w:ind w:firstLine="0" w:firstLineChars="0"/>
              <w:jc w:val="center"/>
              <w:rPr>
                <w:rFonts w:cs="Times New Roman"/>
                <w:color w:val="auto"/>
              </w:rPr>
            </w:pPr>
            <w:r>
              <w:rPr>
                <w:rFonts w:cs="Times New Roman"/>
                <w:color w:val="auto"/>
              </w:rPr>
              <w:t>/</w:t>
            </w:r>
          </w:p>
        </w:tc>
        <w:tc>
          <w:tcPr>
            <w:tcW w:w="1656" w:type="dxa"/>
            <w:tcBorders>
              <w:tl2br w:val="nil"/>
              <w:tr2bl w:val="nil"/>
            </w:tcBorders>
            <w:vAlign w:val="center"/>
          </w:tcPr>
          <w:p>
            <w:pPr>
              <w:spacing w:line="240" w:lineRule="auto"/>
              <w:ind w:firstLine="0" w:firstLineChars="0"/>
              <w:jc w:val="center"/>
              <w:rPr>
                <w:rFonts w:cs="Times New Roman"/>
                <w:color w:val="auto"/>
              </w:rPr>
            </w:pPr>
            <w:r>
              <w:rPr>
                <w:rFonts w:cs="Times New Roman"/>
                <w:color w:val="auto"/>
              </w:rPr>
              <w:t>/</w:t>
            </w:r>
          </w:p>
        </w:tc>
        <w:tc>
          <w:tcPr>
            <w:tcW w:w="1681" w:type="dxa"/>
            <w:tcBorders>
              <w:tl2br w:val="nil"/>
              <w:tr2bl w:val="nil"/>
            </w:tcBorders>
            <w:vAlign w:val="center"/>
          </w:tcPr>
          <w:p>
            <w:pPr>
              <w:spacing w:line="240" w:lineRule="auto"/>
              <w:ind w:firstLine="0" w:firstLineChars="0"/>
              <w:jc w:val="center"/>
              <w:rPr>
                <w:rFonts w:cs="Times New Roman"/>
                <w:color w:val="auto"/>
              </w:rPr>
            </w:pPr>
            <w:r>
              <w:rPr>
                <w:rFonts w:cs="Times New Roman"/>
                <w:color w:val="auto"/>
              </w:rPr>
              <w:t>/</w:t>
            </w:r>
          </w:p>
        </w:tc>
        <w:tc>
          <w:tcPr>
            <w:tcW w:w="2350" w:type="dxa"/>
            <w:tcBorders>
              <w:tl2br w:val="nil"/>
              <w:tr2bl w:val="nil"/>
            </w:tcBorders>
            <w:vAlign w:val="center"/>
          </w:tcPr>
          <w:p>
            <w:pPr>
              <w:spacing w:line="240" w:lineRule="auto"/>
              <w:ind w:firstLine="0" w:firstLineChars="0"/>
              <w:jc w:val="center"/>
              <w:rPr>
                <w:rFonts w:cs="Times New Roman"/>
                <w:color w:val="auto"/>
              </w:rPr>
            </w:pPr>
            <w:r>
              <w:rPr>
                <w:rFonts w:cs="Times New Roman"/>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50" w:type="dxa"/>
            <w:gridSpan w:val="2"/>
            <w:vMerge w:val="restart"/>
            <w:tcBorders>
              <w:tl2br w:val="nil"/>
              <w:tr2bl w:val="nil"/>
            </w:tcBorders>
            <w:vAlign w:val="center"/>
          </w:tcPr>
          <w:p>
            <w:pPr>
              <w:spacing w:line="240" w:lineRule="auto"/>
              <w:ind w:firstLine="0" w:firstLineChars="0"/>
              <w:jc w:val="center"/>
              <w:rPr>
                <w:rFonts w:cs="Times New Roman"/>
                <w:b/>
                <w:bCs/>
                <w:color w:val="auto"/>
              </w:rPr>
            </w:pPr>
            <w:r>
              <w:rPr>
                <w:rFonts w:cs="Times New Roman"/>
                <w:b/>
                <w:bCs/>
                <w:color w:val="auto"/>
              </w:rPr>
              <w:t>固体废物</w:t>
            </w:r>
          </w:p>
        </w:tc>
        <w:tc>
          <w:tcPr>
            <w:tcW w:w="1734" w:type="dxa"/>
            <w:tcBorders>
              <w:tl2br w:val="nil"/>
              <w:tr2bl w:val="nil"/>
            </w:tcBorders>
            <w:vAlign w:val="center"/>
          </w:tcPr>
          <w:p>
            <w:pPr>
              <w:spacing w:line="240" w:lineRule="auto"/>
              <w:ind w:firstLine="0" w:firstLineChars="0"/>
              <w:jc w:val="center"/>
              <w:rPr>
                <w:rFonts w:cs="Times New Roman"/>
                <w:color w:val="auto"/>
              </w:rPr>
            </w:pPr>
            <w:r>
              <w:rPr>
                <w:rFonts w:cs="Times New Roman"/>
                <w:color w:val="auto"/>
              </w:rPr>
              <w:t>生活办公</w:t>
            </w:r>
          </w:p>
        </w:tc>
        <w:tc>
          <w:tcPr>
            <w:tcW w:w="1656" w:type="dxa"/>
            <w:tcBorders>
              <w:tl2br w:val="nil"/>
              <w:tr2bl w:val="nil"/>
            </w:tcBorders>
            <w:vAlign w:val="center"/>
          </w:tcPr>
          <w:p>
            <w:pPr>
              <w:spacing w:line="240" w:lineRule="auto"/>
              <w:ind w:firstLine="0" w:firstLineChars="0"/>
              <w:jc w:val="center"/>
              <w:rPr>
                <w:rFonts w:cs="Times New Roman"/>
                <w:color w:val="auto"/>
              </w:rPr>
            </w:pPr>
            <w:r>
              <w:rPr>
                <w:rFonts w:cs="Times New Roman"/>
                <w:color w:val="auto"/>
              </w:rPr>
              <w:t>生活垃圾</w:t>
            </w:r>
          </w:p>
        </w:tc>
        <w:tc>
          <w:tcPr>
            <w:tcW w:w="1681" w:type="dxa"/>
            <w:tcBorders>
              <w:tl2br w:val="nil"/>
              <w:tr2bl w:val="nil"/>
            </w:tcBorders>
            <w:vAlign w:val="center"/>
          </w:tcPr>
          <w:p>
            <w:pPr>
              <w:spacing w:line="240" w:lineRule="auto"/>
              <w:ind w:firstLine="0" w:firstLineChars="0"/>
              <w:jc w:val="center"/>
              <w:rPr>
                <w:rFonts w:cs="Times New Roman"/>
                <w:color w:val="auto"/>
              </w:rPr>
            </w:pPr>
            <w:r>
              <w:rPr>
                <w:rFonts w:cs="Times New Roman"/>
                <w:color w:val="auto"/>
              </w:rPr>
              <w:t>经过垃圾箱收集后</w:t>
            </w:r>
          </w:p>
        </w:tc>
        <w:tc>
          <w:tcPr>
            <w:tcW w:w="2350" w:type="dxa"/>
            <w:tcBorders>
              <w:tl2br w:val="nil"/>
              <w:tr2bl w:val="nil"/>
            </w:tcBorders>
            <w:vAlign w:val="center"/>
          </w:tcPr>
          <w:p>
            <w:pPr>
              <w:spacing w:line="240" w:lineRule="auto"/>
              <w:ind w:firstLine="0" w:firstLineChars="0"/>
              <w:jc w:val="center"/>
              <w:rPr>
                <w:rFonts w:cs="Times New Roman"/>
                <w:color w:val="auto"/>
              </w:rPr>
            </w:pPr>
            <w:r>
              <w:rPr>
                <w:rFonts w:cs="Times New Roman"/>
                <w:color w:val="auto"/>
              </w:rPr>
              <w:t>由环卫部门定期清运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50" w:type="dxa"/>
            <w:gridSpan w:val="2"/>
            <w:vMerge w:val="continue"/>
            <w:tcBorders>
              <w:tl2br w:val="nil"/>
              <w:tr2bl w:val="nil"/>
            </w:tcBorders>
            <w:vAlign w:val="center"/>
          </w:tcPr>
          <w:p>
            <w:pPr>
              <w:spacing w:line="240" w:lineRule="auto"/>
              <w:ind w:firstLine="0" w:firstLineChars="0"/>
              <w:jc w:val="center"/>
              <w:rPr>
                <w:rFonts w:cs="Times New Roman"/>
                <w:b/>
                <w:bCs/>
                <w:color w:val="auto"/>
              </w:rPr>
            </w:pPr>
          </w:p>
        </w:tc>
        <w:tc>
          <w:tcPr>
            <w:tcW w:w="1734" w:type="dxa"/>
            <w:tcBorders>
              <w:tl2br w:val="nil"/>
              <w:tr2bl w:val="nil"/>
            </w:tcBorders>
            <w:vAlign w:val="center"/>
          </w:tcPr>
          <w:p>
            <w:pPr>
              <w:spacing w:line="240" w:lineRule="auto"/>
              <w:ind w:firstLine="0" w:firstLineChars="0"/>
              <w:jc w:val="center"/>
              <w:rPr>
                <w:rFonts w:cs="Times New Roman"/>
                <w:color w:val="auto"/>
              </w:rPr>
            </w:pPr>
            <w:r>
              <w:rPr>
                <w:rFonts w:cs="Times New Roman"/>
                <w:color w:val="auto"/>
              </w:rPr>
              <w:t>原料</w:t>
            </w:r>
          </w:p>
        </w:tc>
        <w:tc>
          <w:tcPr>
            <w:tcW w:w="1656" w:type="dxa"/>
            <w:tcBorders>
              <w:tl2br w:val="nil"/>
              <w:tr2bl w:val="nil"/>
            </w:tcBorders>
            <w:vAlign w:val="center"/>
          </w:tcPr>
          <w:p>
            <w:pPr>
              <w:spacing w:line="240" w:lineRule="auto"/>
              <w:ind w:firstLine="0" w:firstLineChars="0"/>
              <w:jc w:val="center"/>
              <w:rPr>
                <w:rFonts w:cs="Times New Roman"/>
                <w:color w:val="auto"/>
              </w:rPr>
            </w:pPr>
            <w:r>
              <w:rPr>
                <w:rFonts w:cs="Times New Roman"/>
                <w:color w:val="auto"/>
              </w:rPr>
              <w:t>废外包装袋</w:t>
            </w:r>
          </w:p>
        </w:tc>
        <w:tc>
          <w:tcPr>
            <w:tcW w:w="1681" w:type="dxa"/>
            <w:tcBorders>
              <w:tl2br w:val="nil"/>
              <w:tr2bl w:val="nil"/>
            </w:tcBorders>
            <w:vAlign w:val="center"/>
          </w:tcPr>
          <w:p>
            <w:pPr>
              <w:spacing w:line="240" w:lineRule="auto"/>
              <w:ind w:firstLine="0" w:firstLineChars="0"/>
              <w:jc w:val="center"/>
              <w:rPr>
                <w:rFonts w:cs="Times New Roman"/>
                <w:color w:val="auto"/>
              </w:rPr>
            </w:pPr>
            <w:r>
              <w:rPr>
                <w:rFonts w:cs="Times New Roman"/>
                <w:color w:val="auto"/>
              </w:rPr>
              <w:t>暂存于一般固废暂存库内，定期外售处理</w:t>
            </w:r>
          </w:p>
        </w:tc>
        <w:tc>
          <w:tcPr>
            <w:tcW w:w="2350" w:type="dxa"/>
            <w:tcBorders>
              <w:tl2br w:val="nil"/>
              <w:tr2bl w:val="nil"/>
            </w:tcBorders>
            <w:vAlign w:val="center"/>
          </w:tcPr>
          <w:p>
            <w:pPr>
              <w:spacing w:line="240" w:lineRule="auto"/>
              <w:ind w:firstLine="0" w:firstLineChars="0"/>
              <w:jc w:val="center"/>
              <w:rPr>
                <w:rFonts w:cs="Times New Roman"/>
                <w:color w:val="auto"/>
              </w:rPr>
            </w:pPr>
            <w:r>
              <w:rPr>
                <w:rFonts w:cs="Times New Roman"/>
                <w:color w:val="auto"/>
              </w:rPr>
              <w:t>执行《一般工业固体废物贮存和填埋污染控制标准》（GB18599-2020）的相关要求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50" w:type="dxa"/>
            <w:gridSpan w:val="2"/>
            <w:vMerge w:val="continue"/>
            <w:tcBorders>
              <w:tl2br w:val="nil"/>
              <w:tr2bl w:val="nil"/>
            </w:tcBorders>
            <w:vAlign w:val="center"/>
          </w:tcPr>
          <w:p>
            <w:pPr>
              <w:spacing w:line="240" w:lineRule="auto"/>
              <w:ind w:firstLine="0" w:firstLineChars="0"/>
              <w:jc w:val="center"/>
              <w:rPr>
                <w:rFonts w:cs="Times New Roman"/>
                <w:b/>
                <w:bCs/>
                <w:color w:val="auto"/>
              </w:rPr>
            </w:pPr>
          </w:p>
        </w:tc>
        <w:tc>
          <w:tcPr>
            <w:tcW w:w="1734" w:type="dxa"/>
            <w:tcBorders>
              <w:tl2br w:val="nil"/>
              <w:tr2bl w:val="nil"/>
            </w:tcBorders>
            <w:vAlign w:val="center"/>
          </w:tcPr>
          <w:p>
            <w:pPr>
              <w:spacing w:line="240" w:lineRule="auto"/>
              <w:ind w:firstLine="0" w:firstLineChars="0"/>
              <w:jc w:val="center"/>
              <w:rPr>
                <w:rFonts w:cs="Times New Roman"/>
                <w:color w:val="auto"/>
              </w:rPr>
            </w:pPr>
            <w:r>
              <w:rPr>
                <w:rFonts w:cs="Times New Roman"/>
                <w:color w:val="auto"/>
              </w:rPr>
              <w:t>布袋除尘器</w:t>
            </w:r>
          </w:p>
        </w:tc>
        <w:tc>
          <w:tcPr>
            <w:tcW w:w="1656" w:type="dxa"/>
            <w:tcBorders>
              <w:tl2br w:val="nil"/>
              <w:tr2bl w:val="nil"/>
            </w:tcBorders>
            <w:vAlign w:val="center"/>
          </w:tcPr>
          <w:p>
            <w:pPr>
              <w:spacing w:line="240" w:lineRule="auto"/>
              <w:ind w:firstLine="0" w:firstLineChars="0"/>
              <w:jc w:val="center"/>
              <w:textAlignment w:val="bottom"/>
              <w:rPr>
                <w:rFonts w:cs="Times New Roman"/>
                <w:color w:val="auto"/>
              </w:rPr>
            </w:pPr>
            <w:r>
              <w:rPr>
                <w:rFonts w:cs="Times New Roman"/>
                <w:color w:val="auto"/>
              </w:rPr>
              <w:t>除尘灰</w:t>
            </w:r>
          </w:p>
        </w:tc>
        <w:tc>
          <w:tcPr>
            <w:tcW w:w="1681" w:type="dxa"/>
            <w:tcBorders>
              <w:tl2br w:val="nil"/>
              <w:tr2bl w:val="nil"/>
            </w:tcBorders>
            <w:vAlign w:val="center"/>
          </w:tcPr>
          <w:p>
            <w:pPr>
              <w:spacing w:line="240" w:lineRule="auto"/>
              <w:ind w:firstLine="0" w:firstLineChars="0"/>
              <w:jc w:val="center"/>
              <w:rPr>
                <w:rFonts w:cs="Times New Roman"/>
                <w:color w:val="auto"/>
              </w:rPr>
            </w:pPr>
            <w:r>
              <w:rPr>
                <w:rFonts w:cs="Times New Roman"/>
                <w:color w:val="auto"/>
              </w:rPr>
              <w:t>全部返回混料包装机内，作为产品出售，不在厂区暂存</w:t>
            </w:r>
          </w:p>
        </w:tc>
        <w:tc>
          <w:tcPr>
            <w:tcW w:w="2350" w:type="dxa"/>
            <w:tcBorders>
              <w:tl2br w:val="nil"/>
              <w:tr2bl w:val="nil"/>
            </w:tcBorders>
            <w:vAlign w:val="center"/>
          </w:tcPr>
          <w:p>
            <w:pPr>
              <w:spacing w:line="240" w:lineRule="auto"/>
              <w:ind w:firstLine="0" w:firstLineChars="0"/>
              <w:jc w:val="center"/>
              <w:rPr>
                <w:rFonts w:cs="Times New Roman"/>
                <w:color w:val="auto"/>
              </w:rPr>
            </w:pPr>
            <w:r>
              <w:rPr>
                <w:rFonts w:cs="Times New Roman"/>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50" w:type="dxa"/>
            <w:gridSpan w:val="2"/>
            <w:vMerge w:val="continue"/>
            <w:tcBorders>
              <w:tl2br w:val="nil"/>
              <w:tr2bl w:val="nil"/>
            </w:tcBorders>
            <w:vAlign w:val="center"/>
          </w:tcPr>
          <w:p>
            <w:pPr>
              <w:spacing w:line="240" w:lineRule="auto"/>
              <w:ind w:firstLine="0" w:firstLineChars="0"/>
              <w:jc w:val="center"/>
              <w:rPr>
                <w:rFonts w:cs="Times New Roman"/>
                <w:b/>
                <w:bCs/>
                <w:color w:val="auto"/>
              </w:rPr>
            </w:pPr>
          </w:p>
        </w:tc>
        <w:tc>
          <w:tcPr>
            <w:tcW w:w="1734" w:type="dxa"/>
            <w:tcBorders>
              <w:tl2br w:val="nil"/>
              <w:tr2bl w:val="nil"/>
            </w:tcBorders>
            <w:vAlign w:val="center"/>
          </w:tcPr>
          <w:p>
            <w:pPr>
              <w:spacing w:line="240" w:lineRule="auto"/>
              <w:ind w:firstLine="0" w:firstLineChars="0"/>
              <w:jc w:val="center"/>
              <w:rPr>
                <w:rFonts w:cs="Times New Roman"/>
                <w:bCs/>
                <w:color w:val="auto"/>
              </w:rPr>
            </w:pPr>
            <w:r>
              <w:rPr>
                <w:rFonts w:cs="Times New Roman"/>
                <w:color w:val="auto"/>
              </w:rPr>
              <w:t>生产线</w:t>
            </w:r>
          </w:p>
        </w:tc>
        <w:tc>
          <w:tcPr>
            <w:tcW w:w="1656" w:type="dxa"/>
            <w:tcBorders>
              <w:tl2br w:val="nil"/>
              <w:tr2bl w:val="nil"/>
            </w:tcBorders>
            <w:vAlign w:val="center"/>
          </w:tcPr>
          <w:p>
            <w:pPr>
              <w:spacing w:line="240" w:lineRule="auto"/>
              <w:ind w:firstLine="0" w:firstLineChars="0"/>
              <w:jc w:val="center"/>
              <w:textAlignment w:val="bottom"/>
              <w:rPr>
                <w:rFonts w:cs="Times New Roman"/>
                <w:bCs/>
                <w:color w:val="auto"/>
              </w:rPr>
            </w:pPr>
            <w:r>
              <w:rPr>
                <w:rFonts w:cs="Times New Roman"/>
                <w:color w:val="auto"/>
              </w:rPr>
              <w:t>沉降粉尘</w:t>
            </w:r>
          </w:p>
        </w:tc>
        <w:tc>
          <w:tcPr>
            <w:tcW w:w="1681" w:type="dxa"/>
            <w:tcBorders>
              <w:tl2br w:val="nil"/>
              <w:tr2bl w:val="nil"/>
            </w:tcBorders>
            <w:vAlign w:val="center"/>
          </w:tcPr>
          <w:p>
            <w:pPr>
              <w:spacing w:line="240" w:lineRule="auto"/>
              <w:ind w:firstLine="0" w:firstLineChars="0"/>
              <w:jc w:val="center"/>
              <w:rPr>
                <w:rFonts w:cs="Times New Roman"/>
                <w:bCs/>
                <w:color w:val="auto"/>
              </w:rPr>
            </w:pPr>
            <w:r>
              <w:rPr>
                <w:rFonts w:cs="Times New Roman"/>
                <w:color w:val="auto"/>
              </w:rPr>
              <w:t>全部返回混料包装机内，作为产品出售，不在厂区暂存</w:t>
            </w:r>
          </w:p>
        </w:tc>
        <w:tc>
          <w:tcPr>
            <w:tcW w:w="2350" w:type="dxa"/>
            <w:tcBorders>
              <w:tl2br w:val="nil"/>
              <w:tr2bl w:val="nil"/>
            </w:tcBorders>
            <w:vAlign w:val="center"/>
          </w:tcPr>
          <w:p>
            <w:pPr>
              <w:spacing w:line="240" w:lineRule="auto"/>
              <w:ind w:firstLine="0" w:firstLineChars="0"/>
              <w:jc w:val="center"/>
              <w:rPr>
                <w:rFonts w:cs="Times New Roman"/>
                <w:color w:val="auto"/>
              </w:rPr>
            </w:pPr>
            <w:r>
              <w:rPr>
                <w:rFonts w:cs="Times New Roman"/>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50" w:type="dxa"/>
            <w:gridSpan w:val="2"/>
            <w:vMerge w:val="continue"/>
            <w:tcBorders>
              <w:tl2br w:val="nil"/>
              <w:tr2bl w:val="nil"/>
            </w:tcBorders>
            <w:vAlign w:val="center"/>
          </w:tcPr>
          <w:p>
            <w:pPr>
              <w:spacing w:line="240" w:lineRule="auto"/>
              <w:ind w:firstLine="0" w:firstLineChars="0"/>
              <w:jc w:val="center"/>
              <w:rPr>
                <w:rFonts w:cs="Times New Roman"/>
                <w:b/>
                <w:bCs/>
                <w:color w:val="auto"/>
              </w:rPr>
            </w:pPr>
          </w:p>
        </w:tc>
        <w:tc>
          <w:tcPr>
            <w:tcW w:w="1734" w:type="dxa"/>
            <w:tcBorders>
              <w:tl2br w:val="nil"/>
              <w:tr2bl w:val="nil"/>
            </w:tcBorders>
            <w:vAlign w:val="center"/>
          </w:tcPr>
          <w:p>
            <w:pPr>
              <w:spacing w:line="240" w:lineRule="auto"/>
              <w:ind w:firstLine="0" w:firstLineChars="0"/>
              <w:jc w:val="center"/>
              <w:rPr>
                <w:rFonts w:cs="Times New Roman"/>
                <w:color w:val="auto"/>
              </w:rPr>
            </w:pPr>
            <w:r>
              <w:rPr>
                <w:rFonts w:cs="Times New Roman"/>
                <w:color w:val="auto"/>
              </w:rPr>
              <w:t>纯水制备</w:t>
            </w:r>
          </w:p>
        </w:tc>
        <w:tc>
          <w:tcPr>
            <w:tcW w:w="1656" w:type="dxa"/>
            <w:tcBorders>
              <w:tl2br w:val="nil"/>
              <w:tr2bl w:val="nil"/>
            </w:tcBorders>
            <w:vAlign w:val="center"/>
          </w:tcPr>
          <w:p>
            <w:pPr>
              <w:spacing w:line="240" w:lineRule="auto"/>
              <w:ind w:firstLine="0" w:firstLineChars="0"/>
              <w:jc w:val="center"/>
              <w:textAlignment w:val="bottom"/>
              <w:rPr>
                <w:rFonts w:cs="Times New Roman"/>
                <w:color w:val="auto"/>
              </w:rPr>
            </w:pPr>
            <w:r>
              <w:rPr>
                <w:rFonts w:cs="Times New Roman"/>
                <w:bCs/>
                <w:color w:val="auto"/>
              </w:rPr>
              <w:t>废离子交换树脂</w:t>
            </w:r>
          </w:p>
        </w:tc>
        <w:tc>
          <w:tcPr>
            <w:tcW w:w="1681" w:type="dxa"/>
            <w:tcBorders>
              <w:tl2br w:val="nil"/>
              <w:tr2bl w:val="nil"/>
            </w:tcBorders>
            <w:vAlign w:val="center"/>
          </w:tcPr>
          <w:p>
            <w:pPr>
              <w:spacing w:line="240" w:lineRule="auto"/>
              <w:ind w:firstLine="0" w:firstLineChars="0"/>
              <w:jc w:val="center"/>
              <w:rPr>
                <w:rFonts w:cs="Times New Roman"/>
                <w:color w:val="auto"/>
              </w:rPr>
            </w:pPr>
            <w:r>
              <w:rPr>
                <w:rFonts w:cs="Times New Roman"/>
                <w:bCs/>
                <w:color w:val="auto"/>
              </w:rPr>
              <w:t>由厂家直接回收利用，不在厂区内暂存</w:t>
            </w:r>
          </w:p>
        </w:tc>
        <w:tc>
          <w:tcPr>
            <w:tcW w:w="2350" w:type="dxa"/>
            <w:tcBorders>
              <w:tl2br w:val="nil"/>
              <w:tr2bl w:val="nil"/>
            </w:tcBorders>
            <w:vAlign w:val="center"/>
          </w:tcPr>
          <w:p>
            <w:pPr>
              <w:spacing w:line="240" w:lineRule="auto"/>
              <w:ind w:firstLine="0" w:firstLineChars="0"/>
              <w:jc w:val="center"/>
              <w:rPr>
                <w:rFonts w:cs="Times New Roman"/>
                <w:color w:val="auto"/>
              </w:rPr>
            </w:pPr>
            <w:r>
              <w:rPr>
                <w:rFonts w:cs="Times New Roman"/>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50" w:type="dxa"/>
            <w:gridSpan w:val="2"/>
            <w:tcBorders>
              <w:tl2br w:val="nil"/>
              <w:tr2bl w:val="nil"/>
            </w:tcBorders>
            <w:vAlign w:val="center"/>
          </w:tcPr>
          <w:p>
            <w:pPr>
              <w:spacing w:line="240" w:lineRule="auto"/>
              <w:ind w:firstLine="0" w:firstLineChars="0"/>
              <w:jc w:val="center"/>
              <w:rPr>
                <w:rFonts w:cs="Times New Roman"/>
                <w:b/>
                <w:bCs/>
                <w:color w:val="auto"/>
              </w:rPr>
            </w:pPr>
            <w:r>
              <w:rPr>
                <w:rFonts w:cs="Times New Roman"/>
                <w:b/>
                <w:bCs/>
                <w:color w:val="auto"/>
              </w:rPr>
              <w:t>土壤及地下水污染防治措施</w:t>
            </w:r>
          </w:p>
        </w:tc>
        <w:tc>
          <w:tcPr>
            <w:tcW w:w="7421" w:type="dxa"/>
            <w:gridSpan w:val="4"/>
            <w:tcBorders>
              <w:tl2br w:val="nil"/>
              <w:tr2bl w:val="nil"/>
            </w:tcBorders>
            <w:vAlign w:val="center"/>
          </w:tcPr>
          <w:p>
            <w:pPr>
              <w:spacing w:line="240" w:lineRule="auto"/>
              <w:ind w:firstLine="0" w:firstLineChars="0"/>
              <w:jc w:val="center"/>
              <w:rPr>
                <w:rFonts w:cs="Times New Roman"/>
                <w:color w:val="auto"/>
              </w:rPr>
            </w:pPr>
            <w:r>
              <w:rPr>
                <w:rFonts w:cs="Times New Roman"/>
                <w:color w:val="auto"/>
              </w:rPr>
              <w:t>厂房内进行分区防渗建设，一般固废暂存库地面采用抗渗混凝土做防渗，渗透系数≤1×10</w:t>
            </w:r>
            <w:r>
              <w:rPr>
                <w:rFonts w:cs="Times New Roman"/>
                <w:color w:val="auto"/>
                <w:vertAlign w:val="superscript"/>
              </w:rPr>
              <w:t>-7</w:t>
            </w:r>
            <w:r>
              <w:rPr>
                <w:rFonts w:cs="Times New Roman"/>
                <w:color w:val="auto"/>
              </w:rPr>
              <w:t>cm/s；生产车间、原料库和产品库等进行硬化</w:t>
            </w:r>
            <w:r>
              <w:rPr>
                <w:rFonts w:hint="eastAsia" w:cs="Times New Roman"/>
                <w:color w:val="auto"/>
                <w:lang w:eastAsia="zh-CN"/>
              </w:rPr>
              <w:t>；</w:t>
            </w:r>
            <w:r>
              <w:rPr>
                <w:rFonts w:cs="Times New Roman"/>
                <w:color w:val="auto"/>
              </w:rPr>
              <w:t>氢氟酸原料储存区</w:t>
            </w:r>
            <w:r>
              <w:rPr>
                <w:rFonts w:hint="eastAsia" w:cs="Times New Roman"/>
                <w:color w:val="auto"/>
              </w:rPr>
              <w:t>设置150mm围堰，区域按照重点防渗、防腐要求，要求为等效黏土防渗层Mb≥6m，</w:t>
            </w:r>
            <w:r>
              <w:rPr>
                <w:rFonts w:cs="Times New Roman"/>
                <w:color w:val="auto"/>
              </w:rPr>
              <w:t>K≤1×10-</w:t>
            </w:r>
            <w:r>
              <w:rPr>
                <w:rFonts w:cs="Times New Roman"/>
                <w:color w:val="auto"/>
                <w:vertAlign w:val="superscript"/>
              </w:rPr>
              <w:t>7</w:t>
            </w:r>
            <w:r>
              <w:rPr>
                <w:rFonts w:cs="Times New Roman"/>
                <w:color w:val="auto"/>
              </w:rPr>
              <w:t>cm/s；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50" w:type="dxa"/>
            <w:gridSpan w:val="2"/>
            <w:tcBorders>
              <w:tl2br w:val="nil"/>
              <w:tr2bl w:val="nil"/>
            </w:tcBorders>
            <w:vAlign w:val="center"/>
          </w:tcPr>
          <w:p>
            <w:pPr>
              <w:spacing w:line="240" w:lineRule="auto"/>
              <w:ind w:firstLine="0" w:firstLineChars="0"/>
              <w:jc w:val="center"/>
              <w:rPr>
                <w:rFonts w:cs="Times New Roman"/>
                <w:b/>
                <w:bCs/>
                <w:color w:val="auto"/>
              </w:rPr>
            </w:pPr>
            <w:r>
              <w:rPr>
                <w:rFonts w:cs="Times New Roman"/>
                <w:b/>
                <w:bCs/>
                <w:color w:val="auto"/>
              </w:rPr>
              <w:t>生态保护措施</w:t>
            </w:r>
          </w:p>
        </w:tc>
        <w:tc>
          <w:tcPr>
            <w:tcW w:w="7421" w:type="dxa"/>
            <w:gridSpan w:val="4"/>
            <w:tcBorders>
              <w:tl2br w:val="nil"/>
              <w:tr2bl w:val="nil"/>
            </w:tcBorders>
            <w:vAlign w:val="center"/>
          </w:tcPr>
          <w:p>
            <w:pPr>
              <w:spacing w:line="240" w:lineRule="auto"/>
              <w:ind w:firstLine="0" w:firstLineChars="0"/>
              <w:jc w:val="center"/>
              <w:rPr>
                <w:rFonts w:cs="Times New Roman"/>
                <w:color w:val="auto"/>
              </w:rPr>
            </w:pPr>
            <w:r>
              <w:rPr>
                <w:rFonts w:cs="Times New Roman"/>
                <w:color w:val="auto"/>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50" w:type="dxa"/>
            <w:gridSpan w:val="2"/>
            <w:tcBorders>
              <w:tl2br w:val="nil"/>
              <w:tr2bl w:val="nil"/>
            </w:tcBorders>
            <w:vAlign w:val="center"/>
          </w:tcPr>
          <w:p>
            <w:pPr>
              <w:spacing w:line="240" w:lineRule="auto"/>
              <w:ind w:firstLine="0" w:firstLineChars="0"/>
              <w:jc w:val="center"/>
              <w:rPr>
                <w:rFonts w:cs="Times New Roman"/>
                <w:b/>
                <w:bCs/>
                <w:color w:val="auto"/>
              </w:rPr>
            </w:pPr>
            <w:r>
              <w:rPr>
                <w:rFonts w:cs="Times New Roman"/>
                <w:b/>
                <w:bCs/>
                <w:color w:val="auto"/>
              </w:rPr>
              <w:t>环境风险</w:t>
            </w:r>
          </w:p>
          <w:p>
            <w:pPr>
              <w:spacing w:line="240" w:lineRule="auto"/>
              <w:ind w:firstLine="0" w:firstLineChars="0"/>
              <w:jc w:val="center"/>
              <w:rPr>
                <w:rFonts w:cs="Times New Roman"/>
                <w:b/>
                <w:bCs/>
                <w:color w:val="auto"/>
              </w:rPr>
            </w:pPr>
            <w:r>
              <w:rPr>
                <w:rFonts w:cs="Times New Roman"/>
                <w:b/>
                <w:bCs/>
                <w:color w:val="auto"/>
              </w:rPr>
              <w:t>防范措施</w:t>
            </w:r>
          </w:p>
        </w:tc>
        <w:tc>
          <w:tcPr>
            <w:tcW w:w="7421" w:type="dxa"/>
            <w:gridSpan w:val="4"/>
            <w:tcBorders>
              <w:tl2br w:val="nil"/>
              <w:tr2bl w:val="nil"/>
            </w:tcBorders>
            <w:vAlign w:val="center"/>
          </w:tcPr>
          <w:p>
            <w:pPr>
              <w:spacing w:line="240" w:lineRule="auto"/>
              <w:ind w:firstLine="0" w:firstLineChars="0"/>
              <w:jc w:val="center"/>
              <w:rPr>
                <w:rFonts w:cs="Times New Roman"/>
                <w:color w:val="auto"/>
              </w:rPr>
            </w:pPr>
            <w:r>
              <w:rPr>
                <w:rFonts w:cs="Times New Roman"/>
                <w:color w:val="auto"/>
              </w:rPr>
              <w:t>制定《突发环境事件应急预案》并在当地环保主管部门备案，定期开展应急演练。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50" w:type="dxa"/>
            <w:gridSpan w:val="2"/>
            <w:tcBorders>
              <w:tl2br w:val="nil"/>
              <w:tr2bl w:val="nil"/>
            </w:tcBorders>
            <w:vAlign w:val="center"/>
          </w:tcPr>
          <w:p>
            <w:pPr>
              <w:spacing w:line="240" w:lineRule="auto"/>
              <w:ind w:firstLine="0" w:firstLineChars="0"/>
              <w:jc w:val="center"/>
              <w:rPr>
                <w:rFonts w:cs="Times New Roman"/>
                <w:b/>
                <w:bCs/>
                <w:color w:val="auto"/>
              </w:rPr>
            </w:pPr>
            <w:r>
              <w:rPr>
                <w:rFonts w:cs="Times New Roman"/>
                <w:b/>
                <w:bCs/>
                <w:color w:val="auto"/>
              </w:rPr>
              <w:t>其他环境</w:t>
            </w:r>
          </w:p>
          <w:p>
            <w:pPr>
              <w:spacing w:line="240" w:lineRule="auto"/>
              <w:ind w:firstLine="0" w:firstLineChars="0"/>
              <w:jc w:val="center"/>
              <w:rPr>
                <w:rFonts w:cs="Times New Roman"/>
                <w:b/>
                <w:bCs/>
                <w:color w:val="auto"/>
              </w:rPr>
            </w:pPr>
            <w:r>
              <w:rPr>
                <w:rFonts w:cs="Times New Roman"/>
                <w:b/>
                <w:bCs/>
                <w:color w:val="auto"/>
              </w:rPr>
              <w:t>管理要求</w:t>
            </w:r>
          </w:p>
        </w:tc>
        <w:tc>
          <w:tcPr>
            <w:tcW w:w="7421" w:type="dxa"/>
            <w:gridSpan w:val="4"/>
            <w:tcBorders>
              <w:tl2br w:val="nil"/>
              <w:tr2bl w:val="nil"/>
            </w:tcBorders>
            <w:vAlign w:val="center"/>
          </w:tcPr>
          <w:p>
            <w:pPr>
              <w:spacing w:line="240" w:lineRule="auto"/>
              <w:ind w:firstLine="0" w:firstLineChars="0"/>
              <w:jc w:val="center"/>
              <w:rPr>
                <w:rFonts w:cs="Times New Roman"/>
                <w:color w:val="auto"/>
              </w:rPr>
            </w:pPr>
            <w:r>
              <w:rPr>
                <w:rFonts w:cs="Times New Roman"/>
                <w:color w:val="auto"/>
              </w:rPr>
              <w:t>无</w:t>
            </w:r>
          </w:p>
        </w:tc>
      </w:tr>
    </w:tbl>
    <w:p>
      <w:pPr>
        <w:ind w:firstLine="560"/>
        <w:rPr>
          <w:rFonts w:cs="Times New Roman"/>
          <w:color w:val="auto"/>
          <w:sz w:val="28"/>
          <w:szCs w:val="28"/>
        </w:rPr>
      </w:pPr>
    </w:p>
    <w:p>
      <w:pPr>
        <w:ind w:firstLine="560"/>
        <w:rPr>
          <w:rFonts w:cs="Times New Roman"/>
          <w:color w:val="auto"/>
          <w:sz w:val="28"/>
          <w:szCs w:val="28"/>
        </w:rPr>
        <w:sectPr>
          <w:pgSz w:w="11906" w:h="16838"/>
          <w:pgMar w:top="1440" w:right="1800" w:bottom="1440" w:left="1800" w:header="851" w:footer="992" w:gutter="0"/>
          <w:cols w:space="425" w:num="1"/>
          <w:docGrid w:type="lines" w:linePitch="312" w:charSpace="0"/>
        </w:sectPr>
      </w:pPr>
    </w:p>
    <w:p>
      <w:pPr>
        <w:pStyle w:val="3"/>
        <w:ind w:firstLine="562"/>
        <w:rPr>
          <w:rFonts w:eastAsia="宋体" w:cs="Times New Roman"/>
          <w:color w:val="auto"/>
        </w:rPr>
      </w:pPr>
      <w:r>
        <w:rPr>
          <w:rFonts w:eastAsia="宋体" w:cs="Times New Roman"/>
          <w:color w:val="auto"/>
        </w:rPr>
        <w:t>六、结论</w:t>
      </w:r>
    </w:p>
    <w:tbl>
      <w:tblPr>
        <w:tblStyle w:val="27"/>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30" w:hRule="atLeast"/>
          <w:jc w:val="center"/>
        </w:trPr>
        <w:tc>
          <w:tcPr>
            <w:tcW w:w="9071" w:type="dxa"/>
            <w:vAlign w:val="center"/>
          </w:tcPr>
          <w:p>
            <w:pPr>
              <w:ind w:firstLine="480"/>
              <w:jc w:val="left"/>
              <w:rPr>
                <w:rFonts w:cs="Times New Roman"/>
                <w:color w:val="auto"/>
              </w:rPr>
            </w:pPr>
            <w:r>
              <w:rPr>
                <w:rFonts w:cs="Times New Roman"/>
                <w:color w:val="auto"/>
              </w:rPr>
              <w:t>综上所述，项目建设符合国家和地方的相关政策，厂址选择符合当地大气、噪声功能区划的要求，在各项污染防治措施落实后，污染物均能达标排放。因此，该项目在采取相应的环保措施之后，从环保角度讲本项目建设是可行的。</w:t>
            </w:r>
          </w:p>
          <w:p>
            <w:pPr>
              <w:ind w:firstLine="480"/>
              <w:jc w:val="center"/>
              <w:rPr>
                <w:rFonts w:cs="Times New Roman"/>
                <w:color w:val="auto"/>
              </w:rPr>
            </w:pPr>
          </w:p>
          <w:p>
            <w:pPr>
              <w:ind w:firstLine="480"/>
              <w:jc w:val="center"/>
              <w:rPr>
                <w:rFonts w:cs="Times New Roman"/>
                <w:color w:val="auto"/>
              </w:rPr>
            </w:pPr>
          </w:p>
          <w:p>
            <w:pPr>
              <w:ind w:firstLine="480"/>
              <w:jc w:val="center"/>
              <w:rPr>
                <w:rFonts w:cs="Times New Roman"/>
                <w:color w:val="auto"/>
              </w:rPr>
            </w:pPr>
          </w:p>
          <w:p>
            <w:pPr>
              <w:ind w:firstLine="480"/>
              <w:jc w:val="center"/>
              <w:rPr>
                <w:rFonts w:cs="Times New Roman"/>
                <w:color w:val="auto"/>
              </w:rPr>
            </w:pPr>
          </w:p>
          <w:p>
            <w:pPr>
              <w:ind w:firstLine="480"/>
              <w:jc w:val="center"/>
              <w:rPr>
                <w:rFonts w:cs="Times New Roman"/>
                <w:color w:val="auto"/>
              </w:rPr>
            </w:pPr>
          </w:p>
          <w:p>
            <w:pPr>
              <w:ind w:firstLine="480"/>
              <w:jc w:val="center"/>
              <w:rPr>
                <w:rFonts w:cs="Times New Roman"/>
                <w:color w:val="auto"/>
              </w:rPr>
            </w:pPr>
          </w:p>
          <w:p>
            <w:pPr>
              <w:ind w:firstLine="480"/>
              <w:jc w:val="center"/>
              <w:rPr>
                <w:rFonts w:cs="Times New Roman"/>
                <w:color w:val="auto"/>
              </w:rPr>
            </w:pPr>
          </w:p>
          <w:p>
            <w:pPr>
              <w:ind w:firstLine="480"/>
              <w:jc w:val="center"/>
              <w:rPr>
                <w:rFonts w:cs="Times New Roman"/>
                <w:color w:val="auto"/>
              </w:rPr>
            </w:pPr>
          </w:p>
          <w:p>
            <w:pPr>
              <w:ind w:firstLine="480"/>
              <w:jc w:val="center"/>
              <w:rPr>
                <w:rFonts w:cs="Times New Roman"/>
                <w:color w:val="auto"/>
              </w:rPr>
            </w:pPr>
          </w:p>
          <w:p>
            <w:pPr>
              <w:ind w:firstLine="480"/>
              <w:jc w:val="center"/>
              <w:rPr>
                <w:rFonts w:cs="Times New Roman"/>
                <w:color w:val="auto"/>
              </w:rPr>
            </w:pPr>
          </w:p>
          <w:p>
            <w:pPr>
              <w:ind w:firstLine="480"/>
              <w:jc w:val="center"/>
              <w:rPr>
                <w:rFonts w:cs="Times New Roman"/>
                <w:color w:val="auto"/>
              </w:rPr>
            </w:pPr>
          </w:p>
          <w:p>
            <w:pPr>
              <w:ind w:firstLine="480"/>
              <w:jc w:val="center"/>
              <w:rPr>
                <w:rFonts w:cs="Times New Roman"/>
                <w:color w:val="auto"/>
              </w:rPr>
            </w:pPr>
          </w:p>
          <w:p>
            <w:pPr>
              <w:ind w:firstLine="480"/>
              <w:jc w:val="center"/>
              <w:rPr>
                <w:rFonts w:cs="Times New Roman"/>
                <w:color w:val="auto"/>
              </w:rPr>
            </w:pPr>
          </w:p>
          <w:p>
            <w:pPr>
              <w:ind w:firstLine="480"/>
              <w:jc w:val="center"/>
              <w:rPr>
                <w:rFonts w:cs="Times New Roman"/>
                <w:color w:val="auto"/>
              </w:rPr>
            </w:pPr>
          </w:p>
          <w:p>
            <w:pPr>
              <w:ind w:firstLine="480"/>
              <w:jc w:val="center"/>
              <w:rPr>
                <w:rFonts w:cs="Times New Roman"/>
                <w:color w:val="auto"/>
              </w:rPr>
            </w:pPr>
          </w:p>
          <w:p>
            <w:pPr>
              <w:ind w:firstLine="480"/>
              <w:jc w:val="center"/>
              <w:rPr>
                <w:rFonts w:cs="Times New Roman"/>
                <w:color w:val="auto"/>
              </w:rPr>
            </w:pPr>
          </w:p>
          <w:p>
            <w:pPr>
              <w:ind w:firstLine="480"/>
              <w:jc w:val="center"/>
              <w:rPr>
                <w:rFonts w:cs="Times New Roman"/>
                <w:color w:val="auto"/>
              </w:rPr>
            </w:pPr>
          </w:p>
          <w:p>
            <w:pPr>
              <w:ind w:firstLine="480"/>
              <w:jc w:val="center"/>
              <w:rPr>
                <w:rFonts w:cs="Times New Roman"/>
                <w:color w:val="auto"/>
              </w:rPr>
            </w:pPr>
          </w:p>
        </w:tc>
      </w:tr>
    </w:tbl>
    <w:p>
      <w:pPr>
        <w:ind w:firstLine="560"/>
        <w:rPr>
          <w:rFonts w:cs="Times New Roman"/>
          <w:color w:val="auto"/>
          <w:sz w:val="28"/>
          <w:szCs w:val="28"/>
        </w:rPr>
      </w:pPr>
    </w:p>
    <w:p>
      <w:pPr>
        <w:ind w:firstLine="560"/>
        <w:rPr>
          <w:rFonts w:cs="Times New Roman"/>
          <w:color w:val="auto"/>
          <w:sz w:val="28"/>
          <w:szCs w:val="28"/>
        </w:rPr>
        <w:sectPr>
          <w:pgSz w:w="11906" w:h="16838"/>
          <w:pgMar w:top="1440" w:right="1800" w:bottom="1440" w:left="1800" w:header="851" w:footer="992" w:gutter="0"/>
          <w:cols w:space="425" w:num="1"/>
          <w:docGrid w:type="lines" w:linePitch="312" w:charSpace="0"/>
        </w:sectPr>
      </w:pPr>
    </w:p>
    <w:p>
      <w:pPr>
        <w:ind w:firstLine="562"/>
        <w:jc w:val="center"/>
        <w:rPr>
          <w:rFonts w:cs="Times New Roman"/>
          <w:b/>
          <w:bCs/>
          <w:color w:val="auto"/>
          <w:sz w:val="28"/>
          <w:szCs w:val="28"/>
        </w:rPr>
      </w:pPr>
      <w:r>
        <w:rPr>
          <w:rFonts w:cs="Times New Roman"/>
          <w:b/>
          <w:bCs/>
          <w:color w:val="auto"/>
          <w:sz w:val="28"/>
          <w:szCs w:val="28"/>
        </w:rPr>
        <w:t>附表建设项目污染物排放量汇总表</w:t>
      </w:r>
    </w:p>
    <w:tbl>
      <w:tblPr>
        <w:tblStyle w:val="27"/>
        <w:tblW w:w="1417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73"/>
        <w:gridCol w:w="1575"/>
        <w:gridCol w:w="1575"/>
        <w:gridCol w:w="1575"/>
        <w:gridCol w:w="1575"/>
        <w:gridCol w:w="1575"/>
        <w:gridCol w:w="1575"/>
        <w:gridCol w:w="1575"/>
        <w:gridCol w:w="15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73" w:type="dxa"/>
            <w:vAlign w:val="center"/>
          </w:tcPr>
          <w:p>
            <w:pPr>
              <w:snapToGrid w:val="0"/>
              <w:spacing w:line="240" w:lineRule="auto"/>
              <w:ind w:firstLine="0" w:firstLineChars="0"/>
              <w:jc w:val="center"/>
              <w:rPr>
                <w:rFonts w:cs="Times New Roman"/>
                <w:b/>
                <w:bCs/>
                <w:color w:val="auto"/>
              </w:rPr>
            </w:pPr>
            <w:r>
              <w:rPr>
                <w:rFonts w:cs="Times New Roman"/>
                <w:b/>
                <w:bCs/>
                <w:color w:val="auto"/>
              </w:rPr>
              <w:t>分类</w:t>
            </w:r>
          </w:p>
          <w:p>
            <w:pPr>
              <w:spacing w:line="240" w:lineRule="auto"/>
              <w:ind w:firstLine="0" w:firstLineChars="0"/>
              <w:jc w:val="center"/>
              <w:rPr>
                <w:rFonts w:cs="Times New Roman"/>
                <w:b/>
                <w:bCs/>
                <w:color w:val="auto"/>
              </w:rPr>
            </w:pPr>
            <w:r>
              <w:rPr>
                <w:rFonts w:cs="Times New Roman"/>
                <w:b/>
                <w:bCs/>
                <w:color w:val="auto"/>
              </w:rPr>
              <w:t>项目</w:t>
            </w:r>
          </w:p>
        </w:tc>
        <w:tc>
          <w:tcPr>
            <w:tcW w:w="1575" w:type="dxa"/>
            <w:vAlign w:val="center"/>
          </w:tcPr>
          <w:p>
            <w:pPr>
              <w:spacing w:line="240" w:lineRule="auto"/>
              <w:ind w:firstLine="0" w:firstLineChars="0"/>
              <w:jc w:val="center"/>
              <w:rPr>
                <w:rFonts w:cs="Times New Roman"/>
                <w:b/>
                <w:bCs/>
                <w:color w:val="auto"/>
              </w:rPr>
            </w:pPr>
            <w:r>
              <w:rPr>
                <w:rFonts w:cs="Times New Roman"/>
                <w:b/>
                <w:bCs/>
                <w:color w:val="auto"/>
              </w:rPr>
              <w:t>污染物名称</w:t>
            </w:r>
          </w:p>
        </w:tc>
        <w:tc>
          <w:tcPr>
            <w:tcW w:w="1575" w:type="dxa"/>
            <w:vAlign w:val="center"/>
          </w:tcPr>
          <w:p>
            <w:pPr>
              <w:spacing w:line="240" w:lineRule="auto"/>
              <w:ind w:firstLine="0" w:firstLineChars="0"/>
              <w:jc w:val="center"/>
              <w:rPr>
                <w:rFonts w:cs="Times New Roman"/>
                <w:b/>
                <w:bCs/>
                <w:color w:val="auto"/>
              </w:rPr>
            </w:pPr>
            <w:r>
              <w:rPr>
                <w:rFonts w:cs="Times New Roman"/>
                <w:b/>
                <w:bCs/>
                <w:color w:val="auto"/>
              </w:rPr>
              <w:t>现有工程排放量（固体废物产生量）①</w:t>
            </w:r>
          </w:p>
        </w:tc>
        <w:tc>
          <w:tcPr>
            <w:tcW w:w="1575" w:type="dxa"/>
            <w:vAlign w:val="center"/>
          </w:tcPr>
          <w:p>
            <w:pPr>
              <w:spacing w:line="240" w:lineRule="auto"/>
              <w:ind w:firstLine="0" w:firstLineChars="0"/>
              <w:jc w:val="center"/>
              <w:rPr>
                <w:rFonts w:cs="Times New Roman"/>
                <w:b/>
                <w:bCs/>
                <w:color w:val="auto"/>
              </w:rPr>
            </w:pPr>
            <w:r>
              <w:rPr>
                <w:rFonts w:cs="Times New Roman"/>
                <w:b/>
                <w:bCs/>
                <w:color w:val="auto"/>
              </w:rPr>
              <w:t>现有工程许可排放量</w:t>
            </w:r>
            <w:r>
              <w:rPr>
                <w:rFonts w:cs="Times New Roman"/>
                <w:b/>
                <w:bCs/>
                <w:color w:val="auto"/>
              </w:rPr>
              <w:fldChar w:fldCharType="begin"/>
            </w:r>
            <w:r>
              <w:rPr>
                <w:rFonts w:cs="Times New Roman"/>
                <w:b/>
                <w:bCs/>
                <w:color w:val="auto"/>
              </w:rPr>
              <w:instrText xml:space="preserve"> = 2 \* GB3 \* MERGEFORMAT </w:instrText>
            </w:r>
            <w:r>
              <w:rPr>
                <w:rFonts w:cs="Times New Roman"/>
                <w:b/>
                <w:bCs/>
                <w:color w:val="auto"/>
              </w:rPr>
              <w:fldChar w:fldCharType="separate"/>
            </w:r>
            <w:r>
              <w:rPr>
                <w:rFonts w:cs="Times New Roman"/>
                <w:b/>
                <w:bCs/>
                <w:color w:val="auto"/>
              </w:rPr>
              <w:t>②</w:t>
            </w:r>
            <w:r>
              <w:rPr>
                <w:rFonts w:cs="Times New Roman"/>
                <w:b/>
                <w:bCs/>
                <w:color w:val="auto"/>
              </w:rPr>
              <w:fldChar w:fldCharType="end"/>
            </w:r>
          </w:p>
        </w:tc>
        <w:tc>
          <w:tcPr>
            <w:tcW w:w="1575" w:type="dxa"/>
            <w:vAlign w:val="center"/>
          </w:tcPr>
          <w:p>
            <w:pPr>
              <w:spacing w:line="240" w:lineRule="auto"/>
              <w:ind w:firstLine="0" w:firstLineChars="0"/>
              <w:jc w:val="center"/>
              <w:rPr>
                <w:rFonts w:cs="Times New Roman"/>
                <w:b/>
                <w:bCs/>
                <w:color w:val="auto"/>
              </w:rPr>
            </w:pPr>
            <w:r>
              <w:rPr>
                <w:rFonts w:cs="Times New Roman"/>
                <w:b/>
                <w:bCs/>
                <w:color w:val="auto"/>
              </w:rPr>
              <w:t>在建工程排放量（固体废物产生量）</w:t>
            </w:r>
            <w:r>
              <w:rPr>
                <w:rFonts w:cs="Times New Roman"/>
                <w:b/>
                <w:bCs/>
                <w:color w:val="auto"/>
              </w:rPr>
              <w:fldChar w:fldCharType="begin"/>
            </w:r>
            <w:r>
              <w:rPr>
                <w:rFonts w:cs="Times New Roman"/>
                <w:b/>
                <w:bCs/>
                <w:color w:val="auto"/>
              </w:rPr>
              <w:instrText xml:space="preserve"> = 3 \* GB3 \* MERGEFORMAT </w:instrText>
            </w:r>
            <w:r>
              <w:rPr>
                <w:rFonts w:cs="Times New Roman"/>
                <w:b/>
                <w:bCs/>
                <w:color w:val="auto"/>
              </w:rPr>
              <w:fldChar w:fldCharType="separate"/>
            </w:r>
            <w:r>
              <w:rPr>
                <w:rFonts w:cs="Times New Roman"/>
                <w:b/>
                <w:bCs/>
                <w:color w:val="auto"/>
              </w:rPr>
              <w:t>③</w:t>
            </w:r>
            <w:r>
              <w:rPr>
                <w:rFonts w:cs="Times New Roman"/>
                <w:b/>
                <w:bCs/>
                <w:color w:val="auto"/>
              </w:rPr>
              <w:fldChar w:fldCharType="end"/>
            </w:r>
          </w:p>
        </w:tc>
        <w:tc>
          <w:tcPr>
            <w:tcW w:w="1575" w:type="dxa"/>
            <w:vAlign w:val="center"/>
          </w:tcPr>
          <w:p>
            <w:pPr>
              <w:spacing w:line="240" w:lineRule="auto"/>
              <w:ind w:firstLine="0" w:firstLineChars="0"/>
              <w:jc w:val="center"/>
              <w:rPr>
                <w:rFonts w:cs="Times New Roman"/>
                <w:b/>
                <w:bCs/>
                <w:color w:val="auto"/>
              </w:rPr>
            </w:pPr>
            <w:r>
              <w:rPr>
                <w:rFonts w:cs="Times New Roman"/>
                <w:b/>
                <w:bCs/>
                <w:color w:val="auto"/>
              </w:rPr>
              <w:t>本项目排放量（固体废物产生量）</w:t>
            </w:r>
            <w:r>
              <w:rPr>
                <w:rFonts w:cs="Times New Roman"/>
                <w:b/>
                <w:bCs/>
                <w:color w:val="auto"/>
              </w:rPr>
              <w:fldChar w:fldCharType="begin"/>
            </w:r>
            <w:r>
              <w:rPr>
                <w:rFonts w:cs="Times New Roman"/>
                <w:b/>
                <w:bCs/>
                <w:color w:val="auto"/>
              </w:rPr>
              <w:instrText xml:space="preserve"> = 4 \* GB3 \* MERGEFORMAT </w:instrText>
            </w:r>
            <w:r>
              <w:rPr>
                <w:rFonts w:cs="Times New Roman"/>
                <w:b/>
                <w:bCs/>
                <w:color w:val="auto"/>
              </w:rPr>
              <w:fldChar w:fldCharType="separate"/>
            </w:r>
            <w:r>
              <w:rPr>
                <w:rFonts w:cs="Times New Roman"/>
                <w:b/>
                <w:bCs/>
                <w:color w:val="auto"/>
              </w:rPr>
              <w:t>④</w:t>
            </w:r>
            <w:r>
              <w:rPr>
                <w:rFonts w:cs="Times New Roman"/>
                <w:b/>
                <w:bCs/>
                <w:color w:val="auto"/>
              </w:rPr>
              <w:fldChar w:fldCharType="end"/>
            </w:r>
          </w:p>
        </w:tc>
        <w:tc>
          <w:tcPr>
            <w:tcW w:w="1575" w:type="dxa"/>
            <w:vAlign w:val="center"/>
          </w:tcPr>
          <w:p>
            <w:pPr>
              <w:spacing w:line="240" w:lineRule="auto"/>
              <w:ind w:firstLine="0" w:firstLineChars="0"/>
              <w:jc w:val="center"/>
              <w:rPr>
                <w:rFonts w:cs="Times New Roman"/>
                <w:b/>
                <w:bCs/>
                <w:color w:val="auto"/>
              </w:rPr>
            </w:pPr>
            <w:r>
              <w:rPr>
                <w:rFonts w:cs="Times New Roman"/>
                <w:b/>
                <w:bCs/>
                <w:color w:val="auto"/>
              </w:rPr>
              <w:t>以新带老削减量（新建项目不填）</w:t>
            </w:r>
            <w:r>
              <w:rPr>
                <w:rFonts w:cs="Times New Roman"/>
                <w:b/>
                <w:bCs/>
                <w:color w:val="auto"/>
              </w:rPr>
              <w:fldChar w:fldCharType="begin"/>
            </w:r>
            <w:r>
              <w:rPr>
                <w:rFonts w:cs="Times New Roman"/>
                <w:b/>
                <w:bCs/>
                <w:color w:val="auto"/>
              </w:rPr>
              <w:instrText xml:space="preserve"> = 5 \* GB3 \* MERGEFORMAT </w:instrText>
            </w:r>
            <w:r>
              <w:rPr>
                <w:rFonts w:cs="Times New Roman"/>
                <w:b/>
                <w:bCs/>
                <w:color w:val="auto"/>
              </w:rPr>
              <w:fldChar w:fldCharType="separate"/>
            </w:r>
            <w:r>
              <w:rPr>
                <w:rFonts w:cs="Times New Roman"/>
                <w:b/>
                <w:bCs/>
                <w:color w:val="auto"/>
              </w:rPr>
              <w:t>⑤</w:t>
            </w:r>
            <w:r>
              <w:rPr>
                <w:rFonts w:cs="Times New Roman"/>
                <w:b/>
                <w:bCs/>
                <w:color w:val="auto"/>
              </w:rPr>
              <w:fldChar w:fldCharType="end"/>
            </w:r>
          </w:p>
        </w:tc>
        <w:tc>
          <w:tcPr>
            <w:tcW w:w="1575" w:type="dxa"/>
            <w:vAlign w:val="center"/>
          </w:tcPr>
          <w:p>
            <w:pPr>
              <w:spacing w:line="240" w:lineRule="auto"/>
              <w:ind w:firstLine="0" w:firstLineChars="0"/>
              <w:jc w:val="center"/>
              <w:rPr>
                <w:rFonts w:cs="Times New Roman"/>
                <w:b/>
                <w:bCs/>
                <w:color w:val="auto"/>
              </w:rPr>
            </w:pPr>
            <w:r>
              <w:rPr>
                <w:rFonts w:cs="Times New Roman"/>
                <w:b/>
                <w:bCs/>
                <w:color w:val="auto"/>
              </w:rPr>
              <w:t>本项目建成后全厂排放量（固体废物产生量）</w:t>
            </w:r>
            <w:r>
              <w:rPr>
                <w:rFonts w:cs="Times New Roman"/>
                <w:b/>
                <w:bCs/>
                <w:color w:val="auto"/>
              </w:rPr>
              <w:fldChar w:fldCharType="begin"/>
            </w:r>
            <w:r>
              <w:rPr>
                <w:rFonts w:cs="Times New Roman"/>
                <w:b/>
                <w:bCs/>
                <w:color w:val="auto"/>
              </w:rPr>
              <w:instrText xml:space="preserve"> = 6 \* GB3 \* MERGEFORMAT </w:instrText>
            </w:r>
            <w:r>
              <w:rPr>
                <w:rFonts w:cs="Times New Roman"/>
                <w:b/>
                <w:bCs/>
                <w:color w:val="auto"/>
              </w:rPr>
              <w:fldChar w:fldCharType="separate"/>
            </w:r>
            <w:r>
              <w:rPr>
                <w:rFonts w:cs="Times New Roman"/>
                <w:b/>
                <w:bCs/>
                <w:color w:val="auto"/>
              </w:rPr>
              <w:t>⑥</w:t>
            </w:r>
            <w:r>
              <w:rPr>
                <w:rFonts w:cs="Times New Roman"/>
                <w:b/>
                <w:bCs/>
                <w:color w:val="auto"/>
              </w:rPr>
              <w:fldChar w:fldCharType="end"/>
            </w:r>
          </w:p>
        </w:tc>
        <w:tc>
          <w:tcPr>
            <w:tcW w:w="1575" w:type="dxa"/>
            <w:vAlign w:val="center"/>
          </w:tcPr>
          <w:p>
            <w:pPr>
              <w:spacing w:line="240" w:lineRule="auto"/>
              <w:ind w:firstLine="0" w:firstLineChars="0"/>
              <w:jc w:val="center"/>
              <w:rPr>
                <w:rFonts w:cs="Times New Roman"/>
                <w:b/>
                <w:bCs/>
                <w:color w:val="auto"/>
              </w:rPr>
            </w:pPr>
            <w:r>
              <w:rPr>
                <w:rFonts w:cs="Times New Roman"/>
                <w:b/>
                <w:bCs/>
                <w:color w:val="auto"/>
              </w:rPr>
              <w:t>变化量</w:t>
            </w:r>
            <w:r>
              <w:rPr>
                <w:rFonts w:cs="Times New Roman"/>
                <w:b/>
                <w:bCs/>
                <w:color w:val="auto"/>
              </w:rPr>
              <w:fldChar w:fldCharType="begin"/>
            </w:r>
            <w:r>
              <w:rPr>
                <w:rFonts w:cs="Times New Roman"/>
                <w:b/>
                <w:bCs/>
                <w:color w:val="auto"/>
              </w:rPr>
              <w:instrText xml:space="preserve"> = 7 \* GB3 \* MERGEFORMAT </w:instrText>
            </w:r>
            <w:r>
              <w:rPr>
                <w:rFonts w:cs="Times New Roman"/>
                <w:b/>
                <w:bCs/>
                <w:color w:val="auto"/>
              </w:rPr>
              <w:fldChar w:fldCharType="separate"/>
            </w:r>
            <w:r>
              <w:rPr>
                <w:rFonts w:cs="Times New Roman"/>
                <w:b/>
                <w:bCs/>
                <w:color w:val="auto"/>
              </w:rPr>
              <w:t>⑦</w:t>
            </w:r>
            <w:r>
              <w:rPr>
                <w:rFonts w:cs="Times New Roman"/>
                <w:b/>
                <w:bCs/>
                <w:color w:val="auto"/>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73" w:type="dxa"/>
            <w:vMerge w:val="restart"/>
            <w:vAlign w:val="center"/>
          </w:tcPr>
          <w:p>
            <w:pPr>
              <w:spacing w:line="240" w:lineRule="auto"/>
              <w:ind w:firstLine="0" w:firstLineChars="0"/>
              <w:jc w:val="center"/>
              <w:rPr>
                <w:rFonts w:cs="Times New Roman"/>
                <w:color w:val="auto"/>
              </w:rPr>
            </w:pPr>
            <w:r>
              <w:rPr>
                <w:rFonts w:cs="Times New Roman"/>
                <w:color w:val="auto"/>
              </w:rPr>
              <w:t>废气</w:t>
            </w:r>
          </w:p>
        </w:tc>
        <w:tc>
          <w:tcPr>
            <w:tcW w:w="1575" w:type="dxa"/>
            <w:vAlign w:val="center"/>
          </w:tcPr>
          <w:p>
            <w:pPr>
              <w:spacing w:line="240" w:lineRule="auto"/>
              <w:ind w:firstLine="0" w:firstLineChars="0"/>
              <w:jc w:val="center"/>
              <w:rPr>
                <w:rFonts w:cs="Times New Roman"/>
                <w:color w:val="auto"/>
              </w:rPr>
            </w:pPr>
            <w:r>
              <w:rPr>
                <w:rFonts w:cs="Times New Roman"/>
                <w:color w:val="auto"/>
              </w:rPr>
              <w:t>颗粒物</w:t>
            </w:r>
          </w:p>
        </w:tc>
        <w:tc>
          <w:tcPr>
            <w:tcW w:w="1575" w:type="dxa"/>
            <w:vAlign w:val="center"/>
          </w:tcPr>
          <w:p>
            <w:pPr>
              <w:widowControl/>
              <w:spacing w:line="240" w:lineRule="auto"/>
              <w:ind w:firstLine="0" w:firstLineChars="0"/>
              <w:jc w:val="center"/>
              <w:textAlignment w:val="center"/>
              <w:rPr>
                <w:rFonts w:cs="Times New Roman"/>
                <w:color w:val="auto"/>
              </w:rPr>
            </w:pPr>
          </w:p>
        </w:tc>
        <w:tc>
          <w:tcPr>
            <w:tcW w:w="1575" w:type="dxa"/>
            <w:vAlign w:val="center"/>
          </w:tcPr>
          <w:p>
            <w:pPr>
              <w:spacing w:line="240" w:lineRule="auto"/>
              <w:ind w:firstLine="0" w:firstLineChars="0"/>
              <w:jc w:val="center"/>
              <w:rPr>
                <w:rFonts w:cs="Times New Roman"/>
                <w:color w:val="auto"/>
              </w:rPr>
            </w:pPr>
            <w:r>
              <w:rPr>
                <w:rFonts w:cs="Times New Roman"/>
                <w:color w:val="auto"/>
              </w:rPr>
              <w:t>/</w:t>
            </w:r>
          </w:p>
        </w:tc>
        <w:tc>
          <w:tcPr>
            <w:tcW w:w="1575" w:type="dxa"/>
            <w:vAlign w:val="center"/>
          </w:tcPr>
          <w:p>
            <w:pPr>
              <w:spacing w:line="240" w:lineRule="auto"/>
              <w:ind w:firstLine="0" w:firstLineChars="0"/>
              <w:jc w:val="center"/>
              <w:rPr>
                <w:rFonts w:cs="Times New Roman"/>
                <w:color w:val="auto"/>
              </w:rPr>
            </w:pPr>
            <w:r>
              <w:rPr>
                <w:rFonts w:cs="Times New Roman"/>
                <w:color w:val="auto"/>
              </w:rPr>
              <w:t>/</w:t>
            </w:r>
          </w:p>
        </w:tc>
        <w:tc>
          <w:tcPr>
            <w:tcW w:w="1575" w:type="dxa"/>
            <w:vAlign w:val="center"/>
          </w:tcPr>
          <w:p>
            <w:pPr>
              <w:spacing w:line="240" w:lineRule="auto"/>
              <w:ind w:firstLine="0" w:firstLineChars="0"/>
              <w:jc w:val="center"/>
              <w:rPr>
                <w:rFonts w:cs="Times New Roman"/>
                <w:color w:val="auto"/>
              </w:rPr>
            </w:pPr>
            <w:r>
              <w:rPr>
                <w:rFonts w:cs="Times New Roman"/>
                <w:color w:val="auto"/>
              </w:rPr>
              <w:t>1.02t/a</w:t>
            </w:r>
          </w:p>
        </w:tc>
        <w:tc>
          <w:tcPr>
            <w:tcW w:w="1575" w:type="dxa"/>
            <w:vAlign w:val="center"/>
          </w:tcPr>
          <w:p>
            <w:pPr>
              <w:spacing w:line="240" w:lineRule="auto"/>
              <w:ind w:firstLine="0" w:firstLineChars="0"/>
              <w:jc w:val="center"/>
              <w:rPr>
                <w:rFonts w:cs="Times New Roman"/>
                <w:color w:val="auto"/>
              </w:rPr>
            </w:pPr>
            <w:r>
              <w:rPr>
                <w:rFonts w:cs="Times New Roman"/>
                <w:color w:val="auto"/>
              </w:rPr>
              <w:t>/</w:t>
            </w:r>
          </w:p>
        </w:tc>
        <w:tc>
          <w:tcPr>
            <w:tcW w:w="1575" w:type="dxa"/>
            <w:vAlign w:val="center"/>
          </w:tcPr>
          <w:p>
            <w:pPr>
              <w:spacing w:line="240" w:lineRule="auto"/>
              <w:ind w:firstLine="0" w:firstLineChars="0"/>
              <w:jc w:val="center"/>
              <w:rPr>
                <w:rFonts w:cs="Times New Roman"/>
                <w:color w:val="auto"/>
              </w:rPr>
            </w:pPr>
            <w:r>
              <w:rPr>
                <w:rFonts w:cs="Times New Roman"/>
                <w:color w:val="auto"/>
              </w:rPr>
              <w:t>1.02t/a</w:t>
            </w:r>
          </w:p>
        </w:tc>
        <w:tc>
          <w:tcPr>
            <w:tcW w:w="1575" w:type="dxa"/>
            <w:vAlign w:val="center"/>
          </w:tcPr>
          <w:p>
            <w:pPr>
              <w:spacing w:line="240" w:lineRule="auto"/>
              <w:ind w:firstLine="0" w:firstLineChars="0"/>
              <w:jc w:val="center"/>
              <w:rPr>
                <w:rFonts w:cs="Times New Roman"/>
                <w:color w:val="auto"/>
              </w:rPr>
            </w:pPr>
            <w:r>
              <w:rPr>
                <w:rFonts w:cs="Times New Roman"/>
                <w:color w:val="auto"/>
              </w:rPr>
              <w:t>+1.02t/a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73" w:type="dxa"/>
            <w:vMerge w:val="continue"/>
            <w:vAlign w:val="center"/>
          </w:tcPr>
          <w:p>
            <w:pPr>
              <w:spacing w:line="240" w:lineRule="auto"/>
              <w:ind w:firstLine="0" w:firstLineChars="0"/>
              <w:jc w:val="center"/>
              <w:rPr>
                <w:rFonts w:cs="Times New Roman"/>
                <w:color w:val="auto"/>
              </w:rPr>
            </w:pPr>
          </w:p>
        </w:tc>
        <w:tc>
          <w:tcPr>
            <w:tcW w:w="1575" w:type="dxa"/>
            <w:vAlign w:val="center"/>
          </w:tcPr>
          <w:p>
            <w:pPr>
              <w:spacing w:line="240" w:lineRule="auto"/>
              <w:ind w:firstLine="0" w:firstLineChars="0"/>
              <w:jc w:val="center"/>
              <w:rPr>
                <w:rFonts w:cs="Times New Roman"/>
                <w:color w:val="auto"/>
              </w:rPr>
            </w:pPr>
            <w:r>
              <w:rPr>
                <w:rFonts w:cs="Times New Roman"/>
                <w:color w:val="auto"/>
              </w:rPr>
              <w:t>二氧化硫</w:t>
            </w:r>
          </w:p>
        </w:tc>
        <w:tc>
          <w:tcPr>
            <w:tcW w:w="1575" w:type="dxa"/>
            <w:vAlign w:val="center"/>
          </w:tcPr>
          <w:p>
            <w:pPr>
              <w:widowControl/>
              <w:spacing w:line="240" w:lineRule="auto"/>
              <w:ind w:firstLine="0" w:firstLineChars="0"/>
              <w:jc w:val="center"/>
              <w:textAlignment w:val="center"/>
              <w:rPr>
                <w:rFonts w:cs="Times New Roman"/>
                <w:color w:val="auto"/>
              </w:rPr>
            </w:pPr>
          </w:p>
        </w:tc>
        <w:tc>
          <w:tcPr>
            <w:tcW w:w="1575" w:type="dxa"/>
            <w:vAlign w:val="center"/>
          </w:tcPr>
          <w:p>
            <w:pPr>
              <w:spacing w:line="240" w:lineRule="auto"/>
              <w:ind w:firstLine="0" w:firstLineChars="0"/>
              <w:jc w:val="center"/>
              <w:rPr>
                <w:rFonts w:cs="Times New Roman"/>
                <w:color w:val="auto"/>
              </w:rPr>
            </w:pPr>
            <w:r>
              <w:rPr>
                <w:rFonts w:cs="Times New Roman"/>
                <w:color w:val="auto"/>
              </w:rPr>
              <w:t>/</w:t>
            </w:r>
          </w:p>
        </w:tc>
        <w:tc>
          <w:tcPr>
            <w:tcW w:w="1575" w:type="dxa"/>
            <w:vAlign w:val="center"/>
          </w:tcPr>
          <w:p>
            <w:pPr>
              <w:spacing w:line="240" w:lineRule="auto"/>
              <w:ind w:firstLine="0" w:firstLineChars="0"/>
              <w:jc w:val="center"/>
              <w:rPr>
                <w:rFonts w:cs="Times New Roman"/>
                <w:color w:val="auto"/>
              </w:rPr>
            </w:pPr>
            <w:r>
              <w:rPr>
                <w:rFonts w:cs="Times New Roman"/>
                <w:color w:val="auto"/>
              </w:rPr>
              <w:t>/</w:t>
            </w:r>
          </w:p>
        </w:tc>
        <w:tc>
          <w:tcPr>
            <w:tcW w:w="1575" w:type="dxa"/>
            <w:vAlign w:val="center"/>
          </w:tcPr>
          <w:p>
            <w:pPr>
              <w:spacing w:line="240" w:lineRule="auto"/>
              <w:ind w:firstLine="0" w:firstLineChars="0"/>
              <w:jc w:val="center"/>
              <w:rPr>
                <w:rFonts w:cs="Times New Roman"/>
                <w:color w:val="auto"/>
              </w:rPr>
            </w:pPr>
            <w:r>
              <w:rPr>
                <w:rFonts w:cs="Times New Roman"/>
                <w:color w:val="auto"/>
              </w:rPr>
              <w:t>0.35t/a</w:t>
            </w:r>
          </w:p>
        </w:tc>
        <w:tc>
          <w:tcPr>
            <w:tcW w:w="1575" w:type="dxa"/>
            <w:vAlign w:val="center"/>
          </w:tcPr>
          <w:p>
            <w:pPr>
              <w:spacing w:line="240" w:lineRule="auto"/>
              <w:ind w:firstLine="0" w:firstLineChars="0"/>
              <w:jc w:val="center"/>
              <w:rPr>
                <w:rFonts w:cs="Times New Roman"/>
                <w:color w:val="auto"/>
              </w:rPr>
            </w:pPr>
            <w:r>
              <w:rPr>
                <w:rFonts w:cs="Times New Roman"/>
                <w:color w:val="auto"/>
              </w:rPr>
              <w:t>/</w:t>
            </w:r>
          </w:p>
        </w:tc>
        <w:tc>
          <w:tcPr>
            <w:tcW w:w="1575" w:type="dxa"/>
            <w:vAlign w:val="center"/>
          </w:tcPr>
          <w:p>
            <w:pPr>
              <w:spacing w:line="240" w:lineRule="auto"/>
              <w:ind w:firstLine="0" w:firstLineChars="0"/>
              <w:jc w:val="center"/>
              <w:rPr>
                <w:rFonts w:cs="Times New Roman"/>
                <w:color w:val="auto"/>
              </w:rPr>
            </w:pPr>
            <w:r>
              <w:rPr>
                <w:rFonts w:cs="Times New Roman"/>
                <w:color w:val="auto"/>
              </w:rPr>
              <w:t>0.35t/a</w:t>
            </w:r>
          </w:p>
        </w:tc>
        <w:tc>
          <w:tcPr>
            <w:tcW w:w="1575" w:type="dxa"/>
            <w:vAlign w:val="center"/>
          </w:tcPr>
          <w:p>
            <w:pPr>
              <w:spacing w:line="240" w:lineRule="auto"/>
              <w:ind w:firstLine="0" w:firstLineChars="0"/>
              <w:jc w:val="center"/>
              <w:rPr>
                <w:rFonts w:cs="Times New Roman"/>
                <w:color w:val="auto"/>
              </w:rPr>
            </w:pPr>
            <w:r>
              <w:rPr>
                <w:rFonts w:cs="Times New Roman"/>
                <w:color w:val="auto"/>
              </w:rPr>
              <w:t>+0.35t/a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73" w:type="dxa"/>
            <w:vMerge w:val="continue"/>
            <w:vAlign w:val="center"/>
          </w:tcPr>
          <w:p>
            <w:pPr>
              <w:spacing w:line="240" w:lineRule="auto"/>
              <w:ind w:firstLine="0" w:firstLineChars="0"/>
              <w:jc w:val="center"/>
              <w:rPr>
                <w:rFonts w:cs="Times New Roman"/>
                <w:color w:val="auto"/>
              </w:rPr>
            </w:pPr>
          </w:p>
        </w:tc>
        <w:tc>
          <w:tcPr>
            <w:tcW w:w="1575" w:type="dxa"/>
            <w:vAlign w:val="center"/>
          </w:tcPr>
          <w:p>
            <w:pPr>
              <w:spacing w:line="240" w:lineRule="auto"/>
              <w:ind w:firstLine="0" w:firstLineChars="0"/>
              <w:jc w:val="center"/>
              <w:rPr>
                <w:rFonts w:cs="Times New Roman"/>
                <w:color w:val="auto"/>
              </w:rPr>
            </w:pPr>
            <w:r>
              <w:rPr>
                <w:rFonts w:cs="Times New Roman"/>
                <w:color w:val="auto"/>
              </w:rPr>
              <w:t>氮氧化物</w:t>
            </w:r>
          </w:p>
        </w:tc>
        <w:tc>
          <w:tcPr>
            <w:tcW w:w="1575" w:type="dxa"/>
            <w:vAlign w:val="center"/>
          </w:tcPr>
          <w:p>
            <w:pPr>
              <w:widowControl/>
              <w:spacing w:line="240" w:lineRule="auto"/>
              <w:ind w:firstLine="0" w:firstLineChars="0"/>
              <w:jc w:val="center"/>
              <w:textAlignment w:val="center"/>
              <w:rPr>
                <w:rFonts w:cs="Times New Roman"/>
                <w:color w:val="auto"/>
              </w:rPr>
            </w:pPr>
          </w:p>
        </w:tc>
        <w:tc>
          <w:tcPr>
            <w:tcW w:w="1575" w:type="dxa"/>
            <w:vAlign w:val="center"/>
          </w:tcPr>
          <w:p>
            <w:pPr>
              <w:spacing w:line="240" w:lineRule="auto"/>
              <w:ind w:firstLine="0" w:firstLineChars="0"/>
              <w:jc w:val="center"/>
              <w:rPr>
                <w:rFonts w:cs="Times New Roman"/>
                <w:color w:val="auto"/>
              </w:rPr>
            </w:pPr>
            <w:r>
              <w:rPr>
                <w:rFonts w:cs="Times New Roman"/>
                <w:color w:val="auto"/>
              </w:rPr>
              <w:t>/</w:t>
            </w:r>
          </w:p>
        </w:tc>
        <w:tc>
          <w:tcPr>
            <w:tcW w:w="1575" w:type="dxa"/>
            <w:vAlign w:val="center"/>
          </w:tcPr>
          <w:p>
            <w:pPr>
              <w:spacing w:line="240" w:lineRule="auto"/>
              <w:ind w:firstLine="0" w:firstLineChars="0"/>
              <w:jc w:val="center"/>
              <w:rPr>
                <w:rFonts w:cs="Times New Roman"/>
                <w:color w:val="auto"/>
              </w:rPr>
            </w:pPr>
            <w:r>
              <w:rPr>
                <w:rFonts w:cs="Times New Roman"/>
                <w:color w:val="auto"/>
              </w:rPr>
              <w:t>/</w:t>
            </w:r>
          </w:p>
        </w:tc>
        <w:tc>
          <w:tcPr>
            <w:tcW w:w="1575" w:type="dxa"/>
            <w:vAlign w:val="center"/>
          </w:tcPr>
          <w:p>
            <w:pPr>
              <w:spacing w:line="240" w:lineRule="auto"/>
              <w:ind w:firstLine="0" w:firstLineChars="0"/>
              <w:jc w:val="center"/>
              <w:rPr>
                <w:rFonts w:cs="Times New Roman"/>
                <w:color w:val="auto"/>
              </w:rPr>
            </w:pPr>
            <w:r>
              <w:rPr>
                <w:rFonts w:cs="Times New Roman"/>
                <w:color w:val="auto"/>
              </w:rPr>
              <w:t>4.21t/a</w:t>
            </w:r>
          </w:p>
        </w:tc>
        <w:tc>
          <w:tcPr>
            <w:tcW w:w="1575" w:type="dxa"/>
            <w:vAlign w:val="center"/>
          </w:tcPr>
          <w:p>
            <w:pPr>
              <w:spacing w:line="240" w:lineRule="auto"/>
              <w:ind w:firstLine="0" w:firstLineChars="0"/>
              <w:jc w:val="center"/>
              <w:rPr>
                <w:rFonts w:cs="Times New Roman"/>
                <w:color w:val="auto"/>
              </w:rPr>
            </w:pPr>
            <w:r>
              <w:rPr>
                <w:rFonts w:cs="Times New Roman"/>
                <w:color w:val="auto"/>
              </w:rPr>
              <w:t>/</w:t>
            </w:r>
          </w:p>
        </w:tc>
        <w:tc>
          <w:tcPr>
            <w:tcW w:w="1575" w:type="dxa"/>
            <w:vAlign w:val="center"/>
          </w:tcPr>
          <w:p>
            <w:pPr>
              <w:spacing w:line="240" w:lineRule="auto"/>
              <w:ind w:firstLine="0" w:firstLineChars="0"/>
              <w:jc w:val="center"/>
              <w:rPr>
                <w:rFonts w:cs="Times New Roman"/>
                <w:color w:val="auto"/>
              </w:rPr>
            </w:pPr>
            <w:r>
              <w:rPr>
                <w:rFonts w:cs="Times New Roman"/>
                <w:color w:val="auto"/>
              </w:rPr>
              <w:t>4.21t/a</w:t>
            </w:r>
          </w:p>
        </w:tc>
        <w:tc>
          <w:tcPr>
            <w:tcW w:w="1575" w:type="dxa"/>
            <w:vAlign w:val="center"/>
          </w:tcPr>
          <w:p>
            <w:pPr>
              <w:spacing w:line="240" w:lineRule="auto"/>
              <w:ind w:firstLine="0" w:firstLineChars="0"/>
              <w:jc w:val="center"/>
              <w:rPr>
                <w:rFonts w:cs="Times New Roman"/>
                <w:color w:val="auto"/>
              </w:rPr>
            </w:pPr>
            <w:r>
              <w:rPr>
                <w:rFonts w:cs="Times New Roman"/>
                <w:color w:val="auto"/>
              </w:rPr>
              <w:t>+4.21t/a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73" w:type="dxa"/>
            <w:vMerge w:val="restart"/>
            <w:vAlign w:val="center"/>
          </w:tcPr>
          <w:p>
            <w:pPr>
              <w:spacing w:line="240" w:lineRule="auto"/>
              <w:ind w:firstLine="0" w:firstLineChars="0"/>
              <w:jc w:val="center"/>
              <w:rPr>
                <w:rFonts w:cs="Times New Roman"/>
                <w:color w:val="auto"/>
              </w:rPr>
            </w:pPr>
            <w:r>
              <w:rPr>
                <w:rFonts w:cs="Times New Roman"/>
                <w:color w:val="auto"/>
              </w:rPr>
              <w:t>废水</w:t>
            </w:r>
          </w:p>
        </w:tc>
        <w:tc>
          <w:tcPr>
            <w:tcW w:w="1575" w:type="dxa"/>
            <w:vAlign w:val="center"/>
          </w:tcPr>
          <w:p>
            <w:pPr>
              <w:spacing w:line="240" w:lineRule="auto"/>
              <w:ind w:firstLine="0" w:firstLineChars="0"/>
              <w:jc w:val="center"/>
              <w:rPr>
                <w:rFonts w:cs="Times New Roman"/>
                <w:color w:val="auto"/>
              </w:rPr>
            </w:pPr>
            <w:r>
              <w:rPr>
                <w:rFonts w:cs="Times New Roman"/>
                <w:color w:val="auto"/>
              </w:rPr>
              <w:t>CODcr</w:t>
            </w:r>
          </w:p>
        </w:tc>
        <w:tc>
          <w:tcPr>
            <w:tcW w:w="1575" w:type="dxa"/>
            <w:vAlign w:val="center"/>
          </w:tcPr>
          <w:p>
            <w:pPr>
              <w:spacing w:line="240" w:lineRule="auto"/>
              <w:ind w:firstLine="0" w:firstLineChars="0"/>
              <w:jc w:val="center"/>
              <w:rPr>
                <w:rFonts w:cs="Times New Roman"/>
                <w:color w:val="auto"/>
              </w:rPr>
            </w:pPr>
          </w:p>
        </w:tc>
        <w:tc>
          <w:tcPr>
            <w:tcW w:w="1575" w:type="dxa"/>
            <w:vAlign w:val="center"/>
          </w:tcPr>
          <w:p>
            <w:pPr>
              <w:spacing w:line="240" w:lineRule="auto"/>
              <w:ind w:firstLine="0" w:firstLineChars="0"/>
              <w:jc w:val="center"/>
              <w:rPr>
                <w:rFonts w:cs="Times New Roman"/>
                <w:color w:val="auto"/>
              </w:rPr>
            </w:pPr>
            <w:r>
              <w:rPr>
                <w:rFonts w:cs="Times New Roman"/>
                <w:color w:val="auto"/>
              </w:rPr>
              <w:t>/</w:t>
            </w:r>
          </w:p>
        </w:tc>
        <w:tc>
          <w:tcPr>
            <w:tcW w:w="1575" w:type="dxa"/>
            <w:vAlign w:val="center"/>
          </w:tcPr>
          <w:p>
            <w:pPr>
              <w:spacing w:line="240" w:lineRule="auto"/>
              <w:ind w:firstLine="0" w:firstLineChars="0"/>
              <w:jc w:val="center"/>
              <w:rPr>
                <w:rFonts w:cs="Times New Roman"/>
                <w:color w:val="auto"/>
              </w:rPr>
            </w:pPr>
            <w:r>
              <w:rPr>
                <w:rFonts w:cs="Times New Roman"/>
                <w:color w:val="auto"/>
              </w:rPr>
              <w:t>/</w:t>
            </w:r>
          </w:p>
        </w:tc>
        <w:tc>
          <w:tcPr>
            <w:tcW w:w="1575" w:type="dxa"/>
            <w:vAlign w:val="center"/>
          </w:tcPr>
          <w:p>
            <w:pPr>
              <w:spacing w:line="240" w:lineRule="auto"/>
              <w:ind w:firstLine="0" w:firstLineChars="0"/>
              <w:jc w:val="center"/>
              <w:rPr>
                <w:rFonts w:cs="Times New Roman"/>
                <w:color w:val="auto"/>
              </w:rPr>
            </w:pPr>
            <w:r>
              <w:rPr>
                <w:rFonts w:cs="Times New Roman"/>
                <w:color w:val="auto"/>
              </w:rPr>
              <w:t>0.51t/a</w:t>
            </w:r>
          </w:p>
        </w:tc>
        <w:tc>
          <w:tcPr>
            <w:tcW w:w="1575" w:type="dxa"/>
            <w:vAlign w:val="center"/>
          </w:tcPr>
          <w:p>
            <w:pPr>
              <w:spacing w:line="240" w:lineRule="auto"/>
              <w:ind w:firstLine="0" w:firstLineChars="0"/>
              <w:jc w:val="center"/>
              <w:rPr>
                <w:rFonts w:cs="Times New Roman"/>
                <w:color w:val="auto"/>
              </w:rPr>
            </w:pPr>
            <w:r>
              <w:rPr>
                <w:rFonts w:cs="Times New Roman"/>
                <w:color w:val="auto"/>
              </w:rPr>
              <w:t>/</w:t>
            </w:r>
          </w:p>
        </w:tc>
        <w:tc>
          <w:tcPr>
            <w:tcW w:w="1575" w:type="dxa"/>
            <w:vAlign w:val="center"/>
          </w:tcPr>
          <w:p>
            <w:pPr>
              <w:spacing w:line="240" w:lineRule="auto"/>
              <w:ind w:firstLine="0" w:firstLineChars="0"/>
              <w:jc w:val="center"/>
              <w:rPr>
                <w:rFonts w:cs="Times New Roman"/>
                <w:color w:val="auto"/>
              </w:rPr>
            </w:pPr>
            <w:r>
              <w:rPr>
                <w:rFonts w:cs="Times New Roman"/>
                <w:color w:val="auto"/>
              </w:rPr>
              <w:t>0.51t/a</w:t>
            </w:r>
          </w:p>
        </w:tc>
        <w:tc>
          <w:tcPr>
            <w:tcW w:w="1575" w:type="dxa"/>
            <w:vAlign w:val="center"/>
          </w:tcPr>
          <w:p>
            <w:pPr>
              <w:spacing w:line="240" w:lineRule="auto"/>
              <w:ind w:firstLine="0" w:firstLineChars="0"/>
              <w:jc w:val="center"/>
              <w:rPr>
                <w:rFonts w:cs="Times New Roman"/>
                <w:color w:val="auto"/>
              </w:rPr>
            </w:pPr>
            <w:r>
              <w:rPr>
                <w:rFonts w:cs="Times New Roman"/>
                <w:color w:val="auto"/>
              </w:rPr>
              <w:t>+0.51t/a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73" w:type="dxa"/>
            <w:vMerge w:val="continue"/>
            <w:vAlign w:val="center"/>
          </w:tcPr>
          <w:p>
            <w:pPr>
              <w:spacing w:line="240" w:lineRule="auto"/>
              <w:ind w:firstLine="0" w:firstLineChars="0"/>
              <w:jc w:val="center"/>
              <w:rPr>
                <w:rFonts w:cs="Times New Roman"/>
                <w:color w:val="auto"/>
              </w:rPr>
            </w:pPr>
          </w:p>
        </w:tc>
        <w:tc>
          <w:tcPr>
            <w:tcW w:w="1575" w:type="dxa"/>
            <w:vAlign w:val="center"/>
          </w:tcPr>
          <w:p>
            <w:pPr>
              <w:spacing w:line="240" w:lineRule="auto"/>
              <w:ind w:firstLine="0" w:firstLineChars="0"/>
              <w:jc w:val="center"/>
              <w:rPr>
                <w:rFonts w:cs="Times New Roman"/>
                <w:color w:val="auto"/>
              </w:rPr>
            </w:pPr>
            <w:r>
              <w:rPr>
                <w:rFonts w:cs="Times New Roman"/>
                <w:color w:val="auto"/>
              </w:rPr>
              <w:t>氨氮</w:t>
            </w:r>
          </w:p>
        </w:tc>
        <w:tc>
          <w:tcPr>
            <w:tcW w:w="1575" w:type="dxa"/>
            <w:vAlign w:val="center"/>
          </w:tcPr>
          <w:p>
            <w:pPr>
              <w:spacing w:line="240" w:lineRule="auto"/>
              <w:ind w:firstLine="0" w:firstLineChars="0"/>
              <w:jc w:val="center"/>
              <w:rPr>
                <w:rFonts w:cs="Times New Roman"/>
                <w:color w:val="auto"/>
              </w:rPr>
            </w:pPr>
          </w:p>
        </w:tc>
        <w:tc>
          <w:tcPr>
            <w:tcW w:w="1575" w:type="dxa"/>
            <w:vAlign w:val="center"/>
          </w:tcPr>
          <w:p>
            <w:pPr>
              <w:spacing w:line="240" w:lineRule="auto"/>
              <w:ind w:firstLine="0" w:firstLineChars="0"/>
              <w:jc w:val="center"/>
              <w:rPr>
                <w:rFonts w:cs="Times New Roman"/>
                <w:color w:val="auto"/>
              </w:rPr>
            </w:pPr>
            <w:r>
              <w:rPr>
                <w:rFonts w:cs="Times New Roman"/>
                <w:color w:val="auto"/>
              </w:rPr>
              <w:t>/</w:t>
            </w:r>
          </w:p>
        </w:tc>
        <w:tc>
          <w:tcPr>
            <w:tcW w:w="1575" w:type="dxa"/>
            <w:vAlign w:val="center"/>
          </w:tcPr>
          <w:p>
            <w:pPr>
              <w:spacing w:line="240" w:lineRule="auto"/>
              <w:ind w:firstLine="0" w:firstLineChars="0"/>
              <w:jc w:val="center"/>
              <w:rPr>
                <w:rFonts w:cs="Times New Roman"/>
                <w:color w:val="auto"/>
              </w:rPr>
            </w:pPr>
            <w:r>
              <w:rPr>
                <w:rFonts w:cs="Times New Roman"/>
                <w:color w:val="auto"/>
              </w:rPr>
              <w:t>/</w:t>
            </w:r>
          </w:p>
        </w:tc>
        <w:tc>
          <w:tcPr>
            <w:tcW w:w="1575" w:type="dxa"/>
            <w:vAlign w:val="center"/>
          </w:tcPr>
          <w:p>
            <w:pPr>
              <w:spacing w:line="240" w:lineRule="auto"/>
              <w:ind w:firstLine="0" w:firstLineChars="0"/>
              <w:jc w:val="center"/>
              <w:rPr>
                <w:rFonts w:cs="Times New Roman"/>
                <w:color w:val="auto"/>
              </w:rPr>
            </w:pPr>
            <w:r>
              <w:rPr>
                <w:rFonts w:cs="Times New Roman"/>
                <w:color w:val="auto"/>
              </w:rPr>
              <w:t>0.11t/a</w:t>
            </w:r>
          </w:p>
        </w:tc>
        <w:tc>
          <w:tcPr>
            <w:tcW w:w="1575" w:type="dxa"/>
            <w:vAlign w:val="center"/>
          </w:tcPr>
          <w:p>
            <w:pPr>
              <w:spacing w:line="240" w:lineRule="auto"/>
              <w:ind w:firstLine="0" w:firstLineChars="0"/>
              <w:jc w:val="center"/>
              <w:rPr>
                <w:rFonts w:cs="Times New Roman"/>
                <w:color w:val="auto"/>
              </w:rPr>
            </w:pPr>
            <w:r>
              <w:rPr>
                <w:rFonts w:cs="Times New Roman"/>
                <w:color w:val="auto"/>
              </w:rPr>
              <w:t>/</w:t>
            </w:r>
          </w:p>
        </w:tc>
        <w:tc>
          <w:tcPr>
            <w:tcW w:w="1575" w:type="dxa"/>
            <w:vAlign w:val="center"/>
          </w:tcPr>
          <w:p>
            <w:pPr>
              <w:spacing w:line="240" w:lineRule="auto"/>
              <w:ind w:firstLine="0" w:firstLineChars="0"/>
              <w:jc w:val="center"/>
              <w:rPr>
                <w:rFonts w:cs="Times New Roman"/>
                <w:color w:val="auto"/>
              </w:rPr>
            </w:pPr>
            <w:r>
              <w:rPr>
                <w:rFonts w:cs="Times New Roman"/>
                <w:color w:val="auto"/>
              </w:rPr>
              <w:t>0.11t/a</w:t>
            </w:r>
          </w:p>
        </w:tc>
        <w:tc>
          <w:tcPr>
            <w:tcW w:w="1575" w:type="dxa"/>
            <w:vAlign w:val="center"/>
          </w:tcPr>
          <w:p>
            <w:pPr>
              <w:spacing w:line="240" w:lineRule="auto"/>
              <w:ind w:firstLine="0" w:firstLineChars="0"/>
              <w:jc w:val="center"/>
              <w:rPr>
                <w:rFonts w:cs="Times New Roman"/>
                <w:color w:val="auto"/>
              </w:rPr>
            </w:pPr>
            <w:r>
              <w:rPr>
                <w:rFonts w:cs="Times New Roman"/>
                <w:color w:val="auto"/>
              </w:rPr>
              <w:t>+0.11t/a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73" w:type="dxa"/>
            <w:vMerge w:val="restart"/>
            <w:vAlign w:val="center"/>
          </w:tcPr>
          <w:p>
            <w:pPr>
              <w:spacing w:line="240" w:lineRule="auto"/>
              <w:ind w:firstLine="0" w:firstLineChars="0"/>
              <w:jc w:val="center"/>
              <w:rPr>
                <w:rFonts w:cs="Times New Roman"/>
                <w:color w:val="auto"/>
              </w:rPr>
            </w:pPr>
            <w:r>
              <w:rPr>
                <w:rFonts w:cs="Times New Roman"/>
                <w:color w:val="auto"/>
              </w:rPr>
              <w:t>一般工业固体废物</w:t>
            </w:r>
          </w:p>
        </w:tc>
        <w:tc>
          <w:tcPr>
            <w:tcW w:w="1575" w:type="dxa"/>
            <w:vAlign w:val="center"/>
          </w:tcPr>
          <w:p>
            <w:pPr>
              <w:widowControl/>
              <w:spacing w:line="240" w:lineRule="auto"/>
              <w:ind w:firstLine="0" w:firstLineChars="0"/>
              <w:jc w:val="center"/>
              <w:textAlignment w:val="center"/>
              <w:rPr>
                <w:rFonts w:cs="Times New Roman"/>
                <w:color w:val="auto"/>
              </w:rPr>
            </w:pPr>
            <w:r>
              <w:rPr>
                <w:rFonts w:cs="Times New Roman"/>
                <w:color w:val="auto"/>
              </w:rPr>
              <w:t>原料的废外包装袋</w:t>
            </w:r>
          </w:p>
        </w:tc>
        <w:tc>
          <w:tcPr>
            <w:tcW w:w="1575" w:type="dxa"/>
            <w:vAlign w:val="center"/>
          </w:tcPr>
          <w:p>
            <w:pPr>
              <w:widowControl/>
              <w:spacing w:line="240" w:lineRule="auto"/>
              <w:ind w:firstLine="0" w:firstLineChars="0"/>
              <w:jc w:val="center"/>
              <w:textAlignment w:val="center"/>
              <w:rPr>
                <w:rFonts w:cs="Times New Roman"/>
                <w:color w:val="auto"/>
              </w:rPr>
            </w:pPr>
          </w:p>
        </w:tc>
        <w:tc>
          <w:tcPr>
            <w:tcW w:w="1575" w:type="dxa"/>
            <w:vAlign w:val="center"/>
          </w:tcPr>
          <w:p>
            <w:pPr>
              <w:spacing w:line="240" w:lineRule="auto"/>
              <w:ind w:firstLine="0" w:firstLineChars="0"/>
              <w:jc w:val="center"/>
              <w:rPr>
                <w:rFonts w:cs="Times New Roman"/>
                <w:color w:val="auto"/>
              </w:rPr>
            </w:pPr>
            <w:r>
              <w:rPr>
                <w:rFonts w:cs="Times New Roman"/>
                <w:color w:val="auto"/>
              </w:rPr>
              <w:t>/</w:t>
            </w:r>
          </w:p>
        </w:tc>
        <w:tc>
          <w:tcPr>
            <w:tcW w:w="1575" w:type="dxa"/>
            <w:vAlign w:val="center"/>
          </w:tcPr>
          <w:p>
            <w:pPr>
              <w:spacing w:line="240" w:lineRule="auto"/>
              <w:ind w:firstLine="0" w:firstLineChars="0"/>
              <w:jc w:val="center"/>
              <w:rPr>
                <w:rFonts w:cs="Times New Roman"/>
                <w:color w:val="auto"/>
              </w:rPr>
            </w:pPr>
            <w:r>
              <w:rPr>
                <w:rFonts w:cs="Times New Roman"/>
                <w:color w:val="auto"/>
              </w:rPr>
              <w:t>/</w:t>
            </w:r>
          </w:p>
        </w:tc>
        <w:tc>
          <w:tcPr>
            <w:tcW w:w="1575" w:type="dxa"/>
            <w:vAlign w:val="center"/>
          </w:tcPr>
          <w:p>
            <w:pPr>
              <w:spacing w:line="240" w:lineRule="auto"/>
              <w:ind w:firstLine="0" w:firstLineChars="0"/>
              <w:jc w:val="center"/>
              <w:rPr>
                <w:rFonts w:cs="Times New Roman"/>
                <w:color w:val="auto"/>
              </w:rPr>
            </w:pPr>
            <w:r>
              <w:rPr>
                <w:rFonts w:cs="Times New Roman"/>
                <w:color w:val="auto"/>
              </w:rPr>
              <w:t>1.7t/a</w:t>
            </w:r>
          </w:p>
        </w:tc>
        <w:tc>
          <w:tcPr>
            <w:tcW w:w="1575" w:type="dxa"/>
            <w:vAlign w:val="center"/>
          </w:tcPr>
          <w:p>
            <w:pPr>
              <w:spacing w:line="240" w:lineRule="auto"/>
              <w:ind w:firstLine="0" w:firstLineChars="0"/>
              <w:jc w:val="center"/>
              <w:rPr>
                <w:rFonts w:cs="Times New Roman"/>
                <w:color w:val="auto"/>
              </w:rPr>
            </w:pPr>
            <w:r>
              <w:rPr>
                <w:rFonts w:cs="Times New Roman"/>
                <w:color w:val="auto"/>
              </w:rPr>
              <w:t>/</w:t>
            </w:r>
          </w:p>
        </w:tc>
        <w:tc>
          <w:tcPr>
            <w:tcW w:w="1575" w:type="dxa"/>
            <w:vAlign w:val="center"/>
          </w:tcPr>
          <w:p>
            <w:pPr>
              <w:widowControl/>
              <w:spacing w:line="240" w:lineRule="auto"/>
              <w:ind w:firstLine="0" w:firstLineChars="0"/>
              <w:jc w:val="center"/>
              <w:textAlignment w:val="center"/>
              <w:rPr>
                <w:rFonts w:cs="Times New Roman"/>
                <w:color w:val="auto"/>
              </w:rPr>
            </w:pPr>
            <w:r>
              <w:rPr>
                <w:rFonts w:cs="Times New Roman"/>
                <w:color w:val="auto"/>
              </w:rPr>
              <w:t>1.7t/a</w:t>
            </w:r>
          </w:p>
        </w:tc>
        <w:tc>
          <w:tcPr>
            <w:tcW w:w="1575" w:type="dxa"/>
            <w:vAlign w:val="center"/>
          </w:tcPr>
          <w:p>
            <w:pPr>
              <w:spacing w:line="240" w:lineRule="auto"/>
              <w:ind w:firstLine="0" w:firstLineChars="0"/>
              <w:jc w:val="center"/>
              <w:rPr>
                <w:rFonts w:cs="Times New Roman"/>
                <w:color w:val="auto"/>
              </w:rPr>
            </w:pPr>
            <w:r>
              <w:rPr>
                <w:rFonts w:cs="Times New Roman"/>
                <w:color w:val="auto"/>
              </w:rPr>
              <w:t>+1.7t/a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73" w:type="dxa"/>
            <w:vMerge w:val="continue"/>
            <w:vAlign w:val="center"/>
          </w:tcPr>
          <w:p>
            <w:pPr>
              <w:spacing w:line="240" w:lineRule="auto"/>
              <w:ind w:firstLine="0" w:firstLineChars="0"/>
              <w:jc w:val="center"/>
              <w:rPr>
                <w:rFonts w:cs="Times New Roman"/>
                <w:color w:val="auto"/>
              </w:rPr>
            </w:pPr>
          </w:p>
        </w:tc>
        <w:tc>
          <w:tcPr>
            <w:tcW w:w="1575" w:type="dxa"/>
            <w:vAlign w:val="center"/>
          </w:tcPr>
          <w:p>
            <w:pPr>
              <w:widowControl/>
              <w:spacing w:line="240" w:lineRule="auto"/>
              <w:ind w:firstLine="0" w:firstLineChars="0"/>
              <w:jc w:val="center"/>
              <w:textAlignment w:val="center"/>
              <w:rPr>
                <w:rFonts w:cs="Times New Roman"/>
                <w:color w:val="auto"/>
              </w:rPr>
            </w:pPr>
            <w:r>
              <w:rPr>
                <w:rFonts w:cs="Times New Roman"/>
                <w:color w:val="auto"/>
              </w:rPr>
              <w:t>布袋除尘灰</w:t>
            </w:r>
          </w:p>
        </w:tc>
        <w:tc>
          <w:tcPr>
            <w:tcW w:w="1575" w:type="dxa"/>
            <w:vAlign w:val="center"/>
          </w:tcPr>
          <w:p>
            <w:pPr>
              <w:widowControl/>
              <w:spacing w:line="240" w:lineRule="auto"/>
              <w:ind w:firstLine="0" w:firstLineChars="0"/>
              <w:jc w:val="center"/>
              <w:textAlignment w:val="center"/>
              <w:rPr>
                <w:rFonts w:cs="Times New Roman"/>
                <w:color w:val="auto"/>
              </w:rPr>
            </w:pPr>
          </w:p>
        </w:tc>
        <w:tc>
          <w:tcPr>
            <w:tcW w:w="1575" w:type="dxa"/>
            <w:vAlign w:val="center"/>
          </w:tcPr>
          <w:p>
            <w:pPr>
              <w:spacing w:line="240" w:lineRule="auto"/>
              <w:ind w:firstLine="0" w:firstLineChars="0"/>
              <w:jc w:val="center"/>
              <w:rPr>
                <w:rFonts w:cs="Times New Roman"/>
                <w:color w:val="auto"/>
              </w:rPr>
            </w:pPr>
            <w:r>
              <w:rPr>
                <w:rFonts w:cs="Times New Roman"/>
                <w:color w:val="auto"/>
              </w:rPr>
              <w:t>/</w:t>
            </w:r>
          </w:p>
        </w:tc>
        <w:tc>
          <w:tcPr>
            <w:tcW w:w="1575" w:type="dxa"/>
            <w:vAlign w:val="center"/>
          </w:tcPr>
          <w:p>
            <w:pPr>
              <w:spacing w:line="240" w:lineRule="auto"/>
              <w:ind w:firstLine="0" w:firstLineChars="0"/>
              <w:jc w:val="center"/>
              <w:rPr>
                <w:rFonts w:cs="Times New Roman"/>
                <w:color w:val="auto"/>
              </w:rPr>
            </w:pPr>
            <w:r>
              <w:rPr>
                <w:rFonts w:cs="Times New Roman"/>
                <w:color w:val="auto"/>
              </w:rPr>
              <w:t>/</w:t>
            </w:r>
          </w:p>
        </w:tc>
        <w:tc>
          <w:tcPr>
            <w:tcW w:w="1575" w:type="dxa"/>
            <w:vAlign w:val="center"/>
          </w:tcPr>
          <w:p>
            <w:pPr>
              <w:spacing w:line="240" w:lineRule="auto"/>
              <w:ind w:firstLine="0" w:firstLineChars="0"/>
              <w:jc w:val="center"/>
              <w:rPr>
                <w:rFonts w:cs="Times New Roman"/>
                <w:color w:val="auto"/>
              </w:rPr>
            </w:pPr>
            <w:r>
              <w:rPr>
                <w:rFonts w:cs="Times New Roman"/>
                <w:color w:val="auto"/>
              </w:rPr>
              <w:t>15.66t/a</w:t>
            </w:r>
          </w:p>
        </w:tc>
        <w:tc>
          <w:tcPr>
            <w:tcW w:w="1575" w:type="dxa"/>
            <w:vAlign w:val="center"/>
          </w:tcPr>
          <w:p>
            <w:pPr>
              <w:spacing w:line="240" w:lineRule="auto"/>
              <w:ind w:firstLine="0" w:firstLineChars="0"/>
              <w:jc w:val="center"/>
              <w:rPr>
                <w:rFonts w:cs="Times New Roman"/>
                <w:color w:val="auto"/>
              </w:rPr>
            </w:pPr>
            <w:r>
              <w:rPr>
                <w:rFonts w:cs="Times New Roman"/>
                <w:color w:val="auto"/>
              </w:rPr>
              <w:t>/</w:t>
            </w:r>
          </w:p>
        </w:tc>
        <w:tc>
          <w:tcPr>
            <w:tcW w:w="1575" w:type="dxa"/>
            <w:vAlign w:val="center"/>
          </w:tcPr>
          <w:p>
            <w:pPr>
              <w:widowControl/>
              <w:spacing w:line="240" w:lineRule="auto"/>
              <w:ind w:firstLine="0" w:firstLineChars="0"/>
              <w:jc w:val="center"/>
              <w:textAlignment w:val="center"/>
              <w:rPr>
                <w:rFonts w:cs="Times New Roman"/>
                <w:color w:val="auto"/>
              </w:rPr>
            </w:pPr>
            <w:r>
              <w:rPr>
                <w:rFonts w:cs="Times New Roman"/>
                <w:color w:val="auto"/>
              </w:rPr>
              <w:t>15.66t/a</w:t>
            </w:r>
          </w:p>
        </w:tc>
        <w:tc>
          <w:tcPr>
            <w:tcW w:w="1575" w:type="dxa"/>
            <w:vAlign w:val="center"/>
          </w:tcPr>
          <w:p>
            <w:pPr>
              <w:spacing w:line="240" w:lineRule="auto"/>
              <w:ind w:firstLine="0" w:firstLineChars="0"/>
              <w:jc w:val="center"/>
              <w:rPr>
                <w:rFonts w:cs="Times New Roman"/>
                <w:color w:val="auto"/>
              </w:rPr>
            </w:pPr>
            <w:r>
              <w:rPr>
                <w:rFonts w:cs="Times New Roman"/>
                <w:color w:val="auto"/>
              </w:rPr>
              <w:t>+15.66t/a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73" w:type="dxa"/>
            <w:vMerge w:val="continue"/>
            <w:vAlign w:val="center"/>
          </w:tcPr>
          <w:p>
            <w:pPr>
              <w:spacing w:line="240" w:lineRule="auto"/>
              <w:ind w:firstLine="0" w:firstLineChars="0"/>
              <w:jc w:val="center"/>
              <w:rPr>
                <w:rFonts w:cs="Times New Roman"/>
                <w:color w:val="auto"/>
              </w:rPr>
            </w:pPr>
          </w:p>
        </w:tc>
        <w:tc>
          <w:tcPr>
            <w:tcW w:w="1575" w:type="dxa"/>
            <w:vAlign w:val="center"/>
          </w:tcPr>
          <w:p>
            <w:pPr>
              <w:widowControl/>
              <w:spacing w:line="240" w:lineRule="auto"/>
              <w:ind w:firstLine="0" w:firstLineChars="0"/>
              <w:jc w:val="center"/>
              <w:textAlignment w:val="center"/>
              <w:rPr>
                <w:rFonts w:cs="Times New Roman"/>
                <w:color w:val="auto"/>
              </w:rPr>
            </w:pPr>
            <w:r>
              <w:rPr>
                <w:rFonts w:cs="Times New Roman"/>
                <w:color w:val="auto"/>
              </w:rPr>
              <w:t>生活垃圾</w:t>
            </w:r>
          </w:p>
        </w:tc>
        <w:tc>
          <w:tcPr>
            <w:tcW w:w="1575" w:type="dxa"/>
            <w:vAlign w:val="center"/>
          </w:tcPr>
          <w:p>
            <w:pPr>
              <w:widowControl/>
              <w:spacing w:line="240" w:lineRule="auto"/>
              <w:ind w:firstLine="0" w:firstLineChars="0"/>
              <w:jc w:val="center"/>
              <w:textAlignment w:val="center"/>
              <w:rPr>
                <w:rFonts w:cs="Times New Roman"/>
                <w:color w:val="auto"/>
              </w:rPr>
            </w:pPr>
          </w:p>
        </w:tc>
        <w:tc>
          <w:tcPr>
            <w:tcW w:w="1575" w:type="dxa"/>
            <w:vAlign w:val="center"/>
          </w:tcPr>
          <w:p>
            <w:pPr>
              <w:spacing w:line="240" w:lineRule="auto"/>
              <w:ind w:firstLine="0" w:firstLineChars="0"/>
              <w:jc w:val="center"/>
              <w:rPr>
                <w:rFonts w:cs="Times New Roman"/>
                <w:color w:val="auto"/>
              </w:rPr>
            </w:pPr>
            <w:r>
              <w:rPr>
                <w:rFonts w:cs="Times New Roman"/>
                <w:color w:val="auto"/>
              </w:rPr>
              <w:t>/</w:t>
            </w:r>
          </w:p>
        </w:tc>
        <w:tc>
          <w:tcPr>
            <w:tcW w:w="1575" w:type="dxa"/>
            <w:vAlign w:val="center"/>
          </w:tcPr>
          <w:p>
            <w:pPr>
              <w:spacing w:line="240" w:lineRule="auto"/>
              <w:ind w:firstLine="0" w:firstLineChars="0"/>
              <w:jc w:val="center"/>
              <w:rPr>
                <w:rFonts w:cs="Times New Roman"/>
                <w:color w:val="auto"/>
              </w:rPr>
            </w:pPr>
            <w:r>
              <w:rPr>
                <w:rFonts w:cs="Times New Roman"/>
                <w:color w:val="auto"/>
              </w:rPr>
              <w:t>/</w:t>
            </w:r>
          </w:p>
        </w:tc>
        <w:tc>
          <w:tcPr>
            <w:tcW w:w="1575" w:type="dxa"/>
            <w:vAlign w:val="center"/>
          </w:tcPr>
          <w:p>
            <w:pPr>
              <w:spacing w:line="240" w:lineRule="auto"/>
              <w:ind w:firstLine="0" w:firstLineChars="0"/>
              <w:jc w:val="center"/>
              <w:rPr>
                <w:rFonts w:cs="Times New Roman"/>
                <w:color w:val="auto"/>
              </w:rPr>
            </w:pPr>
            <w:r>
              <w:rPr>
                <w:rFonts w:cs="Times New Roman"/>
                <w:color w:val="auto"/>
              </w:rPr>
              <w:t>12t/a</w:t>
            </w:r>
          </w:p>
        </w:tc>
        <w:tc>
          <w:tcPr>
            <w:tcW w:w="1575" w:type="dxa"/>
            <w:vAlign w:val="center"/>
          </w:tcPr>
          <w:p>
            <w:pPr>
              <w:spacing w:line="240" w:lineRule="auto"/>
              <w:ind w:firstLine="0" w:firstLineChars="0"/>
              <w:jc w:val="center"/>
              <w:rPr>
                <w:rFonts w:cs="Times New Roman"/>
                <w:color w:val="auto"/>
              </w:rPr>
            </w:pPr>
            <w:r>
              <w:rPr>
                <w:rFonts w:cs="Times New Roman"/>
                <w:color w:val="auto"/>
              </w:rPr>
              <w:t>/</w:t>
            </w:r>
          </w:p>
        </w:tc>
        <w:tc>
          <w:tcPr>
            <w:tcW w:w="1575" w:type="dxa"/>
            <w:vAlign w:val="center"/>
          </w:tcPr>
          <w:p>
            <w:pPr>
              <w:widowControl/>
              <w:spacing w:line="240" w:lineRule="auto"/>
              <w:ind w:firstLine="0" w:firstLineChars="0"/>
              <w:jc w:val="center"/>
              <w:textAlignment w:val="center"/>
              <w:rPr>
                <w:rFonts w:cs="Times New Roman"/>
                <w:color w:val="auto"/>
              </w:rPr>
            </w:pPr>
            <w:r>
              <w:rPr>
                <w:rFonts w:cs="Times New Roman"/>
                <w:color w:val="auto"/>
              </w:rPr>
              <w:t>12t/a</w:t>
            </w:r>
          </w:p>
        </w:tc>
        <w:tc>
          <w:tcPr>
            <w:tcW w:w="1575" w:type="dxa"/>
            <w:vAlign w:val="center"/>
          </w:tcPr>
          <w:p>
            <w:pPr>
              <w:spacing w:line="240" w:lineRule="auto"/>
              <w:ind w:firstLine="0" w:firstLineChars="0"/>
              <w:jc w:val="center"/>
              <w:rPr>
                <w:rFonts w:cs="Times New Roman"/>
                <w:color w:val="auto"/>
              </w:rPr>
            </w:pPr>
            <w:r>
              <w:rPr>
                <w:rFonts w:cs="Times New Roman"/>
                <w:color w:val="auto"/>
              </w:rPr>
              <w:t>+12t/a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73" w:type="dxa"/>
            <w:vMerge w:val="continue"/>
            <w:vAlign w:val="center"/>
          </w:tcPr>
          <w:p>
            <w:pPr>
              <w:spacing w:line="240" w:lineRule="auto"/>
              <w:ind w:firstLine="0" w:firstLineChars="0"/>
              <w:jc w:val="center"/>
              <w:rPr>
                <w:rFonts w:cs="Times New Roman"/>
                <w:color w:val="auto"/>
              </w:rPr>
            </w:pPr>
          </w:p>
        </w:tc>
        <w:tc>
          <w:tcPr>
            <w:tcW w:w="1575" w:type="dxa"/>
            <w:vAlign w:val="center"/>
          </w:tcPr>
          <w:p>
            <w:pPr>
              <w:widowControl/>
              <w:spacing w:line="240" w:lineRule="auto"/>
              <w:ind w:firstLine="0" w:firstLineChars="0"/>
              <w:jc w:val="center"/>
              <w:textAlignment w:val="center"/>
              <w:rPr>
                <w:rFonts w:cs="Times New Roman"/>
                <w:color w:val="auto"/>
              </w:rPr>
            </w:pPr>
            <w:r>
              <w:rPr>
                <w:rFonts w:cs="Times New Roman"/>
                <w:color w:val="auto"/>
              </w:rPr>
              <w:t>废离子交换树脂</w:t>
            </w:r>
          </w:p>
        </w:tc>
        <w:tc>
          <w:tcPr>
            <w:tcW w:w="1575" w:type="dxa"/>
            <w:vAlign w:val="center"/>
          </w:tcPr>
          <w:p>
            <w:pPr>
              <w:widowControl/>
              <w:spacing w:line="240" w:lineRule="auto"/>
              <w:ind w:firstLine="0" w:firstLineChars="0"/>
              <w:jc w:val="center"/>
              <w:textAlignment w:val="center"/>
              <w:rPr>
                <w:rFonts w:cs="Times New Roman"/>
                <w:color w:val="auto"/>
              </w:rPr>
            </w:pPr>
          </w:p>
        </w:tc>
        <w:tc>
          <w:tcPr>
            <w:tcW w:w="1575" w:type="dxa"/>
            <w:vAlign w:val="center"/>
          </w:tcPr>
          <w:p>
            <w:pPr>
              <w:spacing w:line="240" w:lineRule="auto"/>
              <w:ind w:firstLine="0" w:firstLineChars="0"/>
              <w:jc w:val="center"/>
              <w:rPr>
                <w:rFonts w:cs="Times New Roman"/>
                <w:color w:val="auto"/>
              </w:rPr>
            </w:pPr>
            <w:r>
              <w:rPr>
                <w:rFonts w:cs="Times New Roman"/>
                <w:color w:val="auto"/>
              </w:rPr>
              <w:t>/</w:t>
            </w:r>
          </w:p>
        </w:tc>
        <w:tc>
          <w:tcPr>
            <w:tcW w:w="1575" w:type="dxa"/>
            <w:vAlign w:val="center"/>
          </w:tcPr>
          <w:p>
            <w:pPr>
              <w:spacing w:line="240" w:lineRule="auto"/>
              <w:ind w:firstLine="0" w:firstLineChars="0"/>
              <w:jc w:val="center"/>
              <w:rPr>
                <w:rFonts w:cs="Times New Roman"/>
                <w:color w:val="auto"/>
              </w:rPr>
            </w:pPr>
            <w:r>
              <w:rPr>
                <w:rFonts w:cs="Times New Roman"/>
                <w:color w:val="auto"/>
              </w:rPr>
              <w:t>/</w:t>
            </w:r>
          </w:p>
        </w:tc>
        <w:tc>
          <w:tcPr>
            <w:tcW w:w="1575" w:type="dxa"/>
            <w:vAlign w:val="center"/>
          </w:tcPr>
          <w:p>
            <w:pPr>
              <w:spacing w:line="240" w:lineRule="auto"/>
              <w:ind w:firstLine="0" w:firstLineChars="0"/>
              <w:jc w:val="center"/>
              <w:rPr>
                <w:rFonts w:cs="Times New Roman"/>
                <w:color w:val="auto"/>
              </w:rPr>
            </w:pPr>
            <w:r>
              <w:rPr>
                <w:rFonts w:cs="Times New Roman"/>
                <w:color w:val="auto"/>
              </w:rPr>
              <w:t>0.5t/a</w:t>
            </w:r>
          </w:p>
        </w:tc>
        <w:tc>
          <w:tcPr>
            <w:tcW w:w="1575" w:type="dxa"/>
            <w:vAlign w:val="center"/>
          </w:tcPr>
          <w:p>
            <w:pPr>
              <w:spacing w:line="240" w:lineRule="auto"/>
              <w:ind w:firstLine="0" w:firstLineChars="0"/>
              <w:jc w:val="center"/>
              <w:rPr>
                <w:rFonts w:cs="Times New Roman"/>
                <w:color w:val="auto"/>
              </w:rPr>
            </w:pPr>
            <w:r>
              <w:rPr>
                <w:rFonts w:cs="Times New Roman"/>
                <w:color w:val="auto"/>
              </w:rPr>
              <w:t>/</w:t>
            </w:r>
          </w:p>
        </w:tc>
        <w:tc>
          <w:tcPr>
            <w:tcW w:w="1575" w:type="dxa"/>
            <w:vAlign w:val="center"/>
          </w:tcPr>
          <w:p>
            <w:pPr>
              <w:widowControl/>
              <w:spacing w:line="240" w:lineRule="auto"/>
              <w:ind w:firstLine="0" w:firstLineChars="0"/>
              <w:jc w:val="center"/>
              <w:textAlignment w:val="center"/>
              <w:rPr>
                <w:rFonts w:cs="Times New Roman"/>
                <w:color w:val="auto"/>
              </w:rPr>
            </w:pPr>
            <w:r>
              <w:rPr>
                <w:rFonts w:cs="Times New Roman"/>
                <w:color w:val="auto"/>
              </w:rPr>
              <w:t>0.5t/a</w:t>
            </w:r>
          </w:p>
        </w:tc>
        <w:tc>
          <w:tcPr>
            <w:tcW w:w="1575" w:type="dxa"/>
            <w:vAlign w:val="center"/>
          </w:tcPr>
          <w:p>
            <w:pPr>
              <w:spacing w:line="240" w:lineRule="auto"/>
              <w:ind w:firstLine="0" w:firstLineChars="0"/>
              <w:jc w:val="center"/>
              <w:rPr>
                <w:rFonts w:cs="Times New Roman"/>
                <w:color w:val="auto"/>
              </w:rPr>
            </w:pPr>
            <w:r>
              <w:rPr>
                <w:rFonts w:cs="Times New Roman"/>
                <w:color w:val="auto"/>
              </w:rPr>
              <w:t>+0.5t/a</w:t>
            </w:r>
          </w:p>
        </w:tc>
      </w:tr>
    </w:tbl>
    <w:p>
      <w:pPr>
        <w:ind w:firstLine="560"/>
        <w:rPr>
          <w:rFonts w:cs="Times New Roman"/>
          <w:color w:val="auto"/>
          <w:sz w:val="28"/>
          <w:szCs w:val="28"/>
        </w:rPr>
      </w:pPr>
    </w:p>
    <w:p>
      <w:pPr>
        <w:ind w:firstLine="480"/>
        <w:rPr>
          <w:rFonts w:hint="eastAsia" w:cs="Times New Roman"/>
          <w:color w:val="auto"/>
          <w:lang w:eastAsia="zh-CN"/>
        </w:rPr>
      </w:pPr>
    </w:p>
    <w:p>
      <w:pPr>
        <w:ind w:firstLine="480"/>
        <w:rPr>
          <w:rFonts w:hint="eastAsia" w:cs="Times New Roman"/>
          <w:color w:val="auto"/>
          <w:lang w:eastAsia="zh-CN"/>
        </w:rPr>
      </w:pPr>
    </w:p>
    <w:p>
      <w:pPr>
        <w:pStyle w:val="3"/>
        <w:rPr>
          <w:rFonts w:hint="eastAsia"/>
          <w:color w:val="auto"/>
        </w:rPr>
      </w:pPr>
      <w:r>
        <w:rPr>
          <w:rFonts w:hint="eastAsia"/>
          <w:color w:val="auto"/>
        </w:rPr>
        <w:t>附图1：本项目地理位置图</w:t>
      </w:r>
    </w:p>
    <w:p>
      <w:pPr>
        <w:pStyle w:val="3"/>
        <w:jc w:val="center"/>
        <w:rPr>
          <w:rFonts w:hint="eastAsia"/>
          <w:color w:val="auto"/>
        </w:rPr>
        <w:sectPr>
          <w:headerReference r:id="rId14" w:type="first"/>
          <w:footerReference r:id="rId17" w:type="first"/>
          <w:headerReference r:id="rId12" w:type="default"/>
          <w:footerReference r:id="rId15" w:type="default"/>
          <w:headerReference r:id="rId13" w:type="even"/>
          <w:footerReference r:id="rId16" w:type="even"/>
          <w:pgSz w:w="16838" w:h="11906" w:orient="landscape"/>
          <w:pgMar w:top="1134" w:right="1440" w:bottom="1134" w:left="1440" w:header="851" w:footer="992" w:gutter="0"/>
          <w:cols w:space="720" w:num="1"/>
          <w:docGrid w:type="lines" w:linePitch="312" w:charSpace="0"/>
        </w:sectPr>
      </w:pPr>
      <w:r>
        <w:rPr>
          <w:color w:val="auto"/>
        </w:rPr>
        <mc:AlternateContent>
          <mc:Choice Requires="wps">
            <w:drawing>
              <wp:anchor distT="0" distB="0" distL="114300" distR="114300" simplePos="0" relativeHeight="251666432" behindDoc="0" locked="0" layoutInCell="1" allowOverlap="1">
                <wp:simplePos x="0" y="0"/>
                <wp:positionH relativeFrom="column">
                  <wp:posOffset>4059555</wp:posOffset>
                </wp:positionH>
                <wp:positionV relativeFrom="paragraph">
                  <wp:posOffset>1146810</wp:posOffset>
                </wp:positionV>
                <wp:extent cx="1074420" cy="358775"/>
                <wp:effectExtent l="5080" t="5080" r="6350" b="360045"/>
                <wp:wrapNone/>
                <wp:docPr id="14" name="圆角矩形标注 14"/>
                <wp:cNvGraphicFramePr/>
                <a:graphic xmlns:a="http://schemas.openxmlformats.org/drawingml/2006/main">
                  <a:graphicData uri="http://schemas.microsoft.com/office/word/2010/wordprocessingShape">
                    <wps:wsp>
                      <wps:cNvSpPr/>
                      <wps:spPr>
                        <a:xfrm>
                          <a:off x="0" y="0"/>
                          <a:ext cx="1074420" cy="358775"/>
                        </a:xfrm>
                        <a:prstGeom prst="wedgeRoundRectCallout">
                          <a:avLst>
                            <a:gd name="adj1" fmla="val -47044"/>
                            <a:gd name="adj2" fmla="val 142920"/>
                            <a:gd name="adj3" fmla="val 16667"/>
                          </a:avLst>
                        </a:prstGeom>
                        <a:solidFill>
                          <a:srgbClr val="FFFFFF"/>
                        </a:solidFill>
                        <a:ln w="9525" cap="flat" cmpd="sng">
                          <a:solidFill>
                            <a:srgbClr val="FF0000"/>
                          </a:solidFill>
                          <a:prstDash val="solid"/>
                          <a:miter/>
                          <a:headEnd type="none" w="med" len="med"/>
                          <a:tailEnd type="none" w="med" len="med"/>
                        </a:ln>
                      </wps:spPr>
                      <wps:txbx>
                        <w:txbxContent>
                          <w:p>
                            <w:pPr>
                              <w:ind w:firstLine="0" w:firstLineChars="0"/>
                              <w:jc w:val="center"/>
                              <w:rPr>
                                <w:b/>
                                <w:bCs/>
                                <w:sz w:val="21"/>
                                <w:szCs w:val="21"/>
                              </w:rPr>
                            </w:pPr>
                            <w:r>
                              <w:rPr>
                                <w:rFonts w:hint="eastAsia"/>
                                <w:b/>
                                <w:bCs/>
                                <w:sz w:val="21"/>
                                <w:szCs w:val="21"/>
                              </w:rPr>
                              <w:t>本项目位置</w:t>
                            </w:r>
                          </w:p>
                        </w:txbxContent>
                      </wps:txbx>
                      <wps:bodyPr upright="1"/>
                    </wps:wsp>
                  </a:graphicData>
                </a:graphic>
              </wp:anchor>
            </w:drawing>
          </mc:Choice>
          <mc:Fallback>
            <w:pict>
              <v:shape id="_x0000_s1026" o:spid="_x0000_s1026" o:spt="62" type="#_x0000_t62" style="position:absolute;left:0pt;margin-left:319.65pt;margin-top:90.3pt;height:28.25pt;width:84.6pt;z-index:251666432;mso-width-relative:page;mso-height-relative:page;" fillcolor="#FFFFFF" filled="t" stroked="t" coordsize="21600,21600" o:gfxdata="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sSylktoA&#10;AAALAQAADwAAAAAAAAABACAAAAAiAAAAZHJzL2Rvd25yZXYueG1sUEsBAhQAFAAAAAgAh07iQLtV&#10;yiVWAgAAvwQAAA4AAAAAAAAAAQAgAAAAKQEAAGRycy9lMm9Eb2MueG1sUEsFBgAAAAAGAAYAWQEA&#10;APEFAAAAAA==&#10;" adj="638,41671,14400">
                <v:fill on="t" focussize="0,0"/>
                <v:stroke color="#FF0000" joinstyle="miter"/>
                <v:imagedata o:title=""/>
                <o:lock v:ext="edit" aspectratio="f"/>
                <v:textbox>
                  <w:txbxContent>
                    <w:p>
                      <w:pPr>
                        <w:ind w:firstLine="0" w:firstLineChars="0"/>
                        <w:jc w:val="center"/>
                        <w:rPr>
                          <w:b/>
                          <w:bCs/>
                          <w:sz w:val="21"/>
                          <w:szCs w:val="21"/>
                        </w:rPr>
                      </w:pPr>
                      <w:r>
                        <w:rPr>
                          <w:rFonts w:hint="eastAsia"/>
                          <w:b/>
                          <w:bCs/>
                          <w:sz w:val="21"/>
                          <w:szCs w:val="21"/>
                        </w:rPr>
                        <w:t>本项目位置</w:t>
                      </w:r>
                    </w:p>
                  </w:txbxContent>
                </v:textbox>
              </v:shape>
            </w:pict>
          </mc:Fallback>
        </mc:AlternateContent>
      </w:r>
      <w:r>
        <w:rPr>
          <w:color w:val="auto"/>
        </w:rPr>
        <w:drawing>
          <wp:inline distT="0" distB="0" distL="114300" distR="114300">
            <wp:extent cx="7170420" cy="4373880"/>
            <wp:effectExtent l="0" t="0" r="11430" b="7620"/>
            <wp:docPr id="1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8"/>
                    <pic:cNvPicPr>
                      <a:picLocks noChangeAspect="1"/>
                    </pic:cNvPicPr>
                  </pic:nvPicPr>
                  <pic:blipFill>
                    <a:blip r:embed="rId47"/>
                    <a:stretch>
                      <a:fillRect/>
                    </a:stretch>
                  </pic:blipFill>
                  <pic:spPr>
                    <a:xfrm>
                      <a:off x="0" y="0"/>
                      <a:ext cx="7170420" cy="4373880"/>
                    </a:xfrm>
                    <a:prstGeom prst="rect">
                      <a:avLst/>
                    </a:prstGeom>
                    <a:noFill/>
                    <a:ln>
                      <a:noFill/>
                    </a:ln>
                  </pic:spPr>
                </pic:pic>
              </a:graphicData>
            </a:graphic>
          </wp:inline>
        </w:drawing>
      </w:r>
    </w:p>
    <w:p>
      <w:pPr>
        <w:pStyle w:val="3"/>
        <w:rPr>
          <w:rFonts w:hint="eastAsia"/>
          <w:color w:val="auto"/>
        </w:rPr>
      </w:pPr>
      <w:r>
        <w:rPr>
          <w:rFonts w:hint="eastAsia"/>
          <w:color w:val="auto"/>
        </w:rPr>
        <w:t>附图2：本项目在园区位置图</w:t>
      </w:r>
    </w:p>
    <w:p>
      <w:pPr>
        <w:ind w:firstLine="480"/>
        <w:jc w:val="center"/>
        <w:rPr>
          <w:color w:val="auto"/>
        </w:rPr>
      </w:pPr>
      <w:r>
        <w:rPr>
          <w:color w:val="auto"/>
          <w:sz w:val="21"/>
        </w:rPr>
        <mc:AlternateContent>
          <mc:Choice Requires="wps">
            <w:drawing>
              <wp:anchor distT="0" distB="0" distL="114300" distR="114300" simplePos="0" relativeHeight="251667456" behindDoc="0" locked="0" layoutInCell="1" allowOverlap="1">
                <wp:simplePos x="0" y="0"/>
                <wp:positionH relativeFrom="column">
                  <wp:posOffset>3316605</wp:posOffset>
                </wp:positionH>
                <wp:positionV relativeFrom="paragraph">
                  <wp:posOffset>2192655</wp:posOffset>
                </wp:positionV>
                <wp:extent cx="71755" cy="71755"/>
                <wp:effectExtent l="13970" t="13970" r="28575" b="28575"/>
                <wp:wrapNone/>
                <wp:docPr id="32" name="矩形 32"/>
                <wp:cNvGraphicFramePr/>
                <a:graphic xmlns:a="http://schemas.openxmlformats.org/drawingml/2006/main">
                  <a:graphicData uri="http://schemas.microsoft.com/office/word/2010/wordprocessingShape">
                    <wps:wsp>
                      <wps:cNvSpPr/>
                      <wps:spPr>
                        <a:xfrm>
                          <a:off x="4359910" y="3389630"/>
                          <a:ext cx="71755" cy="71755"/>
                        </a:xfrm>
                        <a:prstGeom prst="rect">
                          <a:avLst/>
                        </a:prstGeom>
                        <a:solidFill>
                          <a:srgbClr val="000000"/>
                        </a:solidFill>
                        <a:ln w="28575" cap="flat" cmpd="sng" algn="ctr">
                          <a:solidFill>
                            <a:srgbClr val="FF0000"/>
                          </a:solidFill>
                          <a:prstDash val="solid"/>
                        </a:ln>
                        <a:effectLst/>
                      </wps:spPr>
                      <wps:txbx>
                        <w:txbxContent>
                          <w:p>
                            <w:pPr>
                              <w:ind w:firstLine="480"/>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1.15pt;margin-top:172.65pt;height:5.65pt;width:5.65pt;z-index:251667456;v-text-anchor:middle;mso-width-relative:page;mso-height-relative:page;" fillcolor="#000000" filled="t" stroked="t" coordsize="21600,21600" o:gfxdata="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CBZvSI2gAAAAsBAAAPAAAAAAAAAAEAIAAAACIA&#10;AABkcnMvZG93bnJldi54bWxQSwECFAAUAAAACACHTuJAnGl6ankCAAABBQAADgAAAAAAAAABACAA&#10;AAApAQAAZHJzL2Uyb0RvYy54bWxQSwUGAAAAAAYABgBZAQAAFAYAAAAA&#10;">
                <v:fill on="t" focussize="0,0"/>
                <v:stroke weight="2.25pt" color="#FF0000" joinstyle="round"/>
                <v:imagedata o:title=""/>
                <o:lock v:ext="edit" aspectratio="f"/>
                <v:textbox>
                  <w:txbxContent>
                    <w:p>
                      <w:pPr>
                        <w:ind w:firstLine="480"/>
                        <w:jc w:val="center"/>
                      </w:pPr>
                    </w:p>
                  </w:txbxContent>
                </v:textbox>
              </v:rect>
            </w:pict>
          </mc:Fallback>
        </mc:AlternateContent>
      </w:r>
      <w:r>
        <w:rPr>
          <w:color w:val="auto"/>
        </w:rPr>
        <mc:AlternateContent>
          <mc:Choice Requires="wps">
            <w:drawing>
              <wp:anchor distT="0" distB="0" distL="114300" distR="114300" simplePos="0" relativeHeight="251668480" behindDoc="0" locked="0" layoutInCell="1" allowOverlap="1">
                <wp:simplePos x="0" y="0"/>
                <wp:positionH relativeFrom="column">
                  <wp:posOffset>3342640</wp:posOffset>
                </wp:positionH>
                <wp:positionV relativeFrom="paragraph">
                  <wp:posOffset>1726565</wp:posOffset>
                </wp:positionV>
                <wp:extent cx="1074420" cy="358775"/>
                <wp:effectExtent l="5080" t="5080" r="6350" b="93345"/>
                <wp:wrapNone/>
                <wp:docPr id="29" name="圆角矩形标注 29"/>
                <wp:cNvGraphicFramePr/>
                <a:graphic xmlns:a="http://schemas.openxmlformats.org/drawingml/2006/main">
                  <a:graphicData uri="http://schemas.microsoft.com/office/word/2010/wordprocessingShape">
                    <wps:wsp>
                      <wps:cNvSpPr/>
                      <wps:spPr>
                        <a:xfrm>
                          <a:off x="0" y="0"/>
                          <a:ext cx="1074420" cy="358775"/>
                        </a:xfrm>
                        <a:prstGeom prst="wedgeRoundRectCallout">
                          <a:avLst>
                            <a:gd name="adj1" fmla="val -43750"/>
                            <a:gd name="adj2" fmla="val 70000"/>
                            <a:gd name="adj3" fmla="val 16667"/>
                          </a:avLst>
                        </a:prstGeom>
                        <a:solidFill>
                          <a:srgbClr val="FFFFFF"/>
                        </a:solidFill>
                        <a:ln w="9525" cap="flat" cmpd="sng">
                          <a:solidFill>
                            <a:srgbClr val="FF0000"/>
                          </a:solidFill>
                          <a:prstDash val="solid"/>
                          <a:miter/>
                          <a:headEnd type="none" w="med" len="med"/>
                          <a:tailEnd type="none" w="med" len="med"/>
                        </a:ln>
                      </wps:spPr>
                      <wps:txbx>
                        <w:txbxContent>
                          <w:p>
                            <w:pPr>
                              <w:ind w:firstLine="0" w:firstLineChars="0"/>
                              <w:jc w:val="center"/>
                              <w:rPr>
                                <w:b/>
                                <w:bCs/>
                                <w:sz w:val="21"/>
                                <w:szCs w:val="21"/>
                              </w:rPr>
                            </w:pPr>
                            <w:r>
                              <w:rPr>
                                <w:rFonts w:hint="eastAsia"/>
                                <w:b/>
                                <w:bCs/>
                                <w:sz w:val="21"/>
                                <w:szCs w:val="21"/>
                              </w:rPr>
                              <w:t>本项目位置</w:t>
                            </w:r>
                          </w:p>
                        </w:txbxContent>
                      </wps:txbx>
                      <wps:bodyPr upright="1"/>
                    </wps:wsp>
                  </a:graphicData>
                </a:graphic>
              </wp:anchor>
            </w:drawing>
          </mc:Choice>
          <mc:Fallback>
            <w:pict>
              <v:shape id="_x0000_s1026" o:spid="_x0000_s1026" o:spt="62" type="#_x0000_t62" style="position:absolute;left:0pt;margin-left:263.2pt;margin-top:135.95pt;height:28.25pt;width:84.6pt;z-index:251668480;mso-width-relative:page;mso-height-relative:page;" fillcolor="#FFFFFF" filled="t" stroked="t" coordsize="21600,21600" o:gfxdata="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0nbsLNwA&#10;AAALAQAADwAAAAAAAAABACAAAAAiAAAAZHJzL2Rvd25yZXYueG1sUEsBAhQAFAAAAAgAh07iQMBy&#10;Kp1UAgAAvgQAAA4AAAAAAAAAAQAgAAAAKwEAAGRycy9lMm9Eb2MueG1sUEsFBgAAAAAGAAYAWQEA&#10;APEFAAAAAA==&#10;" adj="1350,25920,14400">
                <v:fill on="t" focussize="0,0"/>
                <v:stroke color="#FF0000" joinstyle="miter"/>
                <v:imagedata o:title=""/>
                <o:lock v:ext="edit" aspectratio="f"/>
                <v:textbox>
                  <w:txbxContent>
                    <w:p>
                      <w:pPr>
                        <w:ind w:firstLine="0" w:firstLineChars="0"/>
                        <w:jc w:val="center"/>
                        <w:rPr>
                          <w:b/>
                          <w:bCs/>
                          <w:sz w:val="21"/>
                          <w:szCs w:val="21"/>
                        </w:rPr>
                      </w:pPr>
                      <w:r>
                        <w:rPr>
                          <w:rFonts w:hint="eastAsia"/>
                          <w:b/>
                          <w:bCs/>
                          <w:sz w:val="21"/>
                          <w:szCs w:val="21"/>
                        </w:rPr>
                        <w:t>本项目位置</w:t>
                      </w:r>
                    </w:p>
                  </w:txbxContent>
                </v:textbox>
              </v:shape>
            </w:pict>
          </mc:Fallback>
        </mc:AlternateContent>
      </w:r>
      <w:r>
        <w:rPr>
          <w:color w:val="auto"/>
        </w:rPr>
        <w:drawing>
          <wp:inline distT="0" distB="0" distL="114300" distR="114300">
            <wp:extent cx="7233920" cy="5039995"/>
            <wp:effectExtent l="0" t="0" r="5080" b="8255"/>
            <wp:docPr id="16" name="图片 19" descr="区域评估报告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9" descr="区域评估报告_28"/>
                    <pic:cNvPicPr>
                      <a:picLocks noChangeAspect="1"/>
                    </pic:cNvPicPr>
                  </pic:nvPicPr>
                  <pic:blipFill>
                    <a:blip r:embed="rId48"/>
                    <a:srcRect l="17795" t="17345" r="16434" b="17827"/>
                    <a:stretch>
                      <a:fillRect/>
                    </a:stretch>
                  </pic:blipFill>
                  <pic:spPr>
                    <a:xfrm>
                      <a:off x="0" y="0"/>
                      <a:ext cx="7233920" cy="5039995"/>
                    </a:xfrm>
                    <a:prstGeom prst="rect">
                      <a:avLst/>
                    </a:prstGeom>
                    <a:noFill/>
                    <a:ln>
                      <a:noFill/>
                    </a:ln>
                  </pic:spPr>
                </pic:pic>
              </a:graphicData>
            </a:graphic>
          </wp:inline>
        </w:drawing>
      </w:r>
    </w:p>
    <w:p>
      <w:pPr>
        <w:pStyle w:val="3"/>
        <w:ind w:left="1054" w:hanging="1054" w:hangingChars="500"/>
        <w:rPr>
          <w:color w:val="auto"/>
        </w:rPr>
      </w:pPr>
      <w:r>
        <w:rPr>
          <w:color w:val="auto"/>
          <w:sz w:val="21"/>
        </w:rPr>
        <mc:AlternateContent>
          <mc:Choice Requires="wps">
            <w:drawing>
              <wp:anchor distT="0" distB="0" distL="114300" distR="114300" simplePos="0" relativeHeight="251669504" behindDoc="0" locked="0" layoutInCell="1" allowOverlap="1">
                <wp:simplePos x="0" y="0"/>
                <wp:positionH relativeFrom="column">
                  <wp:posOffset>6472555</wp:posOffset>
                </wp:positionH>
                <wp:positionV relativeFrom="paragraph">
                  <wp:posOffset>2940050</wp:posOffset>
                </wp:positionV>
                <wp:extent cx="2394585" cy="496570"/>
                <wp:effectExtent l="0" t="0" r="0" b="0"/>
                <wp:wrapNone/>
                <wp:docPr id="15" name="矩形 15"/>
                <wp:cNvGraphicFramePr/>
                <a:graphic xmlns:a="http://schemas.openxmlformats.org/drawingml/2006/main">
                  <a:graphicData uri="http://schemas.microsoft.com/office/word/2010/wordprocessingShape">
                    <wps:wsp>
                      <wps:cNvSpPr/>
                      <wps:spPr>
                        <a:xfrm>
                          <a:off x="0" y="0"/>
                          <a:ext cx="2394585" cy="496570"/>
                        </a:xfrm>
                        <a:prstGeom prst="rect">
                          <a:avLst/>
                        </a:prstGeom>
                        <a:noFill/>
                        <a:ln>
                          <a:noFill/>
                        </a:ln>
                      </wps:spPr>
                      <wps:txbx>
                        <w:txbxContent>
                          <w:p>
                            <w:pPr>
                              <w:ind w:firstLine="422"/>
                              <w:rPr>
                                <w:b/>
                                <w:bCs/>
                                <w:color w:val="FFFFFF"/>
                                <w:sz w:val="21"/>
                                <w:szCs w:val="21"/>
                              </w:rPr>
                            </w:pPr>
                          </w:p>
                        </w:txbxContent>
                      </wps:txbx>
                      <wps:bodyPr upright="1"/>
                    </wps:wsp>
                  </a:graphicData>
                </a:graphic>
              </wp:anchor>
            </w:drawing>
          </mc:Choice>
          <mc:Fallback>
            <w:pict>
              <v:rect id="_x0000_s1026" o:spid="_x0000_s1026" o:spt="1" style="position:absolute;left:0pt;margin-left:509.65pt;margin-top:231.5pt;height:39.1pt;width:188.55pt;z-index:251669504;mso-width-relative:page;mso-height-relative:page;" filled="f" stroked="f" coordsize="21600,21600" o:gfxdata="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I/dqXHdAAAADQEA&#10;AA8AAAAAAAAAAQAgAAAAIgAAAGRycy9kb3ducmV2LnhtbFBLAQIUABQAAAAIAIdO4kDV0baeowEA&#10;AEMDAAAOAAAAAAAAAAEAIAAAACwBAABkcnMvZTJvRG9jLnhtbFBLBQYAAAAABgAGAFkBAABBBQAA&#10;AAA=&#10;">
                <v:fill on="f" focussize="0,0"/>
                <v:stroke on="f"/>
                <v:imagedata o:title=""/>
                <o:lock v:ext="edit" aspectratio="f"/>
                <v:textbox>
                  <w:txbxContent>
                    <w:p>
                      <w:pPr>
                        <w:ind w:firstLine="422"/>
                        <w:rPr>
                          <w:b/>
                          <w:bCs/>
                          <w:color w:val="FFFFFF"/>
                          <w:sz w:val="21"/>
                          <w:szCs w:val="21"/>
                        </w:rPr>
                      </w:pPr>
                    </w:p>
                  </w:txbxContent>
                </v:textbox>
              </v:rect>
            </w:pict>
          </mc:Fallback>
        </mc:AlternateContent>
      </w:r>
      <w:r>
        <w:rPr>
          <w:rFonts w:hint="eastAsia"/>
          <w:color w:val="auto"/>
        </w:rPr>
        <w:t>附图3：</w:t>
      </w:r>
      <w:r>
        <w:rPr>
          <w:color w:val="auto"/>
        </w:rPr>
        <w:t>项目在巴彦淖尔市环境管控单元图中的位置</w:t>
      </w:r>
    </w:p>
    <w:p>
      <w:pPr>
        <w:ind w:firstLine="480"/>
        <w:rPr>
          <w:color w:val="auto"/>
        </w:rPr>
      </w:pPr>
      <w:r>
        <w:rPr>
          <w:color w:val="auto"/>
        </w:rPr>
        <w:drawing>
          <wp:inline distT="0" distB="0" distL="114300" distR="114300">
            <wp:extent cx="8282305" cy="5534660"/>
            <wp:effectExtent l="0" t="0" r="4445" b="8890"/>
            <wp:docPr id="2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pic:cNvPicPr>
                      <a:picLocks noChangeAspect="1"/>
                    </pic:cNvPicPr>
                  </pic:nvPicPr>
                  <pic:blipFill>
                    <a:blip r:embed="rId49"/>
                    <a:stretch>
                      <a:fillRect/>
                    </a:stretch>
                  </pic:blipFill>
                  <pic:spPr>
                    <a:xfrm>
                      <a:off x="0" y="0"/>
                      <a:ext cx="8282305" cy="5534660"/>
                    </a:xfrm>
                    <a:prstGeom prst="rect">
                      <a:avLst/>
                    </a:prstGeom>
                    <a:noFill/>
                    <a:ln>
                      <a:noFill/>
                    </a:ln>
                  </pic:spPr>
                </pic:pic>
              </a:graphicData>
            </a:graphic>
          </wp:inline>
        </w:drawing>
      </w:r>
    </w:p>
    <w:p>
      <w:pPr>
        <w:pStyle w:val="2"/>
        <w:ind w:left="480" w:firstLine="480"/>
        <w:rPr>
          <w:color w:val="auto"/>
        </w:rPr>
      </w:pPr>
    </w:p>
    <w:p>
      <w:pPr>
        <w:ind w:firstLine="480"/>
        <w:rPr>
          <w:color w:val="auto"/>
        </w:rPr>
      </w:pPr>
      <w:r>
        <w:rPr>
          <w:color w:val="auto"/>
        </w:rPr>
        <w:drawing>
          <wp:inline distT="0" distB="0" distL="114300" distR="114300">
            <wp:extent cx="8495665" cy="5554980"/>
            <wp:effectExtent l="0" t="0" r="635" b="7620"/>
            <wp:docPr id="22" name="图片 21" descr="ead4d551e3e629ad64b1bfa949ac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1" descr="ead4d551e3e629ad64b1bfa949ace18"/>
                    <pic:cNvPicPr>
                      <a:picLocks noChangeAspect="1"/>
                    </pic:cNvPicPr>
                  </pic:nvPicPr>
                  <pic:blipFill>
                    <a:blip r:embed="rId50"/>
                    <a:stretch>
                      <a:fillRect/>
                    </a:stretch>
                  </pic:blipFill>
                  <pic:spPr>
                    <a:xfrm>
                      <a:off x="0" y="0"/>
                      <a:ext cx="8495665" cy="5554980"/>
                    </a:xfrm>
                    <a:prstGeom prst="rect">
                      <a:avLst/>
                    </a:prstGeom>
                    <a:noFill/>
                    <a:ln>
                      <a:noFill/>
                    </a:ln>
                  </pic:spPr>
                </pic:pic>
              </a:graphicData>
            </a:graphic>
          </wp:inline>
        </w:drawing>
      </w:r>
    </w:p>
    <w:p>
      <w:pPr>
        <w:pStyle w:val="2"/>
        <w:ind w:left="480" w:firstLine="480"/>
        <w:rPr>
          <w:rFonts w:hint="eastAsia"/>
          <w:color w:val="auto"/>
        </w:rPr>
        <w:sectPr>
          <w:pgSz w:w="16838" w:h="11906" w:orient="landscape"/>
          <w:pgMar w:top="850" w:right="1440" w:bottom="850" w:left="1440" w:header="851" w:footer="992" w:gutter="0"/>
          <w:cols w:space="720" w:num="1"/>
          <w:docGrid w:type="lines" w:linePitch="312" w:charSpace="0"/>
        </w:sectPr>
      </w:pPr>
    </w:p>
    <w:p>
      <w:pPr>
        <w:pStyle w:val="3"/>
        <w:ind w:left="1205" w:hanging="1405" w:hangingChars="500"/>
        <w:rPr>
          <w:rFonts w:hint="eastAsia"/>
          <w:color w:val="auto"/>
        </w:rPr>
        <w:sectPr>
          <w:pgSz w:w="16838" w:h="11906" w:orient="landscape"/>
          <w:pgMar w:top="850" w:right="1440" w:bottom="850" w:left="1440" w:header="851" w:footer="992" w:gutter="0"/>
          <w:cols w:space="720" w:num="1"/>
          <w:docGrid w:type="lines" w:linePitch="312" w:charSpace="0"/>
        </w:sectPr>
      </w:pPr>
      <w:r>
        <w:rPr>
          <w:color w:val="auto"/>
        </w:rPr>
        <mc:AlternateContent>
          <mc:Choice Requires="wps">
            <w:drawing>
              <wp:anchor distT="0" distB="0" distL="114300" distR="114300" simplePos="0" relativeHeight="251670528" behindDoc="0" locked="0" layoutInCell="1" allowOverlap="1">
                <wp:simplePos x="0" y="0"/>
                <wp:positionH relativeFrom="column">
                  <wp:posOffset>2890520</wp:posOffset>
                </wp:positionH>
                <wp:positionV relativeFrom="paragraph">
                  <wp:posOffset>4125595</wp:posOffset>
                </wp:positionV>
                <wp:extent cx="847725" cy="404495"/>
                <wp:effectExtent l="0" t="0" r="0" b="0"/>
                <wp:wrapNone/>
                <wp:docPr id="24" name="矩形 24"/>
                <wp:cNvGraphicFramePr/>
                <a:graphic xmlns:a="http://schemas.openxmlformats.org/drawingml/2006/main">
                  <a:graphicData uri="http://schemas.microsoft.com/office/word/2010/wordprocessingShape">
                    <wps:wsp>
                      <wps:cNvSpPr/>
                      <wps:spPr>
                        <a:xfrm>
                          <a:off x="0" y="0"/>
                          <a:ext cx="847725" cy="404495"/>
                        </a:xfrm>
                        <a:prstGeom prst="rect">
                          <a:avLst/>
                        </a:prstGeom>
                        <a:noFill/>
                        <a:ln>
                          <a:noFill/>
                        </a:ln>
                      </wps:spPr>
                      <wps:txbx>
                        <w:txbxContent>
                          <w:p>
                            <w:pPr>
                              <w:ind w:firstLine="422"/>
                              <w:rPr>
                                <w:b/>
                                <w:bCs/>
                                <w:color w:val="FFFF00"/>
                                <w:sz w:val="28"/>
                                <w:szCs w:val="36"/>
                              </w:rPr>
                            </w:pPr>
                            <w:r>
                              <w:rPr>
                                <w:rFonts w:hint="eastAsia"/>
                                <w:b/>
                                <w:bCs/>
                                <w:color w:val="FFFF00"/>
                                <w:sz w:val="21"/>
                                <w:szCs w:val="21"/>
                              </w:rPr>
                              <w:t>道路</w:t>
                            </w:r>
                          </w:p>
                        </w:txbxContent>
                      </wps:txbx>
                      <wps:bodyPr upright="1"/>
                    </wps:wsp>
                  </a:graphicData>
                </a:graphic>
              </wp:anchor>
            </w:drawing>
          </mc:Choice>
          <mc:Fallback>
            <w:pict>
              <v:rect id="_x0000_s1026" o:spid="_x0000_s1026" o:spt="1" style="position:absolute;left:0pt;margin-left:227.6pt;margin-top:324.85pt;height:31.85pt;width:66.75pt;z-index:251670528;mso-width-relative:page;mso-height-relative:page;" filled="f" stroked="f" coordsize="21600,21600" o:gfxdata="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BHBYwL3AAAAAsBAAAP&#10;AAAAAAAAAAEAIAAAACIAAABkcnMvZG93bnJldi54bWxQSwECFAAUAAAACACHTuJA2ltVKqIBAABC&#10;AwAADgAAAAAAAAABACAAAAArAQAAZHJzL2Uyb0RvYy54bWxQSwUGAAAAAAYABgBZAQAAPwUAAAAA&#10;">
                <v:fill on="f" focussize="0,0"/>
                <v:stroke on="f"/>
                <v:imagedata o:title=""/>
                <o:lock v:ext="edit" aspectratio="f"/>
                <v:textbox>
                  <w:txbxContent>
                    <w:p>
                      <w:pPr>
                        <w:ind w:firstLine="422"/>
                        <w:rPr>
                          <w:b/>
                          <w:bCs/>
                          <w:color w:val="FFFF00"/>
                          <w:sz w:val="28"/>
                          <w:szCs w:val="36"/>
                        </w:rPr>
                      </w:pPr>
                      <w:r>
                        <w:rPr>
                          <w:rFonts w:hint="eastAsia"/>
                          <w:b/>
                          <w:bCs/>
                          <w:color w:val="FFFF00"/>
                          <w:sz w:val="21"/>
                          <w:szCs w:val="21"/>
                        </w:rPr>
                        <w:t>道路</w:t>
                      </w:r>
                    </w:p>
                  </w:txbxContent>
                </v:textbox>
              </v:rect>
            </w:pict>
          </mc:Fallback>
        </mc:AlternateContent>
      </w:r>
      <w:r>
        <w:rPr>
          <w:color w:val="auto"/>
        </w:rPr>
        <w:drawing>
          <wp:anchor distT="0" distB="0" distL="114300" distR="114300" simplePos="0" relativeHeight="251660288" behindDoc="0" locked="0" layoutInCell="1" allowOverlap="1">
            <wp:simplePos x="0" y="0"/>
            <wp:positionH relativeFrom="column">
              <wp:posOffset>828040</wp:posOffset>
            </wp:positionH>
            <wp:positionV relativeFrom="paragraph">
              <wp:posOffset>450215</wp:posOffset>
            </wp:positionV>
            <wp:extent cx="290195" cy="352425"/>
            <wp:effectExtent l="0" t="0" r="14605" b="9525"/>
            <wp:wrapNone/>
            <wp:docPr id="1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
                    <pic:cNvPicPr>
                      <a:picLocks noChangeAspect="1"/>
                    </pic:cNvPicPr>
                  </pic:nvPicPr>
                  <pic:blipFill>
                    <a:blip r:embed="rId51"/>
                    <a:stretch>
                      <a:fillRect/>
                    </a:stretch>
                  </pic:blipFill>
                  <pic:spPr>
                    <a:xfrm flipH="1">
                      <a:off x="0" y="0"/>
                      <a:ext cx="290195" cy="352425"/>
                    </a:xfrm>
                    <a:prstGeom prst="rect">
                      <a:avLst/>
                    </a:prstGeom>
                    <a:noFill/>
                    <a:ln>
                      <a:noFill/>
                    </a:ln>
                  </pic:spPr>
                </pic:pic>
              </a:graphicData>
            </a:graphic>
          </wp:anchor>
        </w:drawing>
      </w:r>
      <w:r>
        <w:rPr>
          <w:color w:val="auto"/>
        </w:rPr>
        <mc:AlternateContent>
          <mc:Choice Requires="wps">
            <w:drawing>
              <wp:anchor distT="0" distB="0" distL="114300" distR="114300" simplePos="0" relativeHeight="251664384" behindDoc="0" locked="0" layoutInCell="1" allowOverlap="1">
                <wp:simplePos x="0" y="0"/>
                <wp:positionH relativeFrom="column">
                  <wp:posOffset>4782185</wp:posOffset>
                </wp:positionH>
                <wp:positionV relativeFrom="paragraph">
                  <wp:posOffset>3157220</wp:posOffset>
                </wp:positionV>
                <wp:extent cx="977265" cy="365125"/>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977265" cy="365125"/>
                        </a:xfrm>
                        <a:prstGeom prst="rect">
                          <a:avLst/>
                        </a:prstGeom>
                        <a:noFill/>
                        <a:ln>
                          <a:noFill/>
                        </a:ln>
                      </wps:spPr>
                      <wps:txbx>
                        <w:txbxContent>
                          <w:p>
                            <w:pPr>
                              <w:ind w:firstLine="0" w:firstLineChars="0"/>
                              <w:jc w:val="center"/>
                              <w:rPr>
                                <w:b/>
                                <w:bCs/>
                                <w:color w:val="FFFF00"/>
                                <w:sz w:val="21"/>
                                <w:szCs w:val="21"/>
                              </w:rPr>
                            </w:pPr>
                            <w:r>
                              <w:rPr>
                                <w:rFonts w:hint="eastAsia"/>
                                <w:b/>
                                <w:bCs/>
                                <w:color w:val="FFFF00"/>
                                <w:sz w:val="21"/>
                                <w:szCs w:val="21"/>
                              </w:rPr>
                              <w:t>旺达金属</w:t>
                            </w:r>
                          </w:p>
                        </w:txbxContent>
                      </wps:txbx>
                      <wps:bodyPr upright="1"/>
                    </wps:wsp>
                  </a:graphicData>
                </a:graphic>
              </wp:anchor>
            </w:drawing>
          </mc:Choice>
          <mc:Fallback>
            <w:pict>
              <v:shape id="_x0000_s1026" o:spid="_x0000_s1026" o:spt="202" type="#_x0000_t202" style="position:absolute;left:0pt;margin-left:376.55pt;margin-top:248.6pt;height:28.75pt;width:76.95pt;z-index:251664384;mso-width-relative:page;mso-height-relative:page;" filled="f" stroked="f" coordsize="21600,21600" o:gfxdata="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guSQg&#10;2QAAAAsBAAAPAAAAAAAAAAEAIAAAACIAAABkcnMvZG93bnJldi54bWxQSwECFAAUAAAACACHTuJA&#10;C4UCsq4BAABPAwAADgAAAAAAAAABACAAAAAoAQAAZHJzL2Uyb0RvYy54bWxQSwUGAAAAAAYABgBZ&#10;AQAASAUAAAAA&#10;">
                <v:fill on="f" focussize="0,0"/>
                <v:stroke on="f"/>
                <v:imagedata o:title=""/>
                <o:lock v:ext="edit" aspectratio="f"/>
                <v:textbox>
                  <w:txbxContent>
                    <w:p>
                      <w:pPr>
                        <w:ind w:firstLine="0" w:firstLineChars="0"/>
                        <w:jc w:val="center"/>
                        <w:rPr>
                          <w:b/>
                          <w:bCs/>
                          <w:color w:val="FFFF00"/>
                          <w:sz w:val="21"/>
                          <w:szCs w:val="21"/>
                        </w:rPr>
                      </w:pPr>
                      <w:r>
                        <w:rPr>
                          <w:rFonts w:hint="eastAsia"/>
                          <w:b/>
                          <w:bCs/>
                          <w:color w:val="FFFF00"/>
                          <w:sz w:val="21"/>
                          <w:szCs w:val="21"/>
                        </w:rPr>
                        <w:t>旺达金属</w:t>
                      </w:r>
                    </w:p>
                  </w:txbxContent>
                </v:textbox>
              </v:shape>
            </w:pict>
          </mc:Fallback>
        </mc:AlternateContent>
      </w:r>
      <w:r>
        <w:rPr>
          <w:color w:val="auto"/>
        </w:rPr>
        <mc:AlternateContent>
          <mc:Choice Requires="wps">
            <w:drawing>
              <wp:anchor distT="0" distB="0" distL="114300" distR="114300" simplePos="0" relativeHeight="251661312" behindDoc="0" locked="0" layoutInCell="1" allowOverlap="1">
                <wp:simplePos x="0" y="0"/>
                <wp:positionH relativeFrom="column">
                  <wp:posOffset>2560955</wp:posOffset>
                </wp:positionH>
                <wp:positionV relativeFrom="paragraph">
                  <wp:posOffset>3391535</wp:posOffset>
                </wp:positionV>
                <wp:extent cx="1021080" cy="28194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021080" cy="281940"/>
                        </a:xfrm>
                        <a:prstGeom prst="rect">
                          <a:avLst/>
                        </a:prstGeom>
                        <a:noFill/>
                        <a:ln>
                          <a:noFill/>
                        </a:ln>
                      </wps:spPr>
                      <wps:txbx>
                        <w:txbxContent>
                          <w:p>
                            <w:pPr>
                              <w:spacing w:line="240" w:lineRule="auto"/>
                              <w:ind w:firstLine="0" w:firstLineChars="0"/>
                              <w:jc w:val="center"/>
                              <w:rPr>
                                <w:b/>
                                <w:bCs/>
                                <w:color w:val="C00000"/>
                                <w:sz w:val="21"/>
                                <w:szCs w:val="21"/>
                              </w:rPr>
                            </w:pPr>
                            <w:r>
                              <w:rPr>
                                <w:rFonts w:hint="eastAsia"/>
                                <w:b/>
                                <w:bCs/>
                                <w:color w:val="C00000"/>
                                <w:sz w:val="21"/>
                                <w:szCs w:val="21"/>
                              </w:rPr>
                              <w:t>同晨新材料</w:t>
                            </w:r>
                          </w:p>
                        </w:txbxContent>
                      </wps:txbx>
                      <wps:bodyPr upright="1"/>
                    </wps:wsp>
                  </a:graphicData>
                </a:graphic>
              </wp:anchor>
            </w:drawing>
          </mc:Choice>
          <mc:Fallback>
            <w:pict>
              <v:shape id="_x0000_s1026" o:spid="_x0000_s1026" o:spt="202" type="#_x0000_t202" style="position:absolute;left:0pt;margin-left:201.65pt;margin-top:267.05pt;height:22.2pt;width:80.4pt;z-index:251661312;mso-width-relative:page;mso-height-relative:page;" filled="f" stroked="f" coordsize="21600,21600" o:gfxdata="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LUhFQNcA&#10;AAALAQAADwAAAAAAAAABACAAAAAiAAAAZHJzL2Rvd25yZXYueG1sUEsBAhQAFAAAAAgAh07iQJGZ&#10;G02uAQAAUAMAAA4AAAAAAAAAAQAgAAAAJgEAAGRycy9lMm9Eb2MueG1sUEsFBgAAAAAGAAYAWQEA&#10;AEYFAAAAAA==&#10;">
                <v:fill on="f" focussize="0,0"/>
                <v:stroke on="f"/>
                <v:imagedata o:title=""/>
                <o:lock v:ext="edit" aspectratio="f"/>
                <v:textbox>
                  <w:txbxContent>
                    <w:p>
                      <w:pPr>
                        <w:spacing w:line="240" w:lineRule="auto"/>
                        <w:ind w:firstLine="0" w:firstLineChars="0"/>
                        <w:jc w:val="center"/>
                        <w:rPr>
                          <w:b/>
                          <w:bCs/>
                          <w:color w:val="C00000"/>
                          <w:sz w:val="21"/>
                          <w:szCs w:val="21"/>
                        </w:rPr>
                      </w:pPr>
                      <w:r>
                        <w:rPr>
                          <w:rFonts w:hint="eastAsia"/>
                          <w:b/>
                          <w:bCs/>
                          <w:color w:val="C00000"/>
                          <w:sz w:val="21"/>
                          <w:szCs w:val="21"/>
                        </w:rPr>
                        <w:t>同晨新材料</w:t>
                      </w:r>
                    </w:p>
                  </w:txbxContent>
                </v:textbox>
              </v:shape>
            </w:pict>
          </mc:Fallback>
        </mc:AlternateContent>
      </w:r>
      <w:r>
        <w:rPr>
          <w:color w:val="auto"/>
          <w:sz w:val="21"/>
        </w:rPr>
        <mc:AlternateContent>
          <mc:Choice Requires="wps">
            <w:drawing>
              <wp:anchor distT="0" distB="0" distL="114300" distR="114300" simplePos="0" relativeHeight="251665408" behindDoc="0" locked="0" layoutInCell="1" allowOverlap="1">
                <wp:simplePos x="0" y="0"/>
                <wp:positionH relativeFrom="column">
                  <wp:posOffset>946150</wp:posOffset>
                </wp:positionH>
                <wp:positionV relativeFrom="paragraph">
                  <wp:posOffset>3391535</wp:posOffset>
                </wp:positionV>
                <wp:extent cx="847725" cy="404495"/>
                <wp:effectExtent l="0" t="0" r="0" b="0"/>
                <wp:wrapNone/>
                <wp:docPr id="27" name="矩形 27"/>
                <wp:cNvGraphicFramePr/>
                <a:graphic xmlns:a="http://schemas.openxmlformats.org/drawingml/2006/main">
                  <a:graphicData uri="http://schemas.microsoft.com/office/word/2010/wordprocessingShape">
                    <wps:wsp>
                      <wps:cNvSpPr/>
                      <wps:spPr>
                        <a:xfrm>
                          <a:off x="0" y="0"/>
                          <a:ext cx="847725" cy="404495"/>
                        </a:xfrm>
                        <a:prstGeom prst="rect">
                          <a:avLst/>
                        </a:prstGeom>
                        <a:noFill/>
                        <a:ln>
                          <a:noFill/>
                        </a:ln>
                      </wps:spPr>
                      <wps:txbx>
                        <w:txbxContent>
                          <w:p>
                            <w:pPr>
                              <w:ind w:firstLine="422"/>
                              <w:rPr>
                                <w:b/>
                                <w:bCs/>
                                <w:color w:val="FFFF00"/>
                                <w:sz w:val="28"/>
                                <w:szCs w:val="36"/>
                              </w:rPr>
                            </w:pPr>
                            <w:r>
                              <w:rPr>
                                <w:rFonts w:hint="eastAsia"/>
                                <w:b/>
                                <w:bCs/>
                                <w:color w:val="FFFF00"/>
                                <w:sz w:val="21"/>
                                <w:szCs w:val="21"/>
                              </w:rPr>
                              <w:t>空地</w:t>
                            </w:r>
                          </w:p>
                        </w:txbxContent>
                      </wps:txbx>
                      <wps:bodyPr upright="1"/>
                    </wps:wsp>
                  </a:graphicData>
                </a:graphic>
              </wp:anchor>
            </w:drawing>
          </mc:Choice>
          <mc:Fallback>
            <w:pict>
              <v:rect id="_x0000_s1026" o:spid="_x0000_s1026" o:spt="1" style="position:absolute;left:0pt;margin-left:74.5pt;margin-top:267.05pt;height:31.85pt;width:66.75pt;z-index:251665408;mso-width-relative:page;mso-height-relative:page;" filled="f" stroked="f" coordsize="21600,21600" o:gfxdata="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GBfavtwAAAALAQAA&#10;DwAAAAAAAAABACAAAAAiAAAAZHJzL2Rvd25yZXYueG1sUEsBAhQAFAAAAAgAh07iQBFdxV2jAQAA&#10;QgMAAA4AAAAAAAAAAQAgAAAAKwEAAGRycy9lMm9Eb2MueG1sUEsFBgAAAAAGAAYAWQEAAEAFAAAA&#10;AA==&#10;">
                <v:fill on="f" focussize="0,0"/>
                <v:stroke on="f"/>
                <v:imagedata o:title=""/>
                <o:lock v:ext="edit" aspectratio="f"/>
                <v:textbox>
                  <w:txbxContent>
                    <w:p>
                      <w:pPr>
                        <w:ind w:firstLine="422"/>
                        <w:rPr>
                          <w:b/>
                          <w:bCs/>
                          <w:color w:val="FFFF00"/>
                          <w:sz w:val="28"/>
                          <w:szCs w:val="36"/>
                        </w:rPr>
                      </w:pPr>
                      <w:r>
                        <w:rPr>
                          <w:rFonts w:hint="eastAsia"/>
                          <w:b/>
                          <w:bCs/>
                          <w:color w:val="FFFF00"/>
                          <w:sz w:val="21"/>
                          <w:szCs w:val="21"/>
                        </w:rPr>
                        <w:t>空地</w:t>
                      </w:r>
                    </w:p>
                  </w:txbxContent>
                </v:textbox>
              </v:rect>
            </w:pict>
          </mc:Fallback>
        </mc:AlternateContent>
      </w:r>
      <w:r>
        <w:rPr>
          <w:color w:val="auto"/>
        </w:rPr>
        <mc:AlternateContent>
          <mc:Choice Requires="wps">
            <w:drawing>
              <wp:anchor distT="0" distB="0" distL="114300" distR="114300" simplePos="0" relativeHeight="251662336" behindDoc="0" locked="0" layoutInCell="1" allowOverlap="1">
                <wp:simplePos x="0" y="0"/>
                <wp:positionH relativeFrom="column">
                  <wp:posOffset>2466340</wp:posOffset>
                </wp:positionH>
                <wp:positionV relativeFrom="paragraph">
                  <wp:posOffset>1955165</wp:posOffset>
                </wp:positionV>
                <wp:extent cx="1295400" cy="327025"/>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295400" cy="327025"/>
                        </a:xfrm>
                        <a:prstGeom prst="rect">
                          <a:avLst/>
                        </a:prstGeom>
                        <a:noFill/>
                        <a:ln>
                          <a:noFill/>
                        </a:ln>
                      </wps:spPr>
                      <wps:txbx>
                        <w:txbxContent>
                          <w:p>
                            <w:pPr>
                              <w:ind w:firstLine="0" w:firstLineChars="0"/>
                              <w:jc w:val="center"/>
                              <w:rPr>
                                <w:b/>
                                <w:bCs/>
                                <w:color w:val="FFFF00"/>
                                <w:sz w:val="21"/>
                                <w:szCs w:val="21"/>
                              </w:rPr>
                            </w:pPr>
                            <w:r>
                              <w:rPr>
                                <w:rFonts w:hint="eastAsia"/>
                                <w:b/>
                                <w:bCs/>
                                <w:color w:val="FFFF00"/>
                                <w:sz w:val="21"/>
                                <w:szCs w:val="21"/>
                              </w:rPr>
                              <w:t>万金隆钢构</w:t>
                            </w:r>
                          </w:p>
                        </w:txbxContent>
                      </wps:txbx>
                      <wps:bodyPr upright="1"/>
                    </wps:wsp>
                  </a:graphicData>
                </a:graphic>
              </wp:anchor>
            </w:drawing>
          </mc:Choice>
          <mc:Fallback>
            <w:pict>
              <v:shape id="_x0000_s1026" o:spid="_x0000_s1026" o:spt="202" type="#_x0000_t202" style="position:absolute;left:0pt;margin-left:194.2pt;margin-top:153.95pt;height:25.75pt;width:102pt;z-index:251662336;mso-width-relative:page;mso-height-relative:page;" filled="f" stroked="f" coordsize="21600,21600" o:gfxdata="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Ejk2ptgA&#10;AAALAQAADwAAAAAAAAABACAAAAAiAAAAZHJzL2Rvd25yZXYueG1sUEsBAhQAFAAAAAgAh07iQEO/&#10;meqtAQAAUAMAAA4AAAAAAAAAAQAgAAAAJwEAAGRycy9lMm9Eb2MueG1sUEsFBgAAAAAGAAYAWQEA&#10;AEYFAAAAAA==&#10;">
                <v:fill on="f" focussize="0,0"/>
                <v:stroke on="f"/>
                <v:imagedata o:title=""/>
                <o:lock v:ext="edit" aspectratio="f"/>
                <v:textbox>
                  <w:txbxContent>
                    <w:p>
                      <w:pPr>
                        <w:ind w:firstLine="0" w:firstLineChars="0"/>
                        <w:jc w:val="center"/>
                        <w:rPr>
                          <w:b/>
                          <w:bCs/>
                          <w:color w:val="FFFF00"/>
                          <w:sz w:val="21"/>
                          <w:szCs w:val="21"/>
                        </w:rPr>
                      </w:pPr>
                      <w:r>
                        <w:rPr>
                          <w:rFonts w:hint="eastAsia"/>
                          <w:b/>
                          <w:bCs/>
                          <w:color w:val="FFFF00"/>
                          <w:sz w:val="21"/>
                          <w:szCs w:val="21"/>
                        </w:rPr>
                        <w:t>万金隆钢构</w:t>
                      </w:r>
                    </w:p>
                  </w:txbxContent>
                </v:textbox>
              </v:shape>
            </w:pict>
          </mc:Fallback>
        </mc:AlternateContent>
      </w:r>
      <w:r>
        <w:rPr>
          <w:color w:val="auto"/>
          <w:sz w:val="21"/>
        </w:rPr>
        <mc:AlternateContent>
          <mc:Choice Requires="wps">
            <w:drawing>
              <wp:anchor distT="0" distB="0" distL="114300" distR="114300" simplePos="0" relativeHeight="251663360" behindDoc="0" locked="0" layoutInCell="1" allowOverlap="1">
                <wp:simplePos x="0" y="0"/>
                <wp:positionH relativeFrom="column">
                  <wp:posOffset>6472555</wp:posOffset>
                </wp:positionH>
                <wp:positionV relativeFrom="paragraph">
                  <wp:posOffset>2940050</wp:posOffset>
                </wp:positionV>
                <wp:extent cx="2394585" cy="496570"/>
                <wp:effectExtent l="0" t="0" r="0" b="0"/>
                <wp:wrapNone/>
                <wp:docPr id="18" name="矩形 18"/>
                <wp:cNvGraphicFramePr/>
                <a:graphic xmlns:a="http://schemas.openxmlformats.org/drawingml/2006/main">
                  <a:graphicData uri="http://schemas.microsoft.com/office/word/2010/wordprocessingShape">
                    <wps:wsp>
                      <wps:cNvSpPr/>
                      <wps:spPr>
                        <a:xfrm>
                          <a:off x="0" y="0"/>
                          <a:ext cx="2394585" cy="496570"/>
                        </a:xfrm>
                        <a:prstGeom prst="rect">
                          <a:avLst/>
                        </a:prstGeom>
                        <a:noFill/>
                        <a:ln>
                          <a:noFill/>
                        </a:ln>
                      </wps:spPr>
                      <wps:txbx>
                        <w:txbxContent>
                          <w:p>
                            <w:pPr>
                              <w:ind w:firstLine="422"/>
                              <w:rPr>
                                <w:b/>
                                <w:bCs/>
                                <w:color w:val="FFFFFF"/>
                                <w:sz w:val="21"/>
                                <w:szCs w:val="21"/>
                              </w:rPr>
                            </w:pPr>
                          </w:p>
                        </w:txbxContent>
                      </wps:txbx>
                      <wps:bodyPr upright="1"/>
                    </wps:wsp>
                  </a:graphicData>
                </a:graphic>
              </wp:anchor>
            </w:drawing>
          </mc:Choice>
          <mc:Fallback>
            <w:pict>
              <v:rect id="_x0000_s1026" o:spid="_x0000_s1026" o:spt="1" style="position:absolute;left:0pt;margin-left:509.65pt;margin-top:231.5pt;height:39.1pt;width:188.55pt;z-index:251663360;mso-width-relative:page;mso-height-relative:page;" filled="f" stroked="f" coordsize="21600,21600" o:gfxdata="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CP3alx3QAAAA0B&#10;AAAPAAAAAAAAAAEAIAAAACIAAABkcnMvZG93bnJldi54bWxQSwECFAAUAAAACACHTuJAx3vwqaQB&#10;AABDAwAADgAAAAAAAAABACAAAAAsAQAAZHJzL2Uyb0RvYy54bWxQSwUGAAAAAAYABgBZAQAAQgUA&#10;AAAA&#10;">
                <v:fill on="f" focussize="0,0"/>
                <v:stroke on="f"/>
                <v:imagedata o:title=""/>
                <o:lock v:ext="edit" aspectratio="f"/>
                <v:textbox>
                  <w:txbxContent>
                    <w:p>
                      <w:pPr>
                        <w:ind w:firstLine="422"/>
                        <w:rPr>
                          <w:b/>
                          <w:bCs/>
                          <w:color w:val="FFFFFF"/>
                          <w:sz w:val="21"/>
                          <w:szCs w:val="21"/>
                        </w:rPr>
                      </w:pPr>
                    </w:p>
                  </w:txbxContent>
                </v:textbox>
              </v:rect>
            </w:pict>
          </mc:Fallback>
        </mc:AlternateContent>
      </w:r>
      <w:r>
        <w:rPr>
          <w:rFonts w:hint="eastAsia"/>
          <w:color w:val="auto"/>
        </w:rPr>
        <w:t>附图4：本项目四邻关系图</w:t>
      </w:r>
      <w:r>
        <w:rPr>
          <w:rFonts w:hint="eastAsia"/>
          <w:color w:val="auto"/>
        </w:rPr>
        <w:br w:type="textWrapping"/>
      </w:r>
      <w:r>
        <w:rPr>
          <w:color w:val="auto"/>
        </w:rPr>
        <w:drawing>
          <wp:inline distT="0" distB="0" distL="114300" distR="114300">
            <wp:extent cx="6966585" cy="5363210"/>
            <wp:effectExtent l="0" t="0" r="5715" b="8890"/>
            <wp:docPr id="2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2"/>
                    <pic:cNvPicPr>
                      <a:picLocks noChangeAspect="1"/>
                    </pic:cNvPicPr>
                  </pic:nvPicPr>
                  <pic:blipFill>
                    <a:blip r:embed="rId52"/>
                    <a:stretch>
                      <a:fillRect/>
                    </a:stretch>
                  </pic:blipFill>
                  <pic:spPr>
                    <a:xfrm>
                      <a:off x="0" y="0"/>
                      <a:ext cx="6966585" cy="5363210"/>
                    </a:xfrm>
                    <a:prstGeom prst="rect">
                      <a:avLst/>
                    </a:prstGeom>
                    <a:noFill/>
                    <a:ln>
                      <a:noFill/>
                    </a:ln>
                  </pic:spPr>
                </pic:pic>
              </a:graphicData>
            </a:graphic>
          </wp:inline>
        </w:drawing>
      </w:r>
    </w:p>
    <w:p>
      <w:pPr>
        <w:pStyle w:val="3"/>
        <w:rPr>
          <w:rFonts w:hint="eastAsia"/>
          <w:color w:val="auto"/>
        </w:rPr>
      </w:pPr>
      <w:r>
        <w:rPr>
          <w:rFonts w:hint="eastAsia"/>
          <w:color w:val="auto"/>
        </w:rPr>
        <w:t>附图5：本项目平面布置图</w:t>
      </w:r>
    </w:p>
    <w:p>
      <w:pPr>
        <w:ind w:firstLine="480"/>
        <w:rPr>
          <w:rFonts w:hint="eastAsia"/>
          <w:color w:val="auto"/>
        </w:rPr>
      </w:pPr>
      <w:r>
        <w:rPr>
          <w:color w:val="auto"/>
        </w:rPr>
        <w:object>
          <v:shape id="_x0000_i1032" o:spt="75" type="#_x0000_t75" style="height:618.25pt;width:437.65pt;" o:ole="t" filled="f" stroked="f" coordsize="21600,21600">
            <v:path/>
            <v:fill on="f" focussize="0,0"/>
            <v:stroke on="f"/>
            <v:imagedata r:id="rId54" o:title=""/>
            <o:lock v:ext="edit" aspectratio="t"/>
            <w10:wrap type="none"/>
            <w10:anchorlock/>
          </v:shape>
          <o:OLEObject Type="Embed" ProgID="Visio.DrawingConvertable.15" ShapeID="_x0000_i1032" DrawAspect="Content" ObjectID="_1468075732" r:id="rId53">
            <o:LockedField>false</o:LockedField>
          </o:OLEObject>
        </w:object>
      </w:r>
    </w:p>
    <w:p>
      <w:pPr>
        <w:pStyle w:val="3"/>
        <w:rPr>
          <w:rFonts w:hint="eastAsia"/>
          <w:color w:val="auto"/>
        </w:rPr>
        <w:sectPr>
          <w:pgSz w:w="11906" w:h="16838"/>
          <w:pgMar w:top="1440" w:right="1202" w:bottom="1440" w:left="1202" w:header="851" w:footer="992" w:gutter="0"/>
          <w:cols w:space="720" w:num="1"/>
          <w:docGrid w:type="lines" w:linePitch="326" w:charSpace="0"/>
        </w:sectPr>
      </w:pPr>
    </w:p>
    <w:p>
      <w:pPr>
        <w:pStyle w:val="3"/>
        <w:keepNext/>
        <w:keepLines/>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eastAsia"/>
          <w:color w:val="auto"/>
          <w:sz w:val="28"/>
          <w:szCs w:val="24"/>
        </w:rPr>
      </w:pPr>
      <w:r>
        <w:rPr>
          <w:rFonts w:hint="eastAsia"/>
          <w:color w:val="auto"/>
          <w:sz w:val="28"/>
          <w:szCs w:val="24"/>
        </w:rPr>
        <w:t>附图6：引用监测点位布点图</w:t>
      </w:r>
    </w:p>
    <w:p>
      <w:pPr>
        <w:ind w:firstLine="480"/>
        <w:rPr>
          <w:rFonts w:hint="eastAsia" w:cs="Times New Roman"/>
          <w:color w:val="auto"/>
          <w:lang w:eastAsia="zh-CN"/>
        </w:rPr>
      </w:pPr>
      <w:r>
        <w:rPr>
          <w:rFonts w:hint="eastAsia" w:cs="Times New Roman"/>
          <w:color w:val="auto"/>
          <w:lang w:eastAsia="zh-CN"/>
        </w:rPr>
        <w:drawing>
          <wp:inline distT="0" distB="0" distL="114300" distR="114300">
            <wp:extent cx="7079615" cy="5267960"/>
            <wp:effectExtent l="0" t="0" r="6985" b="8890"/>
            <wp:docPr id="35" name="图片 35" descr="1719906747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1719906747275"/>
                    <pic:cNvPicPr>
                      <a:picLocks noChangeAspect="1"/>
                    </pic:cNvPicPr>
                  </pic:nvPicPr>
                  <pic:blipFill>
                    <a:blip r:embed="rId55"/>
                    <a:stretch>
                      <a:fillRect/>
                    </a:stretch>
                  </pic:blipFill>
                  <pic:spPr>
                    <a:xfrm>
                      <a:off x="0" y="0"/>
                      <a:ext cx="7079615" cy="5267960"/>
                    </a:xfrm>
                    <a:prstGeom prst="rect">
                      <a:avLst/>
                    </a:prstGeom>
                  </pic:spPr>
                </pic:pic>
              </a:graphicData>
            </a:graphic>
          </wp:inline>
        </w:drawing>
      </w:r>
    </w:p>
    <w:p>
      <w:pPr>
        <w:ind w:left="0" w:leftChars="0" w:firstLine="0" w:firstLineChars="0"/>
        <w:rPr>
          <w:rFonts w:hint="eastAsia" w:cs="Times New Roman"/>
          <w:color w:val="auto"/>
          <w:lang w:eastAsia="zh-CN"/>
        </w:rPr>
      </w:pPr>
    </w:p>
    <w:p>
      <w:pPr>
        <w:ind w:firstLine="480"/>
        <w:rPr>
          <w:rFonts w:hint="eastAsia" w:cs="Times New Roman"/>
          <w:color w:val="auto"/>
          <w:lang w:eastAsia="zh-CN"/>
        </w:rPr>
        <w:sectPr>
          <w:pgSz w:w="16838" w:h="11906" w:orient="landscape"/>
          <w:pgMar w:top="1157" w:right="1800" w:bottom="1157" w:left="1746" w:header="851" w:footer="992" w:gutter="0"/>
          <w:cols w:space="425" w:num="1"/>
          <w:docGrid w:type="lines" w:linePitch="312" w:charSpace="0"/>
        </w:sectPr>
      </w:pPr>
    </w:p>
    <w:p>
      <w:pPr>
        <w:pStyle w:val="3"/>
        <w:pageBreakBefore w:val="0"/>
        <w:widowControl w:val="0"/>
        <w:kinsoku/>
        <w:wordWrap/>
        <w:overflowPunct/>
        <w:topLinePunct w:val="0"/>
        <w:autoSpaceDE/>
        <w:autoSpaceDN/>
        <w:bidi w:val="0"/>
        <w:adjustRightInd/>
        <w:spacing w:line="360" w:lineRule="auto"/>
        <w:ind w:left="0" w:leftChars="0" w:firstLine="0" w:firstLineChars="0"/>
        <w:textAlignment w:val="auto"/>
        <w:rPr>
          <w:rFonts w:hint="eastAsia"/>
          <w:color w:val="auto"/>
        </w:rPr>
      </w:pPr>
      <w:r>
        <w:rPr>
          <w:color w:val="auto"/>
        </w:rPr>
        <w:drawing>
          <wp:inline distT="0" distB="0" distL="114300" distR="114300">
            <wp:extent cx="5260975" cy="7294245"/>
            <wp:effectExtent l="0" t="0" r="15875" b="1905"/>
            <wp:docPr id="3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5"/>
                    <pic:cNvPicPr>
                      <a:picLocks noChangeAspect="1"/>
                    </pic:cNvPicPr>
                  </pic:nvPicPr>
                  <pic:blipFill>
                    <a:blip r:embed="rId56"/>
                    <a:stretch>
                      <a:fillRect/>
                    </a:stretch>
                  </pic:blipFill>
                  <pic:spPr>
                    <a:xfrm>
                      <a:off x="0" y="0"/>
                      <a:ext cx="5260975" cy="7294245"/>
                    </a:xfrm>
                    <a:prstGeom prst="rect">
                      <a:avLst/>
                    </a:prstGeom>
                    <a:noFill/>
                    <a:ln>
                      <a:noFill/>
                    </a:ln>
                  </pic:spPr>
                </pic:pic>
              </a:graphicData>
            </a:graphic>
          </wp:inline>
        </w:drawing>
      </w:r>
    </w:p>
    <w:p>
      <w:pPr>
        <w:pStyle w:val="3"/>
        <w:pageBreakBefore w:val="0"/>
        <w:widowControl w:val="0"/>
        <w:kinsoku/>
        <w:wordWrap/>
        <w:overflowPunct/>
        <w:topLinePunct w:val="0"/>
        <w:autoSpaceDE/>
        <w:autoSpaceDN/>
        <w:bidi w:val="0"/>
        <w:adjustRightInd/>
        <w:spacing w:line="360" w:lineRule="auto"/>
        <w:ind w:left="0" w:leftChars="0" w:firstLine="0" w:firstLineChars="0"/>
        <w:textAlignment w:val="auto"/>
        <w:rPr>
          <w:rFonts w:hint="eastAsia"/>
          <w:color w:val="auto"/>
        </w:rPr>
      </w:pPr>
    </w:p>
    <w:p>
      <w:pPr>
        <w:pStyle w:val="3"/>
        <w:pageBreakBefore w:val="0"/>
        <w:widowControl w:val="0"/>
        <w:kinsoku/>
        <w:wordWrap/>
        <w:overflowPunct/>
        <w:topLinePunct w:val="0"/>
        <w:autoSpaceDE/>
        <w:autoSpaceDN/>
        <w:bidi w:val="0"/>
        <w:adjustRightInd/>
        <w:spacing w:line="360" w:lineRule="auto"/>
        <w:ind w:left="0" w:leftChars="0" w:firstLine="0" w:firstLineChars="0"/>
        <w:textAlignment w:val="auto"/>
        <w:rPr>
          <w:rFonts w:hint="eastAsia"/>
          <w:color w:val="auto"/>
        </w:rPr>
      </w:pPr>
    </w:p>
    <w:p>
      <w:pPr>
        <w:pageBreakBefore w:val="0"/>
        <w:widowControl w:val="0"/>
        <w:kinsoku/>
        <w:wordWrap/>
        <w:overflowPunct/>
        <w:topLinePunct w:val="0"/>
        <w:autoSpaceDE/>
        <w:autoSpaceDN/>
        <w:bidi w:val="0"/>
        <w:adjustRightInd/>
        <w:spacing w:line="360" w:lineRule="auto"/>
        <w:ind w:firstLine="0" w:firstLineChars="0"/>
        <w:jc w:val="right"/>
        <w:textAlignment w:val="auto"/>
        <w:rPr>
          <w:color w:val="auto"/>
          <w:sz w:val="28"/>
          <w:szCs w:val="28"/>
        </w:rPr>
        <w:sectPr>
          <w:headerReference r:id="rId20" w:type="first"/>
          <w:footerReference r:id="rId23" w:type="first"/>
          <w:headerReference r:id="rId18" w:type="default"/>
          <w:footerReference r:id="rId21" w:type="default"/>
          <w:headerReference r:id="rId19" w:type="even"/>
          <w:footerReference r:id="rId22" w:type="even"/>
          <w:pgSz w:w="11906" w:h="16838"/>
          <w:pgMar w:top="1440" w:right="1800" w:bottom="1440" w:left="1800" w:header="851" w:footer="992" w:gutter="0"/>
          <w:cols w:space="720" w:num="1"/>
          <w:docGrid w:type="lines" w:linePitch="312" w:charSpace="0"/>
        </w:sectPr>
      </w:pPr>
    </w:p>
    <w:p>
      <w:pPr>
        <w:pStyle w:val="3"/>
        <w:pageBreakBefore w:val="0"/>
        <w:widowControl w:val="0"/>
        <w:kinsoku/>
        <w:wordWrap/>
        <w:overflowPunct/>
        <w:topLinePunct w:val="0"/>
        <w:autoSpaceDE/>
        <w:autoSpaceDN/>
        <w:bidi w:val="0"/>
        <w:adjustRightInd/>
        <w:spacing w:line="360" w:lineRule="auto"/>
        <w:ind w:firstLine="0" w:firstLineChars="0"/>
        <w:textAlignment w:val="auto"/>
        <w:rPr>
          <w:rFonts w:hint="eastAsia"/>
          <w:color w:val="auto"/>
        </w:rPr>
      </w:pPr>
      <w:r>
        <w:rPr>
          <w:rFonts w:hint="eastAsia"/>
          <w:color w:val="auto"/>
        </w:rPr>
        <w:t>附件2：项目备案告知书</w:t>
      </w:r>
    </w:p>
    <w:p>
      <w:pPr>
        <w:pageBreakBefore w:val="0"/>
        <w:widowControl w:val="0"/>
        <w:kinsoku/>
        <w:wordWrap/>
        <w:overflowPunct/>
        <w:topLinePunct w:val="0"/>
        <w:autoSpaceDE/>
        <w:autoSpaceDN/>
        <w:bidi w:val="0"/>
        <w:adjustRightInd/>
        <w:spacing w:line="360" w:lineRule="auto"/>
        <w:ind w:firstLine="0" w:firstLineChars="0"/>
        <w:textAlignment w:val="auto"/>
        <w:rPr>
          <w:rFonts w:hint="eastAsia"/>
          <w:color w:val="auto"/>
        </w:rPr>
        <w:sectPr>
          <w:pgSz w:w="11906" w:h="16838"/>
          <w:pgMar w:top="1440" w:right="1800" w:bottom="1440" w:left="1800" w:header="851" w:footer="992" w:gutter="0"/>
          <w:cols w:space="720" w:num="1"/>
          <w:docGrid w:type="lines" w:linePitch="312" w:charSpace="0"/>
        </w:sectPr>
      </w:pPr>
      <w:r>
        <w:rPr>
          <w:rFonts w:hint="eastAsia"/>
          <w:color w:val="auto"/>
        </w:rPr>
        <w:drawing>
          <wp:inline distT="0" distB="0" distL="114300" distR="114300">
            <wp:extent cx="5273675" cy="7463790"/>
            <wp:effectExtent l="0" t="0" r="3175" b="3810"/>
            <wp:docPr id="9" name="图片 8" descr="3000吨高端稀土抛光材料备案文件(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descr="3000吨高端稀土抛光材料备案文件(1)_00"/>
                    <pic:cNvPicPr>
                      <a:picLocks noChangeAspect="1"/>
                    </pic:cNvPicPr>
                  </pic:nvPicPr>
                  <pic:blipFill>
                    <a:blip r:embed="rId57"/>
                    <a:stretch>
                      <a:fillRect/>
                    </a:stretch>
                  </pic:blipFill>
                  <pic:spPr>
                    <a:xfrm>
                      <a:off x="0" y="0"/>
                      <a:ext cx="5273675" cy="7463790"/>
                    </a:xfrm>
                    <a:prstGeom prst="rect">
                      <a:avLst/>
                    </a:prstGeom>
                    <a:noFill/>
                    <a:ln>
                      <a:noFill/>
                    </a:ln>
                  </pic:spPr>
                </pic:pic>
              </a:graphicData>
            </a:graphic>
          </wp:inline>
        </w:drawing>
      </w:r>
    </w:p>
    <w:p>
      <w:pPr>
        <w:pStyle w:val="3"/>
        <w:pageBreakBefore w:val="0"/>
        <w:widowControl w:val="0"/>
        <w:kinsoku/>
        <w:wordWrap/>
        <w:overflowPunct/>
        <w:topLinePunct w:val="0"/>
        <w:autoSpaceDE/>
        <w:autoSpaceDN/>
        <w:bidi w:val="0"/>
        <w:adjustRightInd/>
        <w:spacing w:line="360" w:lineRule="auto"/>
        <w:ind w:firstLine="0" w:firstLineChars="0"/>
        <w:textAlignment w:val="auto"/>
        <w:rPr>
          <w:rFonts w:hint="eastAsia"/>
          <w:color w:val="auto"/>
        </w:rPr>
      </w:pPr>
      <w:r>
        <w:rPr>
          <w:rFonts w:hint="eastAsia"/>
          <w:color w:val="auto"/>
        </w:rPr>
        <w:t>附件3：土地证</w:t>
      </w:r>
    </w:p>
    <w:p>
      <w:pPr>
        <w:pStyle w:val="3"/>
        <w:pageBreakBefore w:val="0"/>
        <w:widowControl w:val="0"/>
        <w:kinsoku/>
        <w:wordWrap/>
        <w:overflowPunct/>
        <w:topLinePunct w:val="0"/>
        <w:autoSpaceDE/>
        <w:autoSpaceDN/>
        <w:bidi w:val="0"/>
        <w:adjustRightInd/>
        <w:spacing w:line="360" w:lineRule="auto"/>
        <w:ind w:firstLine="0" w:firstLineChars="0"/>
        <w:textAlignment w:val="auto"/>
        <w:rPr>
          <w:rFonts w:hint="eastAsia"/>
          <w:color w:val="auto"/>
        </w:rPr>
      </w:pPr>
      <w:r>
        <w:rPr>
          <w:rFonts w:hint="eastAsia"/>
          <w:color w:val="auto"/>
        </w:rPr>
        <w:drawing>
          <wp:inline distT="0" distB="0" distL="114300" distR="114300">
            <wp:extent cx="5558790" cy="7867650"/>
            <wp:effectExtent l="0" t="0" r="3810" b="0"/>
            <wp:docPr id="12" name="图片 9" descr="3_土地证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 descr="3_土地证_00"/>
                    <pic:cNvPicPr>
                      <a:picLocks noChangeAspect="1"/>
                    </pic:cNvPicPr>
                  </pic:nvPicPr>
                  <pic:blipFill>
                    <a:blip r:embed="rId58"/>
                    <a:stretch>
                      <a:fillRect/>
                    </a:stretch>
                  </pic:blipFill>
                  <pic:spPr>
                    <a:xfrm>
                      <a:off x="0" y="0"/>
                      <a:ext cx="5558790" cy="7867650"/>
                    </a:xfrm>
                    <a:prstGeom prst="rect">
                      <a:avLst/>
                    </a:prstGeom>
                    <a:noFill/>
                    <a:ln>
                      <a:noFill/>
                    </a:ln>
                  </pic:spPr>
                </pic:pic>
              </a:graphicData>
            </a:graphic>
          </wp:inline>
        </w:drawing>
      </w:r>
    </w:p>
    <w:p>
      <w:pPr>
        <w:pStyle w:val="3"/>
        <w:pageBreakBefore w:val="0"/>
        <w:widowControl w:val="0"/>
        <w:kinsoku/>
        <w:wordWrap/>
        <w:overflowPunct/>
        <w:topLinePunct w:val="0"/>
        <w:autoSpaceDE/>
        <w:autoSpaceDN/>
        <w:bidi w:val="0"/>
        <w:adjustRightInd/>
        <w:spacing w:line="360" w:lineRule="auto"/>
        <w:ind w:firstLine="0" w:firstLineChars="0"/>
        <w:textAlignment w:val="auto"/>
        <w:rPr>
          <w:rFonts w:hint="eastAsia"/>
          <w:color w:val="auto"/>
        </w:rPr>
        <w:sectPr>
          <w:pgSz w:w="11906" w:h="16838"/>
          <w:pgMar w:top="1440" w:right="1800" w:bottom="1440" w:left="1800" w:header="851" w:footer="992" w:gutter="0"/>
          <w:cols w:space="720" w:num="1"/>
          <w:docGrid w:type="lines" w:linePitch="312" w:charSpace="0"/>
        </w:sectPr>
      </w:pPr>
      <w:r>
        <w:rPr>
          <w:rFonts w:hint="eastAsia"/>
          <w:color w:val="auto"/>
        </w:rPr>
        <w:drawing>
          <wp:inline distT="0" distB="0" distL="114300" distR="114300">
            <wp:extent cx="5273675" cy="7463790"/>
            <wp:effectExtent l="0" t="0" r="3175" b="3810"/>
            <wp:docPr id="11" name="图片 10" descr="3_土地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descr="3_土地证_01"/>
                    <pic:cNvPicPr>
                      <a:picLocks noChangeAspect="1"/>
                    </pic:cNvPicPr>
                  </pic:nvPicPr>
                  <pic:blipFill>
                    <a:blip r:embed="rId59"/>
                    <a:stretch>
                      <a:fillRect/>
                    </a:stretch>
                  </pic:blipFill>
                  <pic:spPr>
                    <a:xfrm>
                      <a:off x="0" y="0"/>
                      <a:ext cx="5273675" cy="7463790"/>
                    </a:xfrm>
                    <a:prstGeom prst="rect">
                      <a:avLst/>
                    </a:prstGeom>
                    <a:noFill/>
                    <a:ln>
                      <a:noFill/>
                    </a:ln>
                  </pic:spPr>
                </pic:pic>
              </a:graphicData>
            </a:graphic>
          </wp:inline>
        </w:drawing>
      </w:r>
      <w:r>
        <w:rPr>
          <w:rFonts w:hint="eastAsia"/>
          <w:color w:val="auto"/>
        </w:rPr>
        <w:drawing>
          <wp:inline distT="0" distB="0" distL="114300" distR="114300">
            <wp:extent cx="5273675" cy="7463790"/>
            <wp:effectExtent l="0" t="0" r="3175" b="3810"/>
            <wp:docPr id="4" name="图片 11" descr="3_土地证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1" descr="3_土地证_02"/>
                    <pic:cNvPicPr>
                      <a:picLocks noChangeAspect="1"/>
                    </pic:cNvPicPr>
                  </pic:nvPicPr>
                  <pic:blipFill>
                    <a:blip r:embed="rId60"/>
                    <a:stretch>
                      <a:fillRect/>
                    </a:stretch>
                  </pic:blipFill>
                  <pic:spPr>
                    <a:xfrm>
                      <a:off x="0" y="0"/>
                      <a:ext cx="5273675" cy="7463790"/>
                    </a:xfrm>
                    <a:prstGeom prst="rect">
                      <a:avLst/>
                    </a:prstGeom>
                    <a:noFill/>
                    <a:ln>
                      <a:noFill/>
                    </a:ln>
                  </pic:spPr>
                </pic:pic>
              </a:graphicData>
            </a:graphic>
          </wp:inline>
        </w:drawing>
      </w:r>
      <w:r>
        <w:rPr>
          <w:rFonts w:hint="eastAsia"/>
          <w:color w:val="auto"/>
        </w:rPr>
        <w:drawing>
          <wp:inline distT="0" distB="0" distL="114300" distR="114300">
            <wp:extent cx="5273675" cy="7463790"/>
            <wp:effectExtent l="0" t="0" r="3175" b="3810"/>
            <wp:docPr id="3" name="图片 12" descr="3_土地证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2" descr="3_土地证_03"/>
                    <pic:cNvPicPr>
                      <a:picLocks noChangeAspect="1"/>
                    </pic:cNvPicPr>
                  </pic:nvPicPr>
                  <pic:blipFill>
                    <a:blip r:embed="rId61"/>
                    <a:stretch>
                      <a:fillRect/>
                    </a:stretch>
                  </pic:blipFill>
                  <pic:spPr>
                    <a:xfrm>
                      <a:off x="0" y="0"/>
                      <a:ext cx="5273675" cy="7463790"/>
                    </a:xfrm>
                    <a:prstGeom prst="rect">
                      <a:avLst/>
                    </a:prstGeom>
                    <a:noFill/>
                    <a:ln>
                      <a:noFill/>
                    </a:ln>
                  </pic:spPr>
                </pic:pic>
              </a:graphicData>
            </a:graphic>
          </wp:inline>
        </w:drawing>
      </w:r>
      <w:r>
        <w:rPr>
          <w:rFonts w:hint="eastAsia"/>
          <w:color w:val="auto"/>
        </w:rPr>
        <w:drawing>
          <wp:inline distT="0" distB="0" distL="114300" distR="114300">
            <wp:extent cx="5273675" cy="7463790"/>
            <wp:effectExtent l="0" t="0" r="3175" b="3810"/>
            <wp:docPr id="2" name="图片 13" descr="3_土地证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3" descr="3_土地证_04"/>
                    <pic:cNvPicPr>
                      <a:picLocks noChangeAspect="1"/>
                    </pic:cNvPicPr>
                  </pic:nvPicPr>
                  <pic:blipFill>
                    <a:blip r:embed="rId62"/>
                    <a:stretch>
                      <a:fillRect/>
                    </a:stretch>
                  </pic:blipFill>
                  <pic:spPr>
                    <a:xfrm>
                      <a:off x="0" y="0"/>
                      <a:ext cx="5273675" cy="7463790"/>
                    </a:xfrm>
                    <a:prstGeom prst="rect">
                      <a:avLst/>
                    </a:prstGeom>
                    <a:noFill/>
                    <a:ln>
                      <a:noFill/>
                    </a:ln>
                  </pic:spPr>
                </pic:pic>
              </a:graphicData>
            </a:graphic>
          </wp:inline>
        </w:drawing>
      </w:r>
      <w:r>
        <w:rPr>
          <w:rFonts w:hint="eastAsia"/>
          <w:color w:val="auto"/>
        </w:rPr>
        <w:drawing>
          <wp:inline distT="0" distB="0" distL="114300" distR="114300">
            <wp:extent cx="5273675" cy="7463790"/>
            <wp:effectExtent l="0" t="0" r="3175" b="3810"/>
            <wp:docPr id="5" name="图片 14" descr="3_土地证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4" descr="3_土地证_05"/>
                    <pic:cNvPicPr>
                      <a:picLocks noChangeAspect="1"/>
                    </pic:cNvPicPr>
                  </pic:nvPicPr>
                  <pic:blipFill>
                    <a:blip r:embed="rId63"/>
                    <a:stretch>
                      <a:fillRect/>
                    </a:stretch>
                  </pic:blipFill>
                  <pic:spPr>
                    <a:xfrm>
                      <a:off x="0" y="0"/>
                      <a:ext cx="5273675" cy="7463790"/>
                    </a:xfrm>
                    <a:prstGeom prst="rect">
                      <a:avLst/>
                    </a:prstGeom>
                    <a:noFill/>
                    <a:ln>
                      <a:noFill/>
                    </a:ln>
                  </pic:spPr>
                </pic:pic>
              </a:graphicData>
            </a:graphic>
          </wp:inline>
        </w:drawing>
      </w:r>
    </w:p>
    <w:p>
      <w:pPr>
        <w:pStyle w:val="25"/>
        <w:pageBreakBefore w:val="0"/>
        <w:widowControl w:val="0"/>
        <w:tabs>
          <w:tab w:val="left" w:pos="4560"/>
        </w:tabs>
        <w:kinsoku/>
        <w:wordWrap/>
        <w:overflowPunct/>
        <w:topLinePunct w:val="0"/>
        <w:autoSpaceDE/>
        <w:autoSpaceDN/>
        <w:bidi w:val="0"/>
        <w:adjustRightInd/>
        <w:spacing w:after="0" w:line="360" w:lineRule="auto"/>
        <w:ind w:left="0" w:leftChars="0" w:firstLine="0" w:firstLineChars="0"/>
        <w:textAlignment w:val="auto"/>
        <w:rPr>
          <w:color w:val="auto"/>
          <w:sz w:val="28"/>
          <w:szCs w:val="28"/>
        </w:rPr>
      </w:pPr>
      <w:r>
        <w:rPr>
          <w:rFonts w:hint="eastAsia"/>
          <w:b/>
          <w:color w:val="auto"/>
          <w:kern w:val="44"/>
          <w:sz w:val="28"/>
          <w:szCs w:val="24"/>
        </w:rPr>
        <w:t>附件4：是否位于饮用水源保护区的复函</w:t>
      </w:r>
      <w:r>
        <w:rPr>
          <w:rFonts w:hint="eastAsia"/>
          <w:b/>
          <w:color w:val="auto"/>
          <w:kern w:val="44"/>
        </w:rPr>
        <w:br w:type="textWrapping"/>
      </w:r>
      <w:r>
        <w:rPr>
          <w:color w:val="auto"/>
          <w:sz w:val="28"/>
          <w:szCs w:val="28"/>
        </w:rPr>
        <w:drawing>
          <wp:inline distT="0" distB="0" distL="114300" distR="114300">
            <wp:extent cx="5269865" cy="7452995"/>
            <wp:effectExtent l="0" t="0" r="6985" b="14605"/>
            <wp:docPr id="6" name="图片 15" descr="同晨新材料水源地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5" descr="同晨新材料水源地_00"/>
                    <pic:cNvPicPr>
                      <a:picLocks noChangeAspect="1"/>
                    </pic:cNvPicPr>
                  </pic:nvPicPr>
                  <pic:blipFill>
                    <a:blip r:embed="rId64"/>
                    <a:stretch>
                      <a:fillRect/>
                    </a:stretch>
                  </pic:blipFill>
                  <pic:spPr>
                    <a:xfrm>
                      <a:off x="0" y="0"/>
                      <a:ext cx="5269865" cy="7452995"/>
                    </a:xfrm>
                    <a:prstGeom prst="rect">
                      <a:avLst/>
                    </a:prstGeom>
                    <a:noFill/>
                    <a:ln>
                      <a:noFill/>
                    </a:ln>
                  </pic:spPr>
                </pic:pic>
              </a:graphicData>
            </a:graphic>
          </wp:inline>
        </w:drawing>
      </w:r>
      <w:r>
        <w:rPr>
          <w:color w:val="auto"/>
          <w:sz w:val="28"/>
          <w:szCs w:val="28"/>
        </w:rPr>
        <w:drawing>
          <wp:inline distT="0" distB="0" distL="114300" distR="114300">
            <wp:extent cx="5269865" cy="7452995"/>
            <wp:effectExtent l="0" t="0" r="6985" b="14605"/>
            <wp:docPr id="8" name="图片 16" descr="同晨新材料水源地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6" descr="同晨新材料水源地_01"/>
                    <pic:cNvPicPr>
                      <a:picLocks noChangeAspect="1"/>
                    </pic:cNvPicPr>
                  </pic:nvPicPr>
                  <pic:blipFill>
                    <a:blip r:embed="rId65"/>
                    <a:stretch>
                      <a:fillRect/>
                    </a:stretch>
                  </pic:blipFill>
                  <pic:spPr>
                    <a:xfrm>
                      <a:off x="0" y="0"/>
                      <a:ext cx="5269865" cy="7452995"/>
                    </a:xfrm>
                    <a:prstGeom prst="rect">
                      <a:avLst/>
                    </a:prstGeom>
                    <a:noFill/>
                    <a:ln>
                      <a:noFill/>
                    </a:ln>
                  </pic:spPr>
                </pic:pic>
              </a:graphicData>
            </a:graphic>
          </wp:inline>
        </w:drawing>
      </w:r>
      <w:r>
        <w:rPr>
          <w:color w:val="auto"/>
          <w:sz w:val="28"/>
          <w:szCs w:val="28"/>
        </w:rPr>
        <w:drawing>
          <wp:inline distT="0" distB="0" distL="114300" distR="114300">
            <wp:extent cx="5269865" cy="7452995"/>
            <wp:effectExtent l="0" t="0" r="6985" b="14605"/>
            <wp:docPr id="7" name="图片 17" descr="同晨新材料水源地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7" descr="同晨新材料水源地_02"/>
                    <pic:cNvPicPr>
                      <a:picLocks noChangeAspect="1"/>
                    </pic:cNvPicPr>
                  </pic:nvPicPr>
                  <pic:blipFill>
                    <a:blip r:embed="rId66"/>
                    <a:stretch>
                      <a:fillRect/>
                    </a:stretch>
                  </pic:blipFill>
                  <pic:spPr>
                    <a:xfrm>
                      <a:off x="0" y="0"/>
                      <a:ext cx="5269865" cy="7452995"/>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pacing w:line="360" w:lineRule="auto"/>
        <w:ind w:firstLine="0" w:firstLineChars="0"/>
        <w:textAlignment w:val="auto"/>
        <w:rPr>
          <w:rFonts w:hint="eastAsia" w:eastAsia="宋体" w:cs="Times New Roman"/>
          <w:color w:val="auto"/>
          <w:lang w:eastAsia="zh-CN"/>
        </w:rPr>
      </w:pPr>
    </w:p>
    <w:sectPr>
      <w:pgSz w:w="11906" w:h="16838"/>
      <w:pgMar w:top="1800" w:right="1440" w:bottom="1800" w:left="144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0000000000000000000"/>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360"/>
    </w:pPr>
    <w:r>
      <mc:AlternateContent>
        <mc:Choice Requires="wps">
          <w:drawing>
            <wp:anchor distT="0" distB="0" distL="114300" distR="114300" simplePos="0" relativeHeight="251660288" behindDoc="0" locked="0" layoutInCell="1" allowOverlap="1">
              <wp:simplePos x="0" y="0"/>
              <wp:positionH relativeFrom="margin">
                <wp:posOffset>2702560</wp:posOffset>
              </wp:positionH>
              <wp:positionV relativeFrom="paragraph">
                <wp:posOffset>3175</wp:posOffset>
              </wp:positionV>
              <wp:extent cx="448310" cy="180975"/>
              <wp:effectExtent l="0" t="0" r="8890" b="9525"/>
              <wp:wrapNone/>
              <wp:docPr id="1" name="文本框 1"/>
              <wp:cNvGraphicFramePr/>
              <a:graphic xmlns:a="http://schemas.openxmlformats.org/drawingml/2006/main">
                <a:graphicData uri="http://schemas.microsoft.com/office/word/2010/wordprocessingShape">
                  <wps:wsp>
                    <wps:cNvSpPr txBox="1"/>
                    <wps:spPr>
                      <a:xfrm>
                        <a:off x="0" y="0"/>
                        <a:ext cx="448573" cy="1811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8"/>
                            <w:ind w:firstLine="360"/>
                            <w:rPr>
                              <w:rFonts w:eastAsiaTheme="minorEastAsia"/>
                            </w:rPr>
                          </w:pPr>
                          <w:r>
                            <w:rPr>
                              <w:rFonts w:hint="eastAsia"/>
                            </w:rPr>
                            <w:fldChar w:fldCharType="begin"/>
                          </w:r>
                          <w:r>
                            <w:rPr>
                              <w:rFonts w:hint="eastAsia"/>
                            </w:rPr>
                            <w:instrText xml:space="preserve"> PAGE  \* MERGEFORMAT </w:instrText>
                          </w:r>
                          <w:r>
                            <w:rPr>
                              <w:rFonts w:hint="eastAsia"/>
                            </w:rPr>
                            <w:fldChar w:fldCharType="separate"/>
                          </w:r>
                          <w:r>
                            <w:rPr>
                              <w:rFonts w:hint="eastAsia"/>
                            </w:rPr>
                            <w:t>2</w:t>
                          </w:r>
                          <w:r>
                            <w:rPr>
                              <w:rFonts w:hint="eastAsia"/>
                            </w:rPr>
                            <w:fldChar w:fldCharType="end"/>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12.8pt;margin-top:0.25pt;height:14.25pt;width:35.3pt;mso-position-horizontal-relative:margin;z-index:251660288;mso-width-relative:page;mso-height-relative:page;" filled="f" stroked="f" coordsize="21600,21600" o:gfxdata="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WjsgV1gAAAAcBAAAPAAAAAAAAAAEAIAAAACIAAABkcnMvZG93bnJldi54bWxQ&#10;SwECFAAUAAAACACHTuJAIi8QaTICAABVBAAADgAAAAAAAAABACAAAAAlAQAAZHJzL2Uyb0RvYy54&#10;bWxQSwUGAAAAAAYABgBZAQAAyQUAAAAA&#10;">
              <v:fill on="f" focussize="0,0"/>
              <v:stroke on="f" weight="0.5pt"/>
              <v:imagedata o:title=""/>
              <o:lock v:ext="edit" aspectratio="f"/>
              <v:textbox inset="0mm,0mm,0mm,0mm">
                <w:txbxContent>
                  <w:p>
                    <w:pPr>
                      <w:pStyle w:val="18"/>
                      <w:ind w:firstLine="360"/>
                      <w:rPr>
                        <w:rFonts w:eastAsiaTheme="minorEastAsia"/>
                      </w:rPr>
                    </w:pPr>
                    <w:r>
                      <w:rPr>
                        <w:rFonts w:hint="eastAsia"/>
                      </w:rPr>
                      <w:fldChar w:fldCharType="begin"/>
                    </w:r>
                    <w:r>
                      <w:rPr>
                        <w:rFonts w:hint="eastAsia"/>
                      </w:rPr>
                      <w:instrText xml:space="preserve"> PAGE  \* MERGEFORMAT </w:instrText>
                    </w:r>
                    <w:r>
                      <w:rPr>
                        <w:rFonts w:hint="eastAsia"/>
                      </w:rPr>
                      <w:fldChar w:fldCharType="separate"/>
                    </w:r>
                    <w:r>
                      <w:rPr>
                        <w:rFonts w:hint="eastAsia"/>
                      </w:rPr>
                      <w:t>2</w:t>
                    </w:r>
                    <w:r>
                      <w:rPr>
                        <w:rFonts w:hint="eastAsia"/>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360"/>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360"/>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6DF2990"/>
    <w:multiLevelType w:val="multilevel"/>
    <w:tmpl w:val="16DF2990"/>
    <w:lvl w:ilvl="0" w:tentative="0">
      <w:start w:val="1"/>
      <w:numFmt w:val="decimal"/>
      <w:lvlText w:val="%1"/>
      <w:lvlJc w:val="left"/>
      <w:pPr>
        <w:tabs>
          <w:tab w:val="left" w:pos="942"/>
        </w:tabs>
        <w:ind w:left="942" w:hanging="432"/>
      </w:pPr>
    </w:lvl>
    <w:lvl w:ilvl="1" w:tentative="0">
      <w:start w:val="1"/>
      <w:numFmt w:val="decimal"/>
      <w:lvlText w:val="%1.%2"/>
      <w:lvlJc w:val="left"/>
      <w:pPr>
        <w:tabs>
          <w:tab w:val="left" w:pos="1086"/>
        </w:tabs>
        <w:ind w:left="1086" w:hanging="576"/>
      </w:pPr>
    </w:lvl>
    <w:lvl w:ilvl="2" w:tentative="0">
      <w:start w:val="1"/>
      <w:numFmt w:val="decimal"/>
      <w:lvlText w:val="%1.%2.%3"/>
      <w:lvlJc w:val="left"/>
      <w:pPr>
        <w:tabs>
          <w:tab w:val="left" w:pos="1260"/>
        </w:tabs>
        <w:ind w:left="1260" w:hanging="720"/>
      </w:pPr>
    </w:lvl>
    <w:lvl w:ilvl="3" w:tentative="0">
      <w:start w:val="1"/>
      <w:numFmt w:val="decimal"/>
      <w:lvlText w:val="%1.%2.%3.%4"/>
      <w:lvlJc w:val="left"/>
      <w:pPr>
        <w:tabs>
          <w:tab w:val="left" w:pos="1374"/>
        </w:tabs>
        <w:ind w:left="1374" w:hanging="864"/>
      </w:pPr>
    </w:lvl>
    <w:lvl w:ilvl="4" w:tentative="0">
      <w:start w:val="1"/>
      <w:numFmt w:val="decimal"/>
      <w:lvlText w:val="%1.%2.%3.%4.%5"/>
      <w:lvlJc w:val="left"/>
      <w:pPr>
        <w:tabs>
          <w:tab w:val="left" w:pos="1518"/>
        </w:tabs>
        <w:ind w:left="1518" w:hanging="1008"/>
      </w:pPr>
    </w:lvl>
    <w:lvl w:ilvl="5" w:tentative="0">
      <w:start w:val="1"/>
      <w:numFmt w:val="decimal"/>
      <w:lvlText w:val="%1.%2.%3.%4.%5.%6"/>
      <w:lvlJc w:val="left"/>
      <w:pPr>
        <w:tabs>
          <w:tab w:val="left" w:pos="1662"/>
        </w:tabs>
        <w:ind w:left="1662" w:hanging="1152"/>
      </w:pPr>
    </w:lvl>
    <w:lvl w:ilvl="6" w:tentative="0">
      <w:start w:val="1"/>
      <w:numFmt w:val="decimal"/>
      <w:lvlText w:val="%1.%2.%3.%4.%5.%6.%7"/>
      <w:lvlJc w:val="left"/>
      <w:pPr>
        <w:tabs>
          <w:tab w:val="left" w:pos="1806"/>
        </w:tabs>
        <w:ind w:left="1806" w:hanging="1296"/>
      </w:pPr>
    </w:lvl>
    <w:lvl w:ilvl="7" w:tentative="0">
      <w:start w:val="1"/>
      <w:numFmt w:val="decimal"/>
      <w:lvlText w:val="%1.%2.%3.%4.%5.%6.%7.%8"/>
      <w:lvlJc w:val="left"/>
      <w:pPr>
        <w:tabs>
          <w:tab w:val="left" w:pos="1950"/>
        </w:tabs>
        <w:ind w:left="1950" w:hanging="1440"/>
      </w:pPr>
    </w:lvl>
    <w:lvl w:ilvl="8" w:tentative="0">
      <w:start w:val="1"/>
      <w:numFmt w:val="decimal"/>
      <w:lvlText w:val="%1.%2.%3.%4.%5.%6.%7.%8.%9"/>
      <w:lvlJc w:val="left"/>
      <w:pPr>
        <w:tabs>
          <w:tab w:val="left" w:pos="2094"/>
        </w:tabs>
        <w:ind w:left="2094" w:hanging="1584"/>
      </w:pPr>
    </w:lvl>
  </w:abstractNum>
  <w:abstractNum w:abstractNumId="1">
    <w:nsid w:val="584B73A0"/>
    <w:multiLevelType w:val="singleLevel"/>
    <w:tmpl w:val="584B73A0"/>
    <w:lvl w:ilvl="0" w:tentative="0">
      <w:start w:val="1"/>
      <w:numFmt w:val="bullet"/>
      <w:pStyle w:val="14"/>
      <w:lvlText w:val=""/>
      <w:lvlJc w:val="left"/>
      <w:pPr>
        <w:tabs>
          <w:tab w:val="left" w:pos="2040"/>
        </w:tabs>
        <w:ind w:left="2040" w:hanging="360"/>
      </w:pPr>
      <w:rPr>
        <w:rFonts w:hint="default" w:ascii="Wingdings" w:hAnsi="Wingdings"/>
      </w:rPr>
    </w:lvl>
  </w:abstractNum>
  <w:num w:numId="1">
    <w:abstractNumId w:val="1"/>
  </w:num>
  <w:num w:numId="2">
    <w:abstractNumId w:val="0"/>
    <w:lvlOverride w:ilvl="0">
      <w:lvl w:ilvl="0" w:tentative="1">
        <w:start w:val="1"/>
        <w:numFmt w:val="decimal"/>
        <w:lvlText w:val="%1"/>
        <w:lvlJc w:val="left"/>
        <w:pPr>
          <w:tabs>
            <w:tab w:val="left" w:pos="857"/>
          </w:tabs>
          <w:ind w:left="857" w:hanging="432"/>
        </w:pPr>
      </w:lvl>
    </w:lvlOverride>
    <w:lvlOverride w:ilvl="1">
      <w:lvl w:ilvl="1" w:tentative="1">
        <w:start w:val="1"/>
        <w:numFmt w:val="decimal"/>
        <w:pStyle w:val="48"/>
        <w:lvlText w:val="%1.%2"/>
        <w:lvlJc w:val="left"/>
        <w:pPr>
          <w:tabs>
            <w:tab w:val="left" w:pos="1144"/>
          </w:tabs>
          <w:ind w:left="1144" w:hanging="576"/>
        </w:pPr>
      </w:lvl>
    </w:lvlOverride>
    <w:lvlOverride w:ilvl="2">
      <w:lvl w:ilvl="2" w:tentative="1">
        <w:start w:val="1"/>
        <w:numFmt w:val="decimal"/>
        <w:lvlText w:val="%1.%2.%3"/>
        <w:lvlJc w:val="left"/>
        <w:pPr>
          <w:tabs>
            <w:tab w:val="left" w:pos="1260"/>
          </w:tabs>
          <w:ind w:left="1260" w:hanging="720"/>
        </w:pPr>
        <w:rPr>
          <w:lang w:val="en-US"/>
        </w:rPr>
      </w:lvl>
    </w:lvlOverride>
    <w:lvlOverride w:ilvl="3">
      <w:lvl w:ilvl="3" w:tentative="1">
        <w:start w:val="1"/>
        <w:numFmt w:val="decimal"/>
        <w:lvlText w:val="%1.%2.%3.%4"/>
        <w:lvlJc w:val="left"/>
        <w:pPr>
          <w:tabs>
            <w:tab w:val="left" w:pos="1374"/>
          </w:tabs>
          <w:ind w:left="1374" w:hanging="864"/>
        </w:pPr>
      </w:lvl>
    </w:lvlOverride>
    <w:lvlOverride w:ilvl="4">
      <w:lvl w:ilvl="4" w:tentative="1">
        <w:start w:val="1"/>
        <w:numFmt w:val="decimal"/>
        <w:lvlText w:val="%1.%2.%3.%4.%5"/>
        <w:lvlJc w:val="left"/>
        <w:pPr>
          <w:tabs>
            <w:tab w:val="left" w:pos="1518"/>
          </w:tabs>
          <w:ind w:left="1518" w:hanging="1008"/>
        </w:pPr>
      </w:lvl>
    </w:lvlOverride>
    <w:lvlOverride w:ilvl="5">
      <w:lvl w:ilvl="5" w:tentative="1">
        <w:start w:val="1"/>
        <w:numFmt w:val="decimal"/>
        <w:lvlText w:val="%1.%2.%3.%4.%5.%6"/>
        <w:lvlJc w:val="left"/>
        <w:pPr>
          <w:tabs>
            <w:tab w:val="left" w:pos="1662"/>
          </w:tabs>
          <w:ind w:left="1662" w:hanging="1152"/>
        </w:pPr>
      </w:lvl>
    </w:lvlOverride>
    <w:lvlOverride w:ilvl="6">
      <w:lvl w:ilvl="6" w:tentative="1">
        <w:start w:val="1"/>
        <w:numFmt w:val="decimal"/>
        <w:lvlText w:val="%1.%2.%3.%4.%5.%6.%7"/>
        <w:lvlJc w:val="left"/>
        <w:pPr>
          <w:tabs>
            <w:tab w:val="left" w:pos="1806"/>
          </w:tabs>
          <w:ind w:left="1806" w:hanging="1296"/>
        </w:pPr>
      </w:lvl>
    </w:lvlOverride>
    <w:lvlOverride w:ilvl="7">
      <w:lvl w:ilvl="7" w:tentative="1">
        <w:start w:val="1"/>
        <w:numFmt w:val="decimal"/>
        <w:lvlText w:val="%1.%2.%3.%4.%5.%6.%7.%8"/>
        <w:lvlJc w:val="left"/>
        <w:pPr>
          <w:tabs>
            <w:tab w:val="left" w:pos="1950"/>
          </w:tabs>
          <w:ind w:left="1950" w:hanging="1440"/>
        </w:pPr>
      </w:lvl>
    </w:lvlOverride>
    <w:lvlOverride w:ilvl="8">
      <w:lvl w:ilvl="8" w:tentative="1">
        <w:start w:val="1"/>
        <w:numFmt w:val="decimal"/>
        <w:lvlText w:val="%1.%2.%3.%4.%5.%6.%7.%8.%9"/>
        <w:lvlJc w:val="left"/>
        <w:pPr>
          <w:tabs>
            <w:tab w:val="left" w:pos="2094"/>
          </w:tabs>
          <w:ind w:left="2094" w:hanging="1584"/>
        </w:p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zA3ZTg5MTU0MDZiYTZmNDA3Y2E1NzA1YzFmNDBhODAifQ=="/>
  </w:docVars>
  <w:rsids>
    <w:rsidRoot w:val="284D1310"/>
    <w:rsid w:val="00000C3C"/>
    <w:rsid w:val="00022493"/>
    <w:rsid w:val="00024000"/>
    <w:rsid w:val="000400B5"/>
    <w:rsid w:val="000457DE"/>
    <w:rsid w:val="000578EF"/>
    <w:rsid w:val="000627F4"/>
    <w:rsid w:val="000631AD"/>
    <w:rsid w:val="00065AC5"/>
    <w:rsid w:val="0007074D"/>
    <w:rsid w:val="000B288C"/>
    <w:rsid w:val="000B3961"/>
    <w:rsid w:val="000C3BF3"/>
    <w:rsid w:val="000D3E22"/>
    <w:rsid w:val="000E08E6"/>
    <w:rsid w:val="000F12E4"/>
    <w:rsid w:val="000F1A4D"/>
    <w:rsid w:val="00110430"/>
    <w:rsid w:val="00121103"/>
    <w:rsid w:val="001275CF"/>
    <w:rsid w:val="001325DC"/>
    <w:rsid w:val="00136A9E"/>
    <w:rsid w:val="0014591B"/>
    <w:rsid w:val="0015176E"/>
    <w:rsid w:val="001850D5"/>
    <w:rsid w:val="001A201A"/>
    <w:rsid w:val="001A4CFD"/>
    <w:rsid w:val="001B1CBC"/>
    <w:rsid w:val="001B38CC"/>
    <w:rsid w:val="001B5650"/>
    <w:rsid w:val="001B6F7C"/>
    <w:rsid w:val="001F1046"/>
    <w:rsid w:val="001F1BF6"/>
    <w:rsid w:val="001F34BB"/>
    <w:rsid w:val="001F43E7"/>
    <w:rsid w:val="00201015"/>
    <w:rsid w:val="00234A2A"/>
    <w:rsid w:val="002538D0"/>
    <w:rsid w:val="00263CA0"/>
    <w:rsid w:val="002A30C2"/>
    <w:rsid w:val="002A6031"/>
    <w:rsid w:val="0030047B"/>
    <w:rsid w:val="00301A47"/>
    <w:rsid w:val="00303FA1"/>
    <w:rsid w:val="003207E3"/>
    <w:rsid w:val="00324526"/>
    <w:rsid w:val="003256B7"/>
    <w:rsid w:val="00340952"/>
    <w:rsid w:val="0035103C"/>
    <w:rsid w:val="00352E9E"/>
    <w:rsid w:val="003549BA"/>
    <w:rsid w:val="00361625"/>
    <w:rsid w:val="00366955"/>
    <w:rsid w:val="003837F8"/>
    <w:rsid w:val="003B1F03"/>
    <w:rsid w:val="003C25FC"/>
    <w:rsid w:val="003C3AD5"/>
    <w:rsid w:val="003C4692"/>
    <w:rsid w:val="003D0FA8"/>
    <w:rsid w:val="003E3D58"/>
    <w:rsid w:val="00426E56"/>
    <w:rsid w:val="004339B2"/>
    <w:rsid w:val="00434AE7"/>
    <w:rsid w:val="00444484"/>
    <w:rsid w:val="00482893"/>
    <w:rsid w:val="00493819"/>
    <w:rsid w:val="00494322"/>
    <w:rsid w:val="00497D7B"/>
    <w:rsid w:val="004A01D5"/>
    <w:rsid w:val="004A1482"/>
    <w:rsid w:val="004C1AFF"/>
    <w:rsid w:val="004C4B10"/>
    <w:rsid w:val="0051161A"/>
    <w:rsid w:val="005325CD"/>
    <w:rsid w:val="005346D1"/>
    <w:rsid w:val="00537D8C"/>
    <w:rsid w:val="005560A4"/>
    <w:rsid w:val="005636C5"/>
    <w:rsid w:val="005669AC"/>
    <w:rsid w:val="005818E7"/>
    <w:rsid w:val="005915E0"/>
    <w:rsid w:val="0059574D"/>
    <w:rsid w:val="005C1A80"/>
    <w:rsid w:val="005C21CA"/>
    <w:rsid w:val="005D1936"/>
    <w:rsid w:val="005D5624"/>
    <w:rsid w:val="005E6776"/>
    <w:rsid w:val="00606089"/>
    <w:rsid w:val="006075A2"/>
    <w:rsid w:val="006107AA"/>
    <w:rsid w:val="0061350A"/>
    <w:rsid w:val="00640E13"/>
    <w:rsid w:val="00640E87"/>
    <w:rsid w:val="006501D0"/>
    <w:rsid w:val="006548C7"/>
    <w:rsid w:val="00690801"/>
    <w:rsid w:val="00694500"/>
    <w:rsid w:val="006C5EAA"/>
    <w:rsid w:val="006D0D07"/>
    <w:rsid w:val="006E1B7C"/>
    <w:rsid w:val="006E3128"/>
    <w:rsid w:val="006E6852"/>
    <w:rsid w:val="006F3063"/>
    <w:rsid w:val="00714BEF"/>
    <w:rsid w:val="007169E6"/>
    <w:rsid w:val="00721334"/>
    <w:rsid w:val="00733B15"/>
    <w:rsid w:val="00750B9F"/>
    <w:rsid w:val="0076179F"/>
    <w:rsid w:val="00770C05"/>
    <w:rsid w:val="00777F28"/>
    <w:rsid w:val="00792D1D"/>
    <w:rsid w:val="0079359E"/>
    <w:rsid w:val="007A0EEE"/>
    <w:rsid w:val="007D0283"/>
    <w:rsid w:val="007D0952"/>
    <w:rsid w:val="007D5A5C"/>
    <w:rsid w:val="007E437B"/>
    <w:rsid w:val="00815284"/>
    <w:rsid w:val="00850548"/>
    <w:rsid w:val="00850700"/>
    <w:rsid w:val="00856F42"/>
    <w:rsid w:val="00857872"/>
    <w:rsid w:val="0087634F"/>
    <w:rsid w:val="008772AC"/>
    <w:rsid w:val="008914F4"/>
    <w:rsid w:val="008A4A3F"/>
    <w:rsid w:val="008C58CB"/>
    <w:rsid w:val="008C62CD"/>
    <w:rsid w:val="008C7035"/>
    <w:rsid w:val="008C715D"/>
    <w:rsid w:val="008D3AED"/>
    <w:rsid w:val="00904424"/>
    <w:rsid w:val="00910C59"/>
    <w:rsid w:val="0092012B"/>
    <w:rsid w:val="009246BB"/>
    <w:rsid w:val="00987412"/>
    <w:rsid w:val="00990D25"/>
    <w:rsid w:val="009A2B34"/>
    <w:rsid w:val="009A495E"/>
    <w:rsid w:val="009A534C"/>
    <w:rsid w:val="009C356F"/>
    <w:rsid w:val="009C6216"/>
    <w:rsid w:val="009C74A7"/>
    <w:rsid w:val="009D1353"/>
    <w:rsid w:val="009F3EA9"/>
    <w:rsid w:val="00A02726"/>
    <w:rsid w:val="00A02EFE"/>
    <w:rsid w:val="00A32842"/>
    <w:rsid w:val="00A44723"/>
    <w:rsid w:val="00A5377F"/>
    <w:rsid w:val="00A6348F"/>
    <w:rsid w:val="00A70F58"/>
    <w:rsid w:val="00A7367C"/>
    <w:rsid w:val="00A851C8"/>
    <w:rsid w:val="00AA5A06"/>
    <w:rsid w:val="00AB5EEA"/>
    <w:rsid w:val="00AD1E98"/>
    <w:rsid w:val="00B16B13"/>
    <w:rsid w:val="00B206B9"/>
    <w:rsid w:val="00B30AAC"/>
    <w:rsid w:val="00B57F72"/>
    <w:rsid w:val="00B642AC"/>
    <w:rsid w:val="00B83E79"/>
    <w:rsid w:val="00BA2939"/>
    <w:rsid w:val="00C1026F"/>
    <w:rsid w:val="00C15037"/>
    <w:rsid w:val="00C27E72"/>
    <w:rsid w:val="00C34D49"/>
    <w:rsid w:val="00C40A96"/>
    <w:rsid w:val="00C50376"/>
    <w:rsid w:val="00C52917"/>
    <w:rsid w:val="00C66803"/>
    <w:rsid w:val="00C70EF8"/>
    <w:rsid w:val="00C7476D"/>
    <w:rsid w:val="00C761FA"/>
    <w:rsid w:val="00C8275B"/>
    <w:rsid w:val="00C85FBD"/>
    <w:rsid w:val="00C910D3"/>
    <w:rsid w:val="00C924AA"/>
    <w:rsid w:val="00C94865"/>
    <w:rsid w:val="00CA6A68"/>
    <w:rsid w:val="00CB7936"/>
    <w:rsid w:val="00CE15EC"/>
    <w:rsid w:val="00CE7E70"/>
    <w:rsid w:val="00D3164D"/>
    <w:rsid w:val="00D34ECC"/>
    <w:rsid w:val="00D41AAA"/>
    <w:rsid w:val="00D42568"/>
    <w:rsid w:val="00D47D0C"/>
    <w:rsid w:val="00D50836"/>
    <w:rsid w:val="00D56C74"/>
    <w:rsid w:val="00D67E7D"/>
    <w:rsid w:val="00DB217F"/>
    <w:rsid w:val="00DC70FA"/>
    <w:rsid w:val="00DD0A85"/>
    <w:rsid w:val="00E016AF"/>
    <w:rsid w:val="00E024CF"/>
    <w:rsid w:val="00E207F1"/>
    <w:rsid w:val="00E23761"/>
    <w:rsid w:val="00E32EDC"/>
    <w:rsid w:val="00E47C5E"/>
    <w:rsid w:val="00E5052C"/>
    <w:rsid w:val="00E65AF3"/>
    <w:rsid w:val="00E7440C"/>
    <w:rsid w:val="00E84F52"/>
    <w:rsid w:val="00EA4F2C"/>
    <w:rsid w:val="00EC0BF4"/>
    <w:rsid w:val="00EC54D8"/>
    <w:rsid w:val="00EC6945"/>
    <w:rsid w:val="00ED1A70"/>
    <w:rsid w:val="00F24B01"/>
    <w:rsid w:val="00F87F11"/>
    <w:rsid w:val="00F9185B"/>
    <w:rsid w:val="00FA0EB5"/>
    <w:rsid w:val="00FD7323"/>
    <w:rsid w:val="01937F5B"/>
    <w:rsid w:val="01967DCC"/>
    <w:rsid w:val="021C45DE"/>
    <w:rsid w:val="032327D8"/>
    <w:rsid w:val="046A6C0D"/>
    <w:rsid w:val="04AB3B8E"/>
    <w:rsid w:val="04D37589"/>
    <w:rsid w:val="04FB5660"/>
    <w:rsid w:val="04FE421E"/>
    <w:rsid w:val="06034AB1"/>
    <w:rsid w:val="064F3545"/>
    <w:rsid w:val="06BF2AFD"/>
    <w:rsid w:val="08540505"/>
    <w:rsid w:val="08E54527"/>
    <w:rsid w:val="0A336F14"/>
    <w:rsid w:val="0B024724"/>
    <w:rsid w:val="0B3E6A2B"/>
    <w:rsid w:val="0B7D5593"/>
    <w:rsid w:val="0C163E2F"/>
    <w:rsid w:val="0E941711"/>
    <w:rsid w:val="0F0C28F0"/>
    <w:rsid w:val="0F3126FC"/>
    <w:rsid w:val="10372E26"/>
    <w:rsid w:val="10FF303A"/>
    <w:rsid w:val="11C517BC"/>
    <w:rsid w:val="11C64B71"/>
    <w:rsid w:val="12046FD4"/>
    <w:rsid w:val="12402AA6"/>
    <w:rsid w:val="135D4BEE"/>
    <w:rsid w:val="13B81E24"/>
    <w:rsid w:val="13D63C7D"/>
    <w:rsid w:val="143D3BAC"/>
    <w:rsid w:val="15460D75"/>
    <w:rsid w:val="158A5AA7"/>
    <w:rsid w:val="16ED5F41"/>
    <w:rsid w:val="16EF75DF"/>
    <w:rsid w:val="175E71E6"/>
    <w:rsid w:val="183C20DA"/>
    <w:rsid w:val="188872B9"/>
    <w:rsid w:val="194C2726"/>
    <w:rsid w:val="19C57049"/>
    <w:rsid w:val="1B423FAF"/>
    <w:rsid w:val="1B80591D"/>
    <w:rsid w:val="1E2166AC"/>
    <w:rsid w:val="1E7004A2"/>
    <w:rsid w:val="1FAF7394"/>
    <w:rsid w:val="20110995"/>
    <w:rsid w:val="20592798"/>
    <w:rsid w:val="20797774"/>
    <w:rsid w:val="20BF0C96"/>
    <w:rsid w:val="21C422DC"/>
    <w:rsid w:val="22B149ED"/>
    <w:rsid w:val="23241284"/>
    <w:rsid w:val="236D661A"/>
    <w:rsid w:val="23FE3337"/>
    <w:rsid w:val="248A4704"/>
    <w:rsid w:val="25B05051"/>
    <w:rsid w:val="260A5BDB"/>
    <w:rsid w:val="261E2227"/>
    <w:rsid w:val="266746C3"/>
    <w:rsid w:val="26933B28"/>
    <w:rsid w:val="27397776"/>
    <w:rsid w:val="27545B7A"/>
    <w:rsid w:val="27B06DE9"/>
    <w:rsid w:val="28300939"/>
    <w:rsid w:val="284303FE"/>
    <w:rsid w:val="284D1310"/>
    <w:rsid w:val="29C3011F"/>
    <w:rsid w:val="29FE0D20"/>
    <w:rsid w:val="2A1F59D3"/>
    <w:rsid w:val="2B4C410B"/>
    <w:rsid w:val="2B7F547C"/>
    <w:rsid w:val="2B934B2F"/>
    <w:rsid w:val="2B974425"/>
    <w:rsid w:val="2BE26EDD"/>
    <w:rsid w:val="2BF23EFE"/>
    <w:rsid w:val="2C3A5F72"/>
    <w:rsid w:val="2C8928FE"/>
    <w:rsid w:val="2CCA572F"/>
    <w:rsid w:val="2D256143"/>
    <w:rsid w:val="2E8D6E41"/>
    <w:rsid w:val="2F5E5B1E"/>
    <w:rsid w:val="30133FEC"/>
    <w:rsid w:val="305F048E"/>
    <w:rsid w:val="30CC5363"/>
    <w:rsid w:val="30D4749C"/>
    <w:rsid w:val="30E82601"/>
    <w:rsid w:val="30FE7203"/>
    <w:rsid w:val="31B12793"/>
    <w:rsid w:val="32B17854"/>
    <w:rsid w:val="32B35C3F"/>
    <w:rsid w:val="32F15736"/>
    <w:rsid w:val="335143D2"/>
    <w:rsid w:val="33603534"/>
    <w:rsid w:val="337C04D5"/>
    <w:rsid w:val="34291EBA"/>
    <w:rsid w:val="34453D2D"/>
    <w:rsid w:val="34BD5094"/>
    <w:rsid w:val="355A6D87"/>
    <w:rsid w:val="38B10237"/>
    <w:rsid w:val="38D40BFF"/>
    <w:rsid w:val="39917CA4"/>
    <w:rsid w:val="3CC11BBD"/>
    <w:rsid w:val="3D373AF0"/>
    <w:rsid w:val="3EC4383F"/>
    <w:rsid w:val="3F1E0E25"/>
    <w:rsid w:val="41402AB5"/>
    <w:rsid w:val="41792343"/>
    <w:rsid w:val="42154762"/>
    <w:rsid w:val="42CA6941"/>
    <w:rsid w:val="43B144A8"/>
    <w:rsid w:val="43F6098F"/>
    <w:rsid w:val="44916D5E"/>
    <w:rsid w:val="44E53642"/>
    <w:rsid w:val="466E61EE"/>
    <w:rsid w:val="472E597E"/>
    <w:rsid w:val="47C500E1"/>
    <w:rsid w:val="47D74BC4"/>
    <w:rsid w:val="482D67BE"/>
    <w:rsid w:val="495E3C1A"/>
    <w:rsid w:val="4A7A15B0"/>
    <w:rsid w:val="4B0613C1"/>
    <w:rsid w:val="4C48239C"/>
    <w:rsid w:val="4CAE62FE"/>
    <w:rsid w:val="4D6640C3"/>
    <w:rsid w:val="4DB90953"/>
    <w:rsid w:val="4DCD6596"/>
    <w:rsid w:val="4DE202A7"/>
    <w:rsid w:val="4E1D6A43"/>
    <w:rsid w:val="4E630603"/>
    <w:rsid w:val="4F8B1BBF"/>
    <w:rsid w:val="5038396E"/>
    <w:rsid w:val="50C12E9B"/>
    <w:rsid w:val="51073564"/>
    <w:rsid w:val="510F7BB1"/>
    <w:rsid w:val="511412E2"/>
    <w:rsid w:val="51F07579"/>
    <w:rsid w:val="51FD5C5B"/>
    <w:rsid w:val="52815519"/>
    <w:rsid w:val="528A4082"/>
    <w:rsid w:val="53151685"/>
    <w:rsid w:val="539F20DD"/>
    <w:rsid w:val="54A6749B"/>
    <w:rsid w:val="56A11E83"/>
    <w:rsid w:val="56B303FA"/>
    <w:rsid w:val="573C6992"/>
    <w:rsid w:val="57C9597B"/>
    <w:rsid w:val="57D44338"/>
    <w:rsid w:val="58323126"/>
    <w:rsid w:val="58611364"/>
    <w:rsid w:val="587A7227"/>
    <w:rsid w:val="58A41F44"/>
    <w:rsid w:val="58D520DF"/>
    <w:rsid w:val="5A6226A5"/>
    <w:rsid w:val="5AA318E5"/>
    <w:rsid w:val="5B9C4331"/>
    <w:rsid w:val="5BAF723A"/>
    <w:rsid w:val="5C0A2E89"/>
    <w:rsid w:val="5C7574AF"/>
    <w:rsid w:val="5CBB3146"/>
    <w:rsid w:val="5CC6692D"/>
    <w:rsid w:val="5CFB3787"/>
    <w:rsid w:val="5D0441B9"/>
    <w:rsid w:val="5DA4266E"/>
    <w:rsid w:val="5DAE574E"/>
    <w:rsid w:val="5E263D3A"/>
    <w:rsid w:val="5E52767E"/>
    <w:rsid w:val="5E9B1F01"/>
    <w:rsid w:val="5F816A01"/>
    <w:rsid w:val="5F9D7425"/>
    <w:rsid w:val="5FC541F5"/>
    <w:rsid w:val="607B7A2E"/>
    <w:rsid w:val="61480768"/>
    <w:rsid w:val="621759B2"/>
    <w:rsid w:val="632438F0"/>
    <w:rsid w:val="639606F8"/>
    <w:rsid w:val="654523C5"/>
    <w:rsid w:val="65881161"/>
    <w:rsid w:val="66356117"/>
    <w:rsid w:val="67633D02"/>
    <w:rsid w:val="676C6322"/>
    <w:rsid w:val="67F64D74"/>
    <w:rsid w:val="681955D9"/>
    <w:rsid w:val="68A61812"/>
    <w:rsid w:val="694E78B1"/>
    <w:rsid w:val="6A421ACC"/>
    <w:rsid w:val="6A9B2433"/>
    <w:rsid w:val="6AAE019A"/>
    <w:rsid w:val="6B1D1948"/>
    <w:rsid w:val="6BB652C9"/>
    <w:rsid w:val="6CB5542A"/>
    <w:rsid w:val="6CDE737B"/>
    <w:rsid w:val="6CED3A62"/>
    <w:rsid w:val="6DA56BE9"/>
    <w:rsid w:val="6DBE0ED5"/>
    <w:rsid w:val="6F1D510C"/>
    <w:rsid w:val="6F900B6B"/>
    <w:rsid w:val="6FA20270"/>
    <w:rsid w:val="7039292C"/>
    <w:rsid w:val="711F3D9D"/>
    <w:rsid w:val="717209D9"/>
    <w:rsid w:val="71B42DA0"/>
    <w:rsid w:val="73B21561"/>
    <w:rsid w:val="73E123D8"/>
    <w:rsid w:val="760836BA"/>
    <w:rsid w:val="761621DC"/>
    <w:rsid w:val="762A6DFF"/>
    <w:rsid w:val="764F12E9"/>
    <w:rsid w:val="76680FE8"/>
    <w:rsid w:val="76FF4ABD"/>
    <w:rsid w:val="77F644E2"/>
    <w:rsid w:val="78883A5D"/>
    <w:rsid w:val="78CF3B51"/>
    <w:rsid w:val="79B64624"/>
    <w:rsid w:val="7A51551F"/>
    <w:rsid w:val="7AA90E3E"/>
    <w:rsid w:val="7B4C4ABD"/>
    <w:rsid w:val="7BF60FCF"/>
    <w:rsid w:val="7D2E40F7"/>
    <w:rsid w:val="7D767A35"/>
    <w:rsid w:val="7DFB021F"/>
    <w:rsid w:val="7EF56F10"/>
    <w:rsid w:val="7F116E5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1" w:semiHidden="0" w:name="heading 2"/>
    <w:lsdException w:qFormat="1" w:unhideWhenUsed="0" w:uiPriority="9" w:semiHidden="0" w:name="heading 3"/>
    <w:lsdException w:qFormat="1" w:unhideWhenUsed="0" w:uiPriority="9" w:semiHidden="0" w:name="heading 4"/>
    <w:lsdException w:qFormat="1" w:uiPriority="0" w:name="heading 5"/>
    <w:lsdException w:qFormat="1"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qFormat="1"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99"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880" w:firstLineChars="200"/>
      <w:jc w:val="both"/>
    </w:pPr>
    <w:rPr>
      <w:rFonts w:ascii="Times New Roman" w:hAnsi="Times New Roman" w:eastAsia="宋体" w:cstheme="minorBidi"/>
      <w:kern w:val="2"/>
      <w:sz w:val="24"/>
      <w:szCs w:val="24"/>
      <w:lang w:val="en-US" w:eastAsia="zh-CN" w:bidi="ar-SA"/>
    </w:rPr>
  </w:style>
  <w:style w:type="paragraph" w:styleId="3">
    <w:name w:val="heading 1"/>
    <w:basedOn w:val="1"/>
    <w:next w:val="1"/>
    <w:qFormat/>
    <w:uiPriority w:val="9"/>
    <w:pPr>
      <w:keepNext/>
      <w:keepLines/>
      <w:outlineLvl w:val="0"/>
    </w:pPr>
    <w:rPr>
      <w:rFonts w:eastAsiaTheme="minorEastAsia"/>
      <w:b/>
      <w:kern w:val="44"/>
      <w:sz w:val="28"/>
    </w:rPr>
  </w:style>
  <w:style w:type="paragraph" w:styleId="4">
    <w:name w:val="heading 2"/>
    <w:basedOn w:val="1"/>
    <w:next w:val="1"/>
    <w:qFormat/>
    <w:uiPriority w:val="1"/>
    <w:pPr>
      <w:keepNext/>
      <w:keepLines/>
      <w:spacing w:before="260" w:after="260" w:line="416" w:lineRule="auto"/>
      <w:outlineLvl w:val="1"/>
    </w:pPr>
    <w:rPr>
      <w:rFonts w:ascii="Cambria" w:hAnsi="Cambria" w:cs="Times New Roman"/>
      <w:b/>
      <w:bCs/>
      <w:sz w:val="32"/>
      <w:szCs w:val="32"/>
    </w:rPr>
  </w:style>
  <w:style w:type="paragraph" w:styleId="5">
    <w:name w:val="heading 3"/>
    <w:basedOn w:val="1"/>
    <w:next w:val="1"/>
    <w:qFormat/>
    <w:uiPriority w:val="9"/>
    <w:pPr>
      <w:keepNext/>
      <w:keepLines/>
      <w:spacing w:before="260" w:after="260" w:line="416" w:lineRule="auto"/>
      <w:outlineLvl w:val="2"/>
    </w:pPr>
    <w:rPr>
      <w:b/>
      <w:bCs/>
      <w:sz w:val="32"/>
      <w:szCs w:val="32"/>
    </w:rPr>
  </w:style>
  <w:style w:type="paragraph" w:styleId="6">
    <w:name w:val="heading 4"/>
    <w:basedOn w:val="7"/>
    <w:next w:val="1"/>
    <w:qFormat/>
    <w:uiPriority w:val="9"/>
    <w:pPr>
      <w:widowControl/>
      <w:spacing w:before="100" w:beforeAutospacing="1" w:after="100" w:afterAutospacing="1"/>
      <w:jc w:val="left"/>
      <w:outlineLvl w:val="3"/>
    </w:pPr>
    <w:rPr>
      <w:rFonts w:ascii="宋体" w:hAnsi="宋体"/>
      <w:kern w:val="0"/>
      <w:sz w:val="24"/>
      <w:szCs w:val="20"/>
    </w:rPr>
  </w:style>
  <w:style w:type="paragraph" w:styleId="8">
    <w:name w:val="heading 6"/>
    <w:basedOn w:val="1"/>
    <w:next w:val="1"/>
    <w:qFormat/>
    <w:uiPriority w:val="0"/>
    <w:pPr>
      <w:keepNext/>
      <w:keepLines/>
      <w:spacing w:before="240" w:after="64" w:line="320" w:lineRule="auto"/>
      <w:ind w:left="1152" w:hanging="432"/>
      <w:outlineLvl w:val="5"/>
    </w:pPr>
    <w:rPr>
      <w:rFonts w:ascii="Cambria" w:hAnsi="Cambria" w:cs="Times New Roman"/>
      <w:b/>
      <w:bCs/>
      <w:kern w:val="0"/>
    </w:rPr>
  </w:style>
  <w:style w:type="character" w:default="1" w:styleId="28">
    <w:name w:val="Default Paragraph Font"/>
    <w:semiHidden/>
    <w:unhideWhenUsed/>
    <w:qFormat/>
    <w:uiPriority w:val="1"/>
  </w:style>
  <w:style w:type="table" w:default="1" w:styleId="26">
    <w:name w:val="Normal Table"/>
    <w:semiHidden/>
    <w:unhideWhenUsed/>
    <w:qFormat/>
    <w:uiPriority w:val="99"/>
    <w:tblPr>
      <w:tblCellMar>
        <w:top w:w="0" w:type="dxa"/>
        <w:left w:w="108" w:type="dxa"/>
        <w:bottom w:w="0" w:type="dxa"/>
        <w:right w:w="108" w:type="dxa"/>
      </w:tblCellMar>
    </w:tblPr>
  </w:style>
  <w:style w:type="paragraph" w:styleId="2">
    <w:name w:val="Body Text Indent"/>
    <w:basedOn w:val="1"/>
    <w:next w:val="1"/>
    <w:qFormat/>
    <w:uiPriority w:val="0"/>
    <w:pPr>
      <w:widowControl/>
      <w:snapToGrid w:val="0"/>
      <w:spacing w:line="240" w:lineRule="auto"/>
      <w:ind w:left="480" w:leftChars="200" w:firstLine="482"/>
      <w:jc w:val="center"/>
    </w:pPr>
    <w:rPr>
      <w:rFonts w:cs="Times New Roman"/>
      <w:b/>
      <w:bCs/>
      <w:kern w:val="0"/>
      <w:szCs w:val="22"/>
      <w:lang w:eastAsia="en-US" w:bidi="en-US"/>
    </w:rPr>
  </w:style>
  <w:style w:type="paragraph" w:styleId="7">
    <w:name w:val="Title"/>
    <w:basedOn w:val="1"/>
    <w:next w:val="1"/>
    <w:qFormat/>
    <w:uiPriority w:val="0"/>
    <w:pPr>
      <w:spacing w:before="240" w:after="60"/>
      <w:jc w:val="center"/>
      <w:outlineLvl w:val="0"/>
    </w:pPr>
    <w:rPr>
      <w:rFonts w:ascii="Cambria" w:hAnsi="Cambria"/>
      <w:b/>
      <w:bCs/>
      <w:sz w:val="32"/>
      <w:szCs w:val="32"/>
    </w:rPr>
  </w:style>
  <w:style w:type="paragraph" w:styleId="9">
    <w:name w:val="Normal Indent"/>
    <w:basedOn w:val="1"/>
    <w:next w:val="1"/>
    <w:link w:val="51"/>
    <w:qFormat/>
    <w:uiPriority w:val="0"/>
    <w:pPr>
      <w:ind w:firstLine="420"/>
    </w:pPr>
  </w:style>
  <w:style w:type="paragraph" w:styleId="10">
    <w:name w:val="annotation text"/>
    <w:basedOn w:val="1"/>
    <w:link w:val="58"/>
    <w:qFormat/>
    <w:uiPriority w:val="0"/>
    <w:pPr>
      <w:jc w:val="left"/>
    </w:pPr>
  </w:style>
  <w:style w:type="paragraph" w:styleId="11">
    <w:name w:val="Body Text 3"/>
    <w:basedOn w:val="1"/>
    <w:qFormat/>
    <w:uiPriority w:val="0"/>
    <w:pPr>
      <w:adjustRightInd w:val="0"/>
      <w:spacing w:after="120"/>
    </w:pPr>
    <w:rPr>
      <w:sz w:val="16"/>
      <w:szCs w:val="20"/>
    </w:rPr>
  </w:style>
  <w:style w:type="paragraph" w:styleId="12">
    <w:name w:val="Body Text"/>
    <w:basedOn w:val="1"/>
    <w:next w:val="1"/>
    <w:qFormat/>
    <w:uiPriority w:val="0"/>
    <w:pPr>
      <w:jc w:val="left"/>
    </w:pPr>
  </w:style>
  <w:style w:type="paragraph" w:styleId="13">
    <w:name w:val="Plain Text"/>
    <w:basedOn w:val="1"/>
    <w:qFormat/>
    <w:uiPriority w:val="0"/>
    <w:rPr>
      <w:rFonts w:ascii="宋体" w:hAnsi="Courier New"/>
    </w:rPr>
  </w:style>
  <w:style w:type="paragraph" w:styleId="14">
    <w:name w:val="List Bullet 5"/>
    <w:basedOn w:val="1"/>
    <w:qFormat/>
    <w:uiPriority w:val="99"/>
    <w:pPr>
      <w:numPr>
        <w:ilvl w:val="0"/>
        <w:numId w:val="1"/>
      </w:numPr>
    </w:pPr>
  </w:style>
  <w:style w:type="paragraph" w:styleId="15">
    <w:name w:val="Date"/>
    <w:basedOn w:val="1"/>
    <w:next w:val="1"/>
    <w:qFormat/>
    <w:uiPriority w:val="0"/>
    <w:pPr>
      <w:widowControl/>
    </w:pPr>
    <w:rPr>
      <w:rFonts w:ascii="宋体"/>
      <w:kern w:val="0"/>
      <w:sz w:val="28"/>
      <w:szCs w:val="20"/>
    </w:rPr>
  </w:style>
  <w:style w:type="paragraph" w:styleId="16">
    <w:name w:val="Body Text Indent 2"/>
    <w:basedOn w:val="1"/>
    <w:qFormat/>
    <w:uiPriority w:val="0"/>
    <w:pPr>
      <w:spacing w:line="540" w:lineRule="exact"/>
      <w:ind w:firstLine="480"/>
    </w:pPr>
  </w:style>
  <w:style w:type="paragraph" w:styleId="17">
    <w:name w:val="endnote text"/>
    <w:basedOn w:val="1"/>
    <w:qFormat/>
    <w:uiPriority w:val="0"/>
    <w:pPr>
      <w:snapToGrid w:val="0"/>
      <w:jc w:val="left"/>
    </w:pPr>
  </w:style>
  <w:style w:type="paragraph" w:styleId="18">
    <w:name w:val="footer"/>
    <w:basedOn w:val="1"/>
    <w:qFormat/>
    <w:uiPriority w:val="0"/>
    <w:pPr>
      <w:tabs>
        <w:tab w:val="center" w:pos="4153"/>
        <w:tab w:val="right" w:pos="8306"/>
      </w:tabs>
      <w:snapToGrid w:val="0"/>
      <w:jc w:val="left"/>
    </w:pPr>
    <w:rPr>
      <w:sz w:val="18"/>
    </w:rPr>
  </w:style>
  <w:style w:type="paragraph" w:styleId="1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pPr>
    <w:rPr>
      <w:sz w:val="18"/>
    </w:rPr>
  </w:style>
  <w:style w:type="paragraph" w:styleId="20">
    <w:name w:val="List"/>
    <w:basedOn w:val="1"/>
    <w:qFormat/>
    <w:uiPriority w:val="0"/>
    <w:pPr>
      <w:jc w:val="center"/>
    </w:pPr>
    <w:rPr>
      <w:rFonts w:ascii="宋体" w:hAnsi="宋体"/>
      <w:spacing w:val="8"/>
    </w:rPr>
  </w:style>
  <w:style w:type="paragraph" w:styleId="21">
    <w:name w:val="Body Text Indent 3"/>
    <w:basedOn w:val="1"/>
    <w:qFormat/>
    <w:uiPriority w:val="0"/>
    <w:pPr>
      <w:ind w:firstLine="480"/>
      <w:jc w:val="left"/>
    </w:pPr>
    <w:rPr>
      <w:rFonts w:ascii="宋体"/>
    </w:rPr>
  </w:style>
  <w:style w:type="paragraph" w:styleId="22">
    <w:name w:val="Normal (Web)"/>
    <w:basedOn w:val="1"/>
    <w:qFormat/>
    <w:uiPriority w:val="0"/>
    <w:pPr>
      <w:widowControl/>
      <w:spacing w:before="100" w:beforeAutospacing="1" w:after="100" w:afterAutospacing="1"/>
      <w:jc w:val="left"/>
    </w:pPr>
    <w:rPr>
      <w:rFonts w:ascii="宋体" w:hAnsi="宋体"/>
      <w:color w:val="000000"/>
      <w:kern w:val="0"/>
      <w:szCs w:val="20"/>
    </w:rPr>
  </w:style>
  <w:style w:type="paragraph" w:styleId="23">
    <w:name w:val="annotation subject"/>
    <w:basedOn w:val="10"/>
    <w:next w:val="10"/>
    <w:link w:val="59"/>
    <w:qFormat/>
    <w:uiPriority w:val="0"/>
    <w:rPr>
      <w:b/>
      <w:bCs/>
    </w:rPr>
  </w:style>
  <w:style w:type="paragraph" w:styleId="24">
    <w:name w:val="Body Text First Indent"/>
    <w:basedOn w:val="12"/>
    <w:next w:val="1"/>
    <w:qFormat/>
    <w:uiPriority w:val="0"/>
    <w:pPr>
      <w:spacing w:after="120"/>
      <w:ind w:firstLine="420" w:firstLineChars="100"/>
      <w:jc w:val="both"/>
    </w:pPr>
    <w:rPr>
      <w:sz w:val="21"/>
    </w:rPr>
  </w:style>
  <w:style w:type="paragraph" w:styleId="25">
    <w:name w:val="Body Text First Indent 2"/>
    <w:basedOn w:val="2"/>
    <w:next w:val="1"/>
    <w:qFormat/>
    <w:uiPriority w:val="0"/>
    <w:pPr>
      <w:widowControl w:val="0"/>
      <w:spacing w:after="120"/>
      <w:ind w:left="420" w:firstLine="420"/>
      <w:jc w:val="both"/>
    </w:pPr>
    <w:rPr>
      <w:kern w:val="2"/>
      <w:sz w:val="21"/>
      <w:szCs w:val="20"/>
      <w:lang w:eastAsia="zh-CN" w:bidi="ar-SA"/>
    </w:rPr>
  </w:style>
  <w:style w:type="table" w:styleId="27">
    <w:name w:val="Table Grid"/>
    <w:basedOn w:val="2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9">
    <w:name w:val="Hyperlink"/>
    <w:basedOn w:val="28"/>
    <w:qFormat/>
    <w:uiPriority w:val="0"/>
    <w:rPr>
      <w:color w:val="0000FF"/>
      <w:u w:val="single"/>
    </w:rPr>
  </w:style>
  <w:style w:type="character" w:styleId="30">
    <w:name w:val="annotation reference"/>
    <w:basedOn w:val="28"/>
    <w:qFormat/>
    <w:uiPriority w:val="0"/>
    <w:rPr>
      <w:sz w:val="21"/>
      <w:szCs w:val="21"/>
    </w:rPr>
  </w:style>
  <w:style w:type="paragraph" w:customStyle="1" w:styleId="31">
    <w:name w:val="样式 正文缩进正文缩进2正文缩进 Char Char正文缩进 Char Char Char Char正文缩进 Char ..."/>
    <w:basedOn w:val="9"/>
    <w:qFormat/>
    <w:uiPriority w:val="0"/>
    <w:pPr>
      <w:ind w:firstLine="200"/>
    </w:pPr>
    <w:rPr>
      <w:rFonts w:cs="宋体"/>
    </w:rPr>
  </w:style>
  <w:style w:type="paragraph" w:customStyle="1" w:styleId="32">
    <w:name w:val="表格"/>
    <w:basedOn w:val="1"/>
    <w:next w:val="1"/>
    <w:qFormat/>
    <w:uiPriority w:val="0"/>
    <w:pPr>
      <w:spacing w:line="240" w:lineRule="auto"/>
      <w:ind w:firstLine="0" w:firstLineChars="0"/>
      <w:jc w:val="center"/>
    </w:pPr>
    <w:rPr>
      <w:sz w:val="21"/>
    </w:rPr>
  </w:style>
  <w:style w:type="character" w:customStyle="1" w:styleId="33">
    <w:name w:val="font11"/>
    <w:basedOn w:val="28"/>
    <w:qFormat/>
    <w:uiPriority w:val="0"/>
    <w:rPr>
      <w:rFonts w:hint="default" w:ascii="Times New Roman" w:hAnsi="Times New Roman" w:cs="Times New Roman"/>
      <w:color w:val="000000"/>
      <w:sz w:val="20"/>
      <w:u w:val="none"/>
    </w:rPr>
  </w:style>
  <w:style w:type="paragraph" w:customStyle="1" w:styleId="34">
    <w:name w:val="Default"/>
    <w:qFormat/>
    <w:uiPriority w:val="0"/>
    <w:pPr>
      <w:widowControl w:val="0"/>
      <w:autoSpaceDE w:val="0"/>
      <w:autoSpaceDN w:val="0"/>
      <w:adjustRightInd w:val="0"/>
    </w:pPr>
    <w:rPr>
      <w:rFonts w:ascii="宋体" w:hAnsi="Times New Roman" w:eastAsia="宋体" w:cs="Times New Roman"/>
      <w:color w:val="000000"/>
      <w:sz w:val="24"/>
      <w:szCs w:val="24"/>
      <w:lang w:val="en-US" w:eastAsia="zh-CN" w:bidi="ar-SA"/>
    </w:rPr>
  </w:style>
  <w:style w:type="paragraph" w:customStyle="1" w:styleId="35">
    <w:name w:val="正文11"/>
    <w:basedOn w:val="1"/>
    <w:qFormat/>
    <w:uiPriority w:val="0"/>
    <w:pPr>
      <w:tabs>
        <w:tab w:val="left" w:pos="2093"/>
      </w:tabs>
      <w:adjustRightInd w:val="0"/>
      <w:ind w:firstLine="360" w:firstLineChars="150"/>
    </w:pPr>
    <w:rPr>
      <w:rFonts w:ascii="宋体" w:hAnsi="宋体"/>
    </w:rPr>
  </w:style>
  <w:style w:type="paragraph" w:customStyle="1" w:styleId="36">
    <w:name w:val="Table Paragraph"/>
    <w:basedOn w:val="1"/>
    <w:qFormat/>
    <w:uiPriority w:val="1"/>
  </w:style>
  <w:style w:type="paragraph" w:customStyle="1" w:styleId="37">
    <w:name w:val="正文1"/>
    <w:basedOn w:val="18"/>
    <w:next w:val="1"/>
    <w:qFormat/>
    <w:uiPriority w:val="0"/>
    <w:pPr>
      <w:adjustRightInd w:val="0"/>
      <w:spacing w:line="420" w:lineRule="atLeast"/>
      <w:jc w:val="both"/>
      <w:textAlignment w:val="baseline"/>
    </w:pPr>
    <w:rPr>
      <w:rFonts w:ascii="宋体" w:hAnsi="Calibri" w:cs="Times New Roman"/>
      <w:sz w:val="28"/>
    </w:rPr>
  </w:style>
  <w:style w:type="paragraph" w:customStyle="1" w:styleId="38">
    <w:name w:val="正文—高"/>
    <w:basedOn w:val="1"/>
    <w:qFormat/>
    <w:uiPriority w:val="0"/>
    <w:pPr>
      <w:overflowPunct w:val="0"/>
      <w:topLinePunct/>
      <w:autoSpaceDE w:val="0"/>
      <w:autoSpaceDN w:val="0"/>
      <w:spacing w:line="480" w:lineRule="exact"/>
      <w:ind w:firstLine="480"/>
    </w:pPr>
    <w:rPr>
      <w:rFonts w:ascii="Calibri" w:hAnsi="Calibri"/>
      <w:color w:val="000000"/>
      <w:kern w:val="24"/>
      <w:szCs w:val="22"/>
    </w:rPr>
  </w:style>
  <w:style w:type="paragraph" w:customStyle="1" w:styleId="39">
    <w:name w:val="列表(L)"/>
    <w:basedOn w:val="20"/>
    <w:qFormat/>
    <w:uiPriority w:val="0"/>
    <w:pPr>
      <w:snapToGrid w:val="0"/>
    </w:pPr>
    <w:rPr>
      <w:rFonts w:eastAsia="仿宋_GB2312"/>
      <w:kern w:val="0"/>
      <w:sz w:val="20"/>
      <w:szCs w:val="20"/>
    </w:rPr>
  </w:style>
  <w:style w:type="paragraph" w:customStyle="1" w:styleId="40">
    <w:name w:val="表格标题w"/>
    <w:basedOn w:val="1"/>
    <w:qFormat/>
    <w:uiPriority w:val="0"/>
    <w:pPr>
      <w:keepNext/>
      <w:adjustRightInd w:val="0"/>
      <w:spacing w:line="440" w:lineRule="exact"/>
      <w:jc w:val="center"/>
    </w:pPr>
    <w:rPr>
      <w:rFonts w:cs="Arial"/>
      <w:b/>
      <w:szCs w:val="21"/>
    </w:rPr>
  </w:style>
  <w:style w:type="paragraph" w:customStyle="1" w:styleId="41">
    <w:name w:val="HP 正文"/>
    <w:basedOn w:val="1"/>
    <w:qFormat/>
    <w:uiPriority w:val="0"/>
    <w:pPr>
      <w:autoSpaceDE w:val="0"/>
      <w:autoSpaceDN w:val="0"/>
      <w:adjustRightInd w:val="0"/>
      <w:ind w:firstLine="200"/>
    </w:pPr>
  </w:style>
  <w:style w:type="paragraph" w:customStyle="1" w:styleId="42">
    <w:name w:val="ENFI表体格式"/>
    <w:basedOn w:val="1"/>
    <w:qFormat/>
    <w:uiPriority w:val="0"/>
    <w:pPr>
      <w:widowControl/>
      <w:adjustRightInd w:val="0"/>
      <w:snapToGrid w:val="0"/>
      <w:spacing w:line="240" w:lineRule="atLeast"/>
      <w:jc w:val="center"/>
    </w:pPr>
    <w:rPr>
      <w:rFonts w:eastAsia="仿宋_GB2312"/>
      <w:b/>
      <w:kern w:val="0"/>
    </w:rPr>
  </w:style>
  <w:style w:type="paragraph" w:customStyle="1" w:styleId="43">
    <w:name w:val="报告表正文"/>
    <w:basedOn w:val="16"/>
    <w:next w:val="16"/>
    <w:qFormat/>
    <w:uiPriority w:val="0"/>
    <w:pPr>
      <w:spacing w:line="360" w:lineRule="auto"/>
      <w:ind w:firstLine="200"/>
    </w:pPr>
  </w:style>
  <w:style w:type="paragraph" w:customStyle="1" w:styleId="44">
    <w:name w:val="T正文"/>
    <w:qFormat/>
    <w:uiPriority w:val="0"/>
    <w:pPr>
      <w:widowControl w:val="0"/>
      <w:adjustRightInd w:val="0"/>
      <w:snapToGrid w:val="0"/>
      <w:spacing w:line="360" w:lineRule="auto"/>
      <w:ind w:firstLine="200" w:firstLineChars="200"/>
      <w:jc w:val="both"/>
    </w:pPr>
    <w:rPr>
      <w:rFonts w:ascii="Times New Roman" w:hAnsi="Times New Roman" w:eastAsia="仿宋_GB2312" w:cs="Times New Roman"/>
      <w:sz w:val="28"/>
      <w:lang w:val="en-US" w:eastAsia="zh-CN" w:bidi="ar-SA"/>
    </w:rPr>
  </w:style>
  <w:style w:type="paragraph" w:styleId="45">
    <w:name w:val="List Paragraph"/>
    <w:basedOn w:val="1"/>
    <w:qFormat/>
    <w:uiPriority w:val="99"/>
    <w:pPr>
      <w:ind w:firstLine="482"/>
      <w:jc w:val="center"/>
    </w:pPr>
    <w:rPr>
      <w:rFonts w:cs="Times New Roman"/>
      <w:b/>
      <w:bCs/>
      <w:color w:val="FF0000"/>
    </w:rPr>
  </w:style>
  <w:style w:type="paragraph" w:customStyle="1" w:styleId="46">
    <w:name w:val="表格内容5号"/>
    <w:qFormat/>
    <w:uiPriority w:val="0"/>
    <w:pPr>
      <w:widowControl w:val="0"/>
      <w:snapToGrid w:val="0"/>
      <w:spacing w:line="240" w:lineRule="atLeast"/>
      <w:jc w:val="center"/>
    </w:pPr>
    <w:rPr>
      <w:rFonts w:ascii="Times New Roman" w:hAnsi="Times New Roman" w:eastAsia="Times New Roman" w:cs="Times New Roman"/>
      <w:kern w:val="2"/>
      <w:sz w:val="21"/>
      <w:szCs w:val="24"/>
      <w:lang w:val="en-US" w:eastAsia="zh-CN" w:bidi="ar-SA"/>
    </w:rPr>
  </w:style>
  <w:style w:type="paragraph" w:customStyle="1" w:styleId="47">
    <w:name w:val="我的正文"/>
    <w:basedOn w:val="1"/>
    <w:qFormat/>
    <w:uiPriority w:val="0"/>
    <w:pPr>
      <w:adjustRightInd w:val="0"/>
      <w:snapToGrid w:val="0"/>
      <w:spacing w:line="240" w:lineRule="auto"/>
      <w:ind w:firstLine="482"/>
      <w:jc w:val="center"/>
    </w:pPr>
    <w:rPr>
      <w:rFonts w:hAnsi="宋体"/>
      <w:b/>
      <w:bCs/>
    </w:rPr>
  </w:style>
  <w:style w:type="paragraph" w:customStyle="1" w:styleId="48">
    <w:name w:val="样式4"/>
    <w:basedOn w:val="1"/>
    <w:qFormat/>
    <w:uiPriority w:val="0"/>
    <w:pPr>
      <w:numPr>
        <w:ilvl w:val="1"/>
        <w:numId w:val="2"/>
      </w:numPr>
      <w:tabs>
        <w:tab w:val="left" w:pos="987"/>
        <w:tab w:val="clear" w:pos="1086"/>
      </w:tabs>
      <w:adjustRightInd w:val="0"/>
      <w:snapToGrid w:val="0"/>
      <w:spacing w:before="50" w:beforeLines="50" w:after="50" w:afterLines="50"/>
      <w:jc w:val="left"/>
      <w:outlineLvl w:val="1"/>
    </w:pPr>
    <w:rPr>
      <w:rFonts w:eastAsia="黑体"/>
      <w:b/>
    </w:rPr>
  </w:style>
  <w:style w:type="paragraph" w:customStyle="1" w:styleId="49">
    <w:name w:val="正文文字 6"/>
    <w:next w:val="1"/>
    <w:qFormat/>
    <w:uiPriority w:val="0"/>
    <w:pPr>
      <w:widowControl w:val="0"/>
      <w:ind w:left="240"/>
      <w:jc w:val="both"/>
    </w:pPr>
    <w:rPr>
      <w:rFonts w:ascii="宋体" w:hAnsi="Calibri" w:eastAsia="宋体" w:cs="Times New Roman"/>
      <w:b/>
      <w:bCs/>
      <w:kern w:val="2"/>
      <w:sz w:val="32"/>
      <w:szCs w:val="32"/>
      <w:lang w:val="en-US" w:eastAsia="zh-CN" w:bidi="ar-SA"/>
    </w:rPr>
  </w:style>
  <w:style w:type="paragraph" w:customStyle="1" w:styleId="50">
    <w:name w:val="Date1"/>
    <w:next w:val="1"/>
    <w:qFormat/>
    <w:uiPriority w:val="0"/>
    <w:pPr>
      <w:widowControl w:val="0"/>
      <w:adjustRightInd w:val="0"/>
      <w:spacing w:after="200" w:line="276" w:lineRule="auto"/>
      <w:textAlignment w:val="baseline"/>
    </w:pPr>
    <w:rPr>
      <w:rFonts w:ascii="宋体" w:hAnsi="宋体" w:eastAsia="宋体" w:cs="Times New Roman"/>
      <w:kern w:val="2"/>
      <w:sz w:val="28"/>
      <w:szCs w:val="22"/>
      <w:lang w:val="en-US" w:eastAsia="en-US" w:bidi="en-US"/>
    </w:rPr>
  </w:style>
  <w:style w:type="character" w:customStyle="1" w:styleId="51">
    <w:name w:val="正文缩进 字符"/>
    <w:basedOn w:val="28"/>
    <w:link w:val="9"/>
    <w:qFormat/>
    <w:uiPriority w:val="0"/>
    <w:rPr>
      <w:rFonts w:cstheme="minorBidi"/>
      <w:kern w:val="2"/>
      <w:sz w:val="24"/>
      <w:szCs w:val="24"/>
    </w:rPr>
  </w:style>
  <w:style w:type="character" w:customStyle="1" w:styleId="52">
    <w:name w:val="font21"/>
    <w:basedOn w:val="28"/>
    <w:qFormat/>
    <w:uiPriority w:val="0"/>
    <w:rPr>
      <w:rFonts w:hint="default" w:ascii="Times New Roman" w:hAnsi="Times New Roman" w:cs="Times New Roman"/>
      <w:b/>
      <w:bCs/>
      <w:color w:val="000000"/>
      <w:sz w:val="24"/>
      <w:szCs w:val="24"/>
      <w:u w:val="none"/>
    </w:rPr>
  </w:style>
  <w:style w:type="character" w:customStyle="1" w:styleId="53">
    <w:name w:val="font51"/>
    <w:basedOn w:val="28"/>
    <w:qFormat/>
    <w:uiPriority w:val="0"/>
    <w:rPr>
      <w:rFonts w:hint="default" w:ascii="Times New Roman" w:hAnsi="Times New Roman" w:cs="Times New Roman"/>
      <w:b/>
      <w:bCs/>
      <w:color w:val="000000"/>
      <w:sz w:val="24"/>
      <w:szCs w:val="24"/>
      <w:u w:val="none"/>
      <w:vertAlign w:val="superscript"/>
    </w:rPr>
  </w:style>
  <w:style w:type="character" w:customStyle="1" w:styleId="54">
    <w:name w:val="font41"/>
    <w:basedOn w:val="28"/>
    <w:qFormat/>
    <w:uiPriority w:val="0"/>
    <w:rPr>
      <w:rFonts w:hint="default" w:ascii="Times New Roman" w:hAnsi="Times New Roman" w:cs="Times New Roman"/>
      <w:color w:val="000000"/>
      <w:sz w:val="21"/>
      <w:szCs w:val="21"/>
      <w:u w:val="none"/>
      <w:vertAlign w:val="superscript"/>
    </w:rPr>
  </w:style>
  <w:style w:type="character" w:customStyle="1" w:styleId="55">
    <w:name w:val="font31"/>
    <w:basedOn w:val="28"/>
    <w:qFormat/>
    <w:uiPriority w:val="0"/>
    <w:rPr>
      <w:rFonts w:hint="eastAsia" w:ascii="宋体" w:hAnsi="宋体" w:eastAsia="宋体"/>
      <w:color w:val="000000"/>
      <w:sz w:val="21"/>
      <w:szCs w:val="21"/>
      <w:u w:val="none"/>
    </w:rPr>
  </w:style>
  <w:style w:type="paragraph" w:customStyle="1" w:styleId="56">
    <w:name w:val="图片标题-环评多级"/>
    <w:basedOn w:val="1"/>
    <w:qFormat/>
    <w:uiPriority w:val="0"/>
    <w:pPr>
      <w:adjustRightInd w:val="0"/>
      <w:snapToGrid w:val="0"/>
      <w:spacing w:line="240" w:lineRule="auto"/>
      <w:ind w:firstLine="480" w:firstLineChars="0"/>
      <w:jc w:val="center"/>
    </w:pPr>
    <w:rPr>
      <w:rFonts w:cs="Times New Roman"/>
      <w:b/>
      <w:color w:val="7030A0"/>
    </w:rPr>
  </w:style>
  <w:style w:type="paragraph" w:customStyle="1" w:styleId="57">
    <w:name w:val="表格标题--环评多级"/>
    <w:basedOn w:val="1"/>
    <w:qFormat/>
    <w:uiPriority w:val="0"/>
    <w:pPr>
      <w:tabs>
        <w:tab w:val="left" w:pos="0"/>
      </w:tabs>
      <w:adjustRightInd w:val="0"/>
      <w:snapToGrid w:val="0"/>
      <w:spacing w:line="240" w:lineRule="auto"/>
      <w:ind w:firstLine="0" w:firstLineChars="0"/>
      <w:jc w:val="center"/>
    </w:pPr>
    <w:rPr>
      <w:rFonts w:cs="Times New Roman"/>
      <w:b/>
      <w:kern w:val="0"/>
    </w:rPr>
  </w:style>
  <w:style w:type="character" w:customStyle="1" w:styleId="58">
    <w:name w:val="批注文字 字符"/>
    <w:basedOn w:val="28"/>
    <w:link w:val="10"/>
    <w:qFormat/>
    <w:uiPriority w:val="0"/>
    <w:rPr>
      <w:rFonts w:cstheme="minorBidi"/>
      <w:kern w:val="2"/>
      <w:sz w:val="24"/>
      <w:szCs w:val="24"/>
    </w:rPr>
  </w:style>
  <w:style w:type="character" w:customStyle="1" w:styleId="59">
    <w:name w:val="批注主题 字符"/>
    <w:basedOn w:val="58"/>
    <w:link w:val="23"/>
    <w:qFormat/>
    <w:uiPriority w:val="0"/>
    <w:rPr>
      <w:rFonts w:cstheme="minorBidi"/>
      <w:b/>
      <w:bCs/>
      <w:kern w:val="2"/>
      <w:sz w:val="24"/>
      <w:szCs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9" Type="http://schemas.openxmlformats.org/officeDocument/2006/relationships/fontTable" Target="fontTable.xml"/><Relationship Id="rId68" Type="http://schemas.openxmlformats.org/officeDocument/2006/relationships/numbering" Target="numbering.xml"/><Relationship Id="rId67" Type="http://schemas.openxmlformats.org/officeDocument/2006/relationships/customXml" Target="../customXml/item1.xml"/><Relationship Id="rId66" Type="http://schemas.openxmlformats.org/officeDocument/2006/relationships/image" Target="media/image34.png"/><Relationship Id="rId65" Type="http://schemas.openxmlformats.org/officeDocument/2006/relationships/image" Target="media/image33.png"/><Relationship Id="rId64" Type="http://schemas.openxmlformats.org/officeDocument/2006/relationships/image" Target="media/image32.png"/><Relationship Id="rId63" Type="http://schemas.openxmlformats.org/officeDocument/2006/relationships/image" Target="media/image31.png"/><Relationship Id="rId62" Type="http://schemas.openxmlformats.org/officeDocument/2006/relationships/image" Target="media/image30.png"/><Relationship Id="rId61" Type="http://schemas.openxmlformats.org/officeDocument/2006/relationships/image" Target="media/image29.png"/><Relationship Id="rId60" Type="http://schemas.openxmlformats.org/officeDocument/2006/relationships/image" Target="media/image28.png"/><Relationship Id="rId6" Type="http://schemas.openxmlformats.org/officeDocument/2006/relationships/header" Target="header2.xml"/><Relationship Id="rId59" Type="http://schemas.openxmlformats.org/officeDocument/2006/relationships/image" Target="media/image27.png"/><Relationship Id="rId58" Type="http://schemas.openxmlformats.org/officeDocument/2006/relationships/image" Target="media/image26.png"/><Relationship Id="rId57" Type="http://schemas.openxmlformats.org/officeDocument/2006/relationships/image" Target="media/image25.png"/><Relationship Id="rId56" Type="http://schemas.openxmlformats.org/officeDocument/2006/relationships/image" Target="media/image24.png"/><Relationship Id="rId55" Type="http://schemas.openxmlformats.org/officeDocument/2006/relationships/image" Target="media/image23.png"/><Relationship Id="rId54" Type="http://schemas.openxmlformats.org/officeDocument/2006/relationships/image" Target="media/image22.emf"/><Relationship Id="rId53" Type="http://schemas.openxmlformats.org/officeDocument/2006/relationships/oleObject" Target="embeddings/oleObject3.bin"/><Relationship Id="rId52" Type="http://schemas.openxmlformats.org/officeDocument/2006/relationships/image" Target="media/image21.png"/><Relationship Id="rId51" Type="http://schemas.openxmlformats.org/officeDocument/2006/relationships/image" Target="media/image20.png"/><Relationship Id="rId50" Type="http://schemas.openxmlformats.org/officeDocument/2006/relationships/image" Target="media/image19.png"/><Relationship Id="rId5" Type="http://schemas.openxmlformats.org/officeDocument/2006/relationships/header" Target="header1.xml"/><Relationship Id="rId49" Type="http://schemas.openxmlformats.org/officeDocument/2006/relationships/image" Target="media/image18.png"/><Relationship Id="rId48" Type="http://schemas.openxmlformats.org/officeDocument/2006/relationships/image" Target="media/image17.jpeg"/><Relationship Id="rId47" Type="http://schemas.openxmlformats.org/officeDocument/2006/relationships/image" Target="media/image16.png"/><Relationship Id="rId46" Type="http://schemas.openxmlformats.org/officeDocument/2006/relationships/image" Target="media/image15.wmf"/><Relationship Id="rId45" Type="http://schemas.openxmlformats.org/officeDocument/2006/relationships/image" Target="media/image14.emf"/><Relationship Id="rId44" Type="http://schemas.openxmlformats.org/officeDocument/2006/relationships/image" Target="media/image13.wmf"/><Relationship Id="rId43" Type="http://schemas.openxmlformats.org/officeDocument/2006/relationships/oleObject" Target="embeddings/oleObject2.bin"/><Relationship Id="rId42" Type="http://schemas.openxmlformats.org/officeDocument/2006/relationships/image" Target="media/image12.wmf"/><Relationship Id="rId41" Type="http://schemas.openxmlformats.org/officeDocument/2006/relationships/oleObject" Target="embeddings/oleObject1.bin"/><Relationship Id="rId40" Type="http://schemas.openxmlformats.org/officeDocument/2006/relationships/image" Target="media/image11.emf"/><Relationship Id="rId4" Type="http://schemas.openxmlformats.org/officeDocument/2006/relationships/endnotes" Target="endnotes.xml"/><Relationship Id="rId39" Type="http://schemas.openxmlformats.org/officeDocument/2006/relationships/package" Target="embeddings/Microsoft_Visio___5.vsdx"/><Relationship Id="rId38" Type="http://schemas.openxmlformats.org/officeDocument/2006/relationships/image" Target="media/image10.emf"/><Relationship Id="rId37" Type="http://schemas.openxmlformats.org/officeDocument/2006/relationships/package" Target="embeddings/Microsoft_Visio___4.vsdx"/><Relationship Id="rId36" Type="http://schemas.openxmlformats.org/officeDocument/2006/relationships/image" Target="media/image9.emf"/><Relationship Id="rId35" Type="http://schemas.openxmlformats.org/officeDocument/2006/relationships/package" Target="embeddings/Microsoft_Visio___3.vsdx"/><Relationship Id="rId34" Type="http://schemas.openxmlformats.org/officeDocument/2006/relationships/image" Target="media/image8.emf"/><Relationship Id="rId33" Type="http://schemas.openxmlformats.org/officeDocument/2006/relationships/package" Target="embeddings/Microsoft_Visio___2.vsdx"/><Relationship Id="rId32" Type="http://schemas.openxmlformats.org/officeDocument/2006/relationships/image" Target="media/image7.png"/><Relationship Id="rId31" Type="http://schemas.openxmlformats.org/officeDocument/2006/relationships/image" Target="media/image6.png"/><Relationship Id="rId30" Type="http://schemas.openxmlformats.org/officeDocument/2006/relationships/image" Target="media/image5.emf"/><Relationship Id="rId3" Type="http://schemas.openxmlformats.org/officeDocument/2006/relationships/footnotes" Target="footnotes.xml"/><Relationship Id="rId29" Type="http://schemas.openxmlformats.org/officeDocument/2006/relationships/package" Target="embeddings/Microsoft_Visio___1.vsdx"/><Relationship Id="rId28" Type="http://schemas.openxmlformats.org/officeDocument/2006/relationships/image" Target="media/image4.png"/><Relationship Id="rId27" Type="http://schemas.openxmlformats.org/officeDocument/2006/relationships/image" Target="media/image3.png"/><Relationship Id="rId26" Type="http://schemas.openxmlformats.org/officeDocument/2006/relationships/image" Target="media/image2.png"/><Relationship Id="rId25" Type="http://schemas.openxmlformats.org/officeDocument/2006/relationships/image" Target="media/image1.png"/><Relationship Id="rId24" Type="http://schemas.openxmlformats.org/officeDocument/2006/relationships/theme" Target="theme/theme1.xml"/><Relationship Id="rId23" Type="http://schemas.openxmlformats.org/officeDocument/2006/relationships/footer" Target="footer10.xml"/><Relationship Id="rId22" Type="http://schemas.openxmlformats.org/officeDocument/2006/relationships/footer" Target="footer9.xml"/><Relationship Id="rId21" Type="http://schemas.openxmlformats.org/officeDocument/2006/relationships/footer" Target="footer8.xml"/><Relationship Id="rId20" Type="http://schemas.openxmlformats.org/officeDocument/2006/relationships/header" Target="header9.xml"/><Relationship Id="rId2" Type="http://schemas.openxmlformats.org/officeDocument/2006/relationships/settings" Target="settings.xml"/><Relationship Id="rId19" Type="http://schemas.openxmlformats.org/officeDocument/2006/relationships/header" Target="header8.xml"/><Relationship Id="rId18" Type="http://schemas.openxmlformats.org/officeDocument/2006/relationships/header" Target="header7.xml"/><Relationship Id="rId17" Type="http://schemas.openxmlformats.org/officeDocument/2006/relationships/footer" Target="footer7.xml"/><Relationship Id="rId16" Type="http://schemas.openxmlformats.org/officeDocument/2006/relationships/footer" Target="footer6.xml"/><Relationship Id="rId15" Type="http://schemas.openxmlformats.org/officeDocument/2006/relationships/footer" Target="footer5.xml"/><Relationship Id="rId14" Type="http://schemas.openxmlformats.org/officeDocument/2006/relationships/header" Target="header6.xml"/><Relationship Id="rId13" Type="http://schemas.openxmlformats.org/officeDocument/2006/relationships/header" Target="header5.xml"/><Relationship Id="rId12" Type="http://schemas.openxmlformats.org/officeDocument/2006/relationships/header" Target="header4.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2050"/>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83</Pages>
  <Words>36220</Words>
  <Characters>42531</Characters>
  <Lines>332</Lines>
  <Paragraphs>93</Paragraphs>
  <TotalTime>8</TotalTime>
  <ScaleCrop>false</ScaleCrop>
  <LinksUpToDate>false</LinksUpToDate>
  <CharactersWithSpaces>42531</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2021-03-18T01:30:00Z</dcterms:created>
  <dc:creator>旭昶</dc:creator>
  <cp:lastModifiedBy>11</cp:lastModifiedBy>
  <cp:lastPrinted>2024-03-19T09:13:00Z</cp:lastPrinted>
  <dcterms:modified xsi:type="dcterms:W3CDTF">2024-07-04T09:44:46Z</dcterms:modified>
  <cp:revision>127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AD44EEBAAC6F434FA220F817EE9D31A2_13</vt:lpwstr>
  </property>
</Properties>
</file>